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FD791" w14:textId="77777777"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 xml:space="preserve">Name of Journal: </w:t>
      </w:r>
      <w:r w:rsidRPr="00974D6D">
        <w:rPr>
          <w:rFonts w:ascii="Book Antiqua" w:eastAsia="宋体" w:hAnsi="Book Antiqua" w:cs="Times New Roman"/>
          <w:b/>
          <w:i/>
          <w:color w:val="auto"/>
          <w:sz w:val="24"/>
          <w:szCs w:val="22"/>
        </w:rPr>
        <w:t>World Journal of Gastroenterology</w:t>
      </w:r>
    </w:p>
    <w:p w14:paraId="56CD8E8C" w14:textId="77777777"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bookmarkStart w:id="0" w:name="OLE_LINK485"/>
      <w:bookmarkStart w:id="1" w:name="OLE_LINK486"/>
      <w:bookmarkStart w:id="2" w:name="OLE_LINK661"/>
      <w:bookmarkStart w:id="3" w:name="OLE_LINK768"/>
      <w:bookmarkStart w:id="4" w:name="OLE_LINK568"/>
      <w:r w:rsidRPr="00974D6D">
        <w:rPr>
          <w:rFonts w:ascii="Book Antiqua" w:eastAsia="宋体" w:hAnsi="Book Antiqua" w:cs="Times New Roman"/>
          <w:b/>
          <w:color w:val="auto"/>
          <w:sz w:val="24"/>
          <w:szCs w:val="24"/>
          <w:highlight w:val="white"/>
        </w:rPr>
        <w:t>Manuscript NO:</w:t>
      </w:r>
      <w:bookmarkEnd w:id="0"/>
      <w:bookmarkEnd w:id="1"/>
      <w:bookmarkEnd w:id="2"/>
      <w:bookmarkEnd w:id="3"/>
      <w:bookmarkEnd w:id="4"/>
      <w:r w:rsidRPr="00974D6D">
        <w:rPr>
          <w:rFonts w:ascii="Book Antiqua" w:eastAsia="宋体" w:hAnsi="Book Antiqua" w:cs="Times New Roman"/>
          <w:b/>
          <w:color w:val="auto"/>
          <w:sz w:val="24"/>
          <w:szCs w:val="24"/>
        </w:rPr>
        <w:t xml:space="preserve"> 48495</w:t>
      </w:r>
    </w:p>
    <w:p w14:paraId="26E26588" w14:textId="70D83617"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Manuscript Type:</w:t>
      </w:r>
      <w:r w:rsidRPr="00974D6D">
        <w:rPr>
          <w:rFonts w:ascii="Book Antiqua" w:eastAsia="宋体" w:hAnsi="Book Antiqua" w:cs="Times New Roman"/>
          <w:color w:val="auto"/>
          <w:sz w:val="24"/>
          <w:szCs w:val="22"/>
        </w:rPr>
        <w:t xml:space="preserve"> </w:t>
      </w:r>
      <w:r w:rsidR="002352E6" w:rsidRPr="00974D6D">
        <w:rPr>
          <w:rFonts w:ascii="Book Antiqua" w:eastAsia="宋体" w:hAnsi="Book Antiqua" w:cs="Times New Roman" w:hint="eastAsia"/>
          <w:b/>
          <w:color w:val="auto"/>
          <w:sz w:val="24"/>
          <w:szCs w:val="22"/>
        </w:rPr>
        <w:t>ORIGINAL ARTICLE</w:t>
      </w:r>
    </w:p>
    <w:p w14:paraId="319FF7E8" w14:textId="77777777" w:rsidR="002352E6" w:rsidRPr="00974D6D" w:rsidRDefault="002352E6" w:rsidP="00974D6D">
      <w:pPr>
        <w:framePr w:wrap="auto"/>
        <w:adjustRightInd w:val="0"/>
        <w:snapToGrid w:val="0"/>
        <w:spacing w:line="360" w:lineRule="auto"/>
        <w:rPr>
          <w:rFonts w:ascii="Book Antiqua" w:eastAsia="宋体" w:hAnsi="Book Antiqua" w:cs="Times New Roman"/>
          <w:color w:val="auto"/>
          <w:sz w:val="24"/>
          <w:szCs w:val="22"/>
        </w:rPr>
      </w:pPr>
    </w:p>
    <w:p w14:paraId="60F65A2B" w14:textId="4756940B" w:rsidR="002352E6" w:rsidRPr="00974D6D" w:rsidRDefault="002352E6" w:rsidP="00974D6D">
      <w:pPr>
        <w:framePr w:wrap="auto"/>
        <w:adjustRightInd w:val="0"/>
        <w:snapToGrid w:val="0"/>
        <w:spacing w:line="360" w:lineRule="auto"/>
        <w:rPr>
          <w:rFonts w:ascii="Book Antiqua" w:eastAsia="宋体" w:hAnsi="Book Antiqua" w:cs="Times New Roman"/>
          <w:b/>
          <w:i/>
          <w:color w:val="auto"/>
          <w:sz w:val="24"/>
          <w:szCs w:val="22"/>
        </w:rPr>
      </w:pPr>
      <w:r w:rsidRPr="00974D6D">
        <w:rPr>
          <w:rFonts w:ascii="Book Antiqua" w:eastAsia="宋体" w:hAnsi="Book Antiqua" w:cs="Times New Roman" w:hint="eastAsia"/>
          <w:b/>
          <w:i/>
          <w:color w:val="auto"/>
          <w:sz w:val="24"/>
          <w:szCs w:val="22"/>
        </w:rPr>
        <w:t xml:space="preserve">Basic </w:t>
      </w:r>
      <w:r w:rsidRPr="0041534A">
        <w:rPr>
          <w:rFonts w:ascii="Book Antiqua" w:eastAsia="宋体" w:hAnsi="Book Antiqua" w:cs="Times New Roman" w:hint="eastAsia"/>
          <w:b/>
          <w:i/>
          <w:caps/>
          <w:color w:val="auto"/>
          <w:sz w:val="24"/>
          <w:szCs w:val="22"/>
        </w:rPr>
        <w:t>s</w:t>
      </w:r>
      <w:r w:rsidRPr="00974D6D">
        <w:rPr>
          <w:rFonts w:ascii="Book Antiqua" w:eastAsia="宋体" w:hAnsi="Book Antiqua" w:cs="Times New Roman" w:hint="eastAsia"/>
          <w:b/>
          <w:i/>
          <w:color w:val="auto"/>
          <w:sz w:val="24"/>
          <w:szCs w:val="22"/>
        </w:rPr>
        <w:t>tudy</w:t>
      </w:r>
    </w:p>
    <w:p w14:paraId="67F2EFF5" w14:textId="5400FA9F" w:rsidR="00E03495" w:rsidRPr="00974D6D" w:rsidRDefault="007D4BFD" w:rsidP="00974D6D">
      <w:pPr>
        <w:framePr w:wrap="auto"/>
        <w:adjustRightInd w:val="0"/>
        <w:snapToGrid w:val="0"/>
        <w:spacing w:line="360" w:lineRule="auto"/>
        <w:rPr>
          <w:rFonts w:ascii="Book Antiqua" w:eastAsia="Times New Roman" w:hAnsi="Book Antiqua" w:cs="Times New Roman"/>
          <w:b/>
          <w:bCs/>
          <w:color w:val="auto"/>
          <w:sz w:val="24"/>
          <w:szCs w:val="24"/>
        </w:rPr>
      </w:pPr>
      <w:r w:rsidRPr="00974D6D">
        <w:rPr>
          <w:rFonts w:ascii="Book Antiqua" w:hAnsi="Book Antiqua"/>
          <w:b/>
          <w:bCs/>
          <w:color w:val="auto"/>
          <w:sz w:val="24"/>
          <w:szCs w:val="24"/>
        </w:rPr>
        <w:t xml:space="preserve">Significance of tumor-infiltrating </w:t>
      </w:r>
      <w:proofErr w:type="spellStart"/>
      <w:r w:rsidRPr="00974D6D">
        <w:rPr>
          <w:rFonts w:ascii="Book Antiqua" w:hAnsi="Book Antiqua"/>
          <w:b/>
          <w:bCs/>
          <w:color w:val="auto"/>
          <w:sz w:val="24"/>
          <w:szCs w:val="24"/>
        </w:rPr>
        <w:t>immunocytes</w:t>
      </w:r>
      <w:proofErr w:type="spellEnd"/>
      <w:r w:rsidRPr="00974D6D">
        <w:rPr>
          <w:rFonts w:ascii="Book Antiqua" w:hAnsi="Book Antiqua"/>
          <w:b/>
          <w:bCs/>
          <w:color w:val="auto"/>
          <w:sz w:val="24"/>
          <w:szCs w:val="24"/>
        </w:rPr>
        <w:t xml:space="preserve"> for predicting</w:t>
      </w:r>
      <w:r w:rsidR="00167900">
        <w:rPr>
          <w:rFonts w:ascii="Book Antiqua" w:hAnsi="Book Antiqua"/>
          <w:b/>
          <w:bCs/>
          <w:color w:val="auto"/>
          <w:sz w:val="24"/>
          <w:szCs w:val="24"/>
        </w:rPr>
        <w:t xml:space="preserve"> </w:t>
      </w:r>
      <w:r w:rsidRPr="00974D6D">
        <w:rPr>
          <w:rFonts w:ascii="Book Antiqua" w:hAnsi="Book Antiqua"/>
          <w:b/>
          <w:bCs/>
          <w:color w:val="auto"/>
          <w:sz w:val="24"/>
          <w:szCs w:val="24"/>
        </w:rPr>
        <w:t>prognosis of hepatitis B virus-related hepatocellular carcinoma</w:t>
      </w:r>
    </w:p>
    <w:p w14:paraId="6DEC8B1A" w14:textId="77777777" w:rsidR="00E03495" w:rsidRPr="00167900" w:rsidRDefault="00E03495" w:rsidP="00974D6D">
      <w:pPr>
        <w:framePr w:wrap="auto"/>
        <w:adjustRightInd w:val="0"/>
        <w:snapToGrid w:val="0"/>
        <w:spacing w:line="360" w:lineRule="auto"/>
        <w:rPr>
          <w:rFonts w:ascii="Book Antiqua" w:eastAsiaTheme="minorEastAsia" w:hAnsi="Book Antiqua" w:cs="Times New Roman"/>
          <w:color w:val="auto"/>
          <w:sz w:val="24"/>
          <w:szCs w:val="24"/>
        </w:rPr>
      </w:pPr>
    </w:p>
    <w:p w14:paraId="26A16360" w14:textId="07347DA5"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 xml:space="preserve">Chen QF </w:t>
      </w:r>
      <w:r w:rsidRPr="00974D6D">
        <w:rPr>
          <w:rFonts w:ascii="Book Antiqua" w:eastAsia="宋体" w:hAnsi="Book Antiqua" w:cs="Times New Roman"/>
          <w:i/>
          <w:color w:val="auto"/>
          <w:sz w:val="24"/>
          <w:szCs w:val="22"/>
        </w:rPr>
        <w:t>et al</w:t>
      </w:r>
      <w:r w:rsidRPr="00974D6D">
        <w:rPr>
          <w:rFonts w:ascii="Book Antiqua" w:eastAsia="宋体" w:hAnsi="Book Antiqua" w:cs="Times New Roman"/>
          <w:color w:val="auto"/>
          <w:sz w:val="24"/>
          <w:szCs w:val="22"/>
        </w:rPr>
        <w:t xml:space="preserve">. Immune signature for </w:t>
      </w:r>
      <w:r w:rsidR="000B6686">
        <w:rPr>
          <w:rFonts w:ascii="Book Antiqua" w:eastAsia="宋体" w:hAnsi="Book Antiqua" w:cs="Times New Roman" w:hint="eastAsia"/>
          <w:color w:val="auto"/>
          <w:sz w:val="24"/>
          <w:szCs w:val="22"/>
        </w:rPr>
        <w:t>HBV</w:t>
      </w:r>
      <w:r w:rsidRPr="00974D6D">
        <w:rPr>
          <w:rFonts w:ascii="Book Antiqua" w:eastAsia="宋体" w:hAnsi="Book Antiqua" w:cs="Times New Roman"/>
          <w:color w:val="auto"/>
          <w:sz w:val="24"/>
          <w:szCs w:val="22"/>
        </w:rPr>
        <w:t xml:space="preserve"> positive HCC</w:t>
      </w:r>
    </w:p>
    <w:p w14:paraId="186E2854" w14:textId="77777777"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p>
    <w:p w14:paraId="550DD8CF" w14:textId="009316B5"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Qi-Feng Chen, Wang Li, Pei-Hong Wu, Lu-Jun Shen, Zi-Lin Huang</w:t>
      </w:r>
    </w:p>
    <w:p w14:paraId="0F43632E" w14:textId="77777777"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p>
    <w:p w14:paraId="0A067FA6" w14:textId="50B59AA6"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Qi-Feng Chen, Wang Li, Pei-Hong Wu, Lu-Jun Shen, Zi-Lin Huang,</w:t>
      </w:r>
      <w:r w:rsidRPr="00974D6D">
        <w:rPr>
          <w:rFonts w:ascii="Book Antiqua" w:eastAsia="宋体" w:hAnsi="Book Antiqua" w:cs="Times New Roman"/>
          <w:color w:val="auto"/>
          <w:sz w:val="24"/>
          <w:szCs w:val="22"/>
        </w:rPr>
        <w:t xml:space="preserve"> Department of Medical Imaging and Interventional Radiology, Sun </w:t>
      </w:r>
      <w:proofErr w:type="spellStart"/>
      <w:r w:rsidRPr="00974D6D">
        <w:rPr>
          <w:rFonts w:ascii="Book Antiqua" w:eastAsia="宋体" w:hAnsi="Book Antiqua" w:cs="Times New Roman"/>
          <w:color w:val="auto"/>
          <w:sz w:val="24"/>
          <w:szCs w:val="22"/>
        </w:rPr>
        <w:t>Yat-sen</w:t>
      </w:r>
      <w:proofErr w:type="spellEnd"/>
      <w:r w:rsidRPr="00974D6D">
        <w:rPr>
          <w:rFonts w:ascii="Book Antiqua" w:eastAsia="宋体" w:hAnsi="Book Antiqua" w:cs="Times New Roman"/>
          <w:color w:val="auto"/>
          <w:sz w:val="24"/>
          <w:szCs w:val="22"/>
        </w:rPr>
        <w:t xml:space="preserve"> University Cancer Center; State Key Laboratory of Oncology in South China; Collaborative Innovation Center </w:t>
      </w:r>
      <w:r w:rsidR="002352E6" w:rsidRPr="00974D6D">
        <w:rPr>
          <w:rFonts w:ascii="Book Antiqua" w:eastAsia="宋体" w:hAnsi="Book Antiqua" w:cs="Times New Roman"/>
          <w:color w:val="auto"/>
          <w:sz w:val="24"/>
          <w:szCs w:val="22"/>
        </w:rPr>
        <w:t>for Cancer Medicine, Guangzhou</w:t>
      </w:r>
      <w:r w:rsidR="002352E6" w:rsidRPr="00974D6D">
        <w:rPr>
          <w:rFonts w:ascii="Book Antiqua" w:eastAsia="宋体" w:hAnsi="Book Antiqua" w:cs="Times New Roman" w:hint="eastAsia"/>
          <w:color w:val="auto"/>
          <w:sz w:val="24"/>
          <w:szCs w:val="22"/>
        </w:rPr>
        <w:t xml:space="preserve"> </w:t>
      </w:r>
      <w:r w:rsidR="00D25209" w:rsidRPr="00974D6D">
        <w:rPr>
          <w:rFonts w:ascii="Book Antiqua" w:eastAsia="宋体" w:hAnsi="Book Antiqua" w:cs="Times New Roman"/>
          <w:color w:val="auto"/>
          <w:sz w:val="24"/>
          <w:szCs w:val="22"/>
        </w:rPr>
        <w:t>510060</w:t>
      </w:r>
      <w:r w:rsidR="00046406">
        <w:rPr>
          <w:rFonts w:ascii="Book Antiqua" w:eastAsia="宋体" w:hAnsi="Book Antiqua" w:cs="Times New Roman"/>
          <w:color w:val="auto"/>
          <w:sz w:val="24"/>
          <w:szCs w:val="22"/>
        </w:rPr>
        <w:t>,</w:t>
      </w:r>
      <w:r w:rsidR="00D25209" w:rsidRPr="00974D6D">
        <w:rPr>
          <w:rFonts w:ascii="Book Antiqua" w:eastAsia="宋体" w:hAnsi="Book Antiqua" w:cs="Times New Roman"/>
          <w:color w:val="auto"/>
          <w:sz w:val="24"/>
          <w:szCs w:val="22"/>
        </w:rPr>
        <w:t xml:space="preserve"> Guangdong</w:t>
      </w:r>
      <w:r w:rsidR="00D25209" w:rsidRPr="00974D6D">
        <w:rPr>
          <w:rFonts w:ascii="Book Antiqua" w:eastAsia="宋体" w:hAnsi="Book Antiqua" w:cs="Times New Roman" w:hint="eastAsia"/>
          <w:color w:val="auto"/>
          <w:sz w:val="24"/>
          <w:szCs w:val="22"/>
        </w:rPr>
        <w:t xml:space="preserve"> Province</w:t>
      </w:r>
      <w:r w:rsidR="00D25209" w:rsidRPr="00974D6D">
        <w:rPr>
          <w:rFonts w:ascii="Book Antiqua" w:eastAsia="宋体" w:hAnsi="Book Antiqua" w:cs="Times New Roman"/>
          <w:color w:val="auto"/>
          <w:sz w:val="24"/>
          <w:szCs w:val="22"/>
        </w:rPr>
        <w:t xml:space="preserve">, </w:t>
      </w:r>
      <w:r w:rsidRPr="00974D6D">
        <w:rPr>
          <w:rFonts w:ascii="Book Antiqua" w:eastAsia="宋体" w:hAnsi="Book Antiqua" w:cs="Times New Roman"/>
          <w:color w:val="auto"/>
          <w:sz w:val="24"/>
          <w:szCs w:val="22"/>
        </w:rPr>
        <w:t>China</w:t>
      </w:r>
    </w:p>
    <w:p w14:paraId="365BADCA" w14:textId="77777777"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p>
    <w:p w14:paraId="7626F7D8" w14:textId="24EF9E80"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ORCID number:</w:t>
      </w:r>
      <w:r w:rsidRPr="00974D6D">
        <w:rPr>
          <w:rFonts w:ascii="Book Antiqua" w:eastAsia="宋体" w:hAnsi="Book Antiqua" w:cs="Times New Roman"/>
          <w:color w:val="auto"/>
          <w:sz w:val="24"/>
          <w:szCs w:val="22"/>
        </w:rPr>
        <w:t xml:space="preserve"> Qi-Feng Chen (0000-0001-8998-3450); Wang Li (0000-0002-4293-8182); Pei-Hong Wu (0000-0001-8008-1872); Lu-Jun Shen (0000-0002-7936-0206); Zi-Lin Huang (0000-0002-1643-1994)</w:t>
      </w:r>
      <w:r w:rsidR="002D0EB0">
        <w:rPr>
          <w:rFonts w:ascii="Book Antiqua" w:eastAsia="宋体" w:hAnsi="Book Antiqua" w:cs="Times New Roman" w:hint="eastAsia"/>
          <w:color w:val="auto"/>
          <w:sz w:val="24"/>
          <w:szCs w:val="22"/>
        </w:rPr>
        <w:t>.</w:t>
      </w:r>
    </w:p>
    <w:p w14:paraId="4FFF1506" w14:textId="77777777"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p>
    <w:p w14:paraId="07D67541" w14:textId="75E8A131" w:rsidR="007D4BFD" w:rsidRPr="00974D6D"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Author contributions:</w:t>
      </w:r>
      <w:r w:rsidR="005C0776">
        <w:rPr>
          <w:rFonts w:ascii="Book Antiqua" w:eastAsia="宋体" w:hAnsi="Book Antiqua" w:cs="Times New Roman" w:hint="eastAsia"/>
          <w:color w:val="auto"/>
          <w:sz w:val="24"/>
          <w:szCs w:val="22"/>
        </w:rPr>
        <w:t xml:space="preserve"> </w:t>
      </w:r>
      <w:r w:rsidRPr="00974D6D">
        <w:rPr>
          <w:rFonts w:ascii="Book Antiqua" w:eastAsia="宋体" w:hAnsi="Book Antiqua" w:cs="Times New Roman"/>
          <w:color w:val="auto"/>
          <w:sz w:val="24"/>
          <w:szCs w:val="22"/>
        </w:rPr>
        <w:t>Chen</w:t>
      </w:r>
      <w:r w:rsidR="00974D6D">
        <w:rPr>
          <w:rFonts w:ascii="Book Antiqua" w:eastAsia="宋体" w:hAnsi="Book Antiqua" w:cs="Times New Roman" w:hint="eastAsia"/>
          <w:color w:val="auto"/>
          <w:sz w:val="24"/>
          <w:szCs w:val="22"/>
        </w:rPr>
        <w:t xml:space="preserve"> QF</w:t>
      </w:r>
      <w:r w:rsidRPr="00974D6D">
        <w:rPr>
          <w:rFonts w:ascii="Book Antiqua" w:eastAsia="宋体" w:hAnsi="Book Antiqua" w:cs="Times New Roman"/>
          <w:color w:val="auto"/>
          <w:sz w:val="24"/>
          <w:szCs w:val="22"/>
        </w:rPr>
        <w:t>, Huang</w:t>
      </w:r>
      <w:r w:rsidR="00974D6D">
        <w:rPr>
          <w:rFonts w:ascii="Book Antiqua" w:eastAsia="宋体" w:hAnsi="Book Antiqua" w:cs="Times New Roman" w:hint="eastAsia"/>
          <w:color w:val="auto"/>
          <w:sz w:val="24"/>
          <w:szCs w:val="22"/>
        </w:rPr>
        <w:t xml:space="preserve"> ZL</w:t>
      </w:r>
      <w:r w:rsidR="00167900">
        <w:rPr>
          <w:rFonts w:ascii="Book Antiqua" w:eastAsia="宋体" w:hAnsi="Book Antiqua" w:cs="Times New Roman"/>
          <w:color w:val="auto"/>
          <w:sz w:val="24"/>
          <w:szCs w:val="22"/>
        </w:rPr>
        <w:t>,</w:t>
      </w:r>
      <w:r w:rsidRPr="00974D6D">
        <w:rPr>
          <w:rFonts w:ascii="Book Antiqua" w:eastAsia="宋体" w:hAnsi="Book Antiqua" w:cs="Times New Roman"/>
          <w:color w:val="auto"/>
          <w:sz w:val="24"/>
          <w:szCs w:val="22"/>
        </w:rPr>
        <w:t xml:space="preserve"> and Li</w:t>
      </w:r>
      <w:r w:rsidR="00974D6D">
        <w:rPr>
          <w:rFonts w:ascii="Book Antiqua" w:eastAsia="宋体" w:hAnsi="Book Antiqua" w:cs="Times New Roman" w:hint="eastAsia"/>
          <w:color w:val="auto"/>
          <w:sz w:val="24"/>
          <w:szCs w:val="22"/>
        </w:rPr>
        <w:t xml:space="preserve"> W</w:t>
      </w:r>
      <w:r w:rsidR="005C0776">
        <w:rPr>
          <w:rFonts w:ascii="Book Antiqua" w:eastAsia="宋体" w:hAnsi="Book Antiqua" w:cs="Times New Roman" w:hint="eastAsia"/>
          <w:color w:val="auto"/>
          <w:sz w:val="24"/>
          <w:szCs w:val="22"/>
        </w:rPr>
        <w:t xml:space="preserve"> contributed </w:t>
      </w:r>
      <w:r w:rsidR="00167900">
        <w:rPr>
          <w:rFonts w:ascii="Book Antiqua" w:eastAsia="宋体" w:hAnsi="Book Antiqua" w:cs="Times New Roman"/>
          <w:color w:val="auto"/>
          <w:sz w:val="24"/>
          <w:szCs w:val="22"/>
        </w:rPr>
        <w:t xml:space="preserve">to study </w:t>
      </w:r>
      <w:r w:rsidR="005C0776">
        <w:rPr>
          <w:rFonts w:ascii="Book Antiqua" w:eastAsia="宋体" w:hAnsi="Book Antiqua" w:cs="Times New Roman"/>
          <w:color w:val="auto"/>
          <w:sz w:val="24"/>
          <w:szCs w:val="22"/>
        </w:rPr>
        <w:t>conceptualization</w:t>
      </w:r>
      <w:r w:rsidRPr="00974D6D">
        <w:rPr>
          <w:rFonts w:ascii="Book Antiqua" w:eastAsia="宋体" w:hAnsi="Book Antiqua" w:cs="Times New Roman"/>
          <w:color w:val="auto"/>
          <w:sz w:val="24"/>
          <w:szCs w:val="22"/>
        </w:rPr>
        <w:t>; Chen</w:t>
      </w:r>
      <w:r w:rsidR="005C0776">
        <w:rPr>
          <w:rFonts w:ascii="Book Antiqua" w:eastAsia="宋体" w:hAnsi="Book Antiqua" w:cs="Times New Roman" w:hint="eastAsia"/>
          <w:color w:val="auto"/>
          <w:sz w:val="24"/>
          <w:szCs w:val="22"/>
        </w:rPr>
        <w:t xml:space="preserve"> LJ contributed</w:t>
      </w:r>
      <w:r w:rsidR="005C0776" w:rsidRPr="005C0776">
        <w:rPr>
          <w:rFonts w:ascii="Book Antiqua" w:eastAsia="宋体" w:hAnsi="Book Antiqua" w:cs="Times New Roman"/>
          <w:color w:val="auto"/>
          <w:sz w:val="24"/>
          <w:szCs w:val="22"/>
        </w:rPr>
        <w:t xml:space="preserve"> </w:t>
      </w:r>
      <w:r w:rsidR="00167900">
        <w:rPr>
          <w:rFonts w:ascii="Book Antiqua" w:eastAsia="宋体" w:hAnsi="Book Antiqua" w:cs="Times New Roman"/>
          <w:color w:val="auto"/>
          <w:sz w:val="24"/>
          <w:szCs w:val="22"/>
        </w:rPr>
        <w:t xml:space="preserve">to the </w:t>
      </w:r>
      <w:r w:rsidR="005C0776" w:rsidRPr="00974D6D">
        <w:rPr>
          <w:rFonts w:ascii="Book Antiqua" w:eastAsia="宋体" w:hAnsi="Book Antiqua" w:cs="Times New Roman"/>
          <w:color w:val="auto"/>
          <w:sz w:val="24"/>
          <w:szCs w:val="22"/>
        </w:rPr>
        <w:t>methodology</w:t>
      </w:r>
      <w:r w:rsidRPr="00974D6D">
        <w:rPr>
          <w:rFonts w:ascii="Book Antiqua" w:eastAsia="宋体" w:hAnsi="Book Antiqua" w:cs="Times New Roman"/>
          <w:color w:val="auto"/>
          <w:sz w:val="24"/>
          <w:szCs w:val="22"/>
        </w:rPr>
        <w:t>; Wu</w:t>
      </w:r>
      <w:r w:rsidR="005C0776">
        <w:rPr>
          <w:rFonts w:ascii="Book Antiqua" w:eastAsia="宋体" w:hAnsi="Book Antiqua" w:cs="Times New Roman" w:hint="eastAsia"/>
          <w:color w:val="auto"/>
          <w:sz w:val="24"/>
          <w:szCs w:val="22"/>
        </w:rPr>
        <w:t xml:space="preserve"> PH </w:t>
      </w:r>
      <w:r w:rsidR="00167900">
        <w:rPr>
          <w:rFonts w:ascii="Book Antiqua" w:eastAsia="宋体" w:hAnsi="Book Antiqua" w:cs="Times New Roman"/>
          <w:color w:val="auto"/>
          <w:sz w:val="24"/>
          <w:szCs w:val="22"/>
        </w:rPr>
        <w:t xml:space="preserve">provided </w:t>
      </w:r>
      <w:r w:rsidR="005C0776" w:rsidRPr="00974D6D">
        <w:rPr>
          <w:rFonts w:ascii="Book Antiqua" w:eastAsia="宋体" w:hAnsi="Book Antiqua" w:cs="Times New Roman"/>
          <w:color w:val="auto"/>
          <w:sz w:val="24"/>
          <w:szCs w:val="22"/>
        </w:rPr>
        <w:t>software</w:t>
      </w:r>
      <w:r w:rsidRPr="00974D6D">
        <w:rPr>
          <w:rFonts w:ascii="Book Antiqua" w:eastAsia="宋体" w:hAnsi="Book Antiqua" w:cs="Times New Roman"/>
          <w:color w:val="auto"/>
          <w:sz w:val="24"/>
          <w:szCs w:val="22"/>
        </w:rPr>
        <w:t>; Chen</w:t>
      </w:r>
      <w:r w:rsidR="005C0776">
        <w:rPr>
          <w:rFonts w:ascii="Book Antiqua" w:eastAsia="宋体" w:hAnsi="Book Antiqua" w:cs="Times New Roman" w:hint="eastAsia"/>
          <w:color w:val="auto"/>
          <w:sz w:val="24"/>
          <w:szCs w:val="22"/>
        </w:rPr>
        <w:t xml:space="preserve"> QF</w:t>
      </w:r>
      <w:r w:rsidRPr="00974D6D">
        <w:rPr>
          <w:rFonts w:ascii="Book Antiqua" w:eastAsia="宋体" w:hAnsi="Book Antiqua" w:cs="Times New Roman"/>
          <w:color w:val="auto"/>
          <w:sz w:val="24"/>
          <w:szCs w:val="22"/>
        </w:rPr>
        <w:t>, Wu</w:t>
      </w:r>
      <w:r w:rsidR="005C0776">
        <w:rPr>
          <w:rFonts w:ascii="Book Antiqua" w:eastAsia="宋体" w:hAnsi="Book Antiqua" w:cs="Times New Roman" w:hint="eastAsia"/>
          <w:color w:val="auto"/>
          <w:sz w:val="24"/>
          <w:szCs w:val="22"/>
        </w:rPr>
        <w:t xml:space="preserve"> PH</w:t>
      </w:r>
      <w:r w:rsidR="00167900">
        <w:rPr>
          <w:rFonts w:ascii="Book Antiqua" w:eastAsia="宋体" w:hAnsi="Book Antiqua" w:cs="Times New Roman"/>
          <w:color w:val="auto"/>
          <w:sz w:val="24"/>
          <w:szCs w:val="22"/>
        </w:rPr>
        <w:t>,</w:t>
      </w:r>
      <w:r w:rsidRPr="00974D6D">
        <w:rPr>
          <w:rFonts w:ascii="Book Antiqua" w:eastAsia="宋体" w:hAnsi="Book Antiqua" w:cs="Times New Roman"/>
          <w:color w:val="auto"/>
          <w:sz w:val="24"/>
          <w:szCs w:val="22"/>
        </w:rPr>
        <w:t xml:space="preserve"> and Huang</w:t>
      </w:r>
      <w:r w:rsidR="005C0776">
        <w:rPr>
          <w:rFonts w:ascii="Book Antiqua" w:eastAsia="宋体" w:hAnsi="Book Antiqua" w:cs="Times New Roman" w:hint="eastAsia"/>
          <w:color w:val="auto"/>
          <w:sz w:val="24"/>
          <w:szCs w:val="22"/>
        </w:rPr>
        <w:t xml:space="preserve"> ZL performed </w:t>
      </w:r>
      <w:r w:rsidR="00167900">
        <w:rPr>
          <w:rFonts w:ascii="Book Antiqua" w:eastAsia="宋体" w:hAnsi="Book Antiqua" w:cs="Times New Roman"/>
          <w:color w:val="auto"/>
          <w:sz w:val="24"/>
          <w:szCs w:val="22"/>
        </w:rPr>
        <w:t xml:space="preserve">the </w:t>
      </w:r>
      <w:r w:rsidR="005C0776" w:rsidRPr="00974D6D">
        <w:rPr>
          <w:rFonts w:ascii="Book Antiqua" w:eastAsia="宋体" w:hAnsi="Book Antiqua" w:cs="Times New Roman"/>
          <w:color w:val="auto"/>
          <w:sz w:val="24"/>
          <w:szCs w:val="22"/>
        </w:rPr>
        <w:t>validation</w:t>
      </w:r>
      <w:r w:rsidRPr="00974D6D">
        <w:rPr>
          <w:rFonts w:ascii="Book Antiqua" w:eastAsia="宋体" w:hAnsi="Book Antiqua" w:cs="Times New Roman"/>
          <w:color w:val="auto"/>
          <w:sz w:val="24"/>
          <w:szCs w:val="22"/>
        </w:rPr>
        <w:t>; Chen</w:t>
      </w:r>
      <w:r w:rsidR="005C0776">
        <w:rPr>
          <w:rFonts w:ascii="Book Antiqua" w:eastAsia="宋体" w:hAnsi="Book Antiqua" w:cs="Times New Roman" w:hint="eastAsia"/>
          <w:color w:val="auto"/>
          <w:sz w:val="24"/>
          <w:szCs w:val="22"/>
        </w:rPr>
        <w:t xml:space="preserve"> QF</w:t>
      </w:r>
      <w:r w:rsidRPr="00974D6D">
        <w:rPr>
          <w:rFonts w:ascii="Book Antiqua" w:eastAsia="宋体" w:hAnsi="Book Antiqua" w:cs="Times New Roman"/>
          <w:color w:val="auto"/>
          <w:sz w:val="24"/>
          <w:szCs w:val="22"/>
        </w:rPr>
        <w:t>, Wu</w:t>
      </w:r>
      <w:r w:rsidR="005C0776">
        <w:rPr>
          <w:rFonts w:ascii="Book Antiqua" w:eastAsia="宋体" w:hAnsi="Book Antiqua" w:cs="Times New Roman" w:hint="eastAsia"/>
          <w:color w:val="auto"/>
          <w:sz w:val="24"/>
          <w:szCs w:val="22"/>
        </w:rPr>
        <w:t xml:space="preserve"> PH</w:t>
      </w:r>
      <w:r w:rsidRPr="00974D6D">
        <w:rPr>
          <w:rFonts w:ascii="Book Antiqua" w:eastAsia="宋体" w:hAnsi="Book Antiqua" w:cs="Times New Roman"/>
          <w:color w:val="auto"/>
          <w:sz w:val="24"/>
          <w:szCs w:val="22"/>
        </w:rPr>
        <w:t>, Huang</w:t>
      </w:r>
      <w:r w:rsidR="005C0776">
        <w:rPr>
          <w:rFonts w:ascii="Book Antiqua" w:eastAsia="宋体" w:hAnsi="Book Antiqua" w:cs="Times New Roman" w:hint="eastAsia"/>
          <w:color w:val="auto"/>
          <w:sz w:val="24"/>
          <w:szCs w:val="22"/>
        </w:rPr>
        <w:t xml:space="preserve"> ZL</w:t>
      </w:r>
      <w:r w:rsidR="00167900">
        <w:rPr>
          <w:rFonts w:ascii="Book Antiqua" w:eastAsia="宋体" w:hAnsi="Book Antiqua" w:cs="Times New Roman"/>
          <w:color w:val="auto"/>
          <w:sz w:val="24"/>
          <w:szCs w:val="22"/>
        </w:rPr>
        <w:t>,</w:t>
      </w:r>
      <w:r w:rsidRPr="00974D6D">
        <w:rPr>
          <w:rFonts w:ascii="Book Antiqua" w:eastAsia="宋体" w:hAnsi="Book Antiqua" w:cs="Times New Roman"/>
          <w:color w:val="auto"/>
          <w:sz w:val="24"/>
          <w:szCs w:val="22"/>
        </w:rPr>
        <w:t xml:space="preserve"> and Shen</w:t>
      </w:r>
      <w:r w:rsidR="005C0776">
        <w:rPr>
          <w:rFonts w:ascii="Book Antiqua" w:eastAsia="宋体" w:hAnsi="Book Antiqua" w:cs="Times New Roman" w:hint="eastAsia"/>
          <w:color w:val="auto"/>
          <w:sz w:val="24"/>
          <w:szCs w:val="22"/>
        </w:rPr>
        <w:t xml:space="preserve"> LJ analyzed </w:t>
      </w:r>
      <w:r w:rsidR="00167900">
        <w:rPr>
          <w:rFonts w:ascii="Book Antiqua" w:eastAsia="宋体" w:hAnsi="Book Antiqua" w:cs="Times New Roman"/>
          <w:color w:val="auto"/>
          <w:sz w:val="24"/>
          <w:szCs w:val="22"/>
        </w:rPr>
        <w:t xml:space="preserve">the </w:t>
      </w:r>
      <w:r w:rsidR="005C0776">
        <w:rPr>
          <w:rFonts w:ascii="Book Antiqua" w:eastAsia="宋体" w:hAnsi="Book Antiqua" w:cs="Times New Roman" w:hint="eastAsia"/>
          <w:color w:val="auto"/>
          <w:sz w:val="24"/>
          <w:szCs w:val="22"/>
        </w:rPr>
        <w:t>data</w:t>
      </w:r>
      <w:r w:rsidRPr="00974D6D">
        <w:rPr>
          <w:rFonts w:ascii="Book Antiqua" w:eastAsia="宋体" w:hAnsi="Book Antiqua" w:cs="Times New Roman"/>
          <w:color w:val="auto"/>
          <w:sz w:val="24"/>
          <w:szCs w:val="22"/>
        </w:rPr>
        <w:t>; Chen</w:t>
      </w:r>
      <w:r w:rsidR="005C0776">
        <w:rPr>
          <w:rFonts w:ascii="Book Antiqua" w:eastAsia="宋体" w:hAnsi="Book Antiqua" w:cs="Times New Roman" w:hint="eastAsia"/>
          <w:color w:val="auto"/>
          <w:sz w:val="24"/>
          <w:szCs w:val="22"/>
        </w:rPr>
        <w:t xml:space="preserve"> QF </w:t>
      </w:r>
      <w:r w:rsidRPr="00974D6D">
        <w:rPr>
          <w:rFonts w:ascii="Book Antiqua" w:eastAsia="宋体" w:hAnsi="Book Antiqua" w:cs="Times New Roman"/>
          <w:color w:val="auto"/>
          <w:sz w:val="24"/>
          <w:szCs w:val="22"/>
        </w:rPr>
        <w:t>and Li</w:t>
      </w:r>
      <w:r w:rsidR="005C0776">
        <w:rPr>
          <w:rFonts w:ascii="Book Antiqua" w:eastAsia="宋体" w:hAnsi="Book Antiqua" w:cs="Times New Roman" w:hint="eastAsia"/>
          <w:color w:val="auto"/>
          <w:sz w:val="24"/>
          <w:szCs w:val="22"/>
        </w:rPr>
        <w:t xml:space="preserve"> W prepared </w:t>
      </w:r>
      <w:r w:rsidR="00167900">
        <w:rPr>
          <w:rFonts w:ascii="Book Antiqua" w:eastAsia="宋体" w:hAnsi="Book Antiqua" w:cs="Times New Roman"/>
          <w:color w:val="auto"/>
          <w:sz w:val="24"/>
          <w:szCs w:val="22"/>
        </w:rPr>
        <w:t xml:space="preserve">the </w:t>
      </w:r>
      <w:r w:rsidR="005C0776" w:rsidRPr="00974D6D">
        <w:rPr>
          <w:rFonts w:ascii="Book Antiqua" w:eastAsia="宋体" w:hAnsi="Book Antiqua" w:cs="Times New Roman"/>
          <w:color w:val="auto"/>
          <w:sz w:val="24"/>
          <w:szCs w:val="22"/>
        </w:rPr>
        <w:t>original draft</w:t>
      </w:r>
      <w:r w:rsidRPr="00974D6D">
        <w:rPr>
          <w:rFonts w:ascii="Book Antiqua" w:eastAsia="宋体" w:hAnsi="Book Antiqua" w:cs="Times New Roman"/>
          <w:color w:val="auto"/>
          <w:sz w:val="24"/>
          <w:szCs w:val="22"/>
        </w:rPr>
        <w:t>; Chen</w:t>
      </w:r>
      <w:r w:rsidR="00054CDB">
        <w:rPr>
          <w:rFonts w:ascii="Book Antiqua" w:eastAsia="宋体" w:hAnsi="Book Antiqua" w:cs="Times New Roman" w:hint="eastAsia"/>
          <w:color w:val="auto"/>
          <w:sz w:val="24"/>
          <w:szCs w:val="22"/>
        </w:rPr>
        <w:t xml:space="preserve"> QF</w:t>
      </w:r>
      <w:r w:rsidRPr="00974D6D">
        <w:rPr>
          <w:rFonts w:ascii="Book Antiqua" w:eastAsia="宋体" w:hAnsi="Book Antiqua" w:cs="Times New Roman"/>
          <w:color w:val="auto"/>
          <w:sz w:val="24"/>
          <w:szCs w:val="22"/>
        </w:rPr>
        <w:t>, Wu</w:t>
      </w:r>
      <w:r w:rsidR="00054CDB">
        <w:rPr>
          <w:rFonts w:ascii="Book Antiqua" w:eastAsia="宋体" w:hAnsi="Book Antiqua" w:cs="Times New Roman" w:hint="eastAsia"/>
          <w:color w:val="auto"/>
          <w:sz w:val="24"/>
          <w:szCs w:val="22"/>
        </w:rPr>
        <w:t xml:space="preserve"> PH</w:t>
      </w:r>
      <w:r w:rsidR="00054CDB">
        <w:rPr>
          <w:rFonts w:ascii="Book Antiqua" w:eastAsia="宋体" w:hAnsi="Book Antiqua" w:cs="Times New Roman"/>
          <w:color w:val="auto"/>
          <w:sz w:val="24"/>
          <w:szCs w:val="22"/>
        </w:rPr>
        <w:t>, Huang ZL</w:t>
      </w:r>
      <w:r w:rsidR="00167900">
        <w:rPr>
          <w:rFonts w:ascii="Book Antiqua" w:eastAsia="宋体" w:hAnsi="Book Antiqua" w:cs="Times New Roman"/>
          <w:color w:val="auto"/>
          <w:sz w:val="24"/>
          <w:szCs w:val="22"/>
        </w:rPr>
        <w:t>,</w:t>
      </w:r>
      <w:r w:rsidR="00054CDB">
        <w:rPr>
          <w:rFonts w:ascii="Book Antiqua" w:eastAsia="宋体" w:hAnsi="Book Antiqua" w:cs="Times New Roman"/>
          <w:color w:val="auto"/>
          <w:sz w:val="24"/>
          <w:szCs w:val="22"/>
        </w:rPr>
        <w:t xml:space="preserve"> </w:t>
      </w:r>
      <w:r w:rsidRPr="00974D6D">
        <w:rPr>
          <w:rFonts w:ascii="Book Antiqua" w:eastAsia="宋体" w:hAnsi="Book Antiqua" w:cs="Times New Roman"/>
          <w:color w:val="auto"/>
          <w:sz w:val="24"/>
          <w:szCs w:val="22"/>
        </w:rPr>
        <w:t>and Shen</w:t>
      </w:r>
      <w:r w:rsidR="00054CDB">
        <w:rPr>
          <w:rFonts w:ascii="Book Antiqua" w:eastAsia="宋体" w:hAnsi="Book Antiqua" w:cs="Times New Roman" w:hint="eastAsia"/>
          <w:color w:val="auto"/>
          <w:sz w:val="24"/>
          <w:szCs w:val="22"/>
        </w:rPr>
        <w:t xml:space="preserve"> LJ </w:t>
      </w:r>
      <w:r w:rsidR="00054CDB" w:rsidRPr="00974D6D">
        <w:rPr>
          <w:rFonts w:ascii="Book Antiqua" w:eastAsia="宋体" w:hAnsi="Book Antiqua" w:cs="Times New Roman"/>
          <w:color w:val="auto"/>
          <w:sz w:val="24"/>
          <w:szCs w:val="22"/>
        </w:rPr>
        <w:t>review</w:t>
      </w:r>
      <w:r w:rsidR="00167900">
        <w:rPr>
          <w:rFonts w:ascii="Book Antiqua" w:eastAsia="宋体" w:hAnsi="Book Antiqua" w:cs="Times New Roman"/>
          <w:color w:val="auto"/>
          <w:sz w:val="24"/>
          <w:szCs w:val="22"/>
        </w:rPr>
        <w:t>ed</w:t>
      </w:r>
      <w:r w:rsidR="00054CDB" w:rsidRPr="00974D6D">
        <w:rPr>
          <w:rFonts w:ascii="Book Antiqua" w:eastAsia="宋体" w:hAnsi="Book Antiqua" w:cs="Times New Roman"/>
          <w:color w:val="auto"/>
          <w:sz w:val="24"/>
          <w:szCs w:val="22"/>
        </w:rPr>
        <w:t xml:space="preserve"> and </w:t>
      </w:r>
      <w:r w:rsidR="00167900" w:rsidRPr="00974D6D">
        <w:rPr>
          <w:rFonts w:ascii="Book Antiqua" w:eastAsia="宋体" w:hAnsi="Book Antiqua" w:cs="Times New Roman"/>
          <w:color w:val="auto"/>
          <w:sz w:val="24"/>
          <w:szCs w:val="22"/>
        </w:rPr>
        <w:t>edit</w:t>
      </w:r>
      <w:r w:rsidR="00167900">
        <w:rPr>
          <w:rFonts w:ascii="Book Antiqua" w:eastAsia="宋体" w:hAnsi="Book Antiqua" w:cs="Times New Roman"/>
          <w:color w:val="auto"/>
          <w:sz w:val="24"/>
          <w:szCs w:val="22"/>
        </w:rPr>
        <w:t>ed the manuscript</w:t>
      </w:r>
      <w:r w:rsidRPr="00974D6D">
        <w:rPr>
          <w:rFonts w:ascii="Book Antiqua" w:eastAsia="宋体" w:hAnsi="Book Antiqua" w:cs="Times New Roman"/>
          <w:color w:val="auto"/>
          <w:sz w:val="24"/>
          <w:szCs w:val="22"/>
        </w:rPr>
        <w:t>; Chen</w:t>
      </w:r>
      <w:r w:rsidR="00054CDB">
        <w:rPr>
          <w:rFonts w:ascii="Book Antiqua" w:eastAsia="宋体" w:hAnsi="Book Antiqua" w:cs="Times New Roman" w:hint="eastAsia"/>
          <w:color w:val="auto"/>
          <w:sz w:val="24"/>
          <w:szCs w:val="22"/>
        </w:rPr>
        <w:t xml:space="preserve"> QF contributed</w:t>
      </w:r>
      <w:r w:rsidR="00167900">
        <w:rPr>
          <w:rFonts w:ascii="Book Antiqua" w:eastAsia="宋体" w:hAnsi="Book Antiqua" w:cs="Times New Roman"/>
          <w:color w:val="auto"/>
          <w:sz w:val="24"/>
          <w:szCs w:val="22"/>
        </w:rPr>
        <w:t xml:space="preserve"> to</w:t>
      </w:r>
      <w:r w:rsidR="00054CDB">
        <w:rPr>
          <w:rFonts w:ascii="Book Antiqua" w:eastAsia="宋体" w:hAnsi="Book Antiqua" w:cs="Times New Roman" w:hint="eastAsia"/>
          <w:color w:val="auto"/>
          <w:sz w:val="24"/>
          <w:szCs w:val="22"/>
        </w:rPr>
        <w:t xml:space="preserve"> </w:t>
      </w:r>
      <w:r w:rsidR="00167900">
        <w:rPr>
          <w:rFonts w:ascii="Book Antiqua" w:eastAsia="宋体" w:hAnsi="Book Antiqua" w:cs="Times New Roman"/>
          <w:color w:val="auto"/>
          <w:sz w:val="24"/>
          <w:szCs w:val="22"/>
        </w:rPr>
        <w:t xml:space="preserve">data </w:t>
      </w:r>
      <w:r w:rsidR="00054CDB" w:rsidRPr="00974D6D">
        <w:rPr>
          <w:rFonts w:ascii="Book Antiqua" w:eastAsia="宋体" w:hAnsi="Book Antiqua" w:cs="Times New Roman"/>
          <w:color w:val="auto"/>
          <w:sz w:val="24"/>
          <w:szCs w:val="22"/>
        </w:rPr>
        <w:t>visualization</w:t>
      </w:r>
      <w:r w:rsidRPr="00974D6D">
        <w:rPr>
          <w:rFonts w:ascii="Book Antiqua" w:eastAsia="宋体" w:hAnsi="Book Antiqua" w:cs="Times New Roman"/>
          <w:color w:val="auto"/>
          <w:sz w:val="24"/>
          <w:szCs w:val="22"/>
        </w:rPr>
        <w:t>; Huang</w:t>
      </w:r>
      <w:r w:rsidR="00054CDB">
        <w:rPr>
          <w:rFonts w:ascii="Book Antiqua" w:eastAsia="宋体" w:hAnsi="Book Antiqua" w:cs="Times New Roman" w:hint="eastAsia"/>
          <w:color w:val="auto"/>
          <w:sz w:val="24"/>
          <w:szCs w:val="22"/>
        </w:rPr>
        <w:t xml:space="preserve"> ZL </w:t>
      </w:r>
      <w:r w:rsidR="00054CDB" w:rsidRPr="00974D6D">
        <w:rPr>
          <w:rFonts w:ascii="Book Antiqua" w:eastAsia="宋体" w:hAnsi="Book Antiqua" w:cs="Times New Roman"/>
          <w:color w:val="auto"/>
          <w:sz w:val="24"/>
          <w:szCs w:val="22"/>
        </w:rPr>
        <w:t>supervis</w:t>
      </w:r>
      <w:r w:rsidR="00167900">
        <w:rPr>
          <w:rFonts w:ascii="Book Antiqua" w:eastAsia="宋体" w:hAnsi="Book Antiqua" w:cs="Times New Roman"/>
          <w:color w:val="auto"/>
          <w:sz w:val="24"/>
          <w:szCs w:val="22"/>
        </w:rPr>
        <w:t>ed the study</w:t>
      </w:r>
      <w:r w:rsidRPr="00974D6D">
        <w:rPr>
          <w:rFonts w:ascii="Book Antiqua" w:eastAsia="宋体" w:hAnsi="Book Antiqua" w:cs="Times New Roman"/>
          <w:color w:val="auto"/>
          <w:sz w:val="24"/>
          <w:szCs w:val="22"/>
        </w:rPr>
        <w:t>.</w:t>
      </w:r>
    </w:p>
    <w:p w14:paraId="495CEB92" w14:textId="77777777" w:rsidR="003359F0" w:rsidRPr="00167900"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207F0F0E" w14:textId="56738271" w:rsidR="003359F0" w:rsidRPr="00BC41A0" w:rsidRDefault="007D4BFD" w:rsidP="00974D6D">
      <w:pPr>
        <w:framePr w:wrap="auto"/>
        <w:adjustRightInd w:val="0"/>
        <w:snapToGrid w:val="0"/>
        <w:spacing w:line="360" w:lineRule="auto"/>
        <w:rPr>
          <w:rFonts w:ascii="Book Antiqua" w:eastAsia="宋体" w:hAnsi="Book Antiqua" w:cs="Times New Roman"/>
          <w:color w:val="auto"/>
          <w:sz w:val="24"/>
          <w:szCs w:val="22"/>
        </w:rPr>
      </w:pPr>
      <w:bookmarkStart w:id="5" w:name="OLE_LINK616"/>
      <w:bookmarkStart w:id="6" w:name="OLE_LINK617"/>
      <w:bookmarkStart w:id="7" w:name="OLE_LINK273"/>
      <w:r w:rsidRPr="00974D6D">
        <w:rPr>
          <w:rFonts w:ascii="Book Antiqua" w:eastAsia="宋体" w:hAnsi="Book Antiqua" w:cs="Times New Roman"/>
          <w:b/>
          <w:color w:val="auto"/>
          <w:sz w:val="24"/>
          <w:szCs w:val="24"/>
          <w:highlight w:val="white"/>
        </w:rPr>
        <w:t>Supported by</w:t>
      </w:r>
      <w:bookmarkEnd w:id="5"/>
      <w:bookmarkEnd w:id="6"/>
      <w:bookmarkEnd w:id="7"/>
      <w:r w:rsidRPr="00974D6D">
        <w:rPr>
          <w:rFonts w:ascii="Book Antiqua" w:eastAsia="宋体" w:hAnsi="Book Antiqua" w:cs="Times New Roman"/>
          <w:color w:val="auto"/>
          <w:sz w:val="24"/>
          <w:szCs w:val="22"/>
        </w:rPr>
        <w:t xml:space="preserve"> the National Natural Science Foundation of China, No. </w:t>
      </w:r>
      <w:r w:rsidRPr="00974D6D">
        <w:rPr>
          <w:rFonts w:ascii="Book Antiqua" w:eastAsia="宋体" w:hAnsi="Book Antiqua" w:cs="Times New Roman"/>
          <w:color w:val="auto"/>
          <w:sz w:val="24"/>
          <w:szCs w:val="22"/>
        </w:rPr>
        <w:lastRenderedPageBreak/>
        <w:t>81801804.</w:t>
      </w:r>
    </w:p>
    <w:p w14:paraId="17C8B48C" w14:textId="77777777" w:rsidR="003359F0" w:rsidRPr="00974D6D"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09C32BBD" w14:textId="77777777" w:rsidR="003359F0" w:rsidRPr="00974D6D" w:rsidRDefault="003359F0" w:rsidP="00974D6D">
      <w:pPr>
        <w:framePr w:wrap="auto"/>
        <w:adjustRightInd w:val="0"/>
        <w:snapToGrid w:val="0"/>
        <w:spacing w:line="360" w:lineRule="auto"/>
        <w:rPr>
          <w:rFonts w:ascii="Book Antiqua" w:eastAsia="宋体" w:hAnsi="Book Antiqua" w:cs="Times New Roman"/>
          <w:color w:val="auto"/>
          <w:sz w:val="24"/>
          <w:szCs w:val="22"/>
        </w:rPr>
      </w:pPr>
      <w:bookmarkStart w:id="8" w:name="OLE_LINK22"/>
      <w:r w:rsidRPr="00974D6D">
        <w:rPr>
          <w:rFonts w:ascii="Book Antiqua" w:eastAsia="宋体" w:hAnsi="Book Antiqua" w:cs="Times New Roman"/>
          <w:b/>
          <w:color w:val="auto"/>
          <w:sz w:val="24"/>
          <w:szCs w:val="22"/>
        </w:rPr>
        <w:t xml:space="preserve">Conflict-of-interest statement: </w:t>
      </w:r>
      <w:r w:rsidRPr="00974D6D">
        <w:rPr>
          <w:rFonts w:ascii="Book Antiqua" w:eastAsia="宋体" w:hAnsi="Book Antiqua" w:cs="Times New Roman"/>
          <w:color w:val="auto"/>
          <w:sz w:val="24"/>
          <w:szCs w:val="22"/>
        </w:rPr>
        <w:t>The authors deny any conflict of interest.</w:t>
      </w:r>
    </w:p>
    <w:bookmarkEnd w:id="8"/>
    <w:p w14:paraId="1F71B313" w14:textId="77777777" w:rsidR="003359F0" w:rsidRPr="00974D6D"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703FFC04" w14:textId="69640EEA" w:rsidR="003359F0" w:rsidRPr="00974D6D"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 xml:space="preserve">Data sharing statement: </w:t>
      </w:r>
      <w:r w:rsidRPr="00974D6D">
        <w:rPr>
          <w:rFonts w:ascii="Book Antiqua" w:eastAsia="宋体" w:hAnsi="Book Antiqua" w:cs="Times New Roman"/>
          <w:color w:val="auto"/>
          <w:sz w:val="24"/>
          <w:szCs w:val="22"/>
        </w:rPr>
        <w:t>The data used in this manuscript are accessible through</w:t>
      </w:r>
      <w:r w:rsidR="001E2754">
        <w:rPr>
          <w:rFonts w:ascii="Book Antiqua" w:eastAsia="宋体" w:hAnsi="Book Antiqua" w:cs="Times New Roman" w:hint="eastAsia"/>
          <w:color w:val="auto"/>
          <w:sz w:val="24"/>
          <w:szCs w:val="22"/>
        </w:rPr>
        <w:t xml:space="preserve"> </w:t>
      </w:r>
      <w:r w:rsidRPr="00974D6D">
        <w:rPr>
          <w:rFonts w:ascii="Book Antiqua" w:eastAsia="宋体" w:hAnsi="Book Antiqua" w:cs="Times New Roman"/>
          <w:color w:val="auto"/>
          <w:sz w:val="24"/>
          <w:szCs w:val="22"/>
        </w:rPr>
        <w:t>https://portal.gdc.cancer.gov/.</w:t>
      </w:r>
    </w:p>
    <w:p w14:paraId="61B412FF" w14:textId="77777777" w:rsidR="003359F0" w:rsidRPr="00974D6D"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5449B00E" w14:textId="787CDA65" w:rsidR="003359F0" w:rsidRPr="00974D6D"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 xml:space="preserve">ARRIVE guidelines statement: </w:t>
      </w:r>
      <w:r w:rsidRPr="00974D6D">
        <w:rPr>
          <w:rFonts w:ascii="Book Antiqua" w:eastAsia="宋体" w:hAnsi="Book Antiqua" w:cs="Times New Roman"/>
          <w:color w:val="auto"/>
          <w:sz w:val="24"/>
          <w:szCs w:val="22"/>
        </w:rPr>
        <w:t xml:space="preserve">The ARRIVE </w:t>
      </w:r>
      <w:r w:rsidR="00167900">
        <w:rPr>
          <w:rFonts w:ascii="Book Antiqua" w:eastAsia="宋体" w:hAnsi="Book Antiqua" w:cs="Times New Roman"/>
          <w:color w:val="auto"/>
          <w:sz w:val="24"/>
          <w:szCs w:val="22"/>
        </w:rPr>
        <w:t>g</w:t>
      </w:r>
      <w:r w:rsidR="00167900" w:rsidRPr="00974D6D">
        <w:rPr>
          <w:rFonts w:ascii="Book Antiqua" w:eastAsia="宋体" w:hAnsi="Book Antiqua" w:cs="Times New Roman"/>
          <w:color w:val="auto"/>
          <w:sz w:val="24"/>
          <w:szCs w:val="22"/>
        </w:rPr>
        <w:t xml:space="preserve">uidelines </w:t>
      </w:r>
      <w:r w:rsidRPr="00974D6D">
        <w:rPr>
          <w:rFonts w:ascii="Book Antiqua" w:eastAsia="宋体" w:hAnsi="Book Antiqua" w:cs="Times New Roman"/>
          <w:color w:val="auto"/>
          <w:sz w:val="24"/>
          <w:szCs w:val="22"/>
        </w:rPr>
        <w:t>have been adopted.</w:t>
      </w:r>
    </w:p>
    <w:p w14:paraId="29F3E6BF" w14:textId="77777777" w:rsidR="003359F0" w:rsidRPr="00167900"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2B5C7E3A" w14:textId="22B9D9F9" w:rsidR="001E2754" w:rsidRDefault="001E2754" w:rsidP="00974D6D">
      <w:pPr>
        <w:framePr w:wrap="auto"/>
        <w:adjustRightInd w:val="0"/>
        <w:snapToGrid w:val="0"/>
        <w:spacing w:line="360" w:lineRule="auto"/>
        <w:rPr>
          <w:rFonts w:ascii="Book Antiqua" w:eastAsia="宋体" w:hAnsi="Book Antiqua" w:cs="Times New Roman"/>
          <w:color w:val="auto"/>
          <w:sz w:val="24"/>
          <w:szCs w:val="22"/>
        </w:rPr>
      </w:pPr>
      <w:r w:rsidRPr="001E2754">
        <w:rPr>
          <w:rFonts w:ascii="Book Antiqua" w:eastAsia="宋体" w:hAnsi="Book Antiqua" w:cs="Times New Roman"/>
          <w:b/>
          <w:kern w:val="0"/>
          <w:sz w:val="24"/>
          <w:szCs w:val="24"/>
        </w:rPr>
        <w:t xml:space="preserve">Open-Access: </w:t>
      </w:r>
      <w:r w:rsidRPr="001E2754">
        <w:rPr>
          <w:rFonts w:ascii="Book Antiqua" w:eastAsia="宋体" w:hAnsi="Book Antiqua" w:cs="Times New Roman"/>
          <w:kern w:val="0"/>
          <w:sz w:val="24"/>
          <w:szCs w:val="24"/>
        </w:rPr>
        <w:t xml:space="preserve">This is an </w:t>
      </w:r>
      <w:r w:rsidRPr="001E2754">
        <w:rPr>
          <w:rFonts w:ascii="Book Antiqua" w:eastAsia="宋体" w:hAnsi="Book Antiqua" w:cs="宋体"/>
          <w:color w:val="auto"/>
          <w:kern w:val="0"/>
          <w:sz w:val="24"/>
          <w:szCs w:val="24"/>
        </w:rPr>
        <w:t xml:space="preserve">open-access article that was </w:t>
      </w:r>
      <w:r w:rsidRPr="001E2754">
        <w:rPr>
          <w:rFonts w:ascii="Book Antiqua" w:eastAsia="宋体" w:hAnsi="Book Antiqua" w:cs="Times New Roman"/>
          <w:color w:val="auto"/>
          <w:kern w:val="0"/>
          <w:sz w:val="24"/>
          <w:szCs w:val="24"/>
        </w:rPr>
        <w:t xml:space="preserve">selected by an in-house editor and fully peer-reviewed by external reviewers. It is </w:t>
      </w:r>
      <w:r w:rsidRPr="001E2754">
        <w:rPr>
          <w:rFonts w:ascii="Book Antiqua" w:eastAsia="宋体" w:hAnsi="Book Antiqua" w:cs="宋体"/>
          <w:color w:val="auto"/>
          <w:kern w:val="0"/>
          <w:sz w:val="24"/>
          <w:szCs w:val="24"/>
        </w:rPr>
        <w:t xml:space="preserve">distributed in accordance with </w:t>
      </w:r>
      <w:r w:rsidRPr="001E2754">
        <w:rPr>
          <w:rFonts w:ascii="Book Antiqua" w:eastAsia="宋体" w:hAnsi="Book Antiqua" w:cs="Times New Roman"/>
          <w:color w:val="auto"/>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E2754">
          <w:rPr>
            <w:rFonts w:ascii="Book Antiqua" w:eastAsia="宋体" w:hAnsi="Book Antiqua" w:cs="Times New Roman"/>
            <w:color w:val="0000FF"/>
            <w:kern w:val="0"/>
            <w:sz w:val="24"/>
            <w:szCs w:val="24"/>
            <w:u w:val="single"/>
          </w:rPr>
          <w:t>http://creativecommons.org/licenses/by-nc/4.0/</w:t>
        </w:r>
      </w:hyperlink>
    </w:p>
    <w:p w14:paraId="166341C7" w14:textId="77777777" w:rsidR="001E2754" w:rsidRDefault="001E2754" w:rsidP="00974D6D">
      <w:pPr>
        <w:framePr w:wrap="auto"/>
        <w:adjustRightInd w:val="0"/>
        <w:snapToGrid w:val="0"/>
        <w:spacing w:line="360" w:lineRule="auto"/>
        <w:rPr>
          <w:rFonts w:ascii="Book Antiqua" w:eastAsia="宋体" w:hAnsi="Book Antiqua" w:cs="Times New Roman"/>
          <w:color w:val="auto"/>
          <w:sz w:val="24"/>
          <w:szCs w:val="22"/>
        </w:rPr>
      </w:pPr>
    </w:p>
    <w:p w14:paraId="4EEBFA80" w14:textId="352957A3" w:rsidR="001E2754" w:rsidRPr="001E2754" w:rsidRDefault="001E2754" w:rsidP="001E2754">
      <w:pPr>
        <w:framePr w:wrap="auto"/>
        <w:widowControl/>
        <w:snapToGrid w:val="0"/>
        <w:spacing w:line="360" w:lineRule="auto"/>
        <w:rPr>
          <w:rFonts w:ascii="Book Antiqua" w:eastAsia="宋体" w:hAnsi="Book Antiqua" w:cs="Times New Roman"/>
          <w:b/>
          <w:bCs/>
          <w:color w:val="auto"/>
          <w:kern w:val="0"/>
          <w:sz w:val="24"/>
          <w:szCs w:val="24"/>
          <w:highlight w:val="white"/>
        </w:rPr>
      </w:pPr>
      <w:bookmarkStart w:id="9" w:name="OLE_LINK11"/>
      <w:r w:rsidRPr="001E2754">
        <w:rPr>
          <w:rFonts w:ascii="Book Antiqua" w:eastAsia="宋体" w:hAnsi="Book Antiqua" w:cs="Times New Roman"/>
          <w:b/>
          <w:bCs/>
          <w:color w:val="auto"/>
          <w:kern w:val="0"/>
          <w:sz w:val="24"/>
          <w:szCs w:val="24"/>
          <w:highlight w:val="white"/>
          <w:lang w:eastAsia="pl-PL"/>
        </w:rPr>
        <w:t>Manuscript source:</w:t>
      </w:r>
      <w:r w:rsidRPr="001E2754">
        <w:rPr>
          <w:rFonts w:ascii="Book Antiqua" w:eastAsia="宋体" w:hAnsi="Book Antiqua" w:cs="Times New Roman" w:hint="eastAsia"/>
          <w:b/>
          <w:bCs/>
          <w:color w:val="auto"/>
          <w:kern w:val="0"/>
          <w:sz w:val="24"/>
          <w:szCs w:val="24"/>
          <w:highlight w:val="white"/>
        </w:rPr>
        <w:t xml:space="preserve"> </w:t>
      </w:r>
      <w:r w:rsidRPr="001E2754">
        <w:rPr>
          <w:rFonts w:ascii="Book Antiqua" w:eastAsia="宋体" w:hAnsi="Book Antiqua" w:cs="Times New Roman"/>
          <w:bCs/>
          <w:color w:val="auto"/>
          <w:kern w:val="0"/>
          <w:sz w:val="24"/>
          <w:szCs w:val="24"/>
          <w:highlight w:val="white"/>
          <w:lang w:eastAsia="pl-PL"/>
        </w:rPr>
        <w:t>Unsolicited manuscript</w:t>
      </w:r>
      <w:bookmarkEnd w:id="9"/>
      <w:r w:rsidRPr="001E2754">
        <w:rPr>
          <w:rFonts w:ascii="Book Antiqua" w:eastAsia="宋体" w:hAnsi="Book Antiqua" w:cs="Times New Roman"/>
          <w:bCs/>
          <w:color w:val="auto"/>
          <w:kern w:val="0"/>
          <w:sz w:val="24"/>
          <w:szCs w:val="24"/>
          <w:highlight w:val="white"/>
          <w:lang w:eastAsia="pl-PL"/>
        </w:rPr>
        <w:t xml:space="preserve"> </w:t>
      </w:r>
    </w:p>
    <w:p w14:paraId="4DF5E08F" w14:textId="77777777" w:rsidR="001E2754" w:rsidRPr="00974D6D" w:rsidRDefault="001E2754" w:rsidP="00974D6D">
      <w:pPr>
        <w:framePr w:wrap="auto"/>
        <w:adjustRightInd w:val="0"/>
        <w:snapToGrid w:val="0"/>
        <w:spacing w:line="360" w:lineRule="auto"/>
        <w:rPr>
          <w:rFonts w:ascii="Book Antiqua" w:eastAsia="宋体" w:hAnsi="Book Antiqua" w:cs="Times New Roman"/>
          <w:color w:val="auto"/>
          <w:sz w:val="24"/>
          <w:szCs w:val="22"/>
        </w:rPr>
      </w:pPr>
    </w:p>
    <w:p w14:paraId="0CE8092D" w14:textId="711F1C39" w:rsidR="003359F0" w:rsidRPr="00974D6D"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Corresponding author:</w:t>
      </w:r>
      <w:r w:rsidRPr="00974D6D">
        <w:rPr>
          <w:rFonts w:ascii="Book Antiqua" w:eastAsia="宋体" w:hAnsi="Book Antiqua" w:cs="Times New Roman"/>
          <w:color w:val="auto"/>
          <w:sz w:val="24"/>
          <w:szCs w:val="22"/>
        </w:rPr>
        <w:t xml:space="preserve"> </w:t>
      </w:r>
      <w:r w:rsidRPr="00974D6D">
        <w:rPr>
          <w:rFonts w:ascii="Book Antiqua" w:eastAsia="宋体" w:hAnsi="Book Antiqua" w:cs="Times New Roman"/>
          <w:b/>
          <w:color w:val="auto"/>
          <w:sz w:val="24"/>
          <w:szCs w:val="22"/>
        </w:rPr>
        <w:t>Zi-Lin Huang</w:t>
      </w:r>
      <w:r w:rsidRPr="00974D6D">
        <w:rPr>
          <w:rFonts w:ascii="Book Antiqua" w:eastAsia="宋体" w:hAnsi="Book Antiqua" w:cs="Times New Roman"/>
          <w:color w:val="auto"/>
          <w:sz w:val="24"/>
          <w:szCs w:val="22"/>
        </w:rPr>
        <w:t xml:space="preserve">, </w:t>
      </w:r>
      <w:r w:rsidR="002D0EB0" w:rsidRPr="002D0EB0">
        <w:rPr>
          <w:rFonts w:ascii="Book Antiqua" w:eastAsia="宋体" w:hAnsi="Book Antiqua" w:cs="Times New Roman" w:hint="eastAsia"/>
          <w:b/>
          <w:color w:val="auto"/>
          <w:sz w:val="24"/>
          <w:szCs w:val="22"/>
        </w:rPr>
        <w:t>MD,</w:t>
      </w:r>
      <w:r w:rsidR="002D0EB0">
        <w:rPr>
          <w:rFonts w:ascii="Book Antiqua" w:eastAsia="宋体" w:hAnsi="Book Antiqua" w:cs="Times New Roman" w:hint="eastAsia"/>
          <w:color w:val="auto"/>
          <w:sz w:val="24"/>
          <w:szCs w:val="22"/>
        </w:rPr>
        <w:t xml:space="preserve"> </w:t>
      </w:r>
      <w:r w:rsidRPr="00974D6D">
        <w:rPr>
          <w:rFonts w:ascii="Book Antiqua" w:eastAsia="宋体" w:hAnsi="Book Antiqua" w:cs="Times New Roman"/>
          <w:b/>
          <w:color w:val="auto"/>
          <w:sz w:val="24"/>
          <w:szCs w:val="22"/>
        </w:rPr>
        <w:t>Professor</w:t>
      </w:r>
      <w:r w:rsidRPr="00CB4BA6">
        <w:rPr>
          <w:rFonts w:ascii="Book Antiqua" w:eastAsia="宋体" w:hAnsi="Book Antiqua" w:cs="Times New Roman"/>
          <w:b/>
          <w:bCs/>
          <w:color w:val="auto"/>
          <w:sz w:val="24"/>
          <w:szCs w:val="22"/>
        </w:rPr>
        <w:t>,</w:t>
      </w:r>
      <w:r w:rsidRPr="00974D6D">
        <w:rPr>
          <w:rFonts w:ascii="Book Antiqua" w:eastAsia="宋体" w:hAnsi="Book Antiqua" w:cs="Times New Roman"/>
          <w:color w:val="auto"/>
          <w:sz w:val="24"/>
          <w:szCs w:val="22"/>
        </w:rPr>
        <w:t xml:space="preserve"> Department of Medical Imaging and Interventional Radiology, Sun </w:t>
      </w:r>
      <w:proofErr w:type="spellStart"/>
      <w:r w:rsidRPr="00974D6D">
        <w:rPr>
          <w:rFonts w:ascii="Book Antiqua" w:eastAsia="宋体" w:hAnsi="Book Antiqua" w:cs="Times New Roman"/>
          <w:color w:val="auto"/>
          <w:sz w:val="24"/>
          <w:szCs w:val="22"/>
        </w:rPr>
        <w:t>Yat-sen</w:t>
      </w:r>
      <w:proofErr w:type="spellEnd"/>
      <w:r w:rsidRPr="00974D6D">
        <w:rPr>
          <w:rFonts w:ascii="Book Antiqua" w:eastAsia="宋体" w:hAnsi="Book Antiqua" w:cs="Times New Roman"/>
          <w:color w:val="auto"/>
          <w:sz w:val="24"/>
          <w:szCs w:val="22"/>
        </w:rPr>
        <w:t xml:space="preserve"> University Cancer Center;</w:t>
      </w:r>
      <w:r w:rsidR="00156604">
        <w:rPr>
          <w:rFonts w:ascii="Book Antiqua" w:eastAsia="宋体" w:hAnsi="Book Antiqua" w:cs="Times New Roman" w:hint="eastAsia"/>
          <w:color w:val="auto"/>
          <w:sz w:val="24"/>
          <w:szCs w:val="22"/>
        </w:rPr>
        <w:t xml:space="preserve"> </w:t>
      </w:r>
      <w:r w:rsidR="00156604" w:rsidRPr="00156604">
        <w:rPr>
          <w:rFonts w:ascii="Book Antiqua" w:eastAsia="宋体" w:hAnsi="Book Antiqua" w:cs="Times New Roman"/>
          <w:color w:val="auto"/>
          <w:sz w:val="24"/>
          <w:szCs w:val="22"/>
        </w:rPr>
        <w:t xml:space="preserve">651 Dongfeng Road East, Yuexiu District, </w:t>
      </w:r>
      <w:r w:rsidR="001E2754">
        <w:rPr>
          <w:rFonts w:ascii="Book Antiqua" w:eastAsia="宋体" w:hAnsi="Book Antiqua" w:cs="Times New Roman"/>
          <w:color w:val="auto"/>
          <w:sz w:val="24"/>
          <w:szCs w:val="22"/>
        </w:rPr>
        <w:t>Guangzhou</w:t>
      </w:r>
      <w:r w:rsidR="001E2754">
        <w:rPr>
          <w:rFonts w:ascii="Book Antiqua" w:eastAsia="宋体" w:hAnsi="Book Antiqua" w:cs="Times New Roman" w:hint="eastAsia"/>
          <w:color w:val="auto"/>
          <w:sz w:val="24"/>
          <w:szCs w:val="22"/>
        </w:rPr>
        <w:t xml:space="preserve"> </w:t>
      </w:r>
      <w:r w:rsidR="001E2754">
        <w:rPr>
          <w:rFonts w:ascii="Book Antiqua" w:eastAsia="宋体" w:hAnsi="Book Antiqua" w:cs="Times New Roman"/>
          <w:color w:val="auto"/>
          <w:sz w:val="24"/>
          <w:szCs w:val="22"/>
        </w:rPr>
        <w:t>510060</w:t>
      </w:r>
      <w:r w:rsidR="001E2754">
        <w:rPr>
          <w:rFonts w:ascii="Book Antiqua" w:eastAsia="宋体" w:hAnsi="Book Antiqua" w:cs="Times New Roman" w:hint="eastAsia"/>
          <w:color w:val="auto"/>
          <w:sz w:val="24"/>
          <w:szCs w:val="22"/>
        </w:rPr>
        <w:t>,</w:t>
      </w:r>
      <w:r w:rsidR="001E2754">
        <w:rPr>
          <w:rFonts w:ascii="Book Antiqua" w:eastAsia="宋体" w:hAnsi="Book Antiqua" w:cs="Times New Roman"/>
          <w:color w:val="auto"/>
          <w:sz w:val="24"/>
          <w:szCs w:val="22"/>
        </w:rPr>
        <w:t xml:space="preserve"> Guangdong</w:t>
      </w:r>
      <w:r w:rsidR="001E2754">
        <w:rPr>
          <w:rFonts w:ascii="Book Antiqua" w:eastAsia="宋体" w:hAnsi="Book Antiqua" w:cs="Times New Roman" w:hint="eastAsia"/>
          <w:color w:val="auto"/>
          <w:sz w:val="24"/>
          <w:szCs w:val="22"/>
        </w:rPr>
        <w:t xml:space="preserve"> Province</w:t>
      </w:r>
      <w:r w:rsidR="001E2754">
        <w:rPr>
          <w:rFonts w:ascii="Book Antiqua" w:eastAsia="宋体" w:hAnsi="Book Antiqua" w:cs="Times New Roman"/>
          <w:color w:val="auto"/>
          <w:sz w:val="24"/>
          <w:szCs w:val="22"/>
        </w:rPr>
        <w:t xml:space="preserve">, </w:t>
      </w:r>
      <w:r w:rsidRPr="00974D6D">
        <w:rPr>
          <w:rFonts w:ascii="Book Antiqua" w:eastAsia="宋体" w:hAnsi="Book Antiqua" w:cs="Times New Roman"/>
          <w:color w:val="auto"/>
          <w:sz w:val="24"/>
          <w:szCs w:val="22"/>
        </w:rPr>
        <w:t xml:space="preserve">China. </w:t>
      </w:r>
      <w:r w:rsidR="00DB3B8E" w:rsidRPr="00974D6D">
        <w:rPr>
          <w:rFonts w:ascii="Book Antiqua" w:eastAsia="宋体" w:hAnsi="Book Antiqua" w:cs="Times New Roman"/>
          <w:color w:val="auto"/>
          <w:sz w:val="24"/>
          <w:szCs w:val="22"/>
        </w:rPr>
        <w:t>c</w:t>
      </w:r>
      <w:r w:rsidRPr="00974D6D">
        <w:rPr>
          <w:rFonts w:ascii="Book Antiqua" w:eastAsia="宋体" w:hAnsi="Book Antiqua" w:cs="Times New Roman"/>
          <w:color w:val="auto"/>
          <w:sz w:val="24"/>
          <w:szCs w:val="22"/>
        </w:rPr>
        <w:t>henqf25@sysucc.org.cn</w:t>
      </w:r>
    </w:p>
    <w:p w14:paraId="3CB4CA61" w14:textId="6C3330CE" w:rsidR="003359F0" w:rsidRPr="00974D6D"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Telephone:</w:t>
      </w:r>
      <w:r w:rsidR="001E2754">
        <w:rPr>
          <w:rFonts w:ascii="Book Antiqua" w:eastAsia="宋体" w:hAnsi="Book Antiqua" w:cs="Times New Roman"/>
          <w:color w:val="auto"/>
          <w:sz w:val="24"/>
          <w:szCs w:val="22"/>
        </w:rPr>
        <w:t xml:space="preserve"> +86-</w:t>
      </w:r>
      <w:r w:rsidRPr="00974D6D">
        <w:rPr>
          <w:rFonts w:ascii="Book Antiqua" w:eastAsia="宋体" w:hAnsi="Book Antiqua" w:cs="Times New Roman"/>
          <w:color w:val="auto"/>
          <w:sz w:val="24"/>
          <w:szCs w:val="22"/>
        </w:rPr>
        <w:t>20</w:t>
      </w:r>
      <w:r w:rsidR="001E2754">
        <w:rPr>
          <w:rFonts w:ascii="Book Antiqua" w:eastAsia="宋体" w:hAnsi="Book Antiqua" w:cs="Times New Roman" w:hint="eastAsia"/>
          <w:color w:val="auto"/>
          <w:sz w:val="24"/>
          <w:szCs w:val="22"/>
        </w:rPr>
        <w:t>-</w:t>
      </w:r>
      <w:r w:rsidRPr="00974D6D">
        <w:rPr>
          <w:rFonts w:ascii="Book Antiqua" w:eastAsia="宋体" w:hAnsi="Book Antiqua" w:cs="Times New Roman"/>
          <w:color w:val="auto"/>
          <w:sz w:val="24"/>
          <w:szCs w:val="22"/>
        </w:rPr>
        <w:t>87343272</w:t>
      </w:r>
    </w:p>
    <w:p w14:paraId="7EC4CC91" w14:textId="09CA9AA1" w:rsidR="007D4BFD"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b/>
          <w:color w:val="auto"/>
          <w:sz w:val="24"/>
          <w:szCs w:val="22"/>
        </w:rPr>
        <w:t xml:space="preserve">Fax: </w:t>
      </w:r>
      <w:r w:rsidR="001E2754">
        <w:rPr>
          <w:rFonts w:ascii="Book Antiqua" w:eastAsia="宋体" w:hAnsi="Book Antiqua" w:cs="Times New Roman"/>
          <w:color w:val="auto"/>
          <w:sz w:val="24"/>
          <w:szCs w:val="22"/>
        </w:rPr>
        <w:t>+86-</w:t>
      </w:r>
      <w:r w:rsidRPr="00974D6D">
        <w:rPr>
          <w:rFonts w:ascii="Book Antiqua" w:eastAsia="宋体" w:hAnsi="Book Antiqua" w:cs="Times New Roman"/>
          <w:color w:val="auto"/>
          <w:sz w:val="24"/>
          <w:szCs w:val="22"/>
        </w:rPr>
        <w:t>20-87343392</w:t>
      </w:r>
    </w:p>
    <w:p w14:paraId="56DFD332" w14:textId="77777777" w:rsidR="00156604" w:rsidRDefault="00156604" w:rsidP="00974D6D">
      <w:pPr>
        <w:framePr w:wrap="auto"/>
        <w:adjustRightInd w:val="0"/>
        <w:snapToGrid w:val="0"/>
        <w:spacing w:line="360" w:lineRule="auto"/>
        <w:rPr>
          <w:rFonts w:ascii="Book Antiqua" w:eastAsia="宋体" w:hAnsi="Book Antiqua" w:cs="Times New Roman"/>
          <w:color w:val="auto"/>
          <w:sz w:val="24"/>
          <w:szCs w:val="22"/>
        </w:rPr>
      </w:pPr>
    </w:p>
    <w:p w14:paraId="3E3EFC22" w14:textId="32DB6072" w:rsidR="00156604" w:rsidRPr="00156604" w:rsidRDefault="00156604" w:rsidP="00156604">
      <w:pPr>
        <w:framePr w:wrap="auto"/>
        <w:widowControl/>
        <w:adjustRightInd w:val="0"/>
        <w:snapToGrid w:val="0"/>
        <w:spacing w:line="360" w:lineRule="auto"/>
        <w:rPr>
          <w:rFonts w:ascii="Book Antiqua" w:eastAsia="宋体" w:hAnsi="Book Antiqua" w:cs="Times New Roman"/>
          <w:b/>
          <w:color w:val="auto"/>
          <w:kern w:val="0"/>
          <w:sz w:val="24"/>
          <w:szCs w:val="24"/>
        </w:rPr>
      </w:pPr>
      <w:bookmarkStart w:id="10" w:name="OLE_LINK14"/>
      <w:bookmarkStart w:id="11" w:name="OLE_LINK16"/>
      <w:bookmarkStart w:id="12" w:name="OLE_LINK51"/>
      <w:bookmarkStart w:id="13" w:name="OLE_LINK27"/>
      <w:bookmarkStart w:id="14" w:name="OLE_LINK382"/>
      <w:r w:rsidRPr="00156604">
        <w:rPr>
          <w:rFonts w:ascii="Book Antiqua" w:eastAsia="宋体" w:hAnsi="Book Antiqua" w:cs="Times New Roman"/>
          <w:b/>
          <w:color w:val="auto"/>
          <w:kern w:val="0"/>
          <w:sz w:val="24"/>
          <w:szCs w:val="24"/>
        </w:rPr>
        <w:t xml:space="preserve">Received: </w:t>
      </w:r>
      <w:r>
        <w:rPr>
          <w:rFonts w:ascii="Book Antiqua" w:eastAsia="宋体" w:hAnsi="Book Antiqua" w:cs="Times New Roman" w:hint="eastAsia"/>
          <w:color w:val="auto"/>
          <w:kern w:val="0"/>
          <w:sz w:val="24"/>
          <w:szCs w:val="24"/>
        </w:rPr>
        <w:t>April</w:t>
      </w:r>
      <w:r>
        <w:rPr>
          <w:rFonts w:ascii="Book Antiqua" w:eastAsia="等线" w:hAnsi="Book Antiqua" w:cs="Times New Roman"/>
          <w:color w:val="auto"/>
          <w:kern w:val="0"/>
          <w:sz w:val="24"/>
          <w:szCs w:val="24"/>
        </w:rPr>
        <w:t xml:space="preserve"> </w:t>
      </w:r>
      <w:r>
        <w:rPr>
          <w:rFonts w:ascii="Book Antiqua" w:eastAsia="等线" w:hAnsi="Book Antiqua" w:cs="Times New Roman" w:hint="eastAsia"/>
          <w:color w:val="auto"/>
          <w:kern w:val="0"/>
          <w:sz w:val="24"/>
          <w:szCs w:val="24"/>
        </w:rPr>
        <w:t>22</w:t>
      </w:r>
      <w:r w:rsidRPr="00156604">
        <w:rPr>
          <w:rFonts w:ascii="Book Antiqua" w:eastAsia="等线" w:hAnsi="Book Antiqua" w:cs="Times New Roman"/>
          <w:color w:val="auto"/>
          <w:kern w:val="0"/>
          <w:sz w:val="24"/>
          <w:szCs w:val="24"/>
        </w:rPr>
        <w:t>, 2019</w:t>
      </w:r>
    </w:p>
    <w:p w14:paraId="115B6F82" w14:textId="1425F013" w:rsidR="00156604" w:rsidRPr="00156604" w:rsidRDefault="00156604" w:rsidP="00156604">
      <w:pPr>
        <w:framePr w:wrap="auto"/>
        <w:widowControl/>
        <w:adjustRightInd w:val="0"/>
        <w:snapToGrid w:val="0"/>
        <w:spacing w:line="360" w:lineRule="auto"/>
        <w:rPr>
          <w:rFonts w:ascii="Book Antiqua" w:eastAsia="等线" w:hAnsi="Book Antiqua" w:cs="Times New Roman"/>
          <w:b/>
          <w:color w:val="auto"/>
          <w:kern w:val="0"/>
          <w:sz w:val="24"/>
          <w:szCs w:val="24"/>
        </w:rPr>
      </w:pPr>
      <w:r w:rsidRPr="00156604">
        <w:rPr>
          <w:rFonts w:ascii="Book Antiqua" w:eastAsia="宋体" w:hAnsi="Book Antiqua" w:cs="Times New Roman"/>
          <w:b/>
          <w:color w:val="auto"/>
          <w:kern w:val="0"/>
          <w:sz w:val="24"/>
          <w:szCs w:val="24"/>
        </w:rPr>
        <w:t>Peer-review started:</w:t>
      </w:r>
      <w:r w:rsidRPr="00156604">
        <w:rPr>
          <w:rFonts w:ascii="Book Antiqua" w:eastAsia="等线" w:hAnsi="Book Antiqua" w:cs="Times New Roman"/>
          <w:b/>
          <w:color w:val="auto"/>
          <w:kern w:val="0"/>
          <w:sz w:val="24"/>
          <w:szCs w:val="24"/>
        </w:rPr>
        <w:t xml:space="preserve"> </w:t>
      </w:r>
      <w:r>
        <w:rPr>
          <w:rFonts w:ascii="Book Antiqua" w:eastAsia="宋体" w:hAnsi="Book Antiqua" w:cs="Times New Roman" w:hint="eastAsia"/>
          <w:color w:val="auto"/>
          <w:kern w:val="0"/>
          <w:sz w:val="24"/>
          <w:szCs w:val="24"/>
        </w:rPr>
        <w:t>April</w:t>
      </w:r>
      <w:r>
        <w:rPr>
          <w:rFonts w:ascii="Book Antiqua" w:eastAsia="等线" w:hAnsi="Book Antiqua" w:cs="Times New Roman"/>
          <w:color w:val="auto"/>
          <w:kern w:val="0"/>
          <w:sz w:val="24"/>
          <w:szCs w:val="24"/>
        </w:rPr>
        <w:t xml:space="preserve"> </w:t>
      </w:r>
      <w:r>
        <w:rPr>
          <w:rFonts w:ascii="Book Antiqua" w:eastAsia="等线" w:hAnsi="Book Antiqua" w:cs="Times New Roman" w:hint="eastAsia"/>
          <w:color w:val="auto"/>
          <w:kern w:val="0"/>
          <w:sz w:val="24"/>
          <w:szCs w:val="24"/>
        </w:rPr>
        <w:t>22</w:t>
      </w:r>
      <w:r w:rsidRPr="00156604">
        <w:rPr>
          <w:rFonts w:ascii="Book Antiqua" w:eastAsia="等线" w:hAnsi="Book Antiqua" w:cs="Times New Roman"/>
          <w:color w:val="auto"/>
          <w:kern w:val="0"/>
          <w:sz w:val="24"/>
          <w:szCs w:val="24"/>
        </w:rPr>
        <w:t>, 2019</w:t>
      </w:r>
    </w:p>
    <w:p w14:paraId="7BD188D1" w14:textId="45B30974" w:rsidR="00156604" w:rsidRPr="00156604" w:rsidRDefault="00156604" w:rsidP="00156604">
      <w:pPr>
        <w:framePr w:wrap="auto"/>
        <w:widowControl/>
        <w:adjustRightInd w:val="0"/>
        <w:snapToGrid w:val="0"/>
        <w:spacing w:line="360" w:lineRule="auto"/>
        <w:rPr>
          <w:rFonts w:ascii="Book Antiqua" w:eastAsia="等线" w:hAnsi="Book Antiqua" w:cs="Times New Roman"/>
          <w:b/>
          <w:color w:val="auto"/>
          <w:kern w:val="0"/>
          <w:sz w:val="24"/>
          <w:szCs w:val="24"/>
        </w:rPr>
      </w:pPr>
      <w:r w:rsidRPr="00156604">
        <w:rPr>
          <w:rFonts w:ascii="Book Antiqua" w:eastAsia="宋体" w:hAnsi="Book Antiqua" w:cs="Times New Roman"/>
          <w:b/>
          <w:color w:val="auto"/>
          <w:kern w:val="0"/>
          <w:sz w:val="24"/>
          <w:szCs w:val="24"/>
        </w:rPr>
        <w:t>First decision:</w:t>
      </w:r>
      <w:r w:rsidRPr="00156604">
        <w:rPr>
          <w:rFonts w:ascii="Book Antiqua" w:eastAsia="等线" w:hAnsi="Book Antiqua" w:cs="Times New Roman"/>
          <w:b/>
          <w:color w:val="auto"/>
          <w:kern w:val="0"/>
          <w:sz w:val="24"/>
          <w:szCs w:val="24"/>
        </w:rPr>
        <w:t xml:space="preserve"> </w:t>
      </w:r>
      <w:r>
        <w:rPr>
          <w:rFonts w:ascii="Book Antiqua" w:eastAsia="宋体" w:hAnsi="Book Antiqua" w:cs="Times New Roman" w:hint="eastAsia"/>
          <w:color w:val="auto"/>
          <w:kern w:val="0"/>
          <w:sz w:val="24"/>
          <w:szCs w:val="24"/>
        </w:rPr>
        <w:t>June</w:t>
      </w:r>
      <w:r>
        <w:rPr>
          <w:rFonts w:ascii="Book Antiqua" w:eastAsia="等线" w:hAnsi="Book Antiqua" w:cs="Times New Roman"/>
          <w:color w:val="auto"/>
          <w:kern w:val="0"/>
          <w:sz w:val="24"/>
          <w:szCs w:val="24"/>
        </w:rPr>
        <w:t xml:space="preserve"> 1</w:t>
      </w:r>
      <w:r>
        <w:rPr>
          <w:rFonts w:ascii="Book Antiqua" w:eastAsia="等线" w:hAnsi="Book Antiqua" w:cs="Times New Roman" w:hint="eastAsia"/>
          <w:color w:val="auto"/>
          <w:kern w:val="0"/>
          <w:sz w:val="24"/>
          <w:szCs w:val="24"/>
        </w:rPr>
        <w:t>0</w:t>
      </w:r>
      <w:r w:rsidRPr="00156604">
        <w:rPr>
          <w:rFonts w:ascii="Book Antiqua" w:eastAsia="等线" w:hAnsi="Book Antiqua" w:cs="Times New Roman"/>
          <w:color w:val="auto"/>
          <w:kern w:val="0"/>
          <w:sz w:val="24"/>
          <w:szCs w:val="24"/>
        </w:rPr>
        <w:t>, 2019</w:t>
      </w:r>
    </w:p>
    <w:p w14:paraId="307ABBC7" w14:textId="136C98E4" w:rsidR="00156604" w:rsidRPr="00156604" w:rsidRDefault="00156604" w:rsidP="00156604">
      <w:pPr>
        <w:framePr w:wrap="auto"/>
        <w:widowControl/>
        <w:adjustRightInd w:val="0"/>
        <w:snapToGrid w:val="0"/>
        <w:spacing w:line="360" w:lineRule="auto"/>
        <w:rPr>
          <w:rFonts w:ascii="Book Antiqua" w:eastAsia="宋体" w:hAnsi="Book Antiqua" w:cs="Times New Roman"/>
          <w:b/>
          <w:color w:val="auto"/>
          <w:kern w:val="0"/>
          <w:sz w:val="24"/>
          <w:szCs w:val="24"/>
        </w:rPr>
      </w:pPr>
      <w:r w:rsidRPr="00156604">
        <w:rPr>
          <w:rFonts w:ascii="Book Antiqua" w:eastAsia="宋体" w:hAnsi="Book Antiqua" w:cs="Times New Roman"/>
          <w:b/>
          <w:color w:val="auto"/>
          <w:kern w:val="0"/>
          <w:sz w:val="24"/>
          <w:szCs w:val="24"/>
        </w:rPr>
        <w:t xml:space="preserve">Revised: </w:t>
      </w:r>
      <w:r>
        <w:rPr>
          <w:rFonts w:ascii="Book Antiqua" w:eastAsia="宋体" w:hAnsi="Book Antiqua" w:cs="Times New Roman"/>
          <w:color w:val="auto"/>
          <w:kern w:val="0"/>
          <w:sz w:val="24"/>
          <w:szCs w:val="24"/>
        </w:rPr>
        <w:t>Ju</w:t>
      </w:r>
      <w:r>
        <w:rPr>
          <w:rFonts w:ascii="Book Antiqua" w:eastAsia="宋体" w:hAnsi="Book Antiqua" w:cs="Times New Roman" w:hint="eastAsia"/>
          <w:color w:val="auto"/>
          <w:kern w:val="0"/>
          <w:sz w:val="24"/>
          <w:szCs w:val="24"/>
        </w:rPr>
        <w:t>ly</w:t>
      </w:r>
      <w:r>
        <w:rPr>
          <w:rFonts w:ascii="Book Antiqua" w:eastAsia="宋体" w:hAnsi="Book Antiqua" w:cs="Times New Roman"/>
          <w:color w:val="auto"/>
          <w:kern w:val="0"/>
          <w:sz w:val="24"/>
          <w:szCs w:val="24"/>
        </w:rPr>
        <w:t xml:space="preserve"> </w:t>
      </w:r>
      <w:r>
        <w:rPr>
          <w:rFonts w:ascii="Book Antiqua" w:eastAsia="宋体" w:hAnsi="Book Antiqua" w:cs="Times New Roman" w:hint="eastAsia"/>
          <w:color w:val="auto"/>
          <w:kern w:val="0"/>
          <w:sz w:val="24"/>
          <w:szCs w:val="24"/>
        </w:rPr>
        <w:t>18</w:t>
      </w:r>
      <w:r w:rsidRPr="00156604">
        <w:rPr>
          <w:rFonts w:ascii="Book Antiqua" w:eastAsia="宋体" w:hAnsi="Book Antiqua" w:cs="Times New Roman"/>
          <w:color w:val="auto"/>
          <w:kern w:val="0"/>
          <w:sz w:val="24"/>
          <w:szCs w:val="24"/>
        </w:rPr>
        <w:t>, 2019</w:t>
      </w:r>
    </w:p>
    <w:p w14:paraId="6F8292E3" w14:textId="3D7CCAFE" w:rsidR="00156604" w:rsidRPr="00156604" w:rsidRDefault="00156604" w:rsidP="00156604">
      <w:pPr>
        <w:framePr w:wrap="auto"/>
        <w:widowControl/>
        <w:adjustRightInd w:val="0"/>
        <w:snapToGrid w:val="0"/>
        <w:spacing w:line="360" w:lineRule="auto"/>
        <w:rPr>
          <w:rFonts w:ascii="Book Antiqua" w:eastAsia="宋体" w:hAnsi="Book Antiqua" w:cs="Times New Roman"/>
          <w:b/>
          <w:color w:val="auto"/>
          <w:kern w:val="0"/>
          <w:sz w:val="24"/>
          <w:szCs w:val="24"/>
        </w:rPr>
      </w:pPr>
      <w:r w:rsidRPr="00156604">
        <w:rPr>
          <w:rFonts w:ascii="Book Antiqua" w:eastAsia="宋体" w:hAnsi="Book Antiqua" w:cs="Times New Roman"/>
          <w:b/>
          <w:color w:val="auto"/>
          <w:kern w:val="0"/>
          <w:sz w:val="24"/>
          <w:szCs w:val="24"/>
        </w:rPr>
        <w:t>Accepted:</w:t>
      </w:r>
      <w:r w:rsidR="00B24131" w:rsidRPr="00B24131">
        <w:t xml:space="preserve"> </w:t>
      </w:r>
      <w:r w:rsidR="00B24131" w:rsidRPr="00B24131">
        <w:rPr>
          <w:rFonts w:ascii="Book Antiqua" w:eastAsia="宋体" w:hAnsi="Book Antiqua" w:cs="Times New Roman"/>
          <w:color w:val="auto"/>
          <w:kern w:val="0"/>
          <w:sz w:val="24"/>
          <w:szCs w:val="24"/>
        </w:rPr>
        <w:t>August 7, 2019</w:t>
      </w:r>
      <w:r w:rsidRPr="00B24131">
        <w:rPr>
          <w:rFonts w:ascii="Book Antiqua" w:eastAsia="宋体" w:hAnsi="Book Antiqua" w:cs="Times New Roman"/>
          <w:color w:val="auto"/>
          <w:kern w:val="0"/>
          <w:sz w:val="24"/>
          <w:szCs w:val="24"/>
        </w:rPr>
        <w:t xml:space="preserve"> </w:t>
      </w:r>
    </w:p>
    <w:p w14:paraId="7F4A073F" w14:textId="77777777" w:rsidR="00156604" w:rsidRPr="00156604" w:rsidRDefault="00156604" w:rsidP="00156604">
      <w:pPr>
        <w:framePr w:wrap="auto"/>
        <w:widowControl/>
        <w:adjustRightInd w:val="0"/>
        <w:snapToGrid w:val="0"/>
        <w:spacing w:line="360" w:lineRule="auto"/>
        <w:rPr>
          <w:rFonts w:ascii="Book Antiqua" w:eastAsia="宋体" w:hAnsi="Book Antiqua" w:cs="Times New Roman"/>
          <w:b/>
          <w:color w:val="auto"/>
          <w:kern w:val="0"/>
          <w:sz w:val="24"/>
          <w:szCs w:val="24"/>
        </w:rPr>
      </w:pPr>
      <w:r w:rsidRPr="00156604">
        <w:rPr>
          <w:rFonts w:ascii="Book Antiqua" w:eastAsia="宋体" w:hAnsi="Book Antiqua" w:cs="Times New Roman"/>
          <w:b/>
          <w:color w:val="auto"/>
          <w:kern w:val="0"/>
          <w:sz w:val="24"/>
          <w:szCs w:val="24"/>
        </w:rPr>
        <w:lastRenderedPageBreak/>
        <w:t>Article in press:</w:t>
      </w:r>
    </w:p>
    <w:p w14:paraId="63B60226" w14:textId="5604F498" w:rsidR="00156604" w:rsidRPr="00974D6D" w:rsidRDefault="00156604" w:rsidP="00156604">
      <w:pPr>
        <w:framePr w:wrap="auto"/>
        <w:adjustRightInd w:val="0"/>
        <w:snapToGrid w:val="0"/>
        <w:spacing w:line="360" w:lineRule="auto"/>
        <w:rPr>
          <w:rFonts w:ascii="Book Antiqua" w:eastAsiaTheme="minorEastAsia" w:hAnsi="Book Antiqua" w:cs="Times New Roman"/>
          <w:color w:val="auto"/>
          <w:sz w:val="24"/>
          <w:szCs w:val="24"/>
        </w:rPr>
      </w:pPr>
      <w:r w:rsidRPr="00156604">
        <w:rPr>
          <w:rFonts w:ascii="Book Antiqua" w:eastAsia="宋体" w:hAnsi="Book Antiqua" w:cs="Times New Roman"/>
          <w:b/>
          <w:color w:val="auto"/>
          <w:kern w:val="0"/>
          <w:sz w:val="24"/>
          <w:szCs w:val="24"/>
        </w:rPr>
        <w:t>Published online:</w:t>
      </w:r>
      <w:bookmarkEnd w:id="10"/>
      <w:bookmarkEnd w:id="11"/>
      <w:bookmarkEnd w:id="12"/>
      <w:bookmarkEnd w:id="13"/>
      <w:bookmarkEnd w:id="14"/>
    </w:p>
    <w:p w14:paraId="5EE8D501" w14:textId="77777777" w:rsidR="002A5D19" w:rsidRPr="00974D6D" w:rsidRDefault="002A5D19" w:rsidP="00974D6D">
      <w:pPr>
        <w:framePr w:wrap="auto"/>
        <w:widowControl/>
        <w:adjustRightInd w:val="0"/>
        <w:snapToGrid w:val="0"/>
        <w:spacing w:line="360" w:lineRule="auto"/>
        <w:rPr>
          <w:rFonts w:ascii="Book Antiqua" w:hAnsi="Book Antiqua"/>
          <w:b/>
          <w:bCs/>
          <w:color w:val="auto"/>
          <w:sz w:val="24"/>
          <w:szCs w:val="24"/>
        </w:rPr>
      </w:pPr>
      <w:r w:rsidRPr="00974D6D">
        <w:rPr>
          <w:rFonts w:ascii="Book Antiqua" w:hAnsi="Book Antiqua"/>
          <w:b/>
          <w:bCs/>
          <w:color w:val="auto"/>
          <w:sz w:val="24"/>
          <w:szCs w:val="24"/>
        </w:rPr>
        <w:br w:type="page"/>
      </w:r>
    </w:p>
    <w:p w14:paraId="25406ACC" w14:textId="77777777" w:rsidR="00E03495" w:rsidRPr="00974D6D" w:rsidRDefault="00F474B9" w:rsidP="00974D6D">
      <w:pPr>
        <w:framePr w:wrap="auto"/>
        <w:adjustRightInd w:val="0"/>
        <w:snapToGrid w:val="0"/>
        <w:spacing w:line="360" w:lineRule="auto"/>
        <w:rPr>
          <w:rFonts w:ascii="Book Antiqua" w:eastAsia="Times New Roman" w:hAnsi="Book Antiqua" w:cs="Times New Roman"/>
          <w:b/>
          <w:bCs/>
          <w:color w:val="auto"/>
          <w:sz w:val="24"/>
          <w:szCs w:val="24"/>
        </w:rPr>
      </w:pPr>
      <w:r w:rsidRPr="00974D6D">
        <w:rPr>
          <w:rFonts w:ascii="Book Antiqua" w:hAnsi="Book Antiqua"/>
          <w:b/>
          <w:bCs/>
          <w:color w:val="auto"/>
          <w:sz w:val="24"/>
          <w:szCs w:val="24"/>
        </w:rPr>
        <w:lastRenderedPageBreak/>
        <w:t>Abstract</w:t>
      </w:r>
    </w:p>
    <w:p w14:paraId="49CF2AB4" w14:textId="2BA61588" w:rsidR="00305C2B" w:rsidRPr="00305C2B" w:rsidRDefault="00305C2B" w:rsidP="00974D6D">
      <w:pPr>
        <w:framePr w:wrap="auto"/>
        <w:adjustRightInd w:val="0"/>
        <w:snapToGrid w:val="0"/>
        <w:spacing w:line="360" w:lineRule="auto"/>
        <w:rPr>
          <w:rFonts w:ascii="Book Antiqua" w:eastAsiaTheme="minorEastAsia" w:hAnsi="Book Antiqua"/>
          <w:b/>
          <w:i/>
          <w:color w:val="auto"/>
          <w:sz w:val="24"/>
          <w:szCs w:val="24"/>
        </w:rPr>
      </w:pPr>
      <w:r w:rsidRPr="00305C2B">
        <w:rPr>
          <w:rFonts w:ascii="Book Antiqua" w:eastAsiaTheme="minorEastAsia" w:hAnsi="Book Antiqua" w:hint="eastAsia"/>
          <w:b/>
          <w:i/>
          <w:color w:val="auto"/>
          <w:sz w:val="24"/>
          <w:szCs w:val="24"/>
        </w:rPr>
        <w:t>BACKGROUND</w:t>
      </w:r>
    </w:p>
    <w:p w14:paraId="4A2534B5" w14:textId="2E9904FB" w:rsidR="00E03495" w:rsidRPr="00974D6D"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974D6D">
        <w:rPr>
          <w:rFonts w:ascii="Book Antiqua" w:hAnsi="Book Antiqua"/>
          <w:color w:val="auto"/>
          <w:sz w:val="24"/>
          <w:szCs w:val="24"/>
        </w:rPr>
        <w:t xml:space="preserve">Hepatitis B virus (HBV) has been recognized as a leading cause of hepatocellular carcinoma (HCC). Numerous reports </w:t>
      </w:r>
      <w:r w:rsidR="00167900" w:rsidRPr="00974D6D">
        <w:rPr>
          <w:rFonts w:ascii="Book Antiqua" w:hAnsi="Book Antiqua"/>
          <w:color w:val="auto"/>
          <w:sz w:val="24"/>
          <w:szCs w:val="24"/>
        </w:rPr>
        <w:t>suggest</w:t>
      </w:r>
      <w:r w:rsidR="00167900">
        <w:rPr>
          <w:rFonts w:ascii="Book Antiqua" w:hAnsi="Book Antiqua"/>
          <w:color w:val="auto"/>
          <w:sz w:val="24"/>
          <w:szCs w:val="24"/>
        </w:rPr>
        <w:t xml:space="preserve"> </w:t>
      </w:r>
      <w:r w:rsidRPr="00974D6D">
        <w:rPr>
          <w:rFonts w:ascii="Book Antiqua" w:hAnsi="Book Antiqua"/>
          <w:color w:val="auto"/>
          <w:sz w:val="24"/>
          <w:szCs w:val="24"/>
        </w:rPr>
        <w:t>that immune infiltration can predict the prognosis of HCC. Nonetheless, no creditable markers for prognosis of HBV-related HCC have been established by systematically assessing the immune-related markers based on</w:t>
      </w:r>
      <w:r w:rsidR="00D66E7D">
        <w:rPr>
          <w:rFonts w:ascii="Book Antiqua" w:hAnsi="Book Antiqua"/>
          <w:color w:val="auto"/>
          <w:sz w:val="24"/>
          <w:szCs w:val="24"/>
        </w:rPr>
        <w:t xml:space="preserve"> </w:t>
      </w:r>
      <w:r w:rsidRPr="00D66E7D">
        <w:rPr>
          <w:rFonts w:ascii="Book Antiqua" w:hAnsi="Book Antiqua"/>
          <w:color w:val="auto"/>
          <w:sz w:val="24"/>
          <w:szCs w:val="24"/>
        </w:rPr>
        <w:t>tumor transcriptomes</w:t>
      </w:r>
      <w:r w:rsidRPr="00974D6D">
        <w:rPr>
          <w:rFonts w:ascii="Book Antiqua" w:hAnsi="Book Antiqua"/>
          <w:color w:val="auto"/>
          <w:sz w:val="24"/>
          <w:szCs w:val="24"/>
        </w:rPr>
        <w:t>.</w:t>
      </w:r>
    </w:p>
    <w:p w14:paraId="1063DB93" w14:textId="77777777" w:rsidR="00E03495" w:rsidRPr="00974D6D"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61EB4561" w14:textId="77777777" w:rsidR="00E03495" w:rsidRPr="00974D6D" w:rsidRDefault="00F474B9" w:rsidP="00974D6D">
      <w:pPr>
        <w:framePr w:wrap="auto"/>
        <w:adjustRightInd w:val="0"/>
        <w:snapToGrid w:val="0"/>
        <w:spacing w:line="360" w:lineRule="auto"/>
        <w:rPr>
          <w:rFonts w:ascii="Book Antiqua" w:eastAsia="Times New Roman" w:hAnsi="Book Antiqua" w:cs="Times New Roman"/>
          <w:b/>
          <w:bCs/>
          <w:i/>
          <w:iCs/>
          <w:color w:val="auto"/>
          <w:sz w:val="24"/>
          <w:szCs w:val="24"/>
        </w:rPr>
      </w:pPr>
      <w:r w:rsidRPr="00974D6D">
        <w:rPr>
          <w:rFonts w:ascii="Book Antiqua" w:hAnsi="Book Antiqua"/>
          <w:b/>
          <w:bCs/>
          <w:i/>
          <w:iCs/>
          <w:color w:val="auto"/>
          <w:sz w:val="24"/>
          <w:szCs w:val="24"/>
        </w:rPr>
        <w:t xml:space="preserve">AIM </w:t>
      </w:r>
    </w:p>
    <w:p w14:paraId="19D1962C" w14:textId="3F60E82D" w:rsidR="00E03495" w:rsidRPr="00974D6D"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2647E0">
        <w:rPr>
          <w:rFonts w:ascii="Book Antiqua" w:hAnsi="Book Antiqua"/>
          <w:caps/>
          <w:color w:val="auto"/>
          <w:sz w:val="24"/>
          <w:szCs w:val="24"/>
        </w:rPr>
        <w:t>t</w:t>
      </w:r>
      <w:r w:rsidRPr="00974D6D">
        <w:rPr>
          <w:rFonts w:ascii="Book Antiqua" w:hAnsi="Book Antiqua"/>
          <w:color w:val="auto"/>
          <w:sz w:val="24"/>
          <w:szCs w:val="24"/>
        </w:rPr>
        <w:t xml:space="preserve">o establish an immune-related marker based on the cell compositions of immune infiltrate obtained </w:t>
      </w:r>
      <w:r w:rsidR="00D66E7D">
        <w:rPr>
          <w:rFonts w:ascii="Book Antiqua" w:hAnsi="Book Antiqua"/>
          <w:color w:val="auto"/>
          <w:sz w:val="24"/>
          <w:szCs w:val="24"/>
        </w:rPr>
        <w:t>based on</w:t>
      </w:r>
      <w:r w:rsidRPr="00D66E7D">
        <w:rPr>
          <w:rFonts w:ascii="Book Antiqua" w:hAnsi="Book Antiqua"/>
          <w:color w:val="auto"/>
          <w:sz w:val="24"/>
          <w:szCs w:val="24"/>
        </w:rPr>
        <w:t xml:space="preserve"> tumor transcriptomes</w:t>
      </w:r>
      <w:r w:rsidRPr="00974D6D">
        <w:rPr>
          <w:rFonts w:ascii="Book Antiqua" w:hAnsi="Book Antiqua"/>
          <w:color w:val="auto"/>
          <w:sz w:val="24"/>
          <w:szCs w:val="24"/>
        </w:rPr>
        <w:t>, so as to enhance the prediction accuracy of HBV-related HCC prognosis.</w:t>
      </w:r>
    </w:p>
    <w:p w14:paraId="187ADA19" w14:textId="77777777" w:rsidR="00E03495" w:rsidRPr="00D66E7D"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3C0DA8D4" w14:textId="77777777" w:rsidR="00E03495" w:rsidRPr="00974D6D" w:rsidRDefault="00F474B9" w:rsidP="00974D6D">
      <w:pPr>
        <w:framePr w:wrap="auto"/>
        <w:adjustRightInd w:val="0"/>
        <w:snapToGrid w:val="0"/>
        <w:spacing w:line="360" w:lineRule="auto"/>
        <w:rPr>
          <w:rFonts w:ascii="Book Antiqua" w:eastAsia="Times New Roman" w:hAnsi="Book Antiqua" w:cs="Times New Roman"/>
          <w:b/>
          <w:bCs/>
          <w:i/>
          <w:iCs/>
          <w:color w:val="auto"/>
          <w:sz w:val="24"/>
          <w:szCs w:val="24"/>
        </w:rPr>
      </w:pPr>
      <w:r w:rsidRPr="00974D6D">
        <w:rPr>
          <w:rFonts w:ascii="Book Antiqua" w:hAnsi="Book Antiqua"/>
          <w:b/>
          <w:bCs/>
          <w:i/>
          <w:iCs/>
          <w:color w:val="auto"/>
          <w:sz w:val="24"/>
          <w:szCs w:val="24"/>
        </w:rPr>
        <w:t>METHODS</w:t>
      </w:r>
    </w:p>
    <w:p w14:paraId="7312AC3F" w14:textId="4B4C9B03" w:rsidR="00E03495" w:rsidRPr="00974D6D"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974D6D">
        <w:rPr>
          <w:rFonts w:ascii="Book Antiqua" w:hAnsi="Book Antiqua"/>
          <w:color w:val="auto"/>
          <w:sz w:val="24"/>
          <w:szCs w:val="24"/>
        </w:rPr>
        <w:t xml:space="preserve">RNA expression patterns as well as the relevant clinical data of HCC patients were obtained from </w:t>
      </w:r>
      <w:bookmarkStart w:id="15" w:name="OLE_LINK5"/>
      <w:bookmarkStart w:id="16" w:name="OLE_LINK6"/>
      <w:r w:rsidRPr="00974D6D">
        <w:rPr>
          <w:rFonts w:ascii="Book Antiqua" w:hAnsi="Book Antiqua"/>
          <w:color w:val="auto"/>
          <w:sz w:val="24"/>
          <w:szCs w:val="24"/>
        </w:rPr>
        <w:t>The Cancer Genome Atlas</w:t>
      </w:r>
      <w:bookmarkEnd w:id="15"/>
      <w:bookmarkEnd w:id="16"/>
      <w:r w:rsidRPr="00974D6D">
        <w:rPr>
          <w:rFonts w:ascii="Book Antiqua" w:hAnsi="Book Antiqua"/>
          <w:color w:val="auto"/>
          <w:sz w:val="24"/>
          <w:szCs w:val="24"/>
        </w:rPr>
        <w:t>. Twenty-two immunocyte fraction types were estimated by</w:t>
      </w:r>
      <w:r w:rsidR="003C7C09" w:rsidRPr="001C4126">
        <w:rPr>
          <w:rFonts w:ascii="Book Antiqua" w:hAnsi="Book Antiqua"/>
          <w:color w:val="auto"/>
          <w:sz w:val="24"/>
          <w:szCs w:val="24"/>
        </w:rPr>
        <w:t xml:space="preserve"> </w:t>
      </w:r>
      <w:bookmarkStart w:id="17" w:name="_Hlk14872930"/>
      <w:r w:rsidR="003C7C09" w:rsidRPr="001C4126">
        <w:rPr>
          <w:rFonts w:ascii="Book Antiqua" w:eastAsiaTheme="minorEastAsia" w:hAnsi="Book Antiqua"/>
          <w:color w:val="auto"/>
          <w:sz w:val="24"/>
          <w:szCs w:val="24"/>
        </w:rPr>
        <w:t>c</w:t>
      </w:r>
      <w:r w:rsidR="003C7C09" w:rsidRPr="001C4126">
        <w:rPr>
          <w:rFonts w:ascii="Book Antiqua" w:hAnsi="Book Antiqua"/>
          <w:color w:val="auto"/>
          <w:sz w:val="24"/>
          <w:szCs w:val="24"/>
        </w:rPr>
        <w:t xml:space="preserve">ell type </w:t>
      </w:r>
      <w:r w:rsidR="003C7C09">
        <w:rPr>
          <w:rFonts w:ascii="Book Antiqua" w:hAnsi="Book Antiqua"/>
          <w:color w:val="auto"/>
          <w:sz w:val="24"/>
          <w:szCs w:val="24"/>
        </w:rPr>
        <w:t>i</w:t>
      </w:r>
      <w:r w:rsidR="003C7C09" w:rsidRPr="003C7C09">
        <w:rPr>
          <w:rFonts w:ascii="Book Antiqua" w:hAnsi="Book Antiqua"/>
          <w:color w:val="auto"/>
          <w:sz w:val="24"/>
          <w:szCs w:val="24"/>
        </w:rPr>
        <w:t xml:space="preserve">dentification </w:t>
      </w:r>
      <w:r w:rsidR="003C7C09">
        <w:rPr>
          <w:rFonts w:ascii="Book Antiqua" w:hAnsi="Book Antiqua"/>
          <w:color w:val="auto"/>
          <w:sz w:val="24"/>
          <w:szCs w:val="24"/>
        </w:rPr>
        <w:t>b</w:t>
      </w:r>
      <w:r w:rsidR="003C7C09" w:rsidRPr="003C7C09">
        <w:rPr>
          <w:rFonts w:ascii="Book Antiqua" w:hAnsi="Book Antiqua"/>
          <w:color w:val="auto"/>
          <w:sz w:val="24"/>
          <w:szCs w:val="24"/>
        </w:rPr>
        <w:t xml:space="preserve">y </w:t>
      </w:r>
      <w:r w:rsidR="003C7C09">
        <w:rPr>
          <w:rFonts w:ascii="Book Antiqua" w:hAnsi="Book Antiqua"/>
          <w:color w:val="auto"/>
          <w:sz w:val="24"/>
          <w:szCs w:val="24"/>
        </w:rPr>
        <w:t>e</w:t>
      </w:r>
      <w:r w:rsidR="003C7C09" w:rsidRPr="003C7C09">
        <w:rPr>
          <w:rFonts w:ascii="Book Antiqua" w:hAnsi="Book Antiqua"/>
          <w:color w:val="auto"/>
          <w:sz w:val="24"/>
          <w:szCs w:val="24"/>
        </w:rPr>
        <w:t xml:space="preserve">stimating </w:t>
      </w:r>
      <w:r w:rsidR="003C7C09">
        <w:rPr>
          <w:rFonts w:ascii="Book Antiqua" w:hAnsi="Book Antiqua"/>
          <w:color w:val="auto"/>
          <w:sz w:val="24"/>
          <w:szCs w:val="24"/>
        </w:rPr>
        <w:t>r</w:t>
      </w:r>
      <w:r w:rsidR="003C7C09" w:rsidRPr="003C7C09">
        <w:rPr>
          <w:rFonts w:ascii="Book Antiqua" w:hAnsi="Book Antiqua"/>
          <w:color w:val="auto"/>
          <w:sz w:val="24"/>
          <w:szCs w:val="24"/>
        </w:rPr>
        <w:t xml:space="preserve">elative </w:t>
      </w:r>
      <w:r w:rsidR="003C7C09">
        <w:rPr>
          <w:rFonts w:ascii="Book Antiqua" w:hAnsi="Book Antiqua"/>
          <w:color w:val="auto"/>
          <w:sz w:val="24"/>
          <w:szCs w:val="24"/>
        </w:rPr>
        <w:t>s</w:t>
      </w:r>
      <w:r w:rsidR="003C7C09" w:rsidRPr="003C7C09">
        <w:rPr>
          <w:rFonts w:ascii="Book Antiqua" w:hAnsi="Book Antiqua"/>
          <w:color w:val="auto"/>
          <w:sz w:val="24"/>
          <w:szCs w:val="24"/>
        </w:rPr>
        <w:t xml:space="preserve">ubsets </w:t>
      </w:r>
      <w:r w:rsidR="003C7C09">
        <w:rPr>
          <w:rFonts w:ascii="Book Antiqua" w:hAnsi="Book Antiqua"/>
          <w:color w:val="auto"/>
          <w:sz w:val="24"/>
          <w:szCs w:val="24"/>
        </w:rPr>
        <w:t>o</w:t>
      </w:r>
      <w:r w:rsidR="003C7C09" w:rsidRPr="003C7C09">
        <w:rPr>
          <w:rFonts w:ascii="Book Antiqua" w:hAnsi="Book Antiqua"/>
          <w:color w:val="auto"/>
          <w:sz w:val="24"/>
          <w:szCs w:val="24"/>
        </w:rPr>
        <w:t xml:space="preserve">f RNA </w:t>
      </w:r>
      <w:r w:rsidR="003C7C09">
        <w:rPr>
          <w:rFonts w:ascii="Book Antiqua" w:hAnsi="Book Antiqua"/>
          <w:color w:val="auto"/>
          <w:sz w:val="24"/>
          <w:szCs w:val="24"/>
        </w:rPr>
        <w:t>t</w:t>
      </w:r>
      <w:r w:rsidR="003C7C09" w:rsidRPr="003C7C09">
        <w:rPr>
          <w:rFonts w:ascii="Book Antiqua" w:hAnsi="Book Antiqua"/>
          <w:color w:val="auto"/>
          <w:sz w:val="24"/>
          <w:szCs w:val="24"/>
        </w:rPr>
        <w:t>ranscripts</w:t>
      </w:r>
      <w:bookmarkEnd w:id="17"/>
      <w:r w:rsidRPr="00974D6D">
        <w:rPr>
          <w:rFonts w:ascii="Book Antiqua" w:hAnsi="Book Antiqua"/>
          <w:color w:val="auto"/>
          <w:sz w:val="24"/>
          <w:szCs w:val="24"/>
        </w:rPr>
        <w:t xml:space="preserve">. Subsequently, the least absolute shrinkage and selection operator (LASSO) Cox regression model was employed to construct </w:t>
      </w:r>
      <w:r w:rsidR="005A56BD">
        <w:rPr>
          <w:rFonts w:ascii="Book Antiqua" w:hAnsi="Book Antiqua"/>
          <w:color w:val="auto"/>
          <w:sz w:val="24"/>
          <w:szCs w:val="24"/>
        </w:rPr>
        <w:t>an</w:t>
      </w:r>
      <w:r w:rsidR="005A56BD" w:rsidRPr="00974D6D">
        <w:rPr>
          <w:rFonts w:ascii="Book Antiqua" w:hAnsi="Book Antiqua"/>
          <w:color w:val="auto"/>
          <w:sz w:val="24"/>
          <w:szCs w:val="24"/>
        </w:rPr>
        <w:t xml:space="preserve"> </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based on the immunocyte fraction types. Afterwards, the receive</w:t>
      </w:r>
      <w:r w:rsidR="006C17E1">
        <w:rPr>
          <w:rFonts w:ascii="Book Antiqua" w:hAnsi="Book Antiqua"/>
          <w:color w:val="auto"/>
          <w:sz w:val="24"/>
          <w:szCs w:val="24"/>
        </w:rPr>
        <w:t>r operating characteristic</w:t>
      </w:r>
      <w:r w:rsidR="005A56BD">
        <w:rPr>
          <w:rFonts w:ascii="Book Antiqua" w:hAnsi="Book Antiqua"/>
          <w:color w:val="auto"/>
          <w:sz w:val="24"/>
          <w:szCs w:val="24"/>
        </w:rPr>
        <w:t xml:space="preserve"> (ROC) curve</w:t>
      </w:r>
      <w:r w:rsidRPr="00974D6D">
        <w:rPr>
          <w:rFonts w:ascii="Book Antiqua" w:hAnsi="Book Antiqua"/>
          <w:color w:val="auto"/>
          <w:sz w:val="24"/>
          <w:szCs w:val="24"/>
        </w:rPr>
        <w:t>, Kaplan-Meier</w:t>
      </w:r>
      <w:r w:rsidR="00305C2B">
        <w:rPr>
          <w:rFonts w:ascii="Book Antiqua" w:eastAsiaTheme="minorEastAsia" w:hAnsi="Book Antiqua" w:hint="eastAsia"/>
          <w:color w:val="auto"/>
          <w:sz w:val="24"/>
          <w:szCs w:val="24"/>
        </w:rPr>
        <w:t>,</w:t>
      </w:r>
      <w:r w:rsidRPr="00974D6D">
        <w:rPr>
          <w:rFonts w:ascii="Book Antiqua" w:hAnsi="Book Antiqua"/>
          <w:color w:val="auto"/>
          <w:sz w:val="24"/>
          <w:szCs w:val="24"/>
        </w:rPr>
        <w:t xml:space="preserve"> and multivariate Cox analyses were performed. Additionally, </w:t>
      </w:r>
      <w:r w:rsidR="005A56BD">
        <w:rPr>
          <w:rFonts w:ascii="Book Antiqua" w:hAnsi="Book Antiqua"/>
          <w:color w:val="auto"/>
          <w:sz w:val="24"/>
          <w:szCs w:val="24"/>
        </w:rPr>
        <w:t>a</w:t>
      </w:r>
      <w:r w:rsidR="005A56BD" w:rsidRPr="00974D6D">
        <w:rPr>
          <w:rFonts w:ascii="Book Antiqua" w:hAnsi="Book Antiqua"/>
          <w:color w:val="auto"/>
          <w:sz w:val="24"/>
          <w:szCs w:val="24"/>
        </w:rPr>
        <w:t xml:space="preserve"> </w:t>
      </w:r>
      <w:r w:rsidRPr="00974D6D">
        <w:rPr>
          <w:rFonts w:ascii="Book Antiqua" w:hAnsi="Book Antiqua"/>
          <w:color w:val="auto"/>
          <w:sz w:val="24"/>
          <w:szCs w:val="24"/>
        </w:rPr>
        <w:t xml:space="preserve">nomogram for prognosis that integrated the </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as well as the clinical features was established. Meanwhile, the correlation of </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with immune genes was also detected, and</w:t>
      </w:r>
      <w:r w:rsidR="005A56BD">
        <w:rPr>
          <w:rFonts w:ascii="Book Antiqua" w:hAnsi="Book Antiqua"/>
          <w:color w:val="auto"/>
          <w:sz w:val="24"/>
          <w:szCs w:val="24"/>
        </w:rPr>
        <w:t xml:space="preserve"> </w:t>
      </w:r>
      <w:r w:rsidRPr="00974D6D">
        <w:rPr>
          <w:rFonts w:ascii="Book Antiqua" w:hAnsi="Book Antiqua"/>
          <w:color w:val="auto"/>
          <w:sz w:val="24"/>
          <w:szCs w:val="24"/>
        </w:rPr>
        <w:t xml:space="preserve">gene set enrichment analysis (GSEA) of the </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was conducted.</w:t>
      </w:r>
    </w:p>
    <w:p w14:paraId="2E66E7EC" w14:textId="77777777" w:rsidR="00E03495" w:rsidRPr="00974D6D"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3CDC061A" w14:textId="77777777" w:rsidR="00E03495" w:rsidRPr="00974D6D" w:rsidRDefault="00F474B9" w:rsidP="00974D6D">
      <w:pPr>
        <w:framePr w:wrap="auto"/>
        <w:adjustRightInd w:val="0"/>
        <w:snapToGrid w:val="0"/>
        <w:spacing w:line="360" w:lineRule="auto"/>
        <w:rPr>
          <w:rFonts w:ascii="Book Antiqua" w:eastAsia="Times New Roman" w:hAnsi="Book Antiqua" w:cs="Times New Roman"/>
          <w:b/>
          <w:bCs/>
          <w:i/>
          <w:iCs/>
          <w:color w:val="auto"/>
          <w:sz w:val="24"/>
          <w:szCs w:val="24"/>
        </w:rPr>
      </w:pPr>
      <w:r w:rsidRPr="00974D6D">
        <w:rPr>
          <w:rFonts w:ascii="Book Antiqua" w:hAnsi="Book Antiqua"/>
          <w:b/>
          <w:bCs/>
          <w:i/>
          <w:iCs/>
          <w:color w:val="auto"/>
          <w:sz w:val="24"/>
          <w:szCs w:val="24"/>
        </w:rPr>
        <w:t>RESULTS</w:t>
      </w:r>
    </w:p>
    <w:p w14:paraId="5FE2E437" w14:textId="3A74E140" w:rsidR="00E03495" w:rsidRPr="00974D6D"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974D6D">
        <w:rPr>
          <w:rFonts w:ascii="Book Antiqua" w:hAnsi="Book Antiqua"/>
          <w:color w:val="auto"/>
          <w:sz w:val="24"/>
          <w:szCs w:val="24"/>
        </w:rPr>
        <w:t xml:space="preserve">A total of 22 immunocyte fraction types were predicted and compared among the tumor as well as non-tumor samples. </w:t>
      </w:r>
      <w:r w:rsidR="005A56BD">
        <w:rPr>
          <w:rFonts w:ascii="Book Antiqua" w:hAnsi="Book Antiqua"/>
          <w:color w:val="auto"/>
          <w:sz w:val="24"/>
          <w:szCs w:val="24"/>
        </w:rPr>
        <w:t>An</w:t>
      </w:r>
      <w:r w:rsidR="005A56BD" w:rsidRPr="00974D6D">
        <w:rPr>
          <w:rFonts w:ascii="Book Antiqua" w:hAnsi="Book Antiqua"/>
          <w:color w:val="auto"/>
          <w:sz w:val="24"/>
          <w:szCs w:val="24"/>
        </w:rPr>
        <w:t xml:space="preserve"> </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was constructed </w:t>
      </w:r>
      <w:r w:rsidRPr="00974D6D">
        <w:rPr>
          <w:rFonts w:ascii="Book Antiqua" w:hAnsi="Book Antiqua"/>
          <w:color w:val="auto"/>
          <w:sz w:val="24"/>
          <w:szCs w:val="24"/>
        </w:rPr>
        <w:lastRenderedPageBreak/>
        <w:t>through adopting the LASSO model, which contained eight immunocyte fraction types. Meanwhile,</w:t>
      </w:r>
      <w:r w:rsidR="00AE42A6">
        <w:rPr>
          <w:rFonts w:ascii="Book Antiqua" w:hAnsi="Book Antiqua"/>
          <w:color w:val="auto"/>
          <w:sz w:val="24"/>
          <w:szCs w:val="24"/>
        </w:rPr>
        <w:t xml:space="preserve"> the areas under the </w:t>
      </w:r>
      <w:r w:rsidR="005A56BD">
        <w:rPr>
          <w:rFonts w:ascii="Book Antiqua" w:hAnsi="Book Antiqua"/>
          <w:color w:val="auto"/>
          <w:sz w:val="24"/>
          <w:szCs w:val="24"/>
        </w:rPr>
        <w:t xml:space="preserve">ROC </w:t>
      </w:r>
      <w:r w:rsidR="00AE42A6">
        <w:rPr>
          <w:rFonts w:ascii="Book Antiqua" w:hAnsi="Book Antiqua"/>
          <w:color w:val="auto"/>
          <w:sz w:val="24"/>
          <w:szCs w:val="24"/>
        </w:rPr>
        <w:t>curve</w:t>
      </w:r>
      <w:r w:rsidR="005A56BD">
        <w:rPr>
          <w:rFonts w:ascii="Book Antiqua" w:hAnsi="Book Antiqua"/>
          <w:color w:val="auto"/>
          <w:sz w:val="24"/>
          <w:szCs w:val="24"/>
        </w:rPr>
        <w:t>s</w:t>
      </w:r>
      <w:r w:rsidRPr="00974D6D">
        <w:rPr>
          <w:rFonts w:ascii="Book Antiqua" w:hAnsi="Book Antiqua"/>
          <w:color w:val="auto"/>
          <w:sz w:val="24"/>
          <w:szCs w:val="24"/>
        </w:rPr>
        <w:t xml:space="preserve"> for the </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biomarker prognostic model were 0.971, 0.912, and 0.975 for 1</w:t>
      </w:r>
      <w:r w:rsidR="005A56BD">
        <w:rPr>
          <w:rFonts w:ascii="Book Antiqua" w:hAnsi="Book Antiqua"/>
          <w:color w:val="auto"/>
          <w:sz w:val="24"/>
          <w:szCs w:val="24"/>
        </w:rPr>
        <w:t>-</w:t>
      </w:r>
      <w:r w:rsidRPr="00974D6D">
        <w:rPr>
          <w:rFonts w:ascii="Book Antiqua" w:hAnsi="Book Antiqua"/>
          <w:color w:val="auto"/>
          <w:sz w:val="24"/>
          <w:szCs w:val="24"/>
        </w:rPr>
        <w:t>, 3</w:t>
      </w:r>
      <w:r w:rsidR="005A56BD">
        <w:rPr>
          <w:rFonts w:ascii="Book Antiqua" w:hAnsi="Book Antiqua"/>
          <w:color w:val="auto"/>
          <w:sz w:val="24"/>
          <w:szCs w:val="24"/>
        </w:rPr>
        <w:t>-</w:t>
      </w:r>
      <w:r w:rsidRPr="00974D6D">
        <w:rPr>
          <w:rFonts w:ascii="Book Antiqua" w:hAnsi="Book Antiqua"/>
          <w:color w:val="auto"/>
          <w:sz w:val="24"/>
          <w:szCs w:val="24"/>
        </w:rPr>
        <w:t>, and</w:t>
      </w:r>
      <w:bookmarkStart w:id="18" w:name="OLE_LINK7"/>
      <w:bookmarkStart w:id="19" w:name="OLE_LINK8"/>
      <w:r w:rsidRPr="00974D6D">
        <w:rPr>
          <w:rFonts w:ascii="Book Antiqua" w:hAnsi="Book Antiqua"/>
          <w:color w:val="auto"/>
          <w:sz w:val="24"/>
          <w:szCs w:val="24"/>
        </w:rPr>
        <w:t xml:space="preserve"> 5-year overall survival</w:t>
      </w:r>
      <w:bookmarkEnd w:id="18"/>
      <w:bookmarkEnd w:id="19"/>
      <w:r w:rsidRPr="00974D6D">
        <w:rPr>
          <w:rFonts w:ascii="Book Antiqua" w:hAnsi="Book Antiqua"/>
          <w:color w:val="auto"/>
          <w:sz w:val="24"/>
          <w:szCs w:val="24"/>
        </w:rPr>
        <w:t xml:space="preserve"> (OS), respectively. Difference in OS between the high-</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group and the low-</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group was statistically significant </w:t>
      </w:r>
      <w:r w:rsidR="00A15214">
        <w:rPr>
          <w:rFonts w:ascii="Book Antiqua" w:hAnsi="Book Antiqua"/>
          <w:color w:val="auto"/>
          <w:sz w:val="24"/>
          <w:szCs w:val="24"/>
        </w:rPr>
        <w:t>[</w:t>
      </w:r>
      <w:r w:rsidR="005A56BD">
        <w:rPr>
          <w:rFonts w:ascii="Book Antiqua" w:hAnsi="Book Antiqua"/>
          <w:color w:val="auto"/>
          <w:sz w:val="24"/>
          <w:szCs w:val="24"/>
        </w:rPr>
        <w:t xml:space="preserve">hazard </w:t>
      </w:r>
      <w:r w:rsidR="004D30A4">
        <w:rPr>
          <w:rFonts w:ascii="Book Antiqua" w:hAnsi="Book Antiqua"/>
          <w:color w:val="auto"/>
          <w:sz w:val="24"/>
          <w:szCs w:val="24"/>
        </w:rPr>
        <w:t>ratio (</w:t>
      </w:r>
      <w:r w:rsidRPr="00974D6D">
        <w:rPr>
          <w:rFonts w:ascii="Book Antiqua" w:hAnsi="Book Antiqua"/>
          <w:color w:val="auto"/>
          <w:sz w:val="24"/>
          <w:szCs w:val="24"/>
        </w:rPr>
        <w:t>HR</w:t>
      </w:r>
      <w:r w:rsidR="004D30A4">
        <w:rPr>
          <w:rFonts w:ascii="Book Antiqua" w:hAnsi="Book Antiqua"/>
          <w:color w:val="auto"/>
          <w:sz w:val="24"/>
          <w:szCs w:val="24"/>
        </w:rPr>
        <w:t>)</w:t>
      </w:r>
      <w:r w:rsidR="00A3245A">
        <w:rPr>
          <w:rFonts w:ascii="Book Antiqua" w:eastAsiaTheme="minorEastAsia" w:hAnsi="Book Antiqua" w:hint="eastAsia"/>
          <w:color w:val="auto"/>
          <w:sz w:val="24"/>
          <w:szCs w:val="24"/>
        </w:rPr>
        <w:t xml:space="preserve"> </w:t>
      </w:r>
      <w:r w:rsidRPr="00974D6D">
        <w:rPr>
          <w:rFonts w:ascii="Book Antiqua" w:hAnsi="Book Antiqua"/>
          <w:color w:val="auto"/>
          <w:sz w:val="24"/>
          <w:szCs w:val="24"/>
        </w:rPr>
        <w:t>=</w:t>
      </w:r>
      <w:r w:rsidR="00A3245A">
        <w:rPr>
          <w:rFonts w:ascii="Book Antiqua" w:eastAsiaTheme="minorEastAsia" w:hAnsi="Book Antiqua" w:hint="eastAsia"/>
          <w:color w:val="auto"/>
          <w:sz w:val="24"/>
          <w:szCs w:val="24"/>
        </w:rPr>
        <w:t xml:space="preserve"> </w:t>
      </w:r>
      <w:r w:rsidR="00A3245A">
        <w:rPr>
          <w:rFonts w:ascii="Book Antiqua" w:hAnsi="Book Antiqua"/>
          <w:color w:val="auto"/>
          <w:sz w:val="24"/>
          <w:szCs w:val="24"/>
        </w:rPr>
        <w:t>66.007, 95%</w:t>
      </w:r>
      <w:r w:rsidR="00A15214">
        <w:rPr>
          <w:rFonts w:ascii="Book Antiqua" w:hAnsi="Book Antiqua"/>
          <w:color w:val="auto"/>
          <w:sz w:val="24"/>
          <w:szCs w:val="24"/>
        </w:rPr>
        <w:t xml:space="preserve"> </w:t>
      </w:r>
      <w:r w:rsidR="00265577">
        <w:rPr>
          <w:rFonts w:ascii="Book Antiqua" w:hAnsi="Book Antiqua"/>
          <w:color w:val="auto"/>
          <w:sz w:val="24"/>
          <w:szCs w:val="24"/>
        </w:rPr>
        <w:t>c</w:t>
      </w:r>
      <w:r w:rsidR="00A15214" w:rsidRPr="00A15214">
        <w:rPr>
          <w:rFonts w:ascii="Book Antiqua" w:hAnsi="Book Antiqua"/>
          <w:color w:val="auto"/>
          <w:sz w:val="24"/>
          <w:szCs w:val="24"/>
        </w:rPr>
        <w:t xml:space="preserve">onfidence interval </w:t>
      </w:r>
      <w:r w:rsidR="00A15214">
        <w:rPr>
          <w:rFonts w:ascii="Book Antiqua" w:hAnsi="Book Antiqua"/>
          <w:color w:val="auto"/>
          <w:sz w:val="24"/>
          <w:szCs w:val="24"/>
        </w:rPr>
        <w:t>(</w:t>
      </w:r>
      <w:r w:rsidRPr="00974D6D">
        <w:rPr>
          <w:rFonts w:ascii="Book Antiqua" w:hAnsi="Book Antiqua"/>
          <w:color w:val="auto"/>
          <w:sz w:val="24"/>
          <w:szCs w:val="24"/>
        </w:rPr>
        <w:t>C</w:t>
      </w:r>
      <w:r w:rsidR="00A15214" w:rsidRPr="00974D6D">
        <w:rPr>
          <w:rFonts w:ascii="Book Antiqua" w:hAnsi="Book Antiqua"/>
          <w:color w:val="auto"/>
          <w:sz w:val="24"/>
          <w:szCs w:val="24"/>
        </w:rPr>
        <w:t>I</w:t>
      </w:r>
      <w:r w:rsidR="00A15214">
        <w:rPr>
          <w:rFonts w:ascii="Book Antiqua" w:hAnsi="Book Antiqua"/>
          <w:color w:val="auto"/>
          <w:sz w:val="24"/>
          <w:szCs w:val="24"/>
        </w:rPr>
        <w:t>)</w:t>
      </w:r>
      <w:r w:rsidRPr="00974D6D">
        <w:rPr>
          <w:rFonts w:ascii="Book Antiqua" w:hAnsi="Book Antiqua"/>
          <w:color w:val="auto"/>
          <w:sz w:val="24"/>
          <w:szCs w:val="24"/>
        </w:rPr>
        <w:t xml:space="preserve">: 8.361-521.105; </w:t>
      </w:r>
      <w:r w:rsidR="00F94933" w:rsidRPr="00974D6D">
        <w:rPr>
          <w:rFonts w:ascii="Book Antiqua" w:hAnsi="Book Antiqua"/>
          <w:i/>
          <w:color w:val="auto"/>
          <w:sz w:val="24"/>
          <w:szCs w:val="24"/>
        </w:rPr>
        <w:t>P</w:t>
      </w:r>
      <w:r w:rsidRPr="00974D6D">
        <w:rPr>
          <w:rFonts w:ascii="Times New Roman" w:hAnsi="Times New Roman" w:cs="Times New Roman"/>
          <w:color w:val="auto"/>
          <w:sz w:val="24"/>
          <w:szCs w:val="24"/>
        </w:rPr>
        <w:t> </w:t>
      </w:r>
      <w:r w:rsidRPr="00974D6D">
        <w:rPr>
          <w:rFonts w:ascii="Book Antiqua" w:hAnsi="Book Antiqua"/>
          <w:color w:val="auto"/>
          <w:sz w:val="24"/>
          <w:szCs w:val="24"/>
        </w:rPr>
        <w:t>&lt; 0.0001</w:t>
      </w:r>
      <w:r w:rsidR="00A15214">
        <w:rPr>
          <w:rFonts w:ascii="Book Antiqua" w:hAnsi="Book Antiqua"/>
          <w:color w:val="auto"/>
          <w:sz w:val="24"/>
          <w:szCs w:val="24"/>
        </w:rPr>
        <w:t>]</w:t>
      </w:r>
      <w:r w:rsidRPr="00974D6D">
        <w:rPr>
          <w:rFonts w:ascii="Book Antiqua" w:hAnsi="Book Antiqua"/>
          <w:color w:val="auto"/>
          <w:sz w:val="24"/>
          <w:szCs w:val="24"/>
        </w:rPr>
        <w:t xml:space="preserve">. Moreover, multivariable analysis showed that </w:t>
      </w:r>
      <w:r w:rsidR="000F42D7">
        <w:rPr>
          <w:rFonts w:ascii="Book Antiqua" w:hAnsi="Book Antiqua"/>
          <w:color w:val="auto"/>
          <w:sz w:val="24"/>
          <w:szCs w:val="24"/>
        </w:rPr>
        <w:t xml:space="preserve">the </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was an independent factor for predicting the prognosis (HR</w:t>
      </w:r>
      <w:r w:rsidRPr="00974D6D">
        <w:rPr>
          <w:rFonts w:ascii="Times New Roman" w:hAnsi="Times New Roman" w:cs="Times New Roman"/>
          <w:color w:val="auto"/>
          <w:sz w:val="24"/>
          <w:szCs w:val="24"/>
        </w:rPr>
        <w:t> </w:t>
      </w:r>
      <w:r w:rsidRPr="00974D6D">
        <w:rPr>
          <w:rFonts w:ascii="Book Antiqua" w:hAnsi="Book Antiqua"/>
          <w:color w:val="auto"/>
          <w:sz w:val="24"/>
          <w:szCs w:val="24"/>
        </w:rPr>
        <w:t>=</w:t>
      </w:r>
      <w:r w:rsidRPr="00974D6D">
        <w:rPr>
          <w:rFonts w:ascii="Times New Roman" w:hAnsi="Times New Roman" w:cs="Times New Roman"/>
          <w:color w:val="auto"/>
          <w:sz w:val="24"/>
          <w:szCs w:val="24"/>
        </w:rPr>
        <w:t> </w:t>
      </w:r>
      <w:r w:rsidR="00A3245A">
        <w:rPr>
          <w:rFonts w:ascii="Book Antiqua" w:hAnsi="Book Antiqua"/>
          <w:color w:val="auto"/>
          <w:sz w:val="24"/>
          <w:szCs w:val="24"/>
        </w:rPr>
        <w:t>2.997, 95%</w:t>
      </w:r>
      <w:r w:rsidRPr="00974D6D">
        <w:rPr>
          <w:rFonts w:ascii="Book Antiqua" w:hAnsi="Book Antiqua"/>
          <w:color w:val="auto"/>
          <w:sz w:val="24"/>
          <w:szCs w:val="24"/>
        </w:rPr>
        <w:t xml:space="preserve">CI: 1.737-5.170). A nomogram was established, and the C-index was 0.757 (95%CI: 0.648-0.866). </w:t>
      </w:r>
      <w:r w:rsidR="000F42D7">
        <w:rPr>
          <w:rFonts w:ascii="Book Antiqua" w:hAnsi="Book Antiqua"/>
          <w:color w:val="auto"/>
          <w:sz w:val="24"/>
          <w:szCs w:val="24"/>
        </w:rPr>
        <w:t xml:space="preserve">The </w:t>
      </w:r>
      <w:proofErr w:type="spellStart"/>
      <w:r w:rsidR="000F42D7">
        <w:rPr>
          <w:rFonts w:ascii="Book Antiqua" w:hAnsi="Book Antiqua"/>
          <w:color w:val="auto"/>
          <w:sz w:val="24"/>
          <w:szCs w:val="24"/>
        </w:rPr>
        <w:t>i</w:t>
      </w:r>
      <w:r w:rsidRPr="00974D6D">
        <w:rPr>
          <w:rFonts w:ascii="Book Antiqua" w:hAnsi="Book Antiqua"/>
          <w:color w:val="auto"/>
          <w:sz w:val="24"/>
          <w:szCs w:val="24"/>
        </w:rPr>
        <w:t>mmunoscore</w:t>
      </w:r>
      <w:proofErr w:type="spellEnd"/>
      <w:r w:rsidRPr="00974D6D">
        <w:rPr>
          <w:rFonts w:ascii="Book Antiqua" w:hAnsi="Book Antiqua"/>
          <w:color w:val="auto"/>
          <w:sz w:val="24"/>
          <w:szCs w:val="24"/>
        </w:rPr>
        <w:t xml:space="preserve"> showed </w:t>
      </w:r>
      <w:r w:rsidR="005A56BD">
        <w:rPr>
          <w:rFonts w:ascii="Book Antiqua" w:hAnsi="Book Antiqua"/>
          <w:color w:val="auto"/>
          <w:sz w:val="24"/>
          <w:szCs w:val="24"/>
        </w:rPr>
        <w:t xml:space="preserve">a </w:t>
      </w:r>
      <w:r w:rsidRPr="00974D6D">
        <w:rPr>
          <w:rFonts w:ascii="Book Antiqua" w:hAnsi="Book Antiqua"/>
          <w:color w:val="auto"/>
          <w:sz w:val="24"/>
          <w:szCs w:val="24"/>
        </w:rPr>
        <w:t>significant negative correlation with the expression of PD-1 (</w:t>
      </w:r>
      <w:r w:rsidR="00F94933" w:rsidRPr="00974D6D">
        <w:rPr>
          <w:rFonts w:ascii="Book Antiqua" w:hAnsi="Book Antiqua"/>
          <w:i/>
          <w:color w:val="auto"/>
          <w:sz w:val="24"/>
          <w:szCs w:val="24"/>
        </w:rPr>
        <w:t>P</w:t>
      </w:r>
      <w:r w:rsidR="00F94933" w:rsidRPr="00974D6D">
        <w:rPr>
          <w:rFonts w:ascii="Book Antiqua" w:hAnsi="Book Antiqua" w:cs="MS Mincho"/>
          <w:color w:val="auto"/>
          <w:sz w:val="24"/>
          <w:szCs w:val="24"/>
        </w:rPr>
        <w:t xml:space="preserve"> </w:t>
      </w:r>
      <w:r w:rsidRPr="00974D6D">
        <w:rPr>
          <w:rFonts w:ascii="Book Antiqua" w:hAnsi="Book Antiqua"/>
          <w:color w:val="auto"/>
          <w:sz w:val="24"/>
          <w:szCs w:val="24"/>
        </w:rPr>
        <w:t>=</w:t>
      </w:r>
      <w:r w:rsidRPr="00974D6D">
        <w:rPr>
          <w:rFonts w:ascii="Times New Roman" w:hAnsi="Times New Roman" w:cs="Times New Roman"/>
          <w:color w:val="auto"/>
          <w:sz w:val="24"/>
          <w:szCs w:val="24"/>
        </w:rPr>
        <w:t> </w:t>
      </w:r>
      <w:r w:rsidRPr="00974D6D">
        <w:rPr>
          <w:rFonts w:ascii="Book Antiqua" w:hAnsi="Book Antiqua"/>
          <w:color w:val="auto"/>
          <w:sz w:val="24"/>
          <w:szCs w:val="24"/>
        </w:rPr>
        <w:t>0.024), PD-L1 (</w:t>
      </w:r>
      <w:r w:rsidR="00F94933" w:rsidRPr="00974D6D">
        <w:rPr>
          <w:rFonts w:ascii="Book Antiqua" w:hAnsi="Book Antiqua"/>
          <w:i/>
          <w:color w:val="auto"/>
          <w:sz w:val="24"/>
          <w:szCs w:val="24"/>
        </w:rPr>
        <w:t>P</w:t>
      </w:r>
      <w:r w:rsidR="00F94933" w:rsidRPr="00974D6D">
        <w:rPr>
          <w:rFonts w:ascii="Book Antiqua" w:hAnsi="Book Antiqua" w:cs="MS Mincho"/>
          <w:color w:val="auto"/>
          <w:sz w:val="24"/>
          <w:szCs w:val="24"/>
        </w:rPr>
        <w:t xml:space="preserve"> </w:t>
      </w:r>
      <w:r w:rsidRPr="00974D6D">
        <w:rPr>
          <w:rFonts w:ascii="Book Antiqua" w:hAnsi="Book Antiqua"/>
          <w:color w:val="auto"/>
          <w:sz w:val="24"/>
          <w:szCs w:val="24"/>
        </w:rPr>
        <w:t>=</w:t>
      </w:r>
      <w:r w:rsidRPr="00974D6D">
        <w:rPr>
          <w:rFonts w:ascii="Times New Roman" w:hAnsi="Times New Roman" w:cs="Times New Roman"/>
          <w:color w:val="auto"/>
          <w:sz w:val="24"/>
          <w:szCs w:val="24"/>
        </w:rPr>
        <w:t> </w:t>
      </w:r>
      <w:r w:rsidR="00F94933" w:rsidRPr="00974D6D">
        <w:rPr>
          <w:rFonts w:ascii="Book Antiqua" w:hAnsi="Book Antiqua"/>
          <w:color w:val="auto"/>
          <w:sz w:val="24"/>
          <w:szCs w:val="24"/>
        </w:rPr>
        <w:t>0.026), PD-L2 (</w:t>
      </w:r>
      <w:r w:rsidR="00F94933" w:rsidRPr="00974D6D">
        <w:rPr>
          <w:rFonts w:ascii="Book Antiqua" w:hAnsi="Book Antiqua"/>
          <w:i/>
          <w:color w:val="auto"/>
          <w:sz w:val="24"/>
          <w:szCs w:val="24"/>
        </w:rPr>
        <w:t>P</w:t>
      </w:r>
      <w:r w:rsidR="00F94933" w:rsidRPr="00974D6D">
        <w:rPr>
          <w:rFonts w:ascii="Book Antiqua" w:hAnsi="Book Antiqua"/>
          <w:color w:val="auto"/>
          <w:sz w:val="24"/>
          <w:szCs w:val="24"/>
        </w:rPr>
        <w:t xml:space="preserve"> </w:t>
      </w:r>
      <w:r w:rsidRPr="00974D6D">
        <w:rPr>
          <w:rFonts w:ascii="Book Antiqua" w:hAnsi="Book Antiqua"/>
          <w:color w:val="auto"/>
          <w:sz w:val="24"/>
          <w:szCs w:val="24"/>
        </w:rPr>
        <w:t>=</w:t>
      </w:r>
      <w:r w:rsidRPr="00974D6D">
        <w:rPr>
          <w:rFonts w:ascii="Times New Roman" w:hAnsi="Times New Roman" w:cs="Times New Roman"/>
          <w:color w:val="auto"/>
          <w:sz w:val="24"/>
          <w:szCs w:val="24"/>
        </w:rPr>
        <w:t> </w:t>
      </w:r>
      <w:r w:rsidRPr="00974D6D">
        <w:rPr>
          <w:rFonts w:ascii="Book Antiqua" w:hAnsi="Book Antiqua"/>
          <w:color w:val="auto"/>
          <w:sz w:val="24"/>
          <w:szCs w:val="24"/>
        </w:rPr>
        <w:t>0.029), and CD27 (</w:t>
      </w:r>
      <w:r w:rsidR="00F94933" w:rsidRPr="00974D6D">
        <w:rPr>
          <w:rFonts w:ascii="Book Antiqua" w:hAnsi="Book Antiqua"/>
          <w:i/>
          <w:color w:val="auto"/>
          <w:sz w:val="24"/>
          <w:szCs w:val="24"/>
        </w:rPr>
        <w:t>P</w:t>
      </w:r>
      <w:r w:rsidR="00F94933" w:rsidRPr="00974D6D">
        <w:rPr>
          <w:rFonts w:ascii="Book Antiqua" w:hAnsi="Book Antiqua"/>
          <w:color w:val="auto"/>
          <w:sz w:val="24"/>
          <w:szCs w:val="24"/>
        </w:rPr>
        <w:t xml:space="preserve"> </w:t>
      </w:r>
      <w:r w:rsidRPr="00974D6D">
        <w:rPr>
          <w:rFonts w:ascii="Book Antiqua" w:hAnsi="Book Antiqua"/>
          <w:color w:val="auto"/>
          <w:sz w:val="24"/>
          <w:szCs w:val="24"/>
        </w:rPr>
        <w:t>=</w:t>
      </w:r>
      <w:r w:rsidRPr="00974D6D">
        <w:rPr>
          <w:rFonts w:ascii="Times New Roman" w:hAnsi="Times New Roman" w:cs="Times New Roman"/>
          <w:color w:val="auto"/>
          <w:sz w:val="24"/>
          <w:szCs w:val="24"/>
        </w:rPr>
        <w:t> </w:t>
      </w:r>
      <w:r w:rsidRPr="00974D6D">
        <w:rPr>
          <w:rFonts w:ascii="Book Antiqua" w:hAnsi="Book Antiqua"/>
          <w:color w:val="auto"/>
          <w:sz w:val="24"/>
          <w:szCs w:val="24"/>
        </w:rPr>
        <w:t>0.033). Eight pathways were confirmed by GSEA.</w:t>
      </w:r>
    </w:p>
    <w:p w14:paraId="1E5A0AD8" w14:textId="77777777" w:rsidR="00E03495" w:rsidRPr="00974D6D"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7F5EB36B" w14:textId="77777777" w:rsidR="00E03495" w:rsidRPr="00974D6D" w:rsidRDefault="00F474B9" w:rsidP="00974D6D">
      <w:pPr>
        <w:framePr w:wrap="auto"/>
        <w:adjustRightInd w:val="0"/>
        <w:snapToGrid w:val="0"/>
        <w:spacing w:line="360" w:lineRule="auto"/>
        <w:rPr>
          <w:rFonts w:ascii="Book Antiqua" w:eastAsia="Times New Roman" w:hAnsi="Book Antiqua" w:cs="Times New Roman"/>
          <w:b/>
          <w:bCs/>
          <w:i/>
          <w:iCs/>
          <w:color w:val="auto"/>
          <w:sz w:val="24"/>
          <w:szCs w:val="24"/>
        </w:rPr>
      </w:pPr>
      <w:r w:rsidRPr="00974D6D">
        <w:rPr>
          <w:rFonts w:ascii="Book Antiqua" w:hAnsi="Book Antiqua"/>
          <w:b/>
          <w:bCs/>
          <w:i/>
          <w:iCs/>
          <w:color w:val="auto"/>
          <w:sz w:val="24"/>
          <w:szCs w:val="24"/>
        </w:rPr>
        <w:t>CONCLUSION</w:t>
      </w:r>
    </w:p>
    <w:p w14:paraId="6F15FD7D" w14:textId="77777777" w:rsidR="00E03495" w:rsidRPr="00974D6D"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974D6D">
        <w:rPr>
          <w:rFonts w:ascii="Book Antiqua" w:hAnsi="Book Antiqua"/>
          <w:color w:val="auto"/>
          <w:sz w:val="24"/>
          <w:szCs w:val="24"/>
        </w:rPr>
        <w:t xml:space="preserve">The established </w:t>
      </w:r>
      <w:proofErr w:type="spellStart"/>
      <w:r w:rsidRPr="00974D6D">
        <w:rPr>
          <w:rFonts w:ascii="Book Antiqua" w:hAnsi="Book Antiqua"/>
          <w:color w:val="auto"/>
          <w:sz w:val="24"/>
          <w:szCs w:val="24"/>
        </w:rPr>
        <w:t>immunoscore</w:t>
      </w:r>
      <w:proofErr w:type="spellEnd"/>
      <w:r w:rsidRPr="00974D6D">
        <w:rPr>
          <w:rFonts w:ascii="Book Antiqua" w:hAnsi="Book Antiqua"/>
          <w:color w:val="auto"/>
          <w:sz w:val="24"/>
          <w:szCs w:val="24"/>
        </w:rPr>
        <w:t xml:space="preserve"> can potentially serve as a candidate marker to estimate the OS for HBV-related HCC cases.</w:t>
      </w:r>
    </w:p>
    <w:p w14:paraId="39AA9AB9" w14:textId="77777777" w:rsidR="00E03495" w:rsidRPr="00974D6D"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60FE7DDA" w14:textId="02D38ACB" w:rsidR="00E03495" w:rsidRDefault="00F474B9" w:rsidP="00974D6D">
      <w:pPr>
        <w:framePr w:wrap="auto"/>
        <w:adjustRightInd w:val="0"/>
        <w:snapToGrid w:val="0"/>
        <w:spacing w:line="360" w:lineRule="auto"/>
        <w:rPr>
          <w:rFonts w:ascii="Book Antiqua" w:eastAsiaTheme="minorEastAsia" w:hAnsi="Book Antiqua"/>
          <w:color w:val="auto"/>
          <w:sz w:val="24"/>
          <w:szCs w:val="24"/>
        </w:rPr>
      </w:pPr>
      <w:r w:rsidRPr="00974D6D">
        <w:rPr>
          <w:rFonts w:ascii="Book Antiqua" w:hAnsi="Book Antiqua"/>
          <w:b/>
          <w:bCs/>
          <w:color w:val="auto"/>
          <w:sz w:val="24"/>
          <w:szCs w:val="24"/>
        </w:rPr>
        <w:t>Key</w:t>
      </w:r>
      <w:r w:rsidR="00305C2B">
        <w:rPr>
          <w:rFonts w:ascii="Book Antiqua" w:eastAsiaTheme="minorEastAsia" w:hAnsi="Book Antiqua" w:hint="eastAsia"/>
          <w:b/>
          <w:bCs/>
          <w:color w:val="auto"/>
          <w:sz w:val="24"/>
          <w:szCs w:val="24"/>
        </w:rPr>
        <w:t xml:space="preserve"> </w:t>
      </w:r>
      <w:r w:rsidRPr="00974D6D">
        <w:rPr>
          <w:rFonts w:ascii="Book Antiqua" w:hAnsi="Book Antiqua"/>
          <w:b/>
          <w:bCs/>
          <w:color w:val="auto"/>
          <w:sz w:val="24"/>
          <w:szCs w:val="24"/>
        </w:rPr>
        <w:t>words:</w:t>
      </w:r>
      <w:r w:rsidRPr="00974D6D">
        <w:rPr>
          <w:rFonts w:ascii="Book Antiqua" w:hAnsi="Book Antiqua"/>
          <w:color w:val="auto"/>
          <w:sz w:val="24"/>
          <w:szCs w:val="24"/>
        </w:rPr>
        <w:t xml:space="preserve"> Immune risk score; Hepatitis B virus; Hepatocellular carcinoma; Prognostic signature; </w:t>
      </w:r>
      <w:r w:rsidR="001C4126">
        <w:rPr>
          <w:rFonts w:ascii="Book Antiqua" w:hAnsi="Book Antiqua"/>
          <w:color w:val="auto"/>
          <w:sz w:val="24"/>
          <w:szCs w:val="24"/>
        </w:rPr>
        <w:t>C</w:t>
      </w:r>
      <w:r w:rsidR="001C4126" w:rsidRPr="001C4126">
        <w:rPr>
          <w:rFonts w:ascii="Book Antiqua" w:hAnsi="Book Antiqua"/>
          <w:color w:val="auto"/>
          <w:sz w:val="24"/>
          <w:szCs w:val="24"/>
        </w:rPr>
        <w:t>ell type identification by estimating relative subsets of RNA transcripts</w:t>
      </w:r>
    </w:p>
    <w:p w14:paraId="47406FFF" w14:textId="77777777" w:rsidR="00A3245A" w:rsidRDefault="00A3245A" w:rsidP="00974D6D">
      <w:pPr>
        <w:framePr w:wrap="auto"/>
        <w:adjustRightInd w:val="0"/>
        <w:snapToGrid w:val="0"/>
        <w:spacing w:line="360" w:lineRule="auto"/>
        <w:rPr>
          <w:rFonts w:ascii="Book Antiqua" w:eastAsiaTheme="minorEastAsia" w:hAnsi="Book Antiqua"/>
          <w:color w:val="auto"/>
          <w:sz w:val="24"/>
          <w:szCs w:val="24"/>
        </w:rPr>
      </w:pPr>
    </w:p>
    <w:p w14:paraId="0E155757" w14:textId="0087B761" w:rsidR="00A3245A" w:rsidRPr="00A3245A" w:rsidRDefault="00A3245A" w:rsidP="00A3245A">
      <w:pPr>
        <w:framePr w:wrap="auto"/>
        <w:widowControl/>
        <w:spacing w:line="360" w:lineRule="auto"/>
        <w:rPr>
          <w:rFonts w:ascii="Book Antiqua" w:eastAsia="宋体" w:hAnsi="Book Antiqua" w:cs="Times New Roman"/>
          <w:color w:val="auto"/>
          <w:kern w:val="0"/>
          <w:sz w:val="24"/>
          <w:szCs w:val="24"/>
        </w:rPr>
      </w:pPr>
      <w:bookmarkStart w:id="20" w:name="OLE_LINK43"/>
      <w:bookmarkStart w:id="21" w:name="OLE_LINK44"/>
      <w:bookmarkStart w:id="22" w:name="OLE_LINK67"/>
      <w:bookmarkStart w:id="23" w:name="OLE_LINK65"/>
      <w:bookmarkStart w:id="24" w:name="OLE_LINK71"/>
      <w:bookmarkStart w:id="25" w:name="OLE_LINK58"/>
      <w:bookmarkStart w:id="26" w:name="OLE_LINK59"/>
      <w:bookmarkStart w:id="27" w:name="OLE_LINK24"/>
      <w:r w:rsidRPr="00A3245A">
        <w:rPr>
          <w:rFonts w:ascii="Book Antiqua" w:eastAsia="宋体" w:hAnsi="Book Antiqua" w:cs="Times New Roman"/>
          <w:b/>
          <w:color w:val="auto"/>
          <w:kern w:val="0"/>
          <w:sz w:val="24"/>
          <w:szCs w:val="24"/>
        </w:rPr>
        <w:t>© The Author(s) 201</w:t>
      </w:r>
      <w:r w:rsidRPr="00A3245A">
        <w:rPr>
          <w:rFonts w:ascii="Book Antiqua" w:eastAsia="宋体" w:hAnsi="Book Antiqua" w:cs="Times New Roman" w:hint="eastAsia"/>
          <w:b/>
          <w:color w:val="auto"/>
          <w:kern w:val="0"/>
          <w:sz w:val="24"/>
          <w:szCs w:val="24"/>
        </w:rPr>
        <w:t>9</w:t>
      </w:r>
      <w:r w:rsidRPr="00A3245A">
        <w:rPr>
          <w:rFonts w:ascii="Book Antiqua" w:eastAsia="宋体" w:hAnsi="Book Antiqua" w:cs="Times New Roman"/>
          <w:b/>
          <w:color w:val="auto"/>
          <w:kern w:val="0"/>
          <w:sz w:val="24"/>
          <w:szCs w:val="24"/>
        </w:rPr>
        <w:t xml:space="preserve">. </w:t>
      </w:r>
      <w:r w:rsidRPr="00A3245A">
        <w:rPr>
          <w:rFonts w:ascii="Book Antiqua" w:eastAsia="宋体" w:hAnsi="Book Antiqua" w:cs="Times New Roman"/>
          <w:color w:val="auto"/>
          <w:kern w:val="0"/>
          <w:sz w:val="24"/>
          <w:szCs w:val="24"/>
        </w:rPr>
        <w:t xml:space="preserve">Published by </w:t>
      </w:r>
      <w:proofErr w:type="spellStart"/>
      <w:r w:rsidRPr="00A3245A">
        <w:rPr>
          <w:rFonts w:ascii="Book Antiqua" w:eastAsia="宋体" w:hAnsi="Book Antiqua" w:cs="Times New Roman"/>
          <w:color w:val="auto"/>
          <w:kern w:val="0"/>
          <w:sz w:val="24"/>
          <w:szCs w:val="24"/>
        </w:rPr>
        <w:t>Baishideng</w:t>
      </w:r>
      <w:proofErr w:type="spellEnd"/>
      <w:r w:rsidRPr="00A3245A">
        <w:rPr>
          <w:rFonts w:ascii="Book Antiqua" w:eastAsia="宋体" w:hAnsi="Book Antiqua" w:cs="Times New Roman"/>
          <w:color w:val="auto"/>
          <w:kern w:val="0"/>
          <w:sz w:val="24"/>
          <w:szCs w:val="24"/>
        </w:rPr>
        <w:t xml:space="preserve"> Publishing Group Inc. All rights reserved.</w:t>
      </w:r>
      <w:bookmarkEnd w:id="20"/>
      <w:bookmarkEnd w:id="21"/>
      <w:bookmarkEnd w:id="22"/>
      <w:bookmarkEnd w:id="23"/>
      <w:bookmarkEnd w:id="24"/>
      <w:r w:rsidRPr="00A3245A">
        <w:rPr>
          <w:rFonts w:ascii="Book Antiqua" w:eastAsia="宋体" w:hAnsi="Book Antiqua" w:cs="Times New Roman"/>
          <w:color w:val="auto"/>
          <w:kern w:val="0"/>
          <w:sz w:val="24"/>
          <w:szCs w:val="24"/>
        </w:rPr>
        <w:t xml:space="preserve"> </w:t>
      </w:r>
      <w:bookmarkEnd w:id="25"/>
      <w:bookmarkEnd w:id="26"/>
      <w:bookmarkEnd w:id="27"/>
    </w:p>
    <w:p w14:paraId="1E2EFB73" w14:textId="77777777" w:rsidR="00E03495" w:rsidRPr="00974D6D" w:rsidRDefault="00E03495" w:rsidP="00974D6D">
      <w:pPr>
        <w:framePr w:wrap="auto"/>
        <w:widowControl/>
        <w:adjustRightInd w:val="0"/>
        <w:snapToGrid w:val="0"/>
        <w:spacing w:line="360" w:lineRule="auto"/>
        <w:rPr>
          <w:rFonts w:ascii="Book Antiqua" w:eastAsia="Times New Roman" w:hAnsi="Book Antiqua" w:cs="Times New Roman"/>
          <w:color w:val="auto"/>
          <w:sz w:val="24"/>
          <w:szCs w:val="24"/>
        </w:rPr>
      </w:pPr>
    </w:p>
    <w:p w14:paraId="0B7129CC" w14:textId="7192BC22" w:rsidR="00E03495" w:rsidRDefault="00F474B9" w:rsidP="00974D6D">
      <w:pPr>
        <w:framePr w:wrap="auto"/>
        <w:widowControl/>
        <w:adjustRightInd w:val="0"/>
        <w:snapToGrid w:val="0"/>
        <w:spacing w:line="360" w:lineRule="auto"/>
        <w:rPr>
          <w:rFonts w:ascii="Book Antiqua" w:eastAsia="Arial Unicode MS" w:hAnsi="Book Antiqua" w:cs="Arial Unicode MS"/>
          <w:color w:val="auto"/>
          <w:sz w:val="24"/>
          <w:szCs w:val="24"/>
        </w:rPr>
      </w:pPr>
      <w:r w:rsidRPr="00974D6D">
        <w:rPr>
          <w:rFonts w:ascii="Book Antiqua" w:hAnsi="Book Antiqua"/>
          <w:b/>
          <w:bCs/>
          <w:color w:val="auto"/>
          <w:sz w:val="24"/>
          <w:szCs w:val="24"/>
        </w:rPr>
        <w:t>Core tip:</w:t>
      </w:r>
      <w:r w:rsidRPr="00974D6D">
        <w:rPr>
          <w:rFonts w:ascii="Book Antiqua" w:hAnsi="Book Antiqua"/>
          <w:color w:val="auto"/>
          <w:sz w:val="24"/>
          <w:szCs w:val="24"/>
        </w:rPr>
        <w:t xml:space="preserve"> Hepatitis B virus (HBV) infection is epidemiologically related to hepatocellular carcinoma (HCC) development. Immune cells have been recognized to play crucial roles in the prognosis of various types of cancers, including HCC. The immune signature for HBV-related HCC remains unknown. In this study, we explored the proportions of immunocytes, and constructed a robust immune signature to predict the prognosis. These results </w:t>
      </w:r>
      <w:r w:rsidRPr="00974D6D">
        <w:rPr>
          <w:rFonts w:ascii="Book Antiqua" w:hAnsi="Book Antiqua"/>
          <w:color w:val="auto"/>
          <w:sz w:val="24"/>
          <w:szCs w:val="24"/>
        </w:rPr>
        <w:lastRenderedPageBreak/>
        <w:t>might contribute to risk stratification and facilitate individualized clinical approach for HBV-related HCC.</w:t>
      </w:r>
    </w:p>
    <w:p w14:paraId="25485186" w14:textId="77777777" w:rsidR="00A3245A" w:rsidRPr="00974D6D" w:rsidRDefault="00A3245A" w:rsidP="00974D6D">
      <w:pPr>
        <w:framePr w:wrap="auto"/>
        <w:widowControl/>
        <w:adjustRightInd w:val="0"/>
        <w:snapToGrid w:val="0"/>
        <w:spacing w:line="360" w:lineRule="auto"/>
        <w:rPr>
          <w:rFonts w:ascii="Book Antiqua" w:hAnsi="Book Antiqua"/>
          <w:color w:val="auto"/>
          <w:sz w:val="24"/>
        </w:rPr>
      </w:pPr>
    </w:p>
    <w:p w14:paraId="0F5D215F" w14:textId="4A16A3D2" w:rsidR="002A5D19" w:rsidRPr="00974D6D" w:rsidRDefault="00961904" w:rsidP="00974D6D">
      <w:pPr>
        <w:framePr w:wrap="auto"/>
        <w:adjustRightInd w:val="0"/>
        <w:snapToGrid w:val="0"/>
        <w:spacing w:line="360" w:lineRule="auto"/>
        <w:rPr>
          <w:rFonts w:ascii="Book Antiqua" w:hAnsi="Book Antiqua"/>
          <w:b/>
          <w:bCs/>
          <w:color w:val="auto"/>
          <w:sz w:val="24"/>
          <w:szCs w:val="24"/>
        </w:rPr>
      </w:pPr>
      <w:bookmarkStart w:id="28" w:name="OLE_LINK95"/>
      <w:bookmarkStart w:id="29" w:name="OLE_LINK53"/>
      <w:bookmarkStart w:id="30" w:name="OLE_LINK47"/>
      <w:bookmarkStart w:id="31" w:name="OLE_LINK48"/>
      <w:bookmarkStart w:id="32" w:name="OLE_LINK289"/>
      <w:bookmarkStart w:id="33" w:name="OLE_LINK494"/>
      <w:bookmarkStart w:id="34" w:name="OLE_LINK428"/>
      <w:r w:rsidRPr="00974D6D">
        <w:rPr>
          <w:rFonts w:ascii="Book Antiqua" w:eastAsia="宋体" w:hAnsi="Book Antiqua" w:cs="Times New Roman"/>
          <w:color w:val="auto"/>
          <w:sz w:val="24"/>
          <w:szCs w:val="22"/>
        </w:rPr>
        <w:t>C</w:t>
      </w:r>
      <w:r w:rsidR="00E7189C" w:rsidRPr="00974D6D">
        <w:rPr>
          <w:rFonts w:ascii="Book Antiqua" w:eastAsia="宋体" w:hAnsi="Book Antiqua" w:cs="Times New Roman"/>
          <w:color w:val="auto"/>
          <w:sz w:val="24"/>
          <w:szCs w:val="22"/>
        </w:rPr>
        <w:t xml:space="preserve">hen </w:t>
      </w:r>
      <w:r w:rsidR="002A5D19" w:rsidRPr="00974D6D">
        <w:rPr>
          <w:rFonts w:ascii="Book Antiqua" w:eastAsia="宋体" w:hAnsi="Book Antiqua" w:cs="Times New Roman"/>
          <w:color w:val="auto"/>
          <w:sz w:val="24"/>
          <w:szCs w:val="22"/>
        </w:rPr>
        <w:t>QF, L</w:t>
      </w:r>
      <w:r w:rsidR="00E7189C" w:rsidRPr="00974D6D">
        <w:rPr>
          <w:rFonts w:ascii="Book Antiqua" w:eastAsia="宋体" w:hAnsi="Book Antiqua" w:cs="Times New Roman"/>
          <w:color w:val="auto"/>
          <w:sz w:val="24"/>
          <w:szCs w:val="22"/>
        </w:rPr>
        <w:t xml:space="preserve">i </w:t>
      </w:r>
      <w:r w:rsidRPr="00974D6D">
        <w:rPr>
          <w:rFonts w:ascii="Book Antiqua" w:eastAsia="宋体" w:hAnsi="Book Antiqua" w:cs="Times New Roman"/>
          <w:color w:val="auto"/>
          <w:sz w:val="24"/>
          <w:szCs w:val="22"/>
        </w:rPr>
        <w:t>W</w:t>
      </w:r>
      <w:r w:rsidR="002A5D19" w:rsidRPr="00974D6D">
        <w:rPr>
          <w:rFonts w:ascii="Book Antiqua" w:eastAsia="宋体" w:hAnsi="Book Antiqua" w:cs="Times New Roman"/>
          <w:color w:val="auto"/>
          <w:sz w:val="24"/>
          <w:szCs w:val="22"/>
        </w:rPr>
        <w:t xml:space="preserve">, </w:t>
      </w:r>
      <w:r w:rsidRPr="00974D6D">
        <w:rPr>
          <w:rFonts w:ascii="Book Antiqua" w:eastAsia="宋体" w:hAnsi="Book Antiqua" w:cs="Times New Roman"/>
          <w:color w:val="auto"/>
          <w:sz w:val="24"/>
          <w:szCs w:val="22"/>
        </w:rPr>
        <w:t>W</w:t>
      </w:r>
      <w:r w:rsidR="00E7189C" w:rsidRPr="00974D6D">
        <w:rPr>
          <w:rFonts w:ascii="Book Antiqua" w:eastAsia="宋体" w:hAnsi="Book Antiqua" w:cs="Times New Roman"/>
          <w:color w:val="auto"/>
          <w:sz w:val="24"/>
          <w:szCs w:val="22"/>
        </w:rPr>
        <w:t xml:space="preserve">u </w:t>
      </w:r>
      <w:r w:rsidRPr="00974D6D">
        <w:rPr>
          <w:rFonts w:ascii="Book Antiqua" w:eastAsia="宋体" w:hAnsi="Book Antiqua" w:cs="Times New Roman"/>
          <w:color w:val="auto"/>
          <w:sz w:val="24"/>
          <w:szCs w:val="22"/>
        </w:rPr>
        <w:t>PH, S</w:t>
      </w:r>
      <w:r w:rsidR="00E7189C" w:rsidRPr="00974D6D">
        <w:rPr>
          <w:rFonts w:ascii="Book Antiqua" w:eastAsia="宋体" w:hAnsi="Book Antiqua" w:cs="Times New Roman"/>
          <w:color w:val="auto"/>
          <w:sz w:val="24"/>
          <w:szCs w:val="22"/>
        </w:rPr>
        <w:t xml:space="preserve">hen </w:t>
      </w:r>
      <w:r w:rsidRPr="00974D6D">
        <w:rPr>
          <w:rFonts w:ascii="Book Antiqua" w:eastAsia="宋体" w:hAnsi="Book Antiqua" w:cs="Times New Roman"/>
          <w:color w:val="auto"/>
          <w:sz w:val="24"/>
          <w:szCs w:val="22"/>
        </w:rPr>
        <w:t>LJ, and H</w:t>
      </w:r>
      <w:r w:rsidR="00E7189C" w:rsidRPr="00974D6D">
        <w:rPr>
          <w:rFonts w:ascii="Book Antiqua" w:eastAsia="宋体" w:hAnsi="Book Antiqua" w:cs="Times New Roman"/>
          <w:color w:val="auto"/>
          <w:sz w:val="24"/>
          <w:szCs w:val="22"/>
        </w:rPr>
        <w:t xml:space="preserve">uang </w:t>
      </w:r>
      <w:r w:rsidRPr="00974D6D">
        <w:rPr>
          <w:rFonts w:ascii="Book Antiqua" w:eastAsia="宋体" w:hAnsi="Book Antiqua" w:cs="Times New Roman"/>
          <w:color w:val="auto"/>
          <w:sz w:val="24"/>
          <w:szCs w:val="22"/>
        </w:rPr>
        <w:t xml:space="preserve">ZL. Significance of tumor-infiltrating </w:t>
      </w:r>
      <w:proofErr w:type="spellStart"/>
      <w:r w:rsidRPr="00974D6D">
        <w:rPr>
          <w:rFonts w:ascii="Book Antiqua" w:eastAsia="宋体" w:hAnsi="Book Antiqua" w:cs="Times New Roman"/>
          <w:color w:val="auto"/>
          <w:sz w:val="24"/>
          <w:szCs w:val="22"/>
        </w:rPr>
        <w:t>immunocytes</w:t>
      </w:r>
      <w:proofErr w:type="spellEnd"/>
      <w:r w:rsidRPr="00974D6D">
        <w:rPr>
          <w:rFonts w:ascii="Book Antiqua" w:eastAsia="宋体" w:hAnsi="Book Antiqua" w:cs="Times New Roman"/>
          <w:color w:val="auto"/>
          <w:sz w:val="24"/>
          <w:szCs w:val="22"/>
        </w:rPr>
        <w:t xml:space="preserve"> for predicting</w:t>
      </w:r>
      <w:r w:rsidR="005A56BD">
        <w:rPr>
          <w:rFonts w:ascii="Book Antiqua" w:eastAsia="宋体" w:hAnsi="Book Antiqua" w:cs="Times New Roman"/>
          <w:color w:val="auto"/>
          <w:sz w:val="24"/>
          <w:szCs w:val="22"/>
        </w:rPr>
        <w:t xml:space="preserve"> </w:t>
      </w:r>
      <w:r w:rsidRPr="00974D6D">
        <w:rPr>
          <w:rFonts w:ascii="Book Antiqua" w:eastAsia="宋体" w:hAnsi="Book Antiqua" w:cs="Times New Roman"/>
          <w:color w:val="auto"/>
          <w:sz w:val="24"/>
          <w:szCs w:val="22"/>
        </w:rPr>
        <w:t>prognosis of hepatitis B virus-related hepatocellular carcinoma</w:t>
      </w:r>
      <w:bookmarkStart w:id="35" w:name="OLE_LINK108"/>
      <w:bookmarkStart w:id="36" w:name="OLE_LINK109"/>
      <w:r w:rsidR="002A5D19" w:rsidRPr="00974D6D">
        <w:rPr>
          <w:rFonts w:ascii="Book Antiqua" w:eastAsia="宋体" w:hAnsi="Book Antiqua" w:cs="Times New Roman"/>
          <w:color w:val="auto"/>
          <w:sz w:val="24"/>
          <w:szCs w:val="22"/>
        </w:rPr>
        <w:t>.</w:t>
      </w:r>
      <w:bookmarkEnd w:id="28"/>
      <w:r w:rsidR="002A5D19" w:rsidRPr="00974D6D">
        <w:rPr>
          <w:rFonts w:ascii="Book Antiqua" w:eastAsia="宋体" w:hAnsi="Book Antiqua" w:cs="Times New Roman"/>
          <w:i/>
          <w:color w:val="auto"/>
          <w:sz w:val="24"/>
          <w:szCs w:val="22"/>
        </w:rPr>
        <w:t xml:space="preserve"> </w:t>
      </w:r>
      <w:bookmarkStart w:id="37" w:name="OLE_LINK1105"/>
      <w:bookmarkStart w:id="38" w:name="OLE_LINK1107"/>
      <w:bookmarkEnd w:id="29"/>
      <w:r w:rsidR="002A5D19" w:rsidRPr="00974D6D">
        <w:rPr>
          <w:rFonts w:ascii="Book Antiqua" w:eastAsia="宋体" w:hAnsi="Book Antiqua" w:cs="Times New Roman"/>
          <w:i/>
          <w:color w:val="auto"/>
          <w:sz w:val="24"/>
          <w:szCs w:val="22"/>
        </w:rPr>
        <w:t xml:space="preserve">World J Gastroenterol </w:t>
      </w:r>
      <w:r w:rsidR="002A5D19" w:rsidRPr="00974D6D">
        <w:rPr>
          <w:rFonts w:ascii="Book Antiqua" w:eastAsia="宋体" w:hAnsi="Book Antiqua" w:cs="Times New Roman"/>
          <w:color w:val="auto"/>
          <w:sz w:val="24"/>
          <w:szCs w:val="22"/>
        </w:rPr>
        <w:t>2019; In press</w:t>
      </w:r>
      <w:bookmarkEnd w:id="30"/>
      <w:bookmarkEnd w:id="31"/>
      <w:bookmarkEnd w:id="32"/>
      <w:bookmarkEnd w:id="33"/>
      <w:bookmarkEnd w:id="34"/>
      <w:bookmarkEnd w:id="35"/>
      <w:bookmarkEnd w:id="36"/>
      <w:bookmarkEnd w:id="37"/>
      <w:bookmarkEnd w:id="38"/>
      <w:r w:rsidR="002A5D19" w:rsidRPr="00974D6D">
        <w:rPr>
          <w:rFonts w:ascii="Book Antiqua" w:hAnsi="Book Antiqua"/>
          <w:b/>
          <w:bCs/>
          <w:color w:val="auto"/>
          <w:sz w:val="24"/>
          <w:szCs w:val="24"/>
        </w:rPr>
        <w:t xml:space="preserve"> </w:t>
      </w:r>
    </w:p>
    <w:p w14:paraId="02D5FE13" w14:textId="77777777" w:rsidR="002A5D19" w:rsidRPr="00974D6D" w:rsidRDefault="002A5D19" w:rsidP="00974D6D">
      <w:pPr>
        <w:framePr w:wrap="auto"/>
        <w:widowControl/>
        <w:adjustRightInd w:val="0"/>
        <w:snapToGrid w:val="0"/>
        <w:spacing w:line="360" w:lineRule="auto"/>
        <w:rPr>
          <w:rFonts w:ascii="Book Antiqua" w:hAnsi="Book Antiqua"/>
          <w:b/>
          <w:bCs/>
          <w:color w:val="auto"/>
          <w:sz w:val="24"/>
          <w:szCs w:val="24"/>
        </w:rPr>
      </w:pPr>
      <w:r w:rsidRPr="00974D6D">
        <w:rPr>
          <w:rFonts w:ascii="Book Antiqua" w:hAnsi="Book Antiqua"/>
          <w:b/>
          <w:bCs/>
          <w:color w:val="auto"/>
          <w:sz w:val="24"/>
          <w:szCs w:val="24"/>
        </w:rPr>
        <w:br w:type="page"/>
      </w:r>
    </w:p>
    <w:p w14:paraId="6680DA18" w14:textId="77777777" w:rsidR="00E03495" w:rsidRPr="00974D6D" w:rsidRDefault="00F474B9" w:rsidP="00974D6D">
      <w:pPr>
        <w:framePr w:wrap="auto"/>
        <w:adjustRightInd w:val="0"/>
        <w:snapToGrid w:val="0"/>
        <w:spacing w:line="360" w:lineRule="auto"/>
        <w:rPr>
          <w:rFonts w:ascii="Book Antiqua" w:eastAsia="Times New Roman" w:hAnsi="Book Antiqua" w:cs="Times New Roman"/>
          <w:b/>
          <w:bCs/>
          <w:color w:val="auto"/>
          <w:sz w:val="24"/>
          <w:szCs w:val="24"/>
        </w:rPr>
      </w:pPr>
      <w:r w:rsidRPr="00974D6D">
        <w:rPr>
          <w:rFonts w:ascii="Book Antiqua" w:hAnsi="Book Antiqua"/>
          <w:b/>
          <w:bCs/>
          <w:color w:val="auto"/>
          <w:sz w:val="24"/>
          <w:szCs w:val="24"/>
        </w:rPr>
        <w:lastRenderedPageBreak/>
        <w:t>INTRODUCTION</w:t>
      </w:r>
    </w:p>
    <w:p w14:paraId="783BB797" w14:textId="249FECF8"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Fonts w:ascii="Book Antiqua" w:hAnsi="Book Antiqua"/>
          <w:color w:val="auto"/>
          <w:sz w:val="24"/>
          <w:szCs w:val="24"/>
        </w:rPr>
        <w:t>Although the screening, diagnostic, and therapeutic techniques for hepatocellular carcinoma (HCC) have progressed, it remains a major cause of cancer-related death worldwide</w:t>
      </w:r>
      <w:r w:rsidR="00A3245A">
        <w:rPr>
          <w:rFonts w:ascii="Book Antiqua" w:hAnsi="Book Antiqua"/>
          <w:color w:val="auto"/>
          <w:sz w:val="24"/>
          <w:szCs w:val="24"/>
        </w:rPr>
        <w:t>, with dismal clinical outcomes</w:t>
      </w:r>
      <w:r w:rsidRPr="00974D6D">
        <w:rPr>
          <w:rFonts w:ascii="Book Antiqua" w:hAnsi="Book Antiqua"/>
          <w:color w:val="auto"/>
          <w:sz w:val="24"/>
          <w:szCs w:val="24"/>
          <w:vertAlign w:val="superscript"/>
        </w:rPr>
        <w:t>[</w:t>
      </w:r>
      <w:hyperlink w:anchor="bookmark" w:history="1">
        <w:r w:rsidRPr="00974D6D">
          <w:rPr>
            <w:rStyle w:val="Hyperlink0"/>
            <w:rFonts w:ascii="Book Antiqua" w:eastAsia="Calibri" w:hAnsi="Book Antiqua"/>
            <w:color w:val="auto"/>
          </w:rPr>
          <w:t>1</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Hepatitis viruses have been epidemiologic</w:t>
      </w:r>
      <w:r w:rsidR="00A3245A">
        <w:rPr>
          <w:rStyle w:val="None"/>
          <w:rFonts w:ascii="Book Antiqua" w:hAnsi="Book Antiqua"/>
          <w:color w:val="auto"/>
          <w:sz w:val="24"/>
          <w:szCs w:val="24"/>
        </w:rPr>
        <w:t>ally related to HCC development</w:t>
      </w:r>
      <w:r w:rsidRPr="00974D6D">
        <w:rPr>
          <w:rStyle w:val="Hyperlink0"/>
          <w:rFonts w:ascii="Book Antiqua" w:eastAsia="Calibri" w:hAnsi="Book Antiqua"/>
          <w:color w:val="auto"/>
        </w:rPr>
        <w:t>[</w:t>
      </w:r>
      <w:hyperlink w:anchor="bookmark1" w:history="1">
        <w:r w:rsidRPr="00974D6D">
          <w:rPr>
            <w:rStyle w:val="Hyperlink0"/>
            <w:rFonts w:ascii="Book Antiqua" w:eastAsia="Calibri" w:hAnsi="Book Antiqua"/>
            <w:color w:val="auto"/>
          </w:rPr>
          <w:t>2</w:t>
        </w:r>
      </w:hyperlink>
      <w:r w:rsidR="00A3245A">
        <w:rPr>
          <w:rStyle w:val="Hyperlink0"/>
          <w:rFonts w:ascii="Book Antiqua" w:eastAsia="Calibri" w:hAnsi="Book Antiqua"/>
          <w:color w:val="auto"/>
        </w:rPr>
        <w:t>,</w:t>
      </w:r>
      <w:hyperlink w:anchor="bookmark2" w:history="1">
        <w:r w:rsidRPr="00974D6D">
          <w:rPr>
            <w:rStyle w:val="Hyperlink0"/>
            <w:rFonts w:ascii="Book Antiqua" w:eastAsia="Calibri" w:hAnsi="Book Antiqua"/>
            <w:color w:val="auto"/>
          </w:rPr>
          <w:t>3</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of which hepatitis B virus (HBV) has been recognized as a major fa</w:t>
      </w:r>
      <w:r w:rsidR="00A3245A">
        <w:rPr>
          <w:rStyle w:val="None"/>
          <w:rFonts w:ascii="Book Antiqua" w:hAnsi="Book Antiqua"/>
          <w:color w:val="auto"/>
          <w:sz w:val="24"/>
          <w:szCs w:val="24"/>
        </w:rPr>
        <w:t>ctor for HCC in Asian countries</w:t>
      </w:r>
      <w:r w:rsidRPr="00974D6D">
        <w:rPr>
          <w:rStyle w:val="Hyperlink0"/>
          <w:rFonts w:ascii="Book Antiqua" w:eastAsia="Calibri" w:hAnsi="Book Antiqua"/>
          <w:color w:val="auto"/>
        </w:rPr>
        <w:t>[</w:t>
      </w:r>
      <w:hyperlink w:anchor="bookmark3" w:history="1">
        <w:r w:rsidRPr="00974D6D">
          <w:rPr>
            <w:rStyle w:val="Hyperlink0"/>
            <w:rFonts w:ascii="Book Antiqua" w:eastAsia="Calibri" w:hAnsi="Book Antiqua"/>
            <w:color w:val="auto"/>
          </w:rPr>
          <w:t>4</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Typically, HBV infection is more prevalent in Eastern Asia, such as China, where over two-third</w:t>
      </w:r>
      <w:r w:rsidR="005A56BD">
        <w:rPr>
          <w:rStyle w:val="None"/>
          <w:rFonts w:ascii="Book Antiqua" w:hAnsi="Book Antiqua"/>
          <w:color w:val="auto"/>
          <w:sz w:val="24"/>
          <w:szCs w:val="24"/>
        </w:rPr>
        <w:t>s of</w:t>
      </w:r>
      <w:r w:rsidRPr="00974D6D">
        <w:rPr>
          <w:rStyle w:val="None"/>
          <w:rFonts w:ascii="Book Antiqua" w:hAnsi="Book Antiqua"/>
          <w:color w:val="auto"/>
          <w:sz w:val="24"/>
          <w:szCs w:val="24"/>
        </w:rPr>
        <w:t xml:space="preserve"> pa</w:t>
      </w:r>
      <w:r w:rsidR="00A3245A">
        <w:rPr>
          <w:rStyle w:val="None"/>
          <w:rFonts w:ascii="Book Antiqua" w:hAnsi="Book Antiqua"/>
          <w:color w:val="auto"/>
          <w:sz w:val="24"/>
          <w:szCs w:val="24"/>
        </w:rPr>
        <w:t xml:space="preserve">tients are </w:t>
      </w:r>
      <w:proofErr w:type="gramStart"/>
      <w:r w:rsidR="00A3245A">
        <w:rPr>
          <w:rStyle w:val="None"/>
          <w:rFonts w:ascii="Book Antiqua" w:hAnsi="Book Antiqua"/>
          <w:color w:val="auto"/>
          <w:sz w:val="24"/>
          <w:szCs w:val="24"/>
        </w:rPr>
        <w:t>detected</w:t>
      </w:r>
      <w:r w:rsidRPr="00974D6D">
        <w:rPr>
          <w:rStyle w:val="Hyperlink0"/>
          <w:rFonts w:ascii="Book Antiqua" w:eastAsia="Calibri" w:hAnsi="Book Antiqua"/>
          <w:color w:val="auto"/>
        </w:rPr>
        <w:t>[</w:t>
      </w:r>
      <w:proofErr w:type="gramEnd"/>
      <w:r w:rsidR="00D66E7D">
        <w:fldChar w:fldCharType="begin"/>
      </w:r>
      <w:r w:rsidR="00D66E7D">
        <w:instrText xml:space="preserve"> HYPERLINK \l "bookmark4" </w:instrText>
      </w:r>
      <w:r w:rsidR="00D66E7D">
        <w:fldChar w:fldCharType="separate"/>
      </w:r>
      <w:r w:rsidRPr="00974D6D">
        <w:rPr>
          <w:rStyle w:val="Hyperlink0"/>
          <w:rFonts w:ascii="Book Antiqua" w:eastAsia="Calibri" w:hAnsi="Book Antiqua"/>
          <w:color w:val="auto"/>
        </w:rPr>
        <w:t>5</w:t>
      </w:r>
      <w:r w:rsidR="00D66E7D">
        <w:rPr>
          <w:rStyle w:val="Hyperlink0"/>
          <w:rFonts w:ascii="Book Antiqua" w:eastAsia="Calibri" w:hAnsi="Book Antiqua"/>
          <w:color w:val="auto"/>
        </w:rPr>
        <w:fldChar w:fldCharType="end"/>
      </w:r>
      <w:r w:rsidRPr="00974D6D">
        <w:rPr>
          <w:rStyle w:val="Hyperlink0"/>
          <w:rFonts w:ascii="Book Antiqua" w:eastAsia="Calibri" w:hAnsi="Book Antiqua"/>
          <w:color w:val="auto"/>
        </w:rPr>
        <w:t>]</w:t>
      </w:r>
      <w:r w:rsidRPr="00974D6D">
        <w:rPr>
          <w:rStyle w:val="None"/>
          <w:rFonts w:ascii="Book Antiqua" w:hAnsi="Book Antiqua"/>
          <w:color w:val="auto"/>
          <w:sz w:val="24"/>
          <w:szCs w:val="24"/>
        </w:rPr>
        <w:t>.</w:t>
      </w:r>
    </w:p>
    <w:p w14:paraId="25FF09C7" w14:textId="4AFE4C92" w:rsidR="00E03495" w:rsidRPr="00974D6D" w:rsidRDefault="00F474B9" w:rsidP="00A3245A">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Although the etiological link between HBV and HCC has been well established, the effect of immunocytes on tumor-related microenvironment remains largely unclear. The tumor-infiltrating lymphocytes can serve as prognostic factors </w:t>
      </w:r>
      <w:r w:rsidR="005A56BD">
        <w:rPr>
          <w:rStyle w:val="None"/>
          <w:rFonts w:ascii="Book Antiqua" w:hAnsi="Book Antiqua"/>
          <w:color w:val="auto"/>
          <w:sz w:val="24"/>
          <w:szCs w:val="24"/>
        </w:rPr>
        <w:t>for</w:t>
      </w:r>
      <w:r w:rsidR="005A56BD" w:rsidRPr="00974D6D">
        <w:rPr>
          <w:rStyle w:val="None"/>
          <w:rFonts w:ascii="Book Antiqua" w:hAnsi="Book Antiqua"/>
          <w:color w:val="auto"/>
          <w:sz w:val="24"/>
          <w:szCs w:val="24"/>
        </w:rPr>
        <w:t xml:space="preserve"> </w:t>
      </w:r>
      <w:r w:rsidR="00A3245A">
        <w:rPr>
          <w:rStyle w:val="None"/>
          <w:rFonts w:ascii="Book Antiqua" w:hAnsi="Book Antiqua"/>
          <w:color w:val="auto"/>
          <w:sz w:val="24"/>
          <w:szCs w:val="24"/>
        </w:rPr>
        <w:t xml:space="preserve">HCC, and are a research </w:t>
      </w:r>
      <w:proofErr w:type="gramStart"/>
      <w:r w:rsidR="00A3245A">
        <w:rPr>
          <w:rStyle w:val="None"/>
          <w:rFonts w:ascii="Book Antiqua" w:hAnsi="Book Antiqua"/>
          <w:color w:val="auto"/>
          <w:sz w:val="24"/>
          <w:szCs w:val="24"/>
        </w:rPr>
        <w:t>hotspot</w:t>
      </w:r>
      <w:r w:rsidRPr="00974D6D">
        <w:rPr>
          <w:rStyle w:val="Hyperlink0"/>
          <w:rFonts w:ascii="Book Antiqua" w:eastAsia="Calibri" w:hAnsi="Book Antiqua"/>
          <w:color w:val="auto"/>
        </w:rPr>
        <w:t>[</w:t>
      </w:r>
      <w:proofErr w:type="gramEnd"/>
      <w:r w:rsidR="00D66E7D">
        <w:fldChar w:fldCharType="begin"/>
      </w:r>
      <w:r w:rsidR="00D66E7D">
        <w:instrText xml:space="preserve"> HYPERLINK \l "bookmark5" </w:instrText>
      </w:r>
      <w:r w:rsidR="00D66E7D">
        <w:fldChar w:fldCharType="separate"/>
      </w:r>
      <w:r w:rsidRPr="00974D6D">
        <w:rPr>
          <w:rStyle w:val="Hyperlink0"/>
          <w:rFonts w:ascii="Book Antiqua" w:eastAsia="Calibri" w:hAnsi="Book Antiqua"/>
          <w:color w:val="auto"/>
        </w:rPr>
        <w:t>6</w:t>
      </w:r>
      <w:r w:rsidR="00D66E7D">
        <w:rPr>
          <w:rStyle w:val="Hyperlink0"/>
          <w:rFonts w:ascii="Book Antiqua" w:eastAsia="Calibri" w:hAnsi="Book Antiqua"/>
          <w:color w:val="auto"/>
        </w:rPr>
        <w:fldChar w:fldCharType="end"/>
      </w:r>
      <w:r w:rsidR="00A3245A">
        <w:rPr>
          <w:rStyle w:val="Hyperlink0"/>
          <w:rFonts w:ascii="Book Antiqua" w:eastAsia="Calibri" w:hAnsi="Book Antiqua"/>
          <w:color w:val="auto"/>
        </w:rPr>
        <w:t>,</w:t>
      </w:r>
      <w:hyperlink w:anchor="bookmark6" w:history="1">
        <w:r w:rsidRPr="00974D6D">
          <w:rPr>
            <w:rStyle w:val="Hyperlink0"/>
            <w:rFonts w:ascii="Book Antiqua" w:eastAsia="Calibri" w:hAnsi="Book Antiqua"/>
            <w:color w:val="auto"/>
          </w:rPr>
          <w:t>7</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Nonetheless, the non-lymphocyte immunocytes have also been recognized to play crucial roles in prognosis of various types of can</w:t>
      </w:r>
      <w:r w:rsidR="00A3245A">
        <w:rPr>
          <w:rStyle w:val="None"/>
          <w:rFonts w:ascii="Book Antiqua" w:hAnsi="Book Antiqua"/>
          <w:color w:val="auto"/>
          <w:sz w:val="24"/>
          <w:szCs w:val="24"/>
        </w:rPr>
        <w:t>cers</w:t>
      </w:r>
      <w:r w:rsidRPr="00974D6D">
        <w:rPr>
          <w:rStyle w:val="Hyperlink0"/>
          <w:rFonts w:ascii="Book Antiqua" w:eastAsia="Calibri" w:hAnsi="Book Antiqua"/>
          <w:color w:val="auto"/>
        </w:rPr>
        <w:t>[</w:t>
      </w:r>
      <w:hyperlink w:anchor="bookmark7" w:history="1">
        <w:r w:rsidRPr="00974D6D">
          <w:rPr>
            <w:rStyle w:val="Hyperlink0"/>
            <w:rFonts w:ascii="Book Antiqua" w:eastAsia="Calibri" w:hAnsi="Book Antiqua"/>
            <w:color w:val="auto"/>
          </w:rPr>
          <w:t>8</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Therefore, it is critical to comprehensively predict the </w:t>
      </w:r>
      <w:r w:rsidRPr="00392487">
        <w:rPr>
          <w:rStyle w:val="None"/>
          <w:rFonts w:ascii="Book Antiqua" w:hAnsi="Book Antiqua"/>
          <w:color w:val="auto"/>
          <w:sz w:val="24"/>
          <w:szCs w:val="24"/>
        </w:rPr>
        <w:t>immune</w:t>
      </w:r>
      <w:r w:rsidR="00392487">
        <w:rPr>
          <w:rStyle w:val="None"/>
          <w:rFonts w:ascii="Book Antiqua" w:hAnsi="Book Antiqua"/>
          <w:color w:val="auto"/>
          <w:sz w:val="24"/>
          <w:szCs w:val="24"/>
        </w:rPr>
        <w:t>-related</w:t>
      </w:r>
      <w:r w:rsidRPr="00392487">
        <w:rPr>
          <w:rStyle w:val="None"/>
          <w:rFonts w:ascii="Book Antiqua" w:hAnsi="Book Antiqua"/>
          <w:color w:val="auto"/>
          <w:sz w:val="24"/>
          <w:szCs w:val="24"/>
        </w:rPr>
        <w:t xml:space="preserve"> prognosis</w:t>
      </w:r>
      <w:r w:rsidRPr="00974D6D">
        <w:rPr>
          <w:rStyle w:val="None"/>
          <w:rFonts w:ascii="Book Antiqua" w:hAnsi="Book Antiqua"/>
          <w:color w:val="auto"/>
          <w:sz w:val="24"/>
          <w:szCs w:val="24"/>
        </w:rPr>
        <w:t>.</w:t>
      </w:r>
    </w:p>
    <w:p w14:paraId="4426DCC0" w14:textId="2EA035CE" w:rsidR="00E03495" w:rsidRPr="00974D6D" w:rsidRDefault="00F474B9" w:rsidP="00A3245A">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traditional approaches to measure immune infiltrate in tumors, like immunohistochemistry (IHC) and flow cytometry, cannot thoroughly evaluate the immune functions of various types of cells or effectively distinguish closely related cell populations, since few immune markers can be simultaneously detected using the existing technology. In recent years, the algorithm </w:t>
      </w:r>
      <w:bookmarkStart w:id="39" w:name="_Hlk14872749"/>
      <w:r w:rsidR="00996026">
        <w:rPr>
          <w:rStyle w:val="None"/>
          <w:rFonts w:ascii="Book Antiqua" w:hAnsi="Book Antiqua"/>
          <w:color w:val="auto"/>
          <w:sz w:val="24"/>
          <w:szCs w:val="24"/>
        </w:rPr>
        <w:t>c</w:t>
      </w:r>
      <w:r w:rsidRPr="00974D6D">
        <w:rPr>
          <w:rStyle w:val="None"/>
          <w:rFonts w:ascii="Book Antiqua" w:hAnsi="Book Antiqua"/>
          <w:color w:val="auto"/>
          <w:sz w:val="24"/>
          <w:szCs w:val="24"/>
        </w:rPr>
        <w:t xml:space="preserve">ell </w:t>
      </w:r>
      <w:r w:rsidR="00996026">
        <w:rPr>
          <w:rStyle w:val="None"/>
          <w:rFonts w:ascii="Book Antiqua" w:hAnsi="Book Antiqua"/>
          <w:color w:val="auto"/>
          <w:sz w:val="24"/>
          <w:szCs w:val="24"/>
        </w:rPr>
        <w:t>t</w:t>
      </w:r>
      <w:r w:rsidRPr="00974D6D">
        <w:rPr>
          <w:rStyle w:val="None"/>
          <w:rFonts w:ascii="Book Antiqua" w:hAnsi="Book Antiqua"/>
          <w:color w:val="auto"/>
          <w:sz w:val="24"/>
          <w:szCs w:val="24"/>
        </w:rPr>
        <w:t xml:space="preserve">ype </w:t>
      </w:r>
      <w:r w:rsidR="00996026">
        <w:rPr>
          <w:rStyle w:val="None"/>
          <w:rFonts w:ascii="Book Antiqua" w:hAnsi="Book Antiqua"/>
          <w:color w:val="auto"/>
          <w:sz w:val="24"/>
          <w:szCs w:val="24"/>
        </w:rPr>
        <w:t>i</w:t>
      </w:r>
      <w:r w:rsidRPr="00974D6D">
        <w:rPr>
          <w:rStyle w:val="None"/>
          <w:rFonts w:ascii="Book Antiqua" w:hAnsi="Book Antiqua"/>
          <w:color w:val="auto"/>
          <w:sz w:val="24"/>
          <w:szCs w:val="24"/>
        </w:rPr>
        <w:t xml:space="preserve">dentification </w:t>
      </w:r>
      <w:r w:rsidR="00996026">
        <w:rPr>
          <w:rStyle w:val="None"/>
          <w:rFonts w:ascii="Book Antiqua" w:hAnsi="Book Antiqua"/>
          <w:color w:val="auto"/>
          <w:sz w:val="24"/>
          <w:szCs w:val="24"/>
        </w:rPr>
        <w:t>b</w:t>
      </w:r>
      <w:r w:rsidRPr="00974D6D">
        <w:rPr>
          <w:rStyle w:val="None"/>
          <w:rFonts w:ascii="Book Antiqua" w:hAnsi="Book Antiqua"/>
          <w:color w:val="auto"/>
          <w:sz w:val="24"/>
          <w:szCs w:val="24"/>
        </w:rPr>
        <w:t xml:space="preserve">y </w:t>
      </w:r>
      <w:r w:rsidR="00996026">
        <w:rPr>
          <w:rStyle w:val="None"/>
          <w:rFonts w:ascii="Book Antiqua" w:hAnsi="Book Antiqua"/>
          <w:color w:val="auto"/>
          <w:sz w:val="24"/>
          <w:szCs w:val="24"/>
        </w:rPr>
        <w:t>e</w:t>
      </w:r>
      <w:r w:rsidRPr="00974D6D">
        <w:rPr>
          <w:rStyle w:val="None"/>
          <w:rFonts w:ascii="Book Antiqua" w:hAnsi="Book Antiqua"/>
          <w:color w:val="auto"/>
          <w:sz w:val="24"/>
          <w:szCs w:val="24"/>
        </w:rPr>
        <w:t xml:space="preserve">stimating </w:t>
      </w:r>
      <w:r w:rsidR="00996026">
        <w:rPr>
          <w:rStyle w:val="None"/>
          <w:rFonts w:ascii="Book Antiqua" w:hAnsi="Book Antiqua"/>
          <w:color w:val="auto"/>
          <w:sz w:val="24"/>
          <w:szCs w:val="24"/>
        </w:rPr>
        <w:t>r</w:t>
      </w:r>
      <w:r w:rsidRPr="00974D6D">
        <w:rPr>
          <w:rStyle w:val="None"/>
          <w:rFonts w:ascii="Book Antiqua" w:hAnsi="Book Antiqua"/>
          <w:color w:val="auto"/>
          <w:sz w:val="24"/>
          <w:szCs w:val="24"/>
        </w:rPr>
        <w:t xml:space="preserve">elative </w:t>
      </w:r>
      <w:r w:rsidR="00996026">
        <w:rPr>
          <w:rStyle w:val="None"/>
          <w:rFonts w:ascii="Book Antiqua" w:hAnsi="Book Antiqua"/>
          <w:color w:val="auto"/>
          <w:sz w:val="24"/>
          <w:szCs w:val="24"/>
        </w:rPr>
        <w:t>s</w:t>
      </w:r>
      <w:r w:rsidRPr="00974D6D">
        <w:rPr>
          <w:rStyle w:val="None"/>
          <w:rFonts w:ascii="Book Antiqua" w:hAnsi="Book Antiqua"/>
          <w:color w:val="auto"/>
          <w:sz w:val="24"/>
          <w:szCs w:val="24"/>
        </w:rPr>
        <w:t xml:space="preserve">ubsets </w:t>
      </w:r>
      <w:r w:rsidR="00996026">
        <w:rPr>
          <w:rStyle w:val="None"/>
          <w:rFonts w:ascii="Book Antiqua" w:hAnsi="Book Antiqua"/>
          <w:color w:val="auto"/>
          <w:sz w:val="24"/>
          <w:szCs w:val="24"/>
        </w:rPr>
        <w:t>o</w:t>
      </w:r>
      <w:r w:rsidRPr="00974D6D">
        <w:rPr>
          <w:rStyle w:val="None"/>
          <w:rFonts w:ascii="Book Antiqua" w:hAnsi="Book Antiqua"/>
          <w:color w:val="auto"/>
          <w:sz w:val="24"/>
          <w:szCs w:val="24"/>
        </w:rPr>
        <w:t xml:space="preserve">f RNA </w:t>
      </w:r>
      <w:r w:rsidR="00996026">
        <w:rPr>
          <w:rStyle w:val="None"/>
          <w:rFonts w:ascii="Book Antiqua" w:hAnsi="Book Antiqua"/>
          <w:color w:val="auto"/>
          <w:sz w:val="24"/>
          <w:szCs w:val="24"/>
        </w:rPr>
        <w:t>t</w:t>
      </w:r>
      <w:r w:rsidRPr="00974D6D">
        <w:rPr>
          <w:rStyle w:val="None"/>
          <w:rFonts w:ascii="Book Antiqua" w:hAnsi="Book Antiqua"/>
          <w:color w:val="auto"/>
          <w:sz w:val="24"/>
          <w:szCs w:val="24"/>
        </w:rPr>
        <w:t>ranscripts</w:t>
      </w:r>
      <w:bookmarkEnd w:id="39"/>
      <w:r w:rsidRPr="00974D6D">
        <w:rPr>
          <w:rStyle w:val="None"/>
          <w:rFonts w:ascii="Book Antiqua" w:hAnsi="Book Antiqua"/>
          <w:color w:val="auto"/>
          <w:sz w:val="24"/>
          <w:szCs w:val="24"/>
        </w:rPr>
        <w:t xml:space="preserve"> (CIBERSORT), known as the metagene means, is recognized as the method with the highest accuracy. Typically, CIBERSORT can accurately estimate</w:t>
      </w:r>
      <w:r w:rsidR="00A3245A">
        <w:rPr>
          <w:rStyle w:val="None"/>
          <w:rFonts w:ascii="Book Antiqua" w:hAnsi="Book Antiqua"/>
          <w:color w:val="auto"/>
          <w:sz w:val="24"/>
          <w:szCs w:val="24"/>
        </w:rPr>
        <w:t xml:space="preserve"> 22 human </w:t>
      </w:r>
      <w:proofErr w:type="spellStart"/>
      <w:r w:rsidR="00A3245A">
        <w:rPr>
          <w:rStyle w:val="None"/>
          <w:rFonts w:ascii="Book Antiqua" w:hAnsi="Book Antiqua"/>
          <w:color w:val="auto"/>
          <w:sz w:val="24"/>
          <w:szCs w:val="24"/>
        </w:rPr>
        <w:t>immunocyte</w:t>
      </w:r>
      <w:proofErr w:type="spellEnd"/>
      <w:r w:rsidR="00A3245A">
        <w:rPr>
          <w:rStyle w:val="None"/>
          <w:rFonts w:ascii="Book Antiqua" w:hAnsi="Book Antiqua"/>
          <w:color w:val="auto"/>
          <w:sz w:val="24"/>
          <w:szCs w:val="24"/>
        </w:rPr>
        <w:t xml:space="preserve"> phenotypes</w:t>
      </w:r>
      <w:r w:rsidRPr="00974D6D">
        <w:rPr>
          <w:rStyle w:val="Hyperlink0"/>
          <w:rFonts w:ascii="Book Antiqua" w:eastAsia="Calibri" w:hAnsi="Book Antiqua"/>
          <w:color w:val="auto"/>
        </w:rPr>
        <w:t>[</w:t>
      </w:r>
      <w:hyperlink w:anchor="bookmark8" w:history="1">
        <w:r w:rsidRPr="00974D6D">
          <w:rPr>
            <w:rStyle w:val="Hyperlink0"/>
            <w:rFonts w:ascii="Book Antiqua" w:eastAsia="Calibri" w:hAnsi="Book Antiqua"/>
            <w:color w:val="auto"/>
          </w:rPr>
          <w:t>9</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w:t>
      </w:r>
    </w:p>
    <w:p w14:paraId="21EF9A34" w14:textId="18CC4D5D" w:rsidR="00E03495" w:rsidRPr="00974D6D" w:rsidRDefault="00F474B9" w:rsidP="00A3245A">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This study explored the proportions of immunocytes by appropriately selecting HBV-related HCC cases, so as to identify candidate immune biomarkers using The Cancer Genome Atlas data. The least absolute shrinkage and selection operator (LASSO) algorithm was employed to determine key immunocytes. Thereafter, </w:t>
      </w:r>
      <w:r w:rsidR="005A56BD">
        <w:rPr>
          <w:rStyle w:val="None"/>
          <w:rFonts w:ascii="Book Antiqua" w:hAnsi="Book Antiqua"/>
          <w:color w:val="auto"/>
          <w:sz w:val="24"/>
          <w:szCs w:val="24"/>
        </w:rPr>
        <w:t xml:space="preserve">a </w:t>
      </w:r>
      <w:r w:rsidRPr="00974D6D">
        <w:rPr>
          <w:rStyle w:val="None"/>
          <w:rFonts w:ascii="Book Antiqua" w:hAnsi="Book Antiqua"/>
          <w:color w:val="auto"/>
          <w:sz w:val="24"/>
          <w:szCs w:val="24"/>
        </w:rPr>
        <w:t xml:space="preserve">HCC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system was formulated, aiming to establish an immune-related marker that could be used to predict the survival of HBV-related HCC patients.</w:t>
      </w:r>
    </w:p>
    <w:p w14:paraId="6D434A1C" w14:textId="77777777" w:rsidR="00E03495" w:rsidRPr="00974D6D" w:rsidRDefault="00961904" w:rsidP="00974D6D">
      <w:pPr>
        <w:framePr w:wrap="auto"/>
        <w:adjustRightInd w:val="0"/>
        <w:snapToGrid w:val="0"/>
        <w:spacing w:line="360" w:lineRule="auto"/>
        <w:rPr>
          <w:rStyle w:val="None"/>
          <w:rFonts w:ascii="Book Antiqua" w:eastAsia="Times New Roman" w:hAnsi="Book Antiqua" w:cs="Times New Roman"/>
          <w:b/>
          <w:bCs/>
          <w:color w:val="auto"/>
          <w:sz w:val="24"/>
          <w:szCs w:val="24"/>
        </w:rPr>
      </w:pPr>
      <w:bookmarkStart w:id="40" w:name="OLE_LINK238"/>
      <w:bookmarkStart w:id="41" w:name="OLE_LINK239"/>
      <w:r w:rsidRPr="00974D6D">
        <w:rPr>
          <w:rFonts w:ascii="Book Antiqua" w:eastAsia="宋体" w:hAnsi="Book Antiqua" w:cs="Times New Roman"/>
          <w:b/>
          <w:caps/>
          <w:color w:val="auto"/>
          <w:sz w:val="24"/>
          <w:szCs w:val="24"/>
        </w:rPr>
        <w:lastRenderedPageBreak/>
        <w:t>Materials and methods</w:t>
      </w:r>
      <w:bookmarkEnd w:id="40"/>
      <w:bookmarkEnd w:id="41"/>
    </w:p>
    <w:p w14:paraId="497F0517"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Patient datasets and processing</w:t>
      </w:r>
    </w:p>
    <w:p w14:paraId="28F31302" w14:textId="70C0B7D5"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Data were down</w:t>
      </w:r>
      <w:r w:rsidR="00A3245A">
        <w:rPr>
          <w:rStyle w:val="None"/>
          <w:rFonts w:ascii="Book Antiqua" w:hAnsi="Book Antiqua"/>
          <w:color w:val="auto"/>
          <w:sz w:val="24"/>
          <w:szCs w:val="24"/>
        </w:rPr>
        <w:t xml:space="preserve">loaded from </w:t>
      </w:r>
      <w:r w:rsidR="00AC3831">
        <w:rPr>
          <w:rStyle w:val="None"/>
          <w:rFonts w:ascii="Book Antiqua" w:hAnsi="Book Antiqua"/>
          <w:color w:val="auto"/>
          <w:sz w:val="24"/>
          <w:szCs w:val="24"/>
        </w:rPr>
        <w:t xml:space="preserve">the </w:t>
      </w:r>
      <w:r w:rsidR="00A3245A">
        <w:rPr>
          <w:rStyle w:val="None"/>
          <w:rFonts w:ascii="Book Antiqua" w:hAnsi="Book Antiqua"/>
          <w:color w:val="auto"/>
          <w:sz w:val="24"/>
          <w:szCs w:val="24"/>
        </w:rPr>
        <w:t xml:space="preserve">TCGA database. The </w:t>
      </w:r>
      <w:r w:rsidR="00A3245A">
        <w:rPr>
          <w:rStyle w:val="None"/>
          <w:rFonts w:ascii="Book Antiqua" w:eastAsiaTheme="minorEastAsia" w:hAnsi="Book Antiqua" w:hint="eastAsia"/>
          <w:color w:val="auto"/>
          <w:sz w:val="24"/>
          <w:szCs w:val="24"/>
        </w:rPr>
        <w:t>d</w:t>
      </w:r>
      <w:r w:rsidR="00A3245A">
        <w:rPr>
          <w:rStyle w:val="None"/>
          <w:rFonts w:ascii="Book Antiqua" w:hAnsi="Book Antiqua"/>
          <w:color w:val="auto"/>
          <w:sz w:val="24"/>
          <w:szCs w:val="24"/>
        </w:rPr>
        <w:t xml:space="preserve">ata </w:t>
      </w:r>
      <w:r w:rsidR="00A3245A">
        <w:rPr>
          <w:rStyle w:val="None"/>
          <w:rFonts w:ascii="Book Antiqua" w:eastAsiaTheme="minorEastAsia" w:hAnsi="Book Antiqua" w:hint="eastAsia"/>
          <w:color w:val="auto"/>
          <w:sz w:val="24"/>
          <w:szCs w:val="24"/>
        </w:rPr>
        <w:t>t</w:t>
      </w:r>
      <w:r w:rsidR="00A3245A">
        <w:rPr>
          <w:rStyle w:val="None"/>
          <w:rFonts w:ascii="Book Antiqua" w:hAnsi="Book Antiqua"/>
          <w:color w:val="auto"/>
          <w:sz w:val="24"/>
          <w:szCs w:val="24"/>
        </w:rPr>
        <w:t xml:space="preserve">ransfer </w:t>
      </w:r>
      <w:r w:rsidR="00A3245A">
        <w:rPr>
          <w:rStyle w:val="None"/>
          <w:rFonts w:ascii="Book Antiqua" w:eastAsiaTheme="minorEastAsia" w:hAnsi="Book Antiqua" w:hint="eastAsia"/>
          <w:color w:val="auto"/>
          <w:sz w:val="24"/>
          <w:szCs w:val="24"/>
        </w:rPr>
        <w:t>t</w:t>
      </w:r>
      <w:r w:rsidR="00A3245A">
        <w:rPr>
          <w:rStyle w:val="None"/>
          <w:rFonts w:ascii="Book Antiqua" w:hAnsi="Book Antiqua"/>
          <w:color w:val="auto"/>
          <w:sz w:val="24"/>
          <w:szCs w:val="24"/>
        </w:rPr>
        <w:t xml:space="preserve">ool of the </w:t>
      </w:r>
      <w:r w:rsidR="008379B4">
        <w:rPr>
          <w:rStyle w:val="None"/>
          <w:rFonts w:ascii="Book Antiqua" w:eastAsiaTheme="minorEastAsia" w:hAnsi="Book Antiqua" w:hint="eastAsia"/>
          <w:color w:val="auto"/>
          <w:sz w:val="24"/>
          <w:szCs w:val="24"/>
        </w:rPr>
        <w:t xml:space="preserve">Genomic Data Commons </w:t>
      </w:r>
      <w:r w:rsidR="00A3245A">
        <w:rPr>
          <w:rStyle w:val="None"/>
          <w:rFonts w:ascii="Book Antiqua" w:eastAsiaTheme="minorEastAsia" w:hAnsi="Book Antiqua" w:hint="eastAsia"/>
          <w:color w:val="auto"/>
          <w:sz w:val="24"/>
          <w:szCs w:val="24"/>
        </w:rPr>
        <w:t>a</w:t>
      </w:r>
      <w:r w:rsidRPr="00974D6D">
        <w:rPr>
          <w:rStyle w:val="None"/>
          <w:rFonts w:ascii="Book Antiqua" w:hAnsi="Book Antiqua"/>
          <w:color w:val="auto"/>
          <w:sz w:val="24"/>
          <w:szCs w:val="24"/>
        </w:rPr>
        <w:t>pp</w:t>
      </w:r>
      <w:r w:rsidR="00A3245A">
        <w:rPr>
          <w:rStyle w:val="None"/>
          <w:rFonts w:ascii="Book Antiqua" w:eastAsiaTheme="minorEastAsia" w:hAnsi="Book Antiqua" w:hint="eastAsia"/>
          <w:color w:val="auto"/>
          <w:sz w:val="24"/>
          <w:szCs w:val="24"/>
        </w:rPr>
        <w:t>lication</w:t>
      </w:r>
      <w:r w:rsidRPr="00974D6D">
        <w:rPr>
          <w:rStyle w:val="None"/>
          <w:rFonts w:ascii="Book Antiqua" w:hAnsi="Book Antiqua"/>
          <w:color w:val="auto"/>
          <w:sz w:val="24"/>
          <w:szCs w:val="24"/>
        </w:rPr>
        <w:t xml:space="preserve">s was employed to download gene expression profiles as well as clinical information of HCC patients (https://tcga-data.nci.nih.gov/). </w:t>
      </w:r>
      <w:r w:rsidR="003A7DA1" w:rsidRPr="00974D6D">
        <w:rPr>
          <w:rStyle w:val="None"/>
          <w:rFonts w:ascii="Book Antiqua" w:hAnsi="Book Antiqua"/>
          <w:color w:val="auto"/>
          <w:sz w:val="24"/>
          <w:szCs w:val="24"/>
        </w:rPr>
        <w:t xml:space="preserve">HCC patients with seroprevalence of hepatitis B surface antigen (HBsAg) were included. </w:t>
      </w:r>
      <w:r w:rsidRPr="00974D6D">
        <w:rPr>
          <w:rStyle w:val="None"/>
          <w:rFonts w:ascii="Book Antiqua" w:hAnsi="Book Antiqua"/>
          <w:color w:val="auto"/>
          <w:sz w:val="24"/>
          <w:szCs w:val="24"/>
        </w:rPr>
        <w:t xml:space="preserve">Among them, 58 patients were HBV-related, but patients with CIBERSORT </w:t>
      </w:r>
      <w:r w:rsidR="0018072F" w:rsidRPr="0018072F">
        <w:rPr>
          <w:rStyle w:val="None"/>
          <w:rFonts w:ascii="Book Antiqua" w:eastAsiaTheme="minorEastAsia" w:hAnsi="Book Antiqua" w:hint="eastAsia"/>
          <w:i/>
          <w:color w:val="auto"/>
          <w:sz w:val="24"/>
          <w:szCs w:val="24"/>
        </w:rPr>
        <w:t xml:space="preserve">P </w:t>
      </w:r>
      <w:r w:rsidRPr="00974D6D">
        <w:rPr>
          <w:rStyle w:val="None"/>
          <w:rFonts w:ascii="Book Antiqua" w:hAnsi="Book Antiqua"/>
          <w:color w:val="auto"/>
          <w:sz w:val="24"/>
          <w:szCs w:val="24"/>
        </w:rPr>
        <w:t>≥ 0.05 were excluded (</w:t>
      </w:r>
      <w:r w:rsidRPr="0018072F">
        <w:rPr>
          <w:rStyle w:val="None"/>
          <w:rFonts w:ascii="Book Antiqua" w:hAnsi="Book Antiqua"/>
          <w:i/>
          <w:color w:val="auto"/>
          <w:sz w:val="24"/>
          <w:szCs w:val="24"/>
        </w:rPr>
        <w:t>n</w:t>
      </w:r>
      <w:r w:rsidRPr="00974D6D">
        <w:rPr>
          <w:rStyle w:val="None"/>
          <w:rFonts w:ascii="Book Antiqua" w:hAnsi="Book Antiqua"/>
          <w:color w:val="auto"/>
          <w:sz w:val="24"/>
          <w:szCs w:val="24"/>
        </w:rPr>
        <w:t xml:space="preserve"> = 5), leaving 53 HCC cases in the final cohort for analysis. The flow chart for this analysis is shown in Fig</w:t>
      </w:r>
      <w:r w:rsidR="00E7189C" w:rsidRPr="00974D6D">
        <w:rPr>
          <w:rStyle w:val="None"/>
          <w:rFonts w:ascii="Book Antiqua" w:hAnsi="Book Antiqua"/>
          <w:color w:val="auto"/>
          <w:sz w:val="24"/>
          <w:szCs w:val="24"/>
        </w:rPr>
        <w:t>ure</w:t>
      </w:r>
      <w:r w:rsidRPr="00974D6D">
        <w:rPr>
          <w:rStyle w:val="None"/>
          <w:rFonts w:ascii="Book Antiqua" w:hAnsi="Book Antiqua"/>
          <w:color w:val="auto"/>
          <w:sz w:val="24"/>
          <w:szCs w:val="24"/>
        </w:rPr>
        <w:t xml:space="preserve"> 1</w:t>
      </w:r>
      <w:r w:rsidR="00AC3831">
        <w:rPr>
          <w:rStyle w:val="None"/>
          <w:rFonts w:ascii="Book Antiqua" w:hAnsi="Book Antiqua"/>
          <w:color w:val="auto"/>
          <w:sz w:val="24"/>
          <w:szCs w:val="24"/>
        </w:rPr>
        <w:t xml:space="preserve">. </w:t>
      </w:r>
      <w:r w:rsidRPr="00974D6D">
        <w:rPr>
          <w:rStyle w:val="None"/>
          <w:rFonts w:ascii="Book Antiqua" w:hAnsi="Book Antiqua"/>
          <w:color w:val="auto"/>
          <w:sz w:val="24"/>
          <w:szCs w:val="24"/>
        </w:rPr>
        <w:t xml:space="preserve">A total of 53 HBV-related HCC cases were enrolled for comprehensive integrated and functional analyses. The mRNA expression in HCC samples was derived from the Illumina </w:t>
      </w:r>
      <w:proofErr w:type="spellStart"/>
      <w:r w:rsidRPr="00974D6D">
        <w:rPr>
          <w:rStyle w:val="None"/>
          <w:rFonts w:ascii="Book Antiqua" w:hAnsi="Book Antiqua"/>
          <w:color w:val="auto"/>
          <w:sz w:val="24"/>
          <w:szCs w:val="24"/>
        </w:rPr>
        <w:t>HiSeq</w:t>
      </w:r>
      <w:proofErr w:type="spellEnd"/>
      <w:r w:rsidRPr="00974D6D">
        <w:rPr>
          <w:rStyle w:val="None"/>
          <w:rFonts w:ascii="Book Antiqua" w:hAnsi="Book Antiqua"/>
          <w:color w:val="auto"/>
          <w:sz w:val="24"/>
          <w:szCs w:val="24"/>
        </w:rPr>
        <w:t xml:space="preserve"> </w:t>
      </w:r>
      <w:proofErr w:type="spellStart"/>
      <w:r w:rsidRPr="00974D6D">
        <w:rPr>
          <w:rStyle w:val="None"/>
          <w:rFonts w:ascii="Book Antiqua" w:hAnsi="Book Antiqua"/>
          <w:color w:val="auto"/>
          <w:sz w:val="24"/>
          <w:szCs w:val="24"/>
        </w:rPr>
        <w:t>RNASeq</w:t>
      </w:r>
      <w:proofErr w:type="spellEnd"/>
      <w:r w:rsidRPr="00974D6D">
        <w:rPr>
          <w:rStyle w:val="None"/>
          <w:rFonts w:ascii="Book Antiqua" w:hAnsi="Book Antiqua"/>
          <w:color w:val="auto"/>
          <w:sz w:val="24"/>
          <w:szCs w:val="24"/>
        </w:rPr>
        <w:t xml:space="preserve"> platform and normalized based on TCGA. All data were publicly available and open access. Hence, approval </w:t>
      </w:r>
      <w:r w:rsidR="00AC3831">
        <w:rPr>
          <w:rStyle w:val="None"/>
          <w:rFonts w:ascii="Book Antiqua" w:hAnsi="Book Antiqua"/>
          <w:color w:val="auto"/>
          <w:sz w:val="24"/>
          <w:szCs w:val="24"/>
        </w:rPr>
        <w:t>from</w:t>
      </w:r>
      <w:r w:rsidR="00AC3831" w:rsidRPr="00974D6D">
        <w:rPr>
          <w:rStyle w:val="None"/>
          <w:rFonts w:ascii="Book Antiqua" w:hAnsi="Book Antiqua"/>
          <w:color w:val="auto"/>
          <w:sz w:val="24"/>
          <w:szCs w:val="24"/>
        </w:rPr>
        <w:t xml:space="preserve"> </w:t>
      </w:r>
      <w:r w:rsidRPr="00974D6D">
        <w:rPr>
          <w:rStyle w:val="None"/>
          <w:rFonts w:ascii="Book Antiqua" w:hAnsi="Book Antiqua"/>
          <w:color w:val="auto"/>
          <w:sz w:val="24"/>
          <w:szCs w:val="24"/>
        </w:rPr>
        <w:t>the ethics committee was not required. All data were processed in accordance with the guidelines from data access policy as well as the NIH TCGA human subject protection (http://cancergenome.nih.gov/publications/publicationguidelines).</w:t>
      </w:r>
    </w:p>
    <w:p w14:paraId="262A2201" w14:textId="77777777" w:rsidR="00E03495" w:rsidRPr="00974D6D" w:rsidRDefault="00E03495" w:rsidP="00974D6D">
      <w:pPr>
        <w:framePr w:wrap="auto"/>
        <w:adjustRightInd w:val="0"/>
        <w:snapToGrid w:val="0"/>
        <w:spacing w:line="360" w:lineRule="auto"/>
        <w:rPr>
          <w:rStyle w:val="None"/>
          <w:rFonts w:ascii="Book Antiqua" w:eastAsia="宋体" w:hAnsi="Book Antiqua" w:cs="宋体"/>
          <w:color w:val="auto"/>
          <w:sz w:val="24"/>
          <w:szCs w:val="24"/>
          <w:lang w:val="zh-TW"/>
        </w:rPr>
      </w:pPr>
    </w:p>
    <w:p w14:paraId="39674200"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Immunocyte type fraction estimation</w:t>
      </w:r>
    </w:p>
    <w:p w14:paraId="495BD856" w14:textId="0552DA8D"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The CIBERSORT method was used t</w:t>
      </w:r>
      <w:r w:rsidR="00AC167C">
        <w:rPr>
          <w:rStyle w:val="None"/>
          <w:rFonts w:ascii="Book Antiqua" w:hAnsi="Book Antiqua"/>
          <w:color w:val="auto"/>
          <w:sz w:val="24"/>
          <w:szCs w:val="24"/>
        </w:rPr>
        <w:t xml:space="preserve">o quantify </w:t>
      </w:r>
      <w:proofErr w:type="spellStart"/>
      <w:r w:rsidR="00AC167C">
        <w:rPr>
          <w:rStyle w:val="None"/>
          <w:rFonts w:ascii="Book Antiqua" w:hAnsi="Book Antiqua"/>
          <w:color w:val="auto"/>
          <w:sz w:val="24"/>
          <w:szCs w:val="24"/>
        </w:rPr>
        <w:t>immunocyte</w:t>
      </w:r>
      <w:proofErr w:type="spellEnd"/>
      <w:r w:rsidR="00AC167C">
        <w:rPr>
          <w:rStyle w:val="None"/>
          <w:rFonts w:ascii="Book Antiqua" w:hAnsi="Book Antiqua"/>
          <w:color w:val="auto"/>
          <w:sz w:val="24"/>
          <w:szCs w:val="24"/>
        </w:rPr>
        <w:t xml:space="preserve"> fractions</w:t>
      </w:r>
      <w:r w:rsidRPr="00974D6D">
        <w:rPr>
          <w:rStyle w:val="Hyperlink0"/>
          <w:rFonts w:ascii="Book Antiqua" w:eastAsia="Calibri" w:hAnsi="Book Antiqua"/>
          <w:color w:val="auto"/>
        </w:rPr>
        <w:t>[</w:t>
      </w:r>
      <w:hyperlink w:anchor="bookmark9" w:history="1">
        <w:r w:rsidRPr="00974D6D">
          <w:rPr>
            <w:rStyle w:val="Hyperlink0"/>
            <w:rFonts w:ascii="Book Antiqua" w:eastAsia="Calibri" w:hAnsi="Book Antiqua"/>
            <w:color w:val="auto"/>
          </w:rPr>
          <w:t>9</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which could sensitively and specifically distinguish 22 phenotypes of human hematopoietic </w:t>
      </w:r>
      <w:r w:rsidR="00AC167C">
        <w:rPr>
          <w:rStyle w:val="None"/>
          <w:rFonts w:ascii="Book Antiqua" w:hAnsi="Book Antiqua"/>
          <w:color w:val="auto"/>
          <w:sz w:val="24"/>
          <w:szCs w:val="24"/>
        </w:rPr>
        <w:t xml:space="preserve">cells. </w:t>
      </w:r>
      <w:proofErr w:type="spellStart"/>
      <w:r w:rsidR="00AC167C">
        <w:rPr>
          <w:rStyle w:val="None"/>
          <w:rFonts w:ascii="Book Antiqua" w:hAnsi="Book Antiqua"/>
          <w:color w:val="auto"/>
          <w:sz w:val="24"/>
          <w:szCs w:val="24"/>
        </w:rPr>
        <w:t>Pornpimol</w:t>
      </w:r>
      <w:proofErr w:type="spellEnd"/>
      <w:r w:rsidR="00AC167C">
        <w:rPr>
          <w:rStyle w:val="None"/>
          <w:rFonts w:ascii="Book Antiqua" w:hAnsi="Book Antiqua"/>
          <w:color w:val="auto"/>
          <w:sz w:val="24"/>
          <w:szCs w:val="24"/>
        </w:rPr>
        <w:t xml:space="preserve"> </w:t>
      </w:r>
      <w:r w:rsidR="00AC167C" w:rsidRPr="00AC167C">
        <w:rPr>
          <w:rStyle w:val="None"/>
          <w:rFonts w:ascii="Book Antiqua" w:hAnsi="Book Antiqua"/>
          <w:i/>
          <w:color w:val="auto"/>
          <w:sz w:val="24"/>
          <w:szCs w:val="24"/>
        </w:rPr>
        <w:t>et al</w:t>
      </w:r>
      <w:r w:rsidR="00AC167C" w:rsidRPr="00974D6D">
        <w:rPr>
          <w:rStyle w:val="Hyperlink0"/>
          <w:rFonts w:ascii="Book Antiqua" w:eastAsia="Calibri" w:hAnsi="Book Antiqua"/>
          <w:color w:val="auto"/>
        </w:rPr>
        <w:t>[</w:t>
      </w:r>
      <w:hyperlink w:anchor="bookmark10" w:history="1">
        <w:r w:rsidR="00AC167C" w:rsidRPr="00974D6D">
          <w:rPr>
            <w:rStyle w:val="Hyperlink0"/>
            <w:rFonts w:ascii="Book Antiqua" w:eastAsia="Calibri" w:hAnsi="Book Antiqua"/>
            <w:color w:val="auto"/>
          </w:rPr>
          <w:t>10</w:t>
        </w:r>
      </w:hyperlink>
      <w:r w:rsidR="00B933F6">
        <w:rPr>
          <w:rStyle w:val="Hyperlink0"/>
          <w:rFonts w:ascii="Book Antiqua" w:eastAsiaTheme="minorEastAsia" w:hAnsi="Book Antiqua" w:hint="eastAsia"/>
          <w:color w:val="auto"/>
        </w:rPr>
        <w:t>,1</w:t>
      </w:r>
      <w:r w:rsidR="00AC167C">
        <w:rPr>
          <w:rStyle w:val="Hyperlink0"/>
          <w:rFonts w:ascii="Book Antiqua" w:eastAsiaTheme="minorEastAsia" w:hAnsi="Book Antiqua" w:hint="eastAsia"/>
          <w:color w:val="auto"/>
        </w:rPr>
        <w:t>1</w:t>
      </w:r>
      <w:r w:rsidR="00AC167C"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had used the deconvolution method through the CIBERSORT tool</w:t>
      </w:r>
      <w:r w:rsidR="00AC167C">
        <w:rPr>
          <w:rStyle w:val="None"/>
          <w:rFonts w:ascii="Book Antiqua" w:hAnsi="Book Antiqua"/>
          <w:color w:val="auto"/>
          <w:sz w:val="24"/>
          <w:szCs w:val="24"/>
        </w:rPr>
        <w:t xml:space="preserve">, with the threshold set at </w:t>
      </w:r>
      <w:r w:rsidR="00AC167C" w:rsidRPr="0003646D">
        <w:rPr>
          <w:rStyle w:val="None"/>
          <w:rFonts w:ascii="Book Antiqua" w:eastAsiaTheme="minorEastAsia" w:hAnsi="Book Antiqua"/>
          <w:i/>
          <w:color w:val="auto"/>
          <w:sz w:val="24"/>
          <w:szCs w:val="24"/>
        </w:rPr>
        <w:t>P</w:t>
      </w:r>
      <w:r w:rsidRPr="000364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&lt;</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 xml:space="preserve">0.05; their results suggested that CIBERSORT could accurately predict the immunocyte population fractions. Hence, only </w:t>
      </w:r>
      <w:r w:rsidR="0003646D">
        <w:rPr>
          <w:rStyle w:val="None"/>
          <w:rFonts w:ascii="Book Antiqua" w:hAnsi="Book Antiqua"/>
          <w:color w:val="auto"/>
          <w:sz w:val="24"/>
          <w:szCs w:val="24"/>
        </w:rPr>
        <w:t xml:space="preserve">those possessing the CIBERSORT </w:t>
      </w:r>
      <w:r w:rsidR="0003646D" w:rsidRPr="0003646D">
        <w:rPr>
          <w:rStyle w:val="None"/>
          <w:rFonts w:ascii="Book Antiqua" w:eastAsiaTheme="minorEastAsia" w:hAnsi="Book Antiqua"/>
          <w:i/>
          <w:color w:val="auto"/>
          <w:sz w:val="24"/>
          <w:szCs w:val="24"/>
        </w:rPr>
        <w:t>P</w:t>
      </w:r>
      <w:r w:rsidRPr="0003646D">
        <w:rPr>
          <w:rStyle w:val="None"/>
          <w:rFonts w:ascii="Times New Roman" w:hAnsi="Times New Roman" w:cs="Times New Roman"/>
          <w:i/>
          <w:color w:val="auto"/>
          <w:sz w:val="24"/>
          <w:szCs w:val="24"/>
        </w:rPr>
        <w:t> </w:t>
      </w:r>
      <w:r w:rsidRPr="00974D6D">
        <w:rPr>
          <w:rStyle w:val="None"/>
          <w:rFonts w:ascii="Book Antiqua" w:hAnsi="Book Antiqua"/>
          <w:color w:val="auto"/>
          <w:sz w:val="24"/>
          <w:szCs w:val="24"/>
        </w:rPr>
        <w:t>&lt;</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0.05 were deemed as eligible in subsequent analysis. Moreover, the immunocyte proportions were separately estimated for 76 samples. For all samples, each estimate of immunocyte type fractions added up to be 1.</w:t>
      </w:r>
    </w:p>
    <w:p w14:paraId="63872904"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u w:color="A6A6A6"/>
        </w:rPr>
      </w:pPr>
    </w:p>
    <w:p w14:paraId="533D6D1F"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i/>
          <w:iCs/>
          <w:color w:val="auto"/>
          <w:sz w:val="24"/>
        </w:rPr>
      </w:pPr>
      <w:proofErr w:type="spellStart"/>
      <w:r w:rsidRPr="00974D6D">
        <w:rPr>
          <w:rStyle w:val="None"/>
          <w:rFonts w:ascii="Book Antiqua" w:hAnsi="Book Antiqua"/>
          <w:b/>
          <w:bCs/>
          <w:i/>
          <w:iCs/>
          <w:color w:val="auto"/>
          <w:sz w:val="24"/>
          <w:szCs w:val="24"/>
        </w:rPr>
        <w:t>Immunoscore</w:t>
      </w:r>
      <w:proofErr w:type="spellEnd"/>
      <w:r w:rsidRPr="00974D6D">
        <w:rPr>
          <w:rStyle w:val="None"/>
          <w:rFonts w:ascii="Book Antiqua" w:hAnsi="Book Antiqua"/>
          <w:b/>
          <w:bCs/>
          <w:i/>
          <w:iCs/>
          <w:color w:val="auto"/>
          <w:sz w:val="24"/>
          <w:szCs w:val="24"/>
        </w:rPr>
        <w:t xml:space="preserve"> signature construction </w:t>
      </w:r>
    </w:p>
    <w:p w14:paraId="769022F6" w14:textId="7AA1EC64"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optimal threshold for each immunocyte fraction was generated using the </w:t>
      </w:r>
      <w:proofErr w:type="spellStart"/>
      <w:r w:rsidRPr="00974D6D">
        <w:rPr>
          <w:rStyle w:val="None"/>
          <w:rFonts w:ascii="Book Antiqua" w:hAnsi="Book Antiqua"/>
          <w:color w:val="auto"/>
          <w:sz w:val="24"/>
          <w:szCs w:val="24"/>
        </w:rPr>
        <w:lastRenderedPageBreak/>
        <w:t>survminer</w:t>
      </w:r>
      <w:proofErr w:type="spellEnd"/>
      <w:r w:rsidRPr="00974D6D">
        <w:rPr>
          <w:rStyle w:val="None"/>
          <w:rFonts w:ascii="Book Antiqua" w:hAnsi="Book Antiqua"/>
          <w:color w:val="auto"/>
          <w:sz w:val="24"/>
          <w:szCs w:val="24"/>
        </w:rPr>
        <w:t xml:space="preserve"> package. Then, the value of immunocyte fraction was assigned as 0 or 1; specifically, the value 0 was given to the cell type fraction below the corresponding threshold, otherwise</w:t>
      </w:r>
      <w:r w:rsidR="00AC3831">
        <w:rPr>
          <w:rStyle w:val="None"/>
          <w:rFonts w:ascii="Book Antiqua" w:hAnsi="Book Antiqua"/>
          <w:color w:val="auto"/>
          <w:sz w:val="24"/>
          <w:szCs w:val="24"/>
        </w:rPr>
        <w:t xml:space="preserve"> </w:t>
      </w:r>
      <w:r w:rsidRPr="00974D6D">
        <w:rPr>
          <w:rStyle w:val="None"/>
          <w:rFonts w:ascii="Book Antiqua" w:hAnsi="Book Antiqua"/>
          <w:color w:val="auto"/>
          <w:sz w:val="24"/>
          <w:szCs w:val="24"/>
        </w:rPr>
        <w:t>the value 1 was assigned. The correlation of each immunocyte expression with the overall survival (OS) of patients was calculated using the univariate Cox model. Then, the immunocytes were screened, followed by verification through LASSO regression using “</w:t>
      </w:r>
      <w:proofErr w:type="spellStart"/>
      <w:r w:rsidRPr="00974D6D">
        <w:rPr>
          <w:rStyle w:val="None"/>
          <w:rFonts w:ascii="Book Antiqua" w:hAnsi="Book Antiqua"/>
          <w:color w:val="auto"/>
          <w:sz w:val="24"/>
          <w:szCs w:val="24"/>
        </w:rPr>
        <w:t>glmnet</w:t>
      </w:r>
      <w:proofErr w:type="spellEnd"/>
      <w:r w:rsidRPr="00974D6D">
        <w:rPr>
          <w:rStyle w:val="None"/>
          <w:rFonts w:ascii="Book Antiqua" w:hAnsi="Book Antiqua"/>
          <w:color w:val="auto"/>
          <w:sz w:val="24"/>
          <w:szCs w:val="24"/>
        </w:rPr>
        <w:t xml:space="preserve">” package in R project. Finally, </w:t>
      </w:r>
      <w:r w:rsidR="00AC3831">
        <w:rPr>
          <w:rStyle w:val="None"/>
          <w:rFonts w:ascii="Book Antiqua" w:hAnsi="Book Antiqua"/>
          <w:color w:val="auto"/>
          <w:sz w:val="24"/>
          <w:szCs w:val="24"/>
        </w:rPr>
        <w:t>an</w:t>
      </w:r>
      <w:r w:rsidR="00AC3831" w:rsidRPr="00974D6D">
        <w:rPr>
          <w:rStyle w:val="None"/>
          <w:rFonts w:ascii="Book Antiqua" w:hAnsi="Book Antiqua"/>
          <w:color w:val="auto"/>
          <w:sz w:val="24"/>
          <w:szCs w:val="24"/>
        </w:rPr>
        <w:t xml:space="preserv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was constructed based on immunocytes by linearly combining the multiplication of regression model (β) by expression level as follows: </w:t>
      </w:r>
      <w:proofErr w:type="spellStart"/>
      <w:r w:rsidRPr="00974D6D">
        <w:rPr>
          <w:rStyle w:val="None"/>
          <w:rFonts w:ascii="Book Antiqua" w:hAnsi="Book Antiqua"/>
          <w:color w:val="auto"/>
          <w:sz w:val="24"/>
          <w:szCs w:val="24"/>
        </w:rPr>
        <w:t>Immunoscore</w:t>
      </w:r>
      <w:proofErr w:type="spellEnd"/>
      <w:r w:rsidR="007F7406">
        <w:rPr>
          <w:rStyle w:val="None"/>
          <w:rFonts w:ascii="Book Antiqua" w:eastAsiaTheme="minorEastAsia" w:hAnsi="Book Antiqua" w:hint="eastAsia"/>
          <w:color w:val="auto"/>
          <w:sz w:val="24"/>
          <w:szCs w:val="24"/>
        </w:rPr>
        <w:t xml:space="preserve"> </w:t>
      </w:r>
      <w:r w:rsidRPr="00974D6D">
        <w:rPr>
          <w:rStyle w:val="None"/>
          <w:rFonts w:ascii="Book Antiqua" w:hAnsi="Book Antiqua"/>
          <w:color w:val="auto"/>
          <w:sz w:val="24"/>
          <w:szCs w:val="24"/>
        </w:rPr>
        <w:t>=</w:t>
      </w:r>
      <w:r w:rsidR="007F7406">
        <w:rPr>
          <w:rStyle w:val="None"/>
          <w:rFonts w:ascii="Book Antiqua" w:eastAsiaTheme="minorEastAsia" w:hAnsi="Book Antiqua" w:hint="eastAsia"/>
          <w:color w:val="auto"/>
          <w:sz w:val="24"/>
          <w:szCs w:val="24"/>
        </w:rPr>
        <w:t xml:space="preserve"> </w:t>
      </w:r>
      <w:r w:rsidRPr="00974D6D">
        <w:rPr>
          <w:rStyle w:val="None"/>
          <w:rFonts w:ascii="Book Antiqua" w:hAnsi="Book Antiqua"/>
          <w:color w:val="auto"/>
          <w:sz w:val="24"/>
          <w:szCs w:val="24"/>
        </w:rPr>
        <w:t xml:space="preserve">β1 × immunocyte 1 expression level + β2 × immunocyte 2 expression level + ····· + βn × immunocyte n expression level. In addition, the time dependent receiver operating characteristic (ROC) curves were employed to evaluate the accuracy of prognosis prediction in five years, which was achieved by the comparisons of sensitivity as well as specificity in predicting the survival using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w:t>
      </w:r>
    </w:p>
    <w:p w14:paraId="129A3C5E"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420AA582"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 xml:space="preserve">Confirmation of the </w:t>
      </w:r>
      <w:proofErr w:type="spellStart"/>
      <w:r w:rsidRPr="00974D6D">
        <w:rPr>
          <w:rStyle w:val="None"/>
          <w:rFonts w:ascii="Book Antiqua" w:hAnsi="Book Antiqua"/>
          <w:b/>
          <w:bCs/>
          <w:i/>
          <w:iCs/>
          <w:color w:val="auto"/>
          <w:sz w:val="24"/>
          <w:szCs w:val="24"/>
        </w:rPr>
        <w:t>immunoscore</w:t>
      </w:r>
      <w:proofErr w:type="spellEnd"/>
      <w:r w:rsidRPr="00974D6D">
        <w:rPr>
          <w:rStyle w:val="None"/>
          <w:rFonts w:ascii="Book Antiqua" w:hAnsi="Book Antiqua"/>
          <w:b/>
          <w:bCs/>
          <w:i/>
          <w:iCs/>
          <w:color w:val="auto"/>
          <w:sz w:val="24"/>
          <w:szCs w:val="24"/>
        </w:rPr>
        <w:t xml:space="preserve"> signature</w:t>
      </w:r>
    </w:p>
    <w:p w14:paraId="2D7C5162" w14:textId="049660C1"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patients were distributed based on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and their survival information. Furthermore, all cases were classified into </w:t>
      </w:r>
      <w:r w:rsidR="00AC3831">
        <w:rPr>
          <w:rStyle w:val="None"/>
          <w:rFonts w:ascii="Book Antiqua" w:hAnsi="Book Antiqua"/>
          <w:color w:val="auto"/>
          <w:sz w:val="24"/>
          <w:szCs w:val="24"/>
        </w:rPr>
        <w:t>a</w:t>
      </w:r>
      <w:r w:rsidR="00AC3831" w:rsidRPr="00974D6D">
        <w:rPr>
          <w:rStyle w:val="None"/>
          <w:rFonts w:ascii="Book Antiqua" w:hAnsi="Book Antiqua"/>
          <w:color w:val="auto"/>
          <w:sz w:val="24"/>
          <w:szCs w:val="24"/>
        </w:rPr>
        <w:t xml:space="preserve"> </w:t>
      </w:r>
      <w:r w:rsidRPr="00974D6D">
        <w:rPr>
          <w:rStyle w:val="None"/>
          <w:rFonts w:ascii="Book Antiqua" w:hAnsi="Book Antiqua"/>
          <w:color w:val="auto"/>
          <w:sz w:val="24"/>
          <w:szCs w:val="24"/>
        </w:rPr>
        <w:t>high</w:t>
      </w:r>
      <w:r w:rsidR="008B6233" w:rsidRPr="00974D6D">
        <w:rPr>
          <w:rStyle w:val="None"/>
          <w:rFonts w:ascii="Book Antiqua" w:hAnsi="Book Antiqua"/>
          <w:color w:val="auto"/>
          <w:sz w:val="24"/>
          <w:szCs w:val="24"/>
        </w:rPr>
        <w:t>-</w:t>
      </w:r>
      <w:r w:rsidRPr="00974D6D">
        <w:rPr>
          <w:rStyle w:val="None"/>
          <w:rFonts w:ascii="Book Antiqua" w:hAnsi="Book Antiqua"/>
          <w:color w:val="auto"/>
          <w:sz w:val="24"/>
          <w:szCs w:val="24"/>
        </w:rPr>
        <w:t xml:space="preserve"> or low-risk group according to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threshold. In addition, related Kaplan-Meier survival curves for patients with high or low predicted risk </w:t>
      </w:r>
      <w:r w:rsidR="00AC3831" w:rsidRPr="00974D6D">
        <w:rPr>
          <w:rStyle w:val="None"/>
          <w:rFonts w:ascii="Book Antiqua" w:hAnsi="Book Antiqua"/>
          <w:color w:val="auto"/>
          <w:sz w:val="24"/>
          <w:szCs w:val="24"/>
        </w:rPr>
        <w:t>w</w:t>
      </w:r>
      <w:r w:rsidR="00AC3831">
        <w:rPr>
          <w:rStyle w:val="None"/>
          <w:rFonts w:ascii="Book Antiqua" w:hAnsi="Book Antiqua"/>
          <w:color w:val="auto"/>
          <w:sz w:val="24"/>
          <w:szCs w:val="24"/>
        </w:rPr>
        <w:t>ere</w:t>
      </w:r>
      <w:r w:rsidR="00AC3831" w:rsidRPr="00974D6D">
        <w:rPr>
          <w:rStyle w:val="None"/>
          <w:rFonts w:ascii="Book Antiqua" w:hAnsi="Book Antiqua"/>
          <w:color w:val="auto"/>
          <w:sz w:val="24"/>
          <w:szCs w:val="24"/>
        </w:rPr>
        <w:t xml:space="preserve"> </w:t>
      </w:r>
      <w:r w:rsidRPr="00974D6D">
        <w:rPr>
          <w:rStyle w:val="None"/>
          <w:rFonts w:ascii="Book Antiqua" w:hAnsi="Book Antiqua"/>
          <w:color w:val="auto"/>
          <w:sz w:val="24"/>
          <w:szCs w:val="24"/>
        </w:rPr>
        <w:t xml:space="preserve">plotted. Thereafter, univariate as well as multivariate Cox proportional hazard regression </w:t>
      </w:r>
      <w:r w:rsidR="00AC3831">
        <w:rPr>
          <w:rStyle w:val="None"/>
          <w:rFonts w:ascii="Book Antiqua" w:hAnsi="Book Antiqua"/>
          <w:color w:val="auto"/>
          <w:sz w:val="24"/>
          <w:szCs w:val="24"/>
        </w:rPr>
        <w:t xml:space="preserve">analyses </w:t>
      </w:r>
      <w:r w:rsidRPr="00974D6D">
        <w:rPr>
          <w:rStyle w:val="None"/>
          <w:rFonts w:ascii="Book Antiqua" w:hAnsi="Book Antiqua"/>
          <w:color w:val="auto"/>
          <w:sz w:val="24"/>
          <w:szCs w:val="24"/>
        </w:rPr>
        <w:t xml:space="preserve">were </w:t>
      </w:r>
      <w:r w:rsidR="00AC3831">
        <w:rPr>
          <w:rStyle w:val="None"/>
          <w:rFonts w:ascii="Book Antiqua" w:hAnsi="Book Antiqua"/>
          <w:color w:val="auto"/>
          <w:sz w:val="24"/>
          <w:szCs w:val="24"/>
        </w:rPr>
        <w:t>performed</w:t>
      </w:r>
      <w:r w:rsidRPr="00974D6D">
        <w:rPr>
          <w:rStyle w:val="None"/>
          <w:rFonts w:ascii="Book Antiqua" w:hAnsi="Book Antiqua"/>
          <w:color w:val="auto"/>
          <w:sz w:val="24"/>
          <w:szCs w:val="24"/>
        </w:rPr>
        <w:t xml:space="preserve">. We developed a nomogram with “rms” package in R project. The prognosis prediction accuracy of the nomogram was verified for discrimination and calibration. Each test was two-sided, and a difference of </w:t>
      </w:r>
      <w:r w:rsidR="00061425" w:rsidRPr="00974D6D">
        <w:rPr>
          <w:rStyle w:val="None"/>
          <w:rFonts w:ascii="Book Antiqua" w:hAnsi="Book Antiqua"/>
          <w:i/>
          <w:color w:val="auto"/>
          <w:sz w:val="24"/>
          <w:szCs w:val="24"/>
        </w:rPr>
        <w:t>P</w:t>
      </w:r>
      <w:r w:rsidRPr="00974D6D">
        <w:rPr>
          <w:rStyle w:val="None"/>
          <w:rFonts w:ascii="Book Antiqua" w:hAnsi="Book Antiqua"/>
          <w:color w:val="auto"/>
          <w:sz w:val="24"/>
          <w:szCs w:val="24"/>
        </w:rPr>
        <w:t xml:space="preserve"> &lt; 0.05 was deemed statistically significant. The R (version 3.4.1; R Foundation) software was adopted for all analyses. </w:t>
      </w:r>
    </w:p>
    <w:p w14:paraId="154AD853"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735992B5" w14:textId="283ABB46"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 xml:space="preserve">Functional analysis of </w:t>
      </w:r>
      <w:r w:rsidR="00AC3831">
        <w:rPr>
          <w:rStyle w:val="None"/>
          <w:rFonts w:ascii="Book Antiqua" w:hAnsi="Book Antiqua"/>
          <w:b/>
          <w:bCs/>
          <w:i/>
          <w:iCs/>
          <w:color w:val="auto"/>
          <w:sz w:val="24"/>
          <w:szCs w:val="24"/>
        </w:rPr>
        <w:t xml:space="preserve">the </w:t>
      </w:r>
      <w:r w:rsidRPr="00974D6D">
        <w:rPr>
          <w:rStyle w:val="None"/>
          <w:rFonts w:ascii="Book Antiqua" w:hAnsi="Book Antiqua"/>
          <w:b/>
          <w:bCs/>
          <w:i/>
          <w:iCs/>
          <w:color w:val="auto"/>
          <w:sz w:val="24"/>
          <w:szCs w:val="24"/>
        </w:rPr>
        <w:t xml:space="preserve">prognostic </w:t>
      </w:r>
      <w:proofErr w:type="spellStart"/>
      <w:r w:rsidRPr="00974D6D">
        <w:rPr>
          <w:rStyle w:val="None"/>
          <w:rFonts w:ascii="Book Antiqua" w:hAnsi="Book Antiqua"/>
          <w:b/>
          <w:bCs/>
          <w:i/>
          <w:iCs/>
          <w:color w:val="auto"/>
          <w:sz w:val="24"/>
          <w:szCs w:val="24"/>
        </w:rPr>
        <w:t>immunoscore</w:t>
      </w:r>
      <w:proofErr w:type="spellEnd"/>
    </w:p>
    <w:p w14:paraId="4E5E308D" w14:textId="5FBEC136"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Inhibitory checkpoint molecules can be potentially used in numerous cancer types, which are thereby recognized as the immunotherapy targets for cancer. </w:t>
      </w:r>
      <w:r w:rsidRPr="00974D6D">
        <w:rPr>
          <w:rStyle w:val="None"/>
          <w:rFonts w:ascii="Book Antiqua" w:hAnsi="Book Antiqua"/>
          <w:color w:val="auto"/>
          <w:sz w:val="24"/>
          <w:szCs w:val="24"/>
        </w:rPr>
        <w:lastRenderedPageBreak/>
        <w:t xml:space="preserve">The correlations of </w:t>
      </w:r>
      <w:r w:rsidR="00AC3831">
        <w:rPr>
          <w:rStyle w:val="None"/>
          <w:rFonts w:ascii="Book Antiqua" w:hAnsi="Book Antiqua"/>
          <w:color w:val="auto"/>
          <w:sz w:val="24"/>
          <w:szCs w:val="24"/>
        </w:rPr>
        <w:t xml:space="preserve">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with corresponding genes were further investigated. In addition, the correlation of</w:t>
      </w:r>
      <w:r w:rsidR="00AC3831">
        <w:rPr>
          <w:rStyle w:val="None"/>
          <w:rFonts w:ascii="Book Antiqua" w:hAnsi="Book Antiqua"/>
          <w:color w:val="auto"/>
          <w:sz w:val="24"/>
          <w:szCs w:val="24"/>
        </w:rPr>
        <w:t xml:space="preserve"> the</w:t>
      </w:r>
      <w:r w:rsidRPr="00974D6D">
        <w:rPr>
          <w:rStyle w:val="None"/>
          <w:rFonts w:ascii="Book Antiqua" w:hAnsi="Book Antiqua"/>
          <w:color w:val="auto"/>
          <w:sz w:val="24"/>
          <w:szCs w:val="24"/>
        </w:rPr>
        <w:t xml:space="preserv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with the determined immune markers was analyzed through Pearson’s correlation analysis based on their expression levels. The mechanisms underlying “Molecular Signatures Database” for the c2.cp.kegg.v6.2.symbols were investigated according to gene set enrichment a</w:t>
      </w:r>
      <w:r w:rsidR="007F7406">
        <w:rPr>
          <w:rStyle w:val="None"/>
          <w:rFonts w:ascii="Book Antiqua" w:hAnsi="Book Antiqua"/>
          <w:color w:val="auto"/>
          <w:sz w:val="24"/>
          <w:szCs w:val="24"/>
        </w:rPr>
        <w:t>nalysis (GSEA)</w:t>
      </w:r>
      <w:r w:rsidRPr="00974D6D">
        <w:rPr>
          <w:rStyle w:val="Hyperlink0"/>
          <w:rFonts w:ascii="Book Antiqua" w:eastAsia="Calibri" w:hAnsi="Book Antiqua"/>
          <w:color w:val="auto"/>
        </w:rPr>
        <w:t>[</w:t>
      </w:r>
      <w:hyperlink w:anchor="bookmark12" w:history="1">
        <w:r w:rsidRPr="00974D6D">
          <w:rPr>
            <w:rStyle w:val="Hyperlink0"/>
            <w:rFonts w:ascii="Book Antiqua" w:eastAsia="Calibri" w:hAnsi="Book Antiqua"/>
            <w:color w:val="auto"/>
          </w:rPr>
          <w:t>12</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with JAVA procedure (http://software.broadinstitute.org/gsea/index.jsp). The random sample permutation number was deemed at 1000</w:t>
      </w:r>
      <w:r w:rsidR="00817745">
        <w:rPr>
          <w:rStyle w:val="None"/>
          <w:rFonts w:ascii="Book Antiqua" w:hAnsi="Book Antiqua"/>
          <w:color w:val="auto"/>
          <w:sz w:val="24"/>
          <w:szCs w:val="24"/>
        </w:rPr>
        <w:t xml:space="preserve"> </w:t>
      </w:r>
      <w:r w:rsidRPr="00974D6D">
        <w:rPr>
          <w:rStyle w:val="None"/>
          <w:rFonts w:ascii="Book Antiqua" w:hAnsi="Book Antiqua"/>
          <w:color w:val="auto"/>
          <w:sz w:val="24"/>
          <w:szCs w:val="24"/>
        </w:rPr>
        <w:t xml:space="preserve">and a significant level was </w:t>
      </w:r>
      <w:r w:rsidR="00F94933" w:rsidRPr="00974D6D">
        <w:rPr>
          <w:rFonts w:ascii="Book Antiqua" w:eastAsia="宋体" w:hAnsi="Book Antiqua" w:cs="Times New Roman"/>
          <w:i/>
          <w:iCs/>
          <w:color w:val="auto"/>
          <w:sz w:val="24"/>
          <w:szCs w:val="22"/>
        </w:rPr>
        <w:t>P</w:t>
      </w:r>
      <w:proofErr w:type="gramStart"/>
      <w:r w:rsidR="00F94933" w:rsidRPr="00974D6D">
        <w:rPr>
          <w:rFonts w:ascii="Times New Roman" w:eastAsia="宋体" w:hAnsi="Times New Roman" w:cs="Times New Roman"/>
          <w:color w:val="auto"/>
          <w:sz w:val="24"/>
          <w:szCs w:val="22"/>
        </w:rPr>
        <w:t> </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&lt;</w:t>
      </w:r>
      <w:proofErr w:type="gramEnd"/>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0.05.</w:t>
      </w:r>
    </w:p>
    <w:p w14:paraId="0E796260"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b/>
          <w:bCs/>
          <w:color w:val="auto"/>
          <w:sz w:val="24"/>
          <w:szCs w:val="24"/>
        </w:rPr>
      </w:pPr>
    </w:p>
    <w:p w14:paraId="61BFA57C"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color w:val="auto"/>
          <w:sz w:val="24"/>
          <w:szCs w:val="24"/>
        </w:rPr>
      </w:pPr>
      <w:r w:rsidRPr="00974D6D">
        <w:rPr>
          <w:rStyle w:val="None"/>
          <w:rFonts w:ascii="Book Antiqua" w:hAnsi="Book Antiqua"/>
          <w:b/>
          <w:bCs/>
          <w:color w:val="auto"/>
          <w:sz w:val="24"/>
          <w:szCs w:val="24"/>
        </w:rPr>
        <w:t>RESULTS</w:t>
      </w:r>
    </w:p>
    <w:p w14:paraId="103C711F"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Patient characteristics and composition of immunocytes</w:t>
      </w:r>
    </w:p>
    <w:p w14:paraId="79CC7B63" w14:textId="5BAEF3EA"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Detailed patient characteristics </w:t>
      </w:r>
      <w:r w:rsidR="00FB6BD6">
        <w:rPr>
          <w:rStyle w:val="None"/>
          <w:rFonts w:ascii="Book Antiqua" w:hAnsi="Book Antiqua"/>
          <w:color w:val="auto"/>
          <w:sz w:val="24"/>
          <w:szCs w:val="24"/>
        </w:rPr>
        <w:t>are</w:t>
      </w:r>
      <w:r w:rsidR="00FB6BD6" w:rsidRPr="00974D6D">
        <w:rPr>
          <w:rStyle w:val="None"/>
          <w:rFonts w:ascii="Book Antiqua" w:hAnsi="Book Antiqua"/>
          <w:color w:val="auto"/>
          <w:sz w:val="24"/>
          <w:szCs w:val="24"/>
        </w:rPr>
        <w:t xml:space="preserve"> </w:t>
      </w:r>
      <w:r w:rsidRPr="00974D6D">
        <w:rPr>
          <w:rStyle w:val="None"/>
          <w:rFonts w:ascii="Book Antiqua" w:hAnsi="Book Antiqua"/>
          <w:color w:val="auto"/>
          <w:sz w:val="24"/>
          <w:szCs w:val="24"/>
        </w:rPr>
        <w:t xml:space="preserve">listed in Table 1. The immunocyte compositions of cancer and normal tissues were analyzed. Figure 2A </w:t>
      </w:r>
      <w:r w:rsidR="00487209" w:rsidRPr="00974D6D">
        <w:rPr>
          <w:rStyle w:val="None"/>
          <w:rFonts w:ascii="Book Antiqua" w:hAnsi="Book Antiqua"/>
          <w:color w:val="auto"/>
          <w:sz w:val="24"/>
          <w:szCs w:val="24"/>
        </w:rPr>
        <w:t>summarize</w:t>
      </w:r>
      <w:r w:rsidR="00487209">
        <w:rPr>
          <w:rStyle w:val="None"/>
          <w:rFonts w:ascii="Book Antiqua" w:hAnsi="Book Antiqua"/>
          <w:color w:val="auto"/>
          <w:sz w:val="24"/>
          <w:szCs w:val="24"/>
        </w:rPr>
        <w:t>s</w:t>
      </w:r>
      <w:r w:rsidR="00487209" w:rsidRPr="00974D6D">
        <w:rPr>
          <w:rStyle w:val="None"/>
          <w:rFonts w:ascii="Book Antiqua" w:hAnsi="Book Antiqua"/>
          <w:color w:val="auto"/>
          <w:sz w:val="24"/>
          <w:szCs w:val="24"/>
        </w:rPr>
        <w:t xml:space="preserve"> </w:t>
      </w:r>
      <w:proofErr w:type="spellStart"/>
      <w:r w:rsidRPr="00974D6D">
        <w:rPr>
          <w:rStyle w:val="None"/>
          <w:rFonts w:ascii="Book Antiqua" w:hAnsi="Book Antiqua"/>
          <w:color w:val="auto"/>
          <w:sz w:val="24"/>
          <w:szCs w:val="24"/>
        </w:rPr>
        <w:t>immunocyte</w:t>
      </w:r>
      <w:proofErr w:type="spellEnd"/>
      <w:r w:rsidRPr="00974D6D">
        <w:rPr>
          <w:rStyle w:val="None"/>
          <w:rFonts w:ascii="Book Antiqua" w:hAnsi="Book Antiqua"/>
          <w:color w:val="auto"/>
          <w:sz w:val="24"/>
          <w:szCs w:val="24"/>
        </w:rPr>
        <w:t xml:space="preserve"> composition in the entire cohort. </w:t>
      </w:r>
      <w:r w:rsidR="00487209">
        <w:rPr>
          <w:rStyle w:val="None"/>
          <w:rFonts w:ascii="Book Antiqua" w:hAnsi="Book Antiqua"/>
          <w:color w:val="auto"/>
          <w:sz w:val="24"/>
          <w:szCs w:val="24"/>
        </w:rPr>
        <w:t>R</w:t>
      </w:r>
      <w:r w:rsidR="00487209" w:rsidRPr="00974D6D">
        <w:rPr>
          <w:rStyle w:val="None"/>
          <w:rFonts w:ascii="Book Antiqua" w:hAnsi="Book Antiqua"/>
          <w:color w:val="auto"/>
          <w:sz w:val="24"/>
          <w:szCs w:val="24"/>
        </w:rPr>
        <w:t xml:space="preserve">esting </w:t>
      </w:r>
      <w:r w:rsidRPr="00974D6D">
        <w:rPr>
          <w:rStyle w:val="None"/>
          <w:rFonts w:ascii="Book Antiqua" w:hAnsi="Book Antiqua"/>
          <w:color w:val="auto"/>
          <w:sz w:val="24"/>
          <w:szCs w:val="24"/>
        </w:rPr>
        <w:t>CD4 memory</w:t>
      </w:r>
      <w:r w:rsidR="00487209">
        <w:rPr>
          <w:rStyle w:val="None"/>
          <w:rFonts w:ascii="Book Antiqua" w:hAnsi="Book Antiqua"/>
          <w:color w:val="auto"/>
          <w:sz w:val="24"/>
          <w:szCs w:val="24"/>
        </w:rPr>
        <w:t xml:space="preserve"> </w:t>
      </w:r>
      <w:r w:rsidRPr="00974D6D">
        <w:rPr>
          <w:rStyle w:val="None"/>
          <w:rFonts w:ascii="Book Antiqua" w:hAnsi="Book Antiqua"/>
          <w:color w:val="auto"/>
          <w:sz w:val="24"/>
          <w:szCs w:val="24"/>
        </w:rPr>
        <w:t>T cells ranked the first, accounting for 25% on average; while CD4 naive T cells and gamma delta T cells were not detected. Heatmap summarizing the distribution of immunocytes was also plotted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2B). Various immunocyte subpopulation fractions showed </w:t>
      </w:r>
      <w:r w:rsidR="00487209">
        <w:rPr>
          <w:rStyle w:val="None"/>
          <w:rFonts w:ascii="Book Antiqua" w:hAnsi="Book Antiqua"/>
          <w:color w:val="auto"/>
          <w:sz w:val="24"/>
          <w:szCs w:val="24"/>
        </w:rPr>
        <w:t xml:space="preserve">a </w:t>
      </w:r>
      <w:r w:rsidRPr="00974D6D">
        <w:rPr>
          <w:rStyle w:val="None"/>
          <w:rFonts w:ascii="Book Antiqua" w:hAnsi="Book Antiqua"/>
          <w:color w:val="auto"/>
          <w:sz w:val="24"/>
          <w:szCs w:val="24"/>
        </w:rPr>
        <w:t>low to moderate correlation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2C). Relative to para-carcinoma tissues, higher proportions of regulatory T cells as well as resting dendritic cells could be detected in cancer tissues, along with lower proportions of plasma cells, resting NK cells, M2 macrophages, and neutrophils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2D, </w:t>
      </w:r>
      <w:r w:rsidR="00061425" w:rsidRPr="00974D6D">
        <w:rPr>
          <w:rStyle w:val="None"/>
          <w:rFonts w:ascii="Book Antiqua" w:hAnsi="Book Antiqua"/>
          <w:i/>
          <w:color w:val="auto"/>
          <w:sz w:val="24"/>
          <w:szCs w:val="24"/>
        </w:rPr>
        <w:t>P</w:t>
      </w:r>
      <w:r w:rsidRPr="00974D6D">
        <w:rPr>
          <w:rStyle w:val="None"/>
          <w:rFonts w:ascii="Book Antiqua" w:hAnsi="Book Antiqua"/>
          <w:color w:val="auto"/>
          <w:sz w:val="24"/>
          <w:szCs w:val="24"/>
        </w:rPr>
        <w:t xml:space="preserve"> &lt; 0.05).</w:t>
      </w:r>
    </w:p>
    <w:p w14:paraId="74ED81BE" w14:textId="77777777" w:rsidR="00E03495" w:rsidRPr="00974D6D" w:rsidRDefault="00E03495" w:rsidP="00974D6D">
      <w:pPr>
        <w:framePr w:wrap="auto"/>
        <w:adjustRightInd w:val="0"/>
        <w:snapToGrid w:val="0"/>
        <w:spacing w:line="360" w:lineRule="auto"/>
        <w:rPr>
          <w:rStyle w:val="None"/>
          <w:rFonts w:ascii="Book Antiqua" w:eastAsia="宋体" w:hAnsi="Book Antiqua" w:cs="宋体"/>
          <w:color w:val="auto"/>
          <w:sz w:val="24"/>
          <w:szCs w:val="24"/>
          <w:lang w:val="zh-TW" w:eastAsia="zh-TW"/>
        </w:rPr>
      </w:pPr>
    </w:p>
    <w:p w14:paraId="56974AC3"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proofErr w:type="spellStart"/>
      <w:r w:rsidRPr="00974D6D">
        <w:rPr>
          <w:rStyle w:val="None"/>
          <w:rFonts w:ascii="Book Antiqua" w:hAnsi="Book Antiqua"/>
          <w:b/>
          <w:bCs/>
          <w:i/>
          <w:iCs/>
          <w:color w:val="auto"/>
          <w:sz w:val="24"/>
          <w:szCs w:val="24"/>
        </w:rPr>
        <w:t>Immunoscore</w:t>
      </w:r>
      <w:proofErr w:type="spellEnd"/>
      <w:r w:rsidRPr="00974D6D">
        <w:rPr>
          <w:rStyle w:val="None"/>
          <w:rFonts w:ascii="Book Antiqua" w:hAnsi="Book Antiqua"/>
          <w:b/>
          <w:bCs/>
          <w:i/>
          <w:iCs/>
          <w:color w:val="auto"/>
          <w:sz w:val="24"/>
          <w:szCs w:val="24"/>
        </w:rPr>
        <w:t xml:space="preserve"> derivation </w:t>
      </w:r>
    </w:p>
    <w:p w14:paraId="051BF4AF" w14:textId="70D5706E"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Table </w:t>
      </w:r>
      <w:r w:rsidR="001A5E8E" w:rsidRPr="00974D6D">
        <w:rPr>
          <w:rStyle w:val="None"/>
          <w:rFonts w:ascii="Book Antiqua" w:hAnsi="Book Antiqua"/>
          <w:color w:val="auto"/>
          <w:sz w:val="24"/>
          <w:szCs w:val="24"/>
        </w:rPr>
        <w:t>2</w:t>
      </w:r>
      <w:r w:rsidRPr="00974D6D">
        <w:rPr>
          <w:rStyle w:val="None"/>
          <w:rFonts w:ascii="Book Antiqua" w:hAnsi="Book Antiqua"/>
          <w:color w:val="auto"/>
          <w:sz w:val="24"/>
          <w:szCs w:val="24"/>
        </w:rPr>
        <w:t xml:space="preserve"> </w:t>
      </w:r>
      <w:r w:rsidR="00487209" w:rsidRPr="00974D6D">
        <w:rPr>
          <w:rStyle w:val="None"/>
          <w:rFonts w:ascii="Book Antiqua" w:hAnsi="Book Antiqua"/>
          <w:color w:val="auto"/>
          <w:sz w:val="24"/>
          <w:szCs w:val="24"/>
        </w:rPr>
        <w:t>display</w:t>
      </w:r>
      <w:r w:rsidR="00487209">
        <w:rPr>
          <w:rStyle w:val="None"/>
          <w:rFonts w:ascii="Book Antiqua" w:hAnsi="Book Antiqua"/>
          <w:color w:val="auto"/>
          <w:sz w:val="24"/>
          <w:szCs w:val="24"/>
        </w:rPr>
        <w:t>s</w:t>
      </w:r>
      <w:r w:rsidR="00487209" w:rsidRPr="00974D6D">
        <w:rPr>
          <w:rStyle w:val="None"/>
          <w:rFonts w:ascii="Book Antiqua" w:hAnsi="Book Antiqua"/>
          <w:color w:val="auto"/>
          <w:sz w:val="24"/>
          <w:szCs w:val="24"/>
        </w:rPr>
        <w:t xml:space="preserve"> </w:t>
      </w:r>
      <w:r w:rsidRPr="00974D6D">
        <w:rPr>
          <w:rStyle w:val="None"/>
          <w:rFonts w:ascii="Book Antiqua" w:hAnsi="Book Antiqua"/>
          <w:color w:val="auto"/>
          <w:sz w:val="24"/>
          <w:szCs w:val="24"/>
        </w:rPr>
        <w:t xml:space="preserve">the thresholds of </w:t>
      </w:r>
      <w:r w:rsidR="00061425" w:rsidRPr="00974D6D">
        <w:rPr>
          <w:rStyle w:val="None"/>
          <w:rFonts w:ascii="Book Antiqua" w:hAnsi="Book Antiqua"/>
          <w:color w:val="auto"/>
          <w:sz w:val="24"/>
          <w:szCs w:val="24"/>
        </w:rPr>
        <w:t xml:space="preserve">all cell types. </w:t>
      </w:r>
      <w:r w:rsidR="00302472" w:rsidRPr="00974D6D">
        <w:rPr>
          <w:rStyle w:val="None"/>
          <w:rFonts w:ascii="Book Antiqua" w:hAnsi="Book Antiqua"/>
          <w:color w:val="auto"/>
          <w:sz w:val="24"/>
          <w:szCs w:val="24"/>
        </w:rPr>
        <w:t>Figure</w:t>
      </w:r>
      <w:r w:rsidR="00061425" w:rsidRPr="00974D6D">
        <w:rPr>
          <w:rStyle w:val="None"/>
          <w:rFonts w:ascii="Book Antiqua" w:hAnsi="Book Antiqua"/>
          <w:color w:val="auto"/>
          <w:sz w:val="24"/>
          <w:szCs w:val="24"/>
        </w:rPr>
        <w:t xml:space="preserve"> 3A </w:t>
      </w:r>
      <w:r w:rsidR="00487209" w:rsidRPr="00974D6D">
        <w:rPr>
          <w:rStyle w:val="None"/>
          <w:rFonts w:ascii="Book Antiqua" w:hAnsi="Book Antiqua"/>
          <w:color w:val="auto"/>
          <w:sz w:val="24"/>
          <w:szCs w:val="24"/>
        </w:rPr>
        <w:t>present</w:t>
      </w:r>
      <w:r w:rsidR="00487209">
        <w:rPr>
          <w:rStyle w:val="None"/>
          <w:rFonts w:ascii="Book Antiqua" w:hAnsi="Book Antiqua"/>
          <w:color w:val="auto"/>
          <w:sz w:val="24"/>
          <w:szCs w:val="24"/>
        </w:rPr>
        <w:t>s</w:t>
      </w:r>
      <w:r w:rsidR="00487209" w:rsidRPr="00974D6D">
        <w:rPr>
          <w:rStyle w:val="None"/>
          <w:rFonts w:ascii="Book Antiqua" w:hAnsi="Book Antiqua"/>
          <w:color w:val="auto"/>
          <w:sz w:val="24"/>
          <w:szCs w:val="24"/>
        </w:rPr>
        <w:t xml:space="preserve"> </w:t>
      </w:r>
      <w:r w:rsidRPr="00974D6D">
        <w:rPr>
          <w:rStyle w:val="None"/>
          <w:rFonts w:ascii="Book Antiqua" w:hAnsi="Book Antiqua"/>
          <w:color w:val="auto"/>
          <w:sz w:val="24"/>
          <w:szCs w:val="24"/>
        </w:rPr>
        <w:t>the forest plot of the correlation of 18 immunocyte subsets with OS. Through the LASSO algorithm (</w:t>
      </w:r>
      <w:r w:rsidR="00302472" w:rsidRPr="00974D6D">
        <w:rPr>
          <w:rStyle w:val="None"/>
          <w:rFonts w:ascii="Book Antiqua" w:hAnsi="Book Antiqua"/>
          <w:color w:val="auto"/>
          <w:sz w:val="24"/>
          <w:szCs w:val="24"/>
        </w:rPr>
        <w:t>Figure</w:t>
      </w:r>
      <w:r w:rsidR="003E54D1">
        <w:rPr>
          <w:rStyle w:val="None"/>
          <w:rFonts w:ascii="Book Antiqua" w:hAnsi="Book Antiqua"/>
          <w:color w:val="auto"/>
          <w:sz w:val="24"/>
          <w:szCs w:val="24"/>
        </w:rPr>
        <w:t xml:space="preserve"> </w:t>
      </w:r>
      <w:r w:rsidRPr="00974D6D">
        <w:rPr>
          <w:rStyle w:val="None"/>
          <w:rFonts w:ascii="Book Antiqua" w:hAnsi="Book Antiqua"/>
          <w:color w:val="auto"/>
          <w:sz w:val="24"/>
          <w:szCs w:val="24"/>
        </w:rPr>
        <w:t xml:space="preserve">3B and C), eight types of immunocytes (including plasma cells, naive B cells, CD4 memory resting T cells, M1 macrophages, activated NK cells, resting dendritic cells, M2 macrophages, and neutrophils) were selected to build the prognostic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model.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was calculated </w:t>
      </w:r>
      <w:r w:rsidRPr="00974D6D">
        <w:rPr>
          <w:rStyle w:val="None"/>
          <w:rFonts w:ascii="Book Antiqua" w:hAnsi="Book Antiqua"/>
          <w:color w:val="auto"/>
          <w:sz w:val="24"/>
          <w:szCs w:val="24"/>
        </w:rPr>
        <w:lastRenderedPageBreak/>
        <w:t>according to the formula: (2.764 ×</w:t>
      </w:r>
      <w:r w:rsidR="00C45783">
        <w:rPr>
          <w:rStyle w:val="None"/>
          <w:rFonts w:ascii="Book Antiqua" w:eastAsiaTheme="minorEastAsia" w:hAnsi="Book Antiqua" w:hint="eastAsia"/>
          <w:color w:val="auto"/>
          <w:sz w:val="24"/>
          <w:szCs w:val="24"/>
        </w:rPr>
        <w:t xml:space="preserve"> </w:t>
      </w:r>
      <w:r w:rsidR="00720753" w:rsidRPr="00974D6D">
        <w:rPr>
          <w:rStyle w:val="None"/>
          <w:rFonts w:ascii="Book Antiqua" w:hAnsi="Book Antiqua"/>
          <w:color w:val="auto"/>
          <w:sz w:val="24"/>
          <w:szCs w:val="24"/>
        </w:rPr>
        <w:t xml:space="preserve">fraction level of </w:t>
      </w:r>
      <w:r w:rsidR="00487209" w:rsidRPr="00974D6D">
        <w:rPr>
          <w:rStyle w:val="None"/>
          <w:rFonts w:ascii="Book Antiqua" w:hAnsi="Book Antiqua"/>
          <w:color w:val="auto"/>
          <w:sz w:val="24"/>
          <w:szCs w:val="24"/>
        </w:rPr>
        <w:t xml:space="preserve">naive </w:t>
      </w:r>
      <w:r w:rsidRPr="00974D6D">
        <w:rPr>
          <w:rStyle w:val="None"/>
          <w:rFonts w:ascii="Book Antiqua" w:hAnsi="Book Antiqua"/>
          <w:color w:val="auto"/>
          <w:sz w:val="24"/>
          <w:szCs w:val="24"/>
        </w:rPr>
        <w:t xml:space="preserve">B cells) - (0.371 × fraction level of plasma cells) + (1.694 × fraction level of </w:t>
      </w:r>
      <w:r w:rsidR="00487209" w:rsidRPr="00974D6D">
        <w:rPr>
          <w:rStyle w:val="None"/>
          <w:rFonts w:ascii="Book Antiqua" w:hAnsi="Book Antiqua"/>
          <w:color w:val="auto"/>
          <w:sz w:val="24"/>
          <w:szCs w:val="24"/>
        </w:rPr>
        <w:t xml:space="preserve">resting </w:t>
      </w:r>
      <w:r w:rsidRPr="00974D6D">
        <w:rPr>
          <w:rStyle w:val="None"/>
          <w:rFonts w:ascii="Book Antiqua" w:hAnsi="Book Antiqua"/>
          <w:color w:val="auto"/>
          <w:sz w:val="24"/>
          <w:szCs w:val="24"/>
        </w:rPr>
        <w:t xml:space="preserve">CD4 memory T cells) + (21.45 × fraction level of activated NK cells) + (1.669 × fraction level of M1 macrophages) - (1.649 × fraction level of M2 macrophages) + (0.504 × fraction level of resting dendritic cells) + (3.647 × fraction level of neutrophils). Moreover,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prognosis performance, as the continuous variable, was also studied within the cohort through time-dependent ROC anal</w:t>
      </w:r>
      <w:r w:rsidR="00AE42A6">
        <w:rPr>
          <w:rStyle w:val="None"/>
          <w:rFonts w:ascii="Book Antiqua" w:hAnsi="Book Antiqua"/>
          <w:color w:val="auto"/>
          <w:sz w:val="24"/>
          <w:szCs w:val="24"/>
        </w:rPr>
        <w:t>ysis. The areas under the curve</w:t>
      </w:r>
      <w:r w:rsidR="00487209">
        <w:rPr>
          <w:rStyle w:val="None"/>
          <w:rFonts w:ascii="Book Antiqua" w:hAnsi="Book Antiqua"/>
          <w:color w:val="auto"/>
          <w:sz w:val="24"/>
          <w:szCs w:val="24"/>
        </w:rPr>
        <w:t>s</w:t>
      </w:r>
      <w:r w:rsidRPr="00974D6D">
        <w:rPr>
          <w:rStyle w:val="None"/>
          <w:rFonts w:ascii="Book Antiqua" w:hAnsi="Book Antiqua"/>
          <w:color w:val="auto"/>
          <w:sz w:val="24"/>
          <w:szCs w:val="24"/>
        </w:rPr>
        <w:t xml:space="preserve"> of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biomarker prognostic model were 0.971, 0.912, and 0.975</w:t>
      </w:r>
      <w:r w:rsidR="00487209">
        <w:rPr>
          <w:rStyle w:val="None"/>
          <w:rFonts w:ascii="Book Antiqua" w:hAnsi="Book Antiqua"/>
          <w:color w:val="auto"/>
          <w:sz w:val="24"/>
          <w:szCs w:val="24"/>
        </w:rPr>
        <w:t xml:space="preserve"> for</w:t>
      </w:r>
      <w:r w:rsidRPr="00974D6D">
        <w:rPr>
          <w:rStyle w:val="None"/>
          <w:rFonts w:ascii="Book Antiqua" w:hAnsi="Book Antiqua"/>
          <w:color w:val="auto"/>
          <w:sz w:val="24"/>
          <w:szCs w:val="24"/>
        </w:rPr>
        <w:t xml:space="preserve"> 1</w:t>
      </w:r>
      <w:r w:rsidR="00487209">
        <w:rPr>
          <w:rStyle w:val="None"/>
          <w:rFonts w:ascii="Book Antiqua" w:hAnsi="Book Antiqua"/>
          <w:color w:val="auto"/>
          <w:sz w:val="24"/>
          <w:szCs w:val="24"/>
        </w:rPr>
        <w:t>-</w:t>
      </w:r>
      <w:r w:rsidRPr="00974D6D">
        <w:rPr>
          <w:rStyle w:val="None"/>
          <w:rFonts w:ascii="Book Antiqua" w:hAnsi="Book Antiqua"/>
          <w:color w:val="auto"/>
          <w:sz w:val="24"/>
          <w:szCs w:val="24"/>
        </w:rPr>
        <w:t>, 3</w:t>
      </w:r>
      <w:r w:rsidR="00487209">
        <w:rPr>
          <w:rStyle w:val="None"/>
          <w:rFonts w:ascii="Book Antiqua" w:hAnsi="Book Antiqua"/>
          <w:color w:val="auto"/>
          <w:sz w:val="24"/>
          <w:szCs w:val="24"/>
        </w:rPr>
        <w:t>-</w:t>
      </w:r>
      <w:r w:rsidRPr="00974D6D">
        <w:rPr>
          <w:rStyle w:val="None"/>
          <w:rFonts w:ascii="Book Antiqua" w:hAnsi="Book Antiqua"/>
          <w:color w:val="auto"/>
          <w:sz w:val="24"/>
          <w:szCs w:val="24"/>
        </w:rPr>
        <w:t xml:space="preserve">, and </w:t>
      </w:r>
      <w:r w:rsidR="00487209" w:rsidRPr="00974D6D">
        <w:rPr>
          <w:rStyle w:val="None"/>
          <w:rFonts w:ascii="Book Antiqua" w:hAnsi="Book Antiqua"/>
          <w:color w:val="auto"/>
          <w:sz w:val="24"/>
          <w:szCs w:val="24"/>
        </w:rPr>
        <w:t>5</w:t>
      </w:r>
      <w:r w:rsidR="00487209">
        <w:rPr>
          <w:rStyle w:val="None"/>
          <w:rFonts w:ascii="Book Antiqua" w:hAnsi="Book Antiqua"/>
          <w:color w:val="auto"/>
          <w:sz w:val="24"/>
          <w:szCs w:val="24"/>
        </w:rPr>
        <w:t>-</w:t>
      </w:r>
      <w:r w:rsidRPr="00974D6D">
        <w:rPr>
          <w:rStyle w:val="None"/>
          <w:rFonts w:ascii="Book Antiqua" w:hAnsi="Book Antiqua"/>
          <w:color w:val="auto"/>
          <w:sz w:val="24"/>
          <w:szCs w:val="24"/>
        </w:rPr>
        <w:t>year</w:t>
      </w:r>
      <w:r w:rsidR="00487209">
        <w:rPr>
          <w:rStyle w:val="None"/>
          <w:rFonts w:ascii="Book Antiqua" w:hAnsi="Book Antiqua"/>
          <w:color w:val="auto"/>
          <w:sz w:val="24"/>
          <w:szCs w:val="24"/>
        </w:rPr>
        <w:t xml:space="preserve"> </w:t>
      </w:r>
      <w:r w:rsidRPr="00974D6D">
        <w:rPr>
          <w:rStyle w:val="None"/>
          <w:rFonts w:ascii="Book Antiqua" w:hAnsi="Book Antiqua"/>
          <w:color w:val="auto"/>
          <w:sz w:val="24"/>
          <w:szCs w:val="24"/>
        </w:rPr>
        <w:t>OS, respectively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3D).</w:t>
      </w:r>
    </w:p>
    <w:p w14:paraId="703E1F7D" w14:textId="77777777" w:rsidR="00E03495" w:rsidRPr="00974D6D" w:rsidRDefault="00E03495" w:rsidP="00974D6D">
      <w:pPr>
        <w:framePr w:wrap="auto"/>
        <w:adjustRightInd w:val="0"/>
        <w:snapToGrid w:val="0"/>
        <w:spacing w:line="360" w:lineRule="auto"/>
        <w:rPr>
          <w:rStyle w:val="None"/>
          <w:rFonts w:ascii="Book Antiqua" w:eastAsiaTheme="minorEastAsia" w:hAnsi="Book Antiqua" w:cs="Times New Roman"/>
          <w:color w:val="auto"/>
          <w:sz w:val="24"/>
          <w:szCs w:val="24"/>
        </w:rPr>
      </w:pPr>
    </w:p>
    <w:p w14:paraId="1A4AF300"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 xml:space="preserve">Confirmation of the </w:t>
      </w:r>
      <w:proofErr w:type="spellStart"/>
      <w:r w:rsidRPr="00974D6D">
        <w:rPr>
          <w:rStyle w:val="None"/>
          <w:rFonts w:ascii="Book Antiqua" w:hAnsi="Book Antiqua"/>
          <w:b/>
          <w:bCs/>
          <w:i/>
          <w:iCs/>
          <w:color w:val="auto"/>
          <w:sz w:val="24"/>
          <w:szCs w:val="24"/>
        </w:rPr>
        <w:t>immunoscore</w:t>
      </w:r>
      <w:proofErr w:type="spellEnd"/>
    </w:p>
    <w:p w14:paraId="485912C1" w14:textId="0B729A0C"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patients were distributed based on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and their survival information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4A). Subsequently, the patients were classified into high </w:t>
      </w:r>
      <w:r w:rsidRPr="00770EE0">
        <w:rPr>
          <w:rStyle w:val="None"/>
          <w:rFonts w:ascii="Book Antiqua" w:hAnsi="Book Antiqua"/>
          <w:i/>
          <w:iCs/>
          <w:color w:val="auto"/>
          <w:sz w:val="24"/>
          <w:szCs w:val="24"/>
        </w:rPr>
        <w:t>v</w:t>
      </w:r>
      <w:r w:rsidR="00770EE0" w:rsidRPr="00770EE0">
        <w:rPr>
          <w:rStyle w:val="None"/>
          <w:rFonts w:ascii="Book Antiqua" w:hAnsi="Book Antiqua"/>
          <w:i/>
          <w:iCs/>
          <w:color w:val="auto"/>
          <w:sz w:val="24"/>
          <w:szCs w:val="24"/>
        </w:rPr>
        <w:t>s</w:t>
      </w:r>
      <w:r w:rsidRPr="00974D6D">
        <w:rPr>
          <w:rStyle w:val="None"/>
          <w:rFonts w:ascii="Book Antiqua" w:hAnsi="Book Antiqua"/>
          <w:color w:val="auto"/>
          <w:sz w:val="24"/>
          <w:szCs w:val="24"/>
        </w:rPr>
        <w:t xml:space="preserve"> low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groups according to the threshold (36.47) acquired using </w:t>
      </w:r>
      <w:proofErr w:type="spellStart"/>
      <w:r w:rsidRPr="00974D6D">
        <w:rPr>
          <w:rStyle w:val="None"/>
          <w:rFonts w:ascii="Book Antiqua" w:hAnsi="Book Antiqua"/>
          <w:color w:val="auto"/>
          <w:sz w:val="24"/>
          <w:szCs w:val="24"/>
        </w:rPr>
        <w:t>survminer</w:t>
      </w:r>
      <w:proofErr w:type="spellEnd"/>
      <w:r w:rsidRPr="00974D6D">
        <w:rPr>
          <w:rStyle w:val="None"/>
          <w:rFonts w:ascii="Book Antiqua" w:hAnsi="Book Antiqua"/>
          <w:color w:val="auto"/>
          <w:sz w:val="24"/>
          <w:szCs w:val="24"/>
        </w:rPr>
        <w:t xml:space="preserve"> package. The Kaplan-Meier curves for both groups </w:t>
      </w:r>
      <w:r w:rsidR="00487209">
        <w:rPr>
          <w:rStyle w:val="None"/>
          <w:rFonts w:ascii="Book Antiqua" w:hAnsi="Book Antiqua"/>
          <w:color w:val="auto"/>
          <w:sz w:val="24"/>
          <w:szCs w:val="24"/>
        </w:rPr>
        <w:t>are</w:t>
      </w:r>
      <w:r w:rsidR="00487209" w:rsidRPr="00974D6D">
        <w:rPr>
          <w:rStyle w:val="None"/>
          <w:rFonts w:ascii="Book Antiqua" w:hAnsi="Book Antiqua"/>
          <w:color w:val="auto"/>
          <w:sz w:val="24"/>
          <w:szCs w:val="24"/>
        </w:rPr>
        <w:t xml:space="preserve"> </w:t>
      </w:r>
      <w:r w:rsidRPr="00974D6D">
        <w:rPr>
          <w:rStyle w:val="None"/>
          <w:rFonts w:ascii="Book Antiqua" w:hAnsi="Book Antiqua"/>
          <w:color w:val="auto"/>
          <w:sz w:val="24"/>
          <w:szCs w:val="24"/>
        </w:rPr>
        <w:t xml:space="preserve">presented in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4B. The patients with a high </w:t>
      </w:r>
      <w:proofErr w:type="spellStart"/>
      <w:r w:rsidR="00720753" w:rsidRPr="00974D6D">
        <w:rPr>
          <w:rStyle w:val="None"/>
          <w:rFonts w:ascii="Book Antiqua" w:hAnsi="Book Antiqua"/>
          <w:color w:val="auto"/>
          <w:sz w:val="24"/>
          <w:szCs w:val="24"/>
        </w:rPr>
        <w:t>immuno</w:t>
      </w:r>
      <w:r w:rsidRPr="00974D6D">
        <w:rPr>
          <w:rStyle w:val="None"/>
          <w:rFonts w:ascii="Book Antiqua" w:hAnsi="Book Antiqua"/>
          <w:color w:val="auto"/>
          <w:sz w:val="24"/>
          <w:szCs w:val="24"/>
        </w:rPr>
        <w:t>score</w:t>
      </w:r>
      <w:proofErr w:type="spellEnd"/>
      <w:r w:rsidRPr="00974D6D">
        <w:rPr>
          <w:rStyle w:val="None"/>
          <w:rFonts w:ascii="Book Antiqua" w:hAnsi="Book Antiqua"/>
          <w:color w:val="auto"/>
          <w:sz w:val="24"/>
          <w:szCs w:val="24"/>
        </w:rPr>
        <w:t xml:space="preserve"> were associated with worse OS than those with a low </w:t>
      </w:r>
      <w:proofErr w:type="spellStart"/>
      <w:r w:rsidR="00720753" w:rsidRPr="00974D6D">
        <w:rPr>
          <w:rStyle w:val="None"/>
          <w:rFonts w:ascii="Book Antiqua" w:hAnsi="Book Antiqua"/>
          <w:color w:val="auto"/>
          <w:sz w:val="24"/>
          <w:szCs w:val="24"/>
        </w:rPr>
        <w:t>immuno</w:t>
      </w:r>
      <w:r w:rsidR="00C45783">
        <w:rPr>
          <w:rStyle w:val="None"/>
          <w:rFonts w:ascii="Book Antiqua" w:hAnsi="Book Antiqua"/>
          <w:color w:val="auto"/>
          <w:sz w:val="24"/>
          <w:szCs w:val="24"/>
        </w:rPr>
        <w:t>score</w:t>
      </w:r>
      <w:proofErr w:type="spellEnd"/>
      <w:r w:rsidR="00C45783">
        <w:rPr>
          <w:rStyle w:val="None"/>
          <w:rFonts w:ascii="Book Antiqua" w:hAnsi="Book Antiqua"/>
          <w:color w:val="auto"/>
          <w:sz w:val="24"/>
          <w:szCs w:val="24"/>
        </w:rPr>
        <w:t xml:space="preserve"> </w:t>
      </w:r>
      <w:r w:rsidR="00C45783">
        <w:rPr>
          <w:rStyle w:val="None"/>
          <w:rFonts w:ascii="Book Antiqua" w:eastAsiaTheme="minorEastAsia" w:hAnsi="Book Antiqua" w:hint="eastAsia"/>
          <w:color w:val="auto"/>
          <w:sz w:val="24"/>
          <w:szCs w:val="24"/>
        </w:rPr>
        <w:t>[</w:t>
      </w:r>
      <w:r w:rsidR="00487209">
        <w:rPr>
          <w:rStyle w:val="None"/>
          <w:rFonts w:ascii="Book Antiqua" w:hAnsi="Book Antiqua"/>
          <w:color w:val="auto"/>
          <w:sz w:val="24"/>
          <w:szCs w:val="24"/>
        </w:rPr>
        <w:t xml:space="preserve">hazard </w:t>
      </w:r>
      <w:r w:rsidR="00C45783">
        <w:rPr>
          <w:rStyle w:val="None"/>
          <w:rFonts w:ascii="Book Antiqua" w:hAnsi="Book Antiqua"/>
          <w:color w:val="auto"/>
          <w:sz w:val="24"/>
          <w:szCs w:val="24"/>
        </w:rPr>
        <w:t xml:space="preserve">ratio </w:t>
      </w:r>
      <w:r w:rsidR="00C45783">
        <w:rPr>
          <w:rStyle w:val="None"/>
          <w:rFonts w:ascii="Book Antiqua" w:eastAsiaTheme="minorEastAsia" w:hAnsi="Book Antiqua" w:hint="eastAsia"/>
          <w:color w:val="auto"/>
          <w:sz w:val="24"/>
          <w:szCs w:val="24"/>
        </w:rPr>
        <w:t>(</w:t>
      </w:r>
      <w:r w:rsidRPr="00974D6D">
        <w:rPr>
          <w:rStyle w:val="None"/>
          <w:rFonts w:ascii="Book Antiqua" w:hAnsi="Book Antiqua"/>
          <w:color w:val="auto"/>
          <w:sz w:val="24"/>
          <w:szCs w:val="24"/>
        </w:rPr>
        <w:t>HR</w:t>
      </w:r>
      <w:r w:rsidR="00C45783">
        <w:rPr>
          <w:rStyle w:val="None"/>
          <w:rFonts w:ascii="Book Antiqua" w:eastAsiaTheme="minorEastAsia" w:hAnsi="Book Antiqua" w:hint="eastAsia"/>
          <w:color w:val="auto"/>
          <w:sz w:val="24"/>
          <w:szCs w:val="24"/>
        </w:rPr>
        <w:t>)</w:t>
      </w:r>
      <w:r w:rsidR="00720753" w:rsidRPr="00974D6D">
        <w:rPr>
          <w:rStyle w:val="None"/>
          <w:rFonts w:ascii="Book Antiqua" w:hAnsi="Book Antiqua"/>
          <w:color w:val="auto"/>
          <w:sz w:val="24"/>
          <w:szCs w:val="24"/>
        </w:rPr>
        <w:t xml:space="preserve"> </w:t>
      </w:r>
      <w:r w:rsidRPr="00974D6D">
        <w:rPr>
          <w:rStyle w:val="None"/>
          <w:rFonts w:ascii="Book Antiqua" w:hAnsi="Book Antiqua"/>
          <w:color w:val="auto"/>
          <w:sz w:val="24"/>
          <w:szCs w:val="24"/>
        </w:rPr>
        <w:t>=</w:t>
      </w:r>
      <w:r w:rsidR="00720753" w:rsidRPr="00974D6D">
        <w:rPr>
          <w:rStyle w:val="None"/>
          <w:rFonts w:ascii="Book Antiqua" w:hAnsi="Book Antiqua"/>
          <w:color w:val="auto"/>
          <w:sz w:val="24"/>
          <w:szCs w:val="24"/>
        </w:rPr>
        <w:t xml:space="preserve"> </w:t>
      </w:r>
      <w:r w:rsidR="00C45783">
        <w:rPr>
          <w:rStyle w:val="None"/>
          <w:rFonts w:ascii="Book Antiqua" w:hAnsi="Book Antiqua"/>
          <w:color w:val="auto"/>
          <w:sz w:val="24"/>
          <w:szCs w:val="24"/>
        </w:rPr>
        <w:t>66.007, 95%</w:t>
      </w:r>
      <w:r w:rsidR="004B599B">
        <w:rPr>
          <w:rStyle w:val="None"/>
          <w:rFonts w:ascii="Book Antiqua" w:hAnsi="Book Antiqua"/>
          <w:color w:val="auto"/>
          <w:sz w:val="24"/>
          <w:szCs w:val="24"/>
        </w:rPr>
        <w:t xml:space="preserve"> confidence interval (</w:t>
      </w:r>
      <w:r w:rsidRPr="00974D6D">
        <w:rPr>
          <w:rStyle w:val="None"/>
          <w:rFonts w:ascii="Book Antiqua" w:hAnsi="Book Antiqua"/>
          <w:color w:val="auto"/>
          <w:sz w:val="24"/>
          <w:szCs w:val="24"/>
        </w:rPr>
        <w:t>CI</w:t>
      </w:r>
      <w:r w:rsidR="004B599B">
        <w:rPr>
          <w:rStyle w:val="None"/>
          <w:rFonts w:ascii="Book Antiqua" w:hAnsi="Book Antiqua"/>
          <w:color w:val="auto"/>
          <w:sz w:val="24"/>
          <w:szCs w:val="24"/>
        </w:rPr>
        <w:t xml:space="preserve">): </w:t>
      </w:r>
      <w:r w:rsidRPr="00974D6D">
        <w:rPr>
          <w:rStyle w:val="None"/>
          <w:rFonts w:ascii="Book Antiqua" w:hAnsi="Book Antiqua"/>
          <w:color w:val="auto"/>
          <w:sz w:val="24"/>
          <w:szCs w:val="24"/>
        </w:rPr>
        <w:t xml:space="preserve">8.361-521.105; </w:t>
      </w:r>
      <w:r w:rsidR="00061425" w:rsidRPr="00974D6D">
        <w:rPr>
          <w:rStyle w:val="None"/>
          <w:rFonts w:ascii="Book Antiqua" w:hAnsi="Book Antiqua"/>
          <w:i/>
          <w:color w:val="auto"/>
          <w:sz w:val="24"/>
          <w:szCs w:val="24"/>
        </w:rPr>
        <w:t>P</w:t>
      </w:r>
      <w:r w:rsidRPr="00974D6D">
        <w:rPr>
          <w:rStyle w:val="None"/>
          <w:rFonts w:ascii="Times New Roman" w:hAnsi="Times New Roman" w:cs="Times New Roman"/>
          <w:color w:val="auto"/>
          <w:sz w:val="24"/>
          <w:szCs w:val="24"/>
        </w:rPr>
        <w:t> </w:t>
      </w:r>
      <w:r w:rsidR="00C45783">
        <w:rPr>
          <w:rStyle w:val="None"/>
          <w:rFonts w:ascii="Book Antiqua" w:hAnsi="Book Antiqua"/>
          <w:color w:val="auto"/>
          <w:sz w:val="24"/>
          <w:szCs w:val="24"/>
        </w:rPr>
        <w:t>&lt; 0.0001</w:t>
      </w:r>
      <w:r w:rsidR="00C45783">
        <w:rPr>
          <w:rStyle w:val="None"/>
          <w:rFonts w:ascii="Book Antiqua" w:eastAsiaTheme="minorEastAsia" w:hAnsi="Book Antiqua" w:hint="eastAsia"/>
          <w:color w:val="auto"/>
          <w:sz w:val="24"/>
          <w:szCs w:val="24"/>
        </w:rPr>
        <w:t>]</w:t>
      </w:r>
      <w:r w:rsidRPr="00974D6D">
        <w:rPr>
          <w:rStyle w:val="None"/>
          <w:rFonts w:ascii="Book Antiqua" w:hAnsi="Book Antiqua"/>
          <w:color w:val="auto"/>
          <w:sz w:val="24"/>
          <w:szCs w:val="24"/>
        </w:rPr>
        <w:t xml:space="preserve">. </w:t>
      </w:r>
      <w:r w:rsidR="00487209">
        <w:rPr>
          <w:rStyle w:val="None"/>
          <w:rFonts w:ascii="Book Antiqua" w:hAnsi="Book Antiqua"/>
          <w:color w:val="auto"/>
          <w:sz w:val="24"/>
          <w:szCs w:val="24"/>
        </w:rPr>
        <w:t xml:space="preserve">The </w:t>
      </w:r>
      <w:r w:rsidRPr="00974D6D">
        <w:rPr>
          <w:rStyle w:val="None"/>
          <w:rFonts w:ascii="Book Antiqua" w:hAnsi="Book Antiqua"/>
          <w:color w:val="auto"/>
          <w:sz w:val="24"/>
          <w:szCs w:val="24"/>
        </w:rPr>
        <w:t>H</w:t>
      </w:r>
      <w:r w:rsidR="00C45783">
        <w:rPr>
          <w:rStyle w:val="None"/>
          <w:rFonts w:ascii="Book Antiqua" w:hAnsi="Book Antiqua"/>
          <w:color w:val="auto"/>
          <w:sz w:val="24"/>
          <w:szCs w:val="24"/>
        </w:rPr>
        <w:t xml:space="preserve">R of </w:t>
      </w:r>
      <w:r w:rsidR="00487209">
        <w:rPr>
          <w:rStyle w:val="None"/>
          <w:rFonts w:ascii="Book Antiqua" w:hAnsi="Book Antiqua"/>
          <w:color w:val="auto"/>
          <w:sz w:val="24"/>
          <w:szCs w:val="24"/>
        </w:rPr>
        <w:t xml:space="preserve">the </w:t>
      </w:r>
      <w:proofErr w:type="spellStart"/>
      <w:r w:rsidR="00C45783">
        <w:rPr>
          <w:rStyle w:val="None"/>
          <w:rFonts w:ascii="Book Antiqua" w:hAnsi="Book Antiqua"/>
          <w:color w:val="auto"/>
          <w:sz w:val="24"/>
          <w:szCs w:val="24"/>
        </w:rPr>
        <w:t>immunoscore</w:t>
      </w:r>
      <w:proofErr w:type="spellEnd"/>
      <w:r w:rsidR="00C45783">
        <w:rPr>
          <w:rStyle w:val="None"/>
          <w:rFonts w:ascii="Book Antiqua" w:hAnsi="Book Antiqua"/>
          <w:color w:val="auto"/>
          <w:sz w:val="24"/>
          <w:szCs w:val="24"/>
        </w:rPr>
        <w:t xml:space="preserve"> was 2.010 (95%</w:t>
      </w:r>
      <w:r w:rsidRPr="00974D6D">
        <w:rPr>
          <w:rStyle w:val="None"/>
          <w:rFonts w:ascii="Book Antiqua" w:hAnsi="Book Antiqua"/>
          <w:color w:val="auto"/>
          <w:sz w:val="24"/>
          <w:szCs w:val="24"/>
        </w:rPr>
        <w:t>CI: 1.487-2.716) based on the univariate Cox proportional hazard regression model, and similar results were obtained from the multivariate Cox proportional hazard regression model (HR</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w:t>
      </w:r>
      <w:r w:rsidRPr="00974D6D">
        <w:rPr>
          <w:rStyle w:val="None"/>
          <w:rFonts w:ascii="Times New Roman" w:hAnsi="Times New Roman" w:cs="Times New Roman"/>
          <w:color w:val="auto"/>
          <w:sz w:val="24"/>
          <w:szCs w:val="24"/>
        </w:rPr>
        <w:t> </w:t>
      </w:r>
      <w:r w:rsidR="00C45783">
        <w:rPr>
          <w:rStyle w:val="None"/>
          <w:rFonts w:ascii="Book Antiqua" w:hAnsi="Book Antiqua"/>
          <w:color w:val="auto"/>
          <w:sz w:val="24"/>
          <w:szCs w:val="24"/>
        </w:rPr>
        <w:t>2.997, 95%</w:t>
      </w:r>
      <w:r w:rsidRPr="00974D6D">
        <w:rPr>
          <w:rStyle w:val="None"/>
          <w:rFonts w:ascii="Book Antiqua" w:hAnsi="Book Antiqua"/>
          <w:color w:val="auto"/>
          <w:sz w:val="24"/>
          <w:szCs w:val="24"/>
        </w:rPr>
        <w:t xml:space="preserve">CI: 1.737-5.170) after adjustment for clinical </w:t>
      </w:r>
      <w:bookmarkStart w:id="42" w:name="OLE_LINK3"/>
      <w:proofErr w:type="spellStart"/>
      <w:r w:rsidRPr="00974D6D">
        <w:rPr>
          <w:rStyle w:val="None"/>
          <w:rFonts w:ascii="Book Antiqua" w:hAnsi="Book Antiqua"/>
          <w:color w:val="auto"/>
          <w:sz w:val="24"/>
          <w:szCs w:val="24"/>
        </w:rPr>
        <w:t>covariable</w:t>
      </w:r>
      <w:bookmarkEnd w:id="42"/>
      <w:r w:rsidR="00487209">
        <w:rPr>
          <w:rStyle w:val="None"/>
          <w:rFonts w:ascii="Book Antiqua" w:hAnsi="Book Antiqua"/>
          <w:color w:val="auto"/>
          <w:sz w:val="24"/>
          <w:szCs w:val="24"/>
        </w:rPr>
        <w:t>s</w:t>
      </w:r>
      <w:proofErr w:type="spellEnd"/>
      <w:r w:rsidRPr="00974D6D">
        <w:rPr>
          <w:rStyle w:val="None"/>
          <w:rFonts w:ascii="Book Antiqua" w:hAnsi="Book Antiqua"/>
          <w:color w:val="auto"/>
          <w:sz w:val="24"/>
          <w:szCs w:val="24"/>
        </w:rPr>
        <w:t xml:space="preserve"> (Table </w:t>
      </w:r>
      <w:r w:rsidR="001A5E8E" w:rsidRPr="00974D6D">
        <w:rPr>
          <w:rStyle w:val="None"/>
          <w:rFonts w:ascii="Book Antiqua" w:hAnsi="Book Antiqua"/>
          <w:color w:val="auto"/>
          <w:sz w:val="24"/>
          <w:szCs w:val="24"/>
        </w:rPr>
        <w:t>3</w:t>
      </w:r>
      <w:r w:rsidRPr="00974D6D">
        <w:rPr>
          <w:rStyle w:val="None"/>
          <w:rFonts w:ascii="Book Antiqua" w:hAnsi="Book Antiqua"/>
          <w:color w:val="auto"/>
          <w:sz w:val="24"/>
          <w:szCs w:val="24"/>
        </w:rPr>
        <w:t>).</w:t>
      </w:r>
    </w:p>
    <w:p w14:paraId="28C14D3D" w14:textId="468C7BA7" w:rsidR="00E03495" w:rsidRPr="00974D6D" w:rsidRDefault="00F474B9" w:rsidP="00C45783">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Additionally, a prognostic nomogram incorporating the above prognostic factors for visualization and prediction was built to identify a composite factor to predict the prognosis for HCC cases (Table </w:t>
      </w:r>
      <w:r w:rsidR="001A5E8E" w:rsidRPr="00974D6D">
        <w:rPr>
          <w:rStyle w:val="None"/>
          <w:rFonts w:ascii="Book Antiqua" w:hAnsi="Book Antiqua"/>
          <w:color w:val="auto"/>
          <w:sz w:val="24"/>
          <w:szCs w:val="24"/>
        </w:rPr>
        <w:t>3</w:t>
      </w:r>
      <w:r w:rsidRPr="00974D6D">
        <w:rPr>
          <w:rStyle w:val="None"/>
          <w:rFonts w:ascii="Book Antiqua" w:hAnsi="Book Antiqua"/>
          <w:color w:val="auto"/>
          <w:sz w:val="24"/>
          <w:szCs w:val="24"/>
        </w:rPr>
        <w:t>). Notably, the nomogram was constituted by six factors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5A),</w:t>
      </w:r>
      <w:r w:rsidR="00C45783">
        <w:rPr>
          <w:rStyle w:val="None"/>
          <w:rFonts w:ascii="Book Antiqua" w:hAnsi="Book Antiqua"/>
          <w:color w:val="auto"/>
          <w:sz w:val="24"/>
          <w:szCs w:val="24"/>
        </w:rPr>
        <w:t xml:space="preserve"> with </w:t>
      </w:r>
      <w:r w:rsidR="00487209">
        <w:rPr>
          <w:rStyle w:val="None"/>
          <w:rFonts w:ascii="Book Antiqua" w:hAnsi="Book Antiqua"/>
          <w:color w:val="auto"/>
          <w:sz w:val="24"/>
          <w:szCs w:val="24"/>
        </w:rPr>
        <w:t xml:space="preserve">a </w:t>
      </w:r>
      <w:r w:rsidR="00C45783">
        <w:rPr>
          <w:rStyle w:val="None"/>
          <w:rFonts w:ascii="Book Antiqua" w:hAnsi="Book Antiqua"/>
          <w:color w:val="auto"/>
          <w:sz w:val="24"/>
          <w:szCs w:val="24"/>
        </w:rPr>
        <w:t>C-index of 0.757 (95%</w:t>
      </w:r>
      <w:r w:rsidRPr="00974D6D">
        <w:rPr>
          <w:rStyle w:val="None"/>
          <w:rFonts w:ascii="Book Antiqua" w:hAnsi="Book Antiqua"/>
          <w:color w:val="auto"/>
          <w:sz w:val="24"/>
          <w:szCs w:val="24"/>
        </w:rPr>
        <w:t>CI: 0.648-0.866). Meanwhile, the 1</w:t>
      </w:r>
      <w:r w:rsidR="00487209">
        <w:rPr>
          <w:rStyle w:val="None"/>
          <w:rFonts w:ascii="Book Antiqua" w:hAnsi="Book Antiqua"/>
          <w:color w:val="auto"/>
          <w:sz w:val="24"/>
          <w:szCs w:val="24"/>
        </w:rPr>
        <w:t>-</w:t>
      </w:r>
      <w:r w:rsidRPr="00974D6D">
        <w:rPr>
          <w:rStyle w:val="None"/>
          <w:rFonts w:ascii="Book Antiqua" w:hAnsi="Book Antiqua"/>
          <w:color w:val="auto"/>
          <w:sz w:val="24"/>
          <w:szCs w:val="24"/>
        </w:rPr>
        <w:t>, 3</w:t>
      </w:r>
      <w:r w:rsidR="00487209">
        <w:rPr>
          <w:rStyle w:val="None"/>
          <w:rFonts w:ascii="Book Antiqua" w:hAnsi="Book Antiqua"/>
          <w:color w:val="auto"/>
          <w:sz w:val="24"/>
          <w:szCs w:val="24"/>
        </w:rPr>
        <w:t>-,</w:t>
      </w:r>
      <w:r w:rsidRPr="00974D6D">
        <w:rPr>
          <w:rStyle w:val="None"/>
          <w:rFonts w:ascii="Book Antiqua" w:hAnsi="Book Antiqua"/>
          <w:color w:val="auto"/>
          <w:sz w:val="24"/>
          <w:szCs w:val="24"/>
        </w:rPr>
        <w:t xml:space="preserve"> and 5-year calibration curves of the recurrence probability were consistent between predicted values by</w:t>
      </w:r>
      <w:r w:rsidR="00487209">
        <w:rPr>
          <w:rStyle w:val="None"/>
          <w:rFonts w:ascii="Book Antiqua" w:hAnsi="Book Antiqua"/>
          <w:color w:val="auto"/>
          <w:sz w:val="24"/>
          <w:szCs w:val="24"/>
        </w:rPr>
        <w:t xml:space="preserve"> the</w:t>
      </w:r>
      <w:r w:rsidRPr="00974D6D">
        <w:rPr>
          <w:rStyle w:val="None"/>
          <w:rFonts w:ascii="Book Antiqua" w:hAnsi="Book Antiqua"/>
          <w:color w:val="auto"/>
          <w:sz w:val="24"/>
          <w:szCs w:val="24"/>
        </w:rPr>
        <w:t xml:space="preserve"> nomogram and measured values (</w:t>
      </w:r>
      <w:r w:rsidR="00302472" w:rsidRPr="00974D6D">
        <w:rPr>
          <w:rStyle w:val="None"/>
          <w:rFonts w:ascii="Book Antiqua" w:hAnsi="Book Antiqua"/>
          <w:color w:val="auto"/>
          <w:sz w:val="24"/>
          <w:szCs w:val="24"/>
        </w:rPr>
        <w:t>Figure</w:t>
      </w:r>
      <w:r w:rsidR="00C45783">
        <w:rPr>
          <w:rStyle w:val="None"/>
          <w:rFonts w:ascii="Book Antiqua" w:hAnsi="Book Antiqua"/>
          <w:color w:val="auto"/>
          <w:sz w:val="24"/>
          <w:szCs w:val="24"/>
        </w:rPr>
        <w:t xml:space="preserve"> 5B</w:t>
      </w:r>
      <w:r w:rsidR="00C45783">
        <w:rPr>
          <w:rStyle w:val="None"/>
          <w:rFonts w:ascii="Book Antiqua" w:eastAsiaTheme="minorEastAsia" w:hAnsi="Book Antiqua" w:hint="eastAsia"/>
          <w:color w:val="auto"/>
          <w:sz w:val="24"/>
          <w:szCs w:val="24"/>
        </w:rPr>
        <w:t>-</w:t>
      </w:r>
      <w:r w:rsidRPr="00974D6D">
        <w:rPr>
          <w:rStyle w:val="None"/>
          <w:rFonts w:ascii="Book Antiqua" w:hAnsi="Book Antiqua"/>
          <w:color w:val="auto"/>
          <w:sz w:val="24"/>
          <w:szCs w:val="24"/>
        </w:rPr>
        <w:t>D).</w:t>
      </w:r>
    </w:p>
    <w:p w14:paraId="5D9075DA" w14:textId="77777777" w:rsidR="00E03495" w:rsidRPr="00974D6D" w:rsidRDefault="00E03495" w:rsidP="00974D6D">
      <w:pPr>
        <w:framePr w:wrap="auto"/>
        <w:adjustRightInd w:val="0"/>
        <w:snapToGrid w:val="0"/>
        <w:spacing w:line="360" w:lineRule="auto"/>
        <w:rPr>
          <w:rStyle w:val="None"/>
          <w:rFonts w:ascii="Book Antiqua" w:eastAsia="宋体" w:hAnsi="Book Antiqua" w:cs="宋体"/>
          <w:color w:val="auto"/>
          <w:sz w:val="24"/>
          <w:szCs w:val="24"/>
          <w:lang w:val="zh-TW"/>
        </w:rPr>
      </w:pPr>
    </w:p>
    <w:p w14:paraId="0A061DA4" w14:textId="75099C85"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lastRenderedPageBreak/>
        <w:t xml:space="preserve">Functional analysis of </w:t>
      </w:r>
      <w:r w:rsidR="00487209">
        <w:rPr>
          <w:rStyle w:val="None"/>
          <w:rFonts w:ascii="Book Antiqua" w:hAnsi="Book Antiqua"/>
          <w:b/>
          <w:bCs/>
          <w:i/>
          <w:iCs/>
          <w:color w:val="auto"/>
          <w:sz w:val="24"/>
          <w:szCs w:val="24"/>
        </w:rPr>
        <w:t xml:space="preserve">the </w:t>
      </w:r>
      <w:r w:rsidRPr="00974D6D">
        <w:rPr>
          <w:rStyle w:val="None"/>
          <w:rFonts w:ascii="Book Antiqua" w:hAnsi="Book Antiqua"/>
          <w:b/>
          <w:bCs/>
          <w:i/>
          <w:iCs/>
          <w:color w:val="auto"/>
          <w:sz w:val="24"/>
          <w:szCs w:val="24"/>
        </w:rPr>
        <w:t xml:space="preserve">prognostic </w:t>
      </w:r>
      <w:proofErr w:type="spellStart"/>
      <w:r w:rsidRPr="00974D6D">
        <w:rPr>
          <w:rStyle w:val="None"/>
          <w:rFonts w:ascii="Book Antiqua" w:hAnsi="Book Antiqua"/>
          <w:b/>
          <w:bCs/>
          <w:i/>
          <w:iCs/>
          <w:color w:val="auto"/>
          <w:sz w:val="24"/>
          <w:szCs w:val="24"/>
        </w:rPr>
        <w:t>immunoscore</w:t>
      </w:r>
      <w:proofErr w:type="spellEnd"/>
    </w:p>
    <w:p w14:paraId="27ABD035" w14:textId="16707F7A"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rPr>
      </w:pPr>
      <w:r w:rsidRPr="00974D6D">
        <w:rPr>
          <w:rStyle w:val="None"/>
          <w:rFonts w:ascii="Book Antiqua" w:hAnsi="Book Antiqua"/>
          <w:color w:val="auto"/>
          <w:sz w:val="24"/>
          <w:szCs w:val="24"/>
        </w:rPr>
        <w:t xml:space="preserve">Gene expression profiles were examined for exploring the potential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model-related biological phenotypes. First, </w:t>
      </w:r>
      <w:r w:rsidR="00487209">
        <w:rPr>
          <w:rStyle w:val="None"/>
          <w:rFonts w:ascii="Book Antiqua" w:hAnsi="Book Antiqua"/>
          <w:color w:val="auto"/>
          <w:sz w:val="24"/>
          <w:szCs w:val="24"/>
        </w:rPr>
        <w:t xml:space="preserve">the </w:t>
      </w:r>
      <w:r w:rsidRPr="00974D6D">
        <w:rPr>
          <w:rStyle w:val="None"/>
          <w:rFonts w:ascii="Book Antiqua" w:hAnsi="Book Antiqua"/>
          <w:color w:val="auto"/>
          <w:sz w:val="24"/>
          <w:szCs w:val="24"/>
        </w:rPr>
        <w:t xml:space="preserve">correlation of </w:t>
      </w:r>
      <w:r w:rsidR="00487209">
        <w:rPr>
          <w:rStyle w:val="None"/>
          <w:rFonts w:ascii="Book Antiqua" w:hAnsi="Book Antiqua"/>
          <w:color w:val="auto"/>
          <w:sz w:val="24"/>
          <w:szCs w:val="24"/>
        </w:rPr>
        <w:t xml:space="preserve">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with the screened immune-related gene expression was particularly emphasized.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6 displays the significant negative correlation</w:t>
      </w:r>
      <w:r w:rsidR="00487209">
        <w:rPr>
          <w:rStyle w:val="None"/>
          <w:rFonts w:ascii="Book Antiqua" w:hAnsi="Book Antiqua"/>
          <w:color w:val="auto"/>
          <w:sz w:val="24"/>
          <w:szCs w:val="24"/>
        </w:rPr>
        <w:t>s</w:t>
      </w:r>
      <w:r w:rsidRPr="00974D6D">
        <w:rPr>
          <w:rStyle w:val="None"/>
          <w:rFonts w:ascii="Book Antiqua" w:hAnsi="Book Antiqua"/>
          <w:color w:val="auto"/>
          <w:sz w:val="24"/>
          <w:szCs w:val="24"/>
        </w:rPr>
        <w:t xml:space="preserve"> of</w:t>
      </w:r>
      <w:r w:rsidR="00487209">
        <w:rPr>
          <w:rStyle w:val="None"/>
          <w:rFonts w:ascii="Book Antiqua" w:hAnsi="Book Antiqua"/>
          <w:color w:val="auto"/>
          <w:sz w:val="24"/>
          <w:szCs w:val="24"/>
        </w:rPr>
        <w:t xml:space="preserve"> the</w:t>
      </w:r>
      <w:r w:rsidRPr="00974D6D">
        <w:rPr>
          <w:rStyle w:val="None"/>
          <w:rFonts w:ascii="Book Antiqua" w:hAnsi="Book Antiqua"/>
          <w:color w:val="auto"/>
          <w:sz w:val="24"/>
          <w:szCs w:val="24"/>
        </w:rPr>
        <w:t xml:space="preserv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with </w:t>
      </w:r>
      <w:r w:rsidR="00231BE9" w:rsidRPr="00974D6D">
        <w:rPr>
          <w:rStyle w:val="None"/>
          <w:rFonts w:ascii="Book Antiqua" w:hAnsi="Book Antiqua"/>
          <w:color w:val="auto"/>
          <w:sz w:val="24"/>
          <w:szCs w:val="24"/>
        </w:rPr>
        <w:t>programmed death</w:t>
      </w:r>
      <w:r w:rsidR="00231BE9">
        <w:rPr>
          <w:rStyle w:val="None"/>
          <w:rFonts w:ascii="Book Antiqua" w:hAnsi="Book Antiqua"/>
          <w:color w:val="auto"/>
          <w:sz w:val="24"/>
          <w:szCs w:val="24"/>
        </w:rPr>
        <w:t xml:space="preserve"> (</w:t>
      </w:r>
      <w:r w:rsidRPr="00974D6D">
        <w:rPr>
          <w:rStyle w:val="None"/>
          <w:rFonts w:ascii="Book Antiqua" w:hAnsi="Book Antiqua"/>
          <w:color w:val="auto"/>
          <w:sz w:val="24"/>
          <w:szCs w:val="24"/>
        </w:rPr>
        <w:t>PD</w:t>
      </w:r>
      <w:r w:rsidR="00231BE9">
        <w:rPr>
          <w:rStyle w:val="None"/>
          <w:rFonts w:ascii="Book Antiqua" w:hAnsi="Book Antiqua"/>
          <w:color w:val="auto"/>
          <w:sz w:val="24"/>
          <w:szCs w:val="24"/>
        </w:rPr>
        <w:t>)</w:t>
      </w:r>
      <w:r w:rsidRPr="00974D6D">
        <w:rPr>
          <w:rStyle w:val="None"/>
          <w:rFonts w:ascii="Book Antiqua" w:hAnsi="Book Antiqua"/>
          <w:color w:val="auto"/>
          <w:sz w:val="24"/>
          <w:szCs w:val="24"/>
        </w:rPr>
        <w:t>-1 (</w:t>
      </w:r>
      <w:r w:rsidR="009A2B5E" w:rsidRPr="00974D6D">
        <w:rPr>
          <w:rStyle w:val="None"/>
          <w:rFonts w:ascii="Book Antiqua" w:hAnsi="Book Antiqua"/>
          <w:i/>
          <w:color w:val="auto"/>
          <w:sz w:val="24"/>
          <w:szCs w:val="24"/>
        </w:rPr>
        <w:t>P</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0.024), PD-L1 (</w:t>
      </w:r>
      <w:r w:rsidR="009A2B5E" w:rsidRPr="00974D6D">
        <w:rPr>
          <w:rStyle w:val="None"/>
          <w:rFonts w:ascii="Book Antiqua" w:hAnsi="Book Antiqua"/>
          <w:i/>
          <w:color w:val="auto"/>
          <w:sz w:val="24"/>
          <w:szCs w:val="24"/>
        </w:rPr>
        <w:t>P</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0.026), PD-L2 (</w:t>
      </w:r>
      <w:r w:rsidR="009A2B5E" w:rsidRPr="00974D6D">
        <w:rPr>
          <w:rStyle w:val="None"/>
          <w:rFonts w:ascii="Book Antiqua" w:hAnsi="Book Antiqua"/>
          <w:i/>
          <w:color w:val="auto"/>
          <w:sz w:val="24"/>
          <w:szCs w:val="24"/>
        </w:rPr>
        <w:t>P</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0.029), and CD27 (</w:t>
      </w:r>
      <w:r w:rsidR="009A2B5E" w:rsidRPr="00974D6D">
        <w:rPr>
          <w:rStyle w:val="None"/>
          <w:rFonts w:ascii="Book Antiqua" w:hAnsi="Book Antiqua"/>
          <w:i/>
          <w:color w:val="auto"/>
          <w:sz w:val="24"/>
          <w:szCs w:val="24"/>
        </w:rPr>
        <w:t>P</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w:t>
      </w:r>
      <w:r w:rsidRPr="00974D6D">
        <w:rPr>
          <w:rStyle w:val="None"/>
          <w:rFonts w:ascii="Times New Roman" w:hAnsi="Times New Roman" w:cs="Times New Roman"/>
          <w:color w:val="auto"/>
          <w:sz w:val="24"/>
          <w:szCs w:val="24"/>
        </w:rPr>
        <w:t> </w:t>
      </w:r>
      <w:r w:rsidRPr="00974D6D">
        <w:rPr>
          <w:rStyle w:val="None"/>
          <w:rFonts w:ascii="Book Antiqua" w:hAnsi="Book Antiqua"/>
          <w:color w:val="auto"/>
          <w:sz w:val="24"/>
          <w:szCs w:val="24"/>
        </w:rPr>
        <w:t xml:space="preserve">0.033) expression. Second, GSEA was performed for illustrating the biological roles for the prepared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model (Supplemental Table </w:t>
      </w:r>
      <w:r w:rsidR="001A5E8E" w:rsidRPr="00974D6D">
        <w:rPr>
          <w:rStyle w:val="None"/>
          <w:rFonts w:ascii="Book Antiqua" w:hAnsi="Book Antiqua"/>
          <w:color w:val="auto"/>
          <w:sz w:val="24"/>
          <w:szCs w:val="24"/>
        </w:rPr>
        <w:t>1</w:t>
      </w:r>
      <w:r w:rsidRPr="00974D6D">
        <w:rPr>
          <w:rStyle w:val="None"/>
          <w:rFonts w:ascii="Book Antiqua" w:hAnsi="Book Antiqua"/>
          <w:color w:val="auto"/>
          <w:sz w:val="24"/>
          <w:szCs w:val="24"/>
        </w:rPr>
        <w:t xml:space="preserve">). The highly expressed genes showed significant enrichment in pathways including glycosaminoglycan chondroitin sulfate biosynthesis, proximal tubule bicarbonate reclamation, focal adhesion, </w:t>
      </w:r>
      <w:proofErr w:type="gramStart"/>
      <w:r w:rsidRPr="00974D6D">
        <w:rPr>
          <w:rStyle w:val="None"/>
          <w:rFonts w:ascii="Book Antiqua" w:hAnsi="Book Antiqua"/>
          <w:color w:val="auto"/>
          <w:sz w:val="24"/>
          <w:szCs w:val="24"/>
        </w:rPr>
        <w:t>autoimmune</w:t>
      </w:r>
      <w:proofErr w:type="gramEnd"/>
      <w:r w:rsidRPr="00974D6D">
        <w:rPr>
          <w:rStyle w:val="None"/>
          <w:rFonts w:ascii="Book Antiqua" w:hAnsi="Book Antiqua"/>
          <w:color w:val="auto"/>
          <w:sz w:val="24"/>
          <w:szCs w:val="24"/>
        </w:rPr>
        <w:t xml:space="preserve"> thyroid disease, the Notch signaling pathway, basal transcription factors, DNA replication, and homologous recombination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7).</w:t>
      </w:r>
      <w:r w:rsidRPr="00974D6D">
        <w:rPr>
          <w:rStyle w:val="None"/>
          <w:rFonts w:ascii="Book Antiqua" w:hAnsi="Book Antiqua"/>
          <w:color w:val="auto"/>
          <w:sz w:val="24"/>
        </w:rPr>
        <w:t xml:space="preserve"> </w:t>
      </w:r>
    </w:p>
    <w:p w14:paraId="0135DC49" w14:textId="77777777" w:rsidR="00E03495" w:rsidRPr="00974D6D" w:rsidRDefault="00E03495" w:rsidP="00974D6D">
      <w:pPr>
        <w:framePr w:wrap="auto"/>
        <w:adjustRightInd w:val="0"/>
        <w:snapToGrid w:val="0"/>
        <w:spacing w:line="360" w:lineRule="auto"/>
        <w:rPr>
          <w:rStyle w:val="None"/>
          <w:rFonts w:ascii="Book Antiqua" w:eastAsiaTheme="minorEastAsia" w:hAnsi="Book Antiqua" w:cs="Times New Roman"/>
          <w:color w:val="auto"/>
          <w:sz w:val="24"/>
          <w:szCs w:val="24"/>
        </w:rPr>
      </w:pPr>
    </w:p>
    <w:p w14:paraId="0A507ADE"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b/>
          <w:bCs/>
          <w:color w:val="auto"/>
          <w:sz w:val="24"/>
          <w:szCs w:val="24"/>
        </w:rPr>
        <w:t>DISCUSSION</w:t>
      </w:r>
    </w:p>
    <w:p w14:paraId="4C865FC7" w14:textId="062EC4FC"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CIBERSORT was utilized for the quantification of composition of 22 immunocytes for HBV-related HCC. Furthermore,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was developed, which was based on eight immunocyte fractions and served as a new tool to predict the prognosis of HBV-related HCC survival. The prognostic significance of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signature was confirmed by the time-dependent ROC curve, Kaplan-Meier, and Cox regression </w:t>
      </w:r>
      <w:r w:rsidR="00487209" w:rsidRPr="00974D6D">
        <w:rPr>
          <w:rStyle w:val="None"/>
          <w:rFonts w:ascii="Book Antiqua" w:hAnsi="Book Antiqua"/>
          <w:color w:val="auto"/>
          <w:sz w:val="24"/>
          <w:szCs w:val="24"/>
        </w:rPr>
        <w:t>analys</w:t>
      </w:r>
      <w:r w:rsidR="00487209">
        <w:rPr>
          <w:rStyle w:val="None"/>
          <w:rFonts w:ascii="Book Antiqua" w:hAnsi="Book Antiqua"/>
          <w:color w:val="auto"/>
          <w:sz w:val="24"/>
          <w:szCs w:val="24"/>
        </w:rPr>
        <w:t>e</w:t>
      </w:r>
      <w:r w:rsidR="00487209" w:rsidRPr="00974D6D">
        <w:rPr>
          <w:rStyle w:val="None"/>
          <w:rFonts w:ascii="Book Antiqua" w:hAnsi="Book Antiqua"/>
          <w:color w:val="auto"/>
          <w:sz w:val="24"/>
          <w:szCs w:val="24"/>
        </w:rPr>
        <w:t>s</w:t>
      </w:r>
      <w:r w:rsidRPr="00974D6D">
        <w:rPr>
          <w:rStyle w:val="None"/>
          <w:rFonts w:ascii="Book Antiqua" w:hAnsi="Book Antiqua"/>
          <w:color w:val="auto"/>
          <w:sz w:val="24"/>
          <w:szCs w:val="24"/>
        </w:rPr>
        <w:t xml:space="preserve">. The results suggested that the established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system displayed favorable accuracy for estimating OS of HBV-related HCC by nomogram analysis. Further functional analysis uncovered several immune checkpoints and pathways that played crucial roles in</w:t>
      </w:r>
      <w:r w:rsidR="00487209">
        <w:rPr>
          <w:rStyle w:val="None"/>
          <w:rFonts w:ascii="Book Antiqua" w:hAnsi="Book Antiqua"/>
          <w:color w:val="auto"/>
          <w:sz w:val="24"/>
          <w:szCs w:val="24"/>
        </w:rPr>
        <w:t xml:space="preserve"> the</w:t>
      </w:r>
      <w:r w:rsidRPr="00974D6D">
        <w:rPr>
          <w:rStyle w:val="None"/>
          <w:rFonts w:ascii="Book Antiqua" w:hAnsi="Book Antiqua"/>
          <w:color w:val="auto"/>
          <w:sz w:val="24"/>
          <w:szCs w:val="24"/>
        </w:rPr>
        <w:t xml:space="preserv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system during the progression of HCC. </w:t>
      </w:r>
    </w:p>
    <w:p w14:paraId="5A15456C" w14:textId="001DAC7B" w:rsidR="00E03495" w:rsidRPr="00974D6D"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There are few available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-based models for the progn</w:t>
      </w:r>
      <w:r w:rsidR="00B03022">
        <w:rPr>
          <w:rStyle w:val="None"/>
          <w:rFonts w:ascii="Book Antiqua" w:hAnsi="Book Antiqua"/>
          <w:color w:val="auto"/>
          <w:sz w:val="24"/>
          <w:szCs w:val="24"/>
        </w:rPr>
        <w:t xml:space="preserve">osis of HCC. In 2015, Sun </w:t>
      </w:r>
      <w:r w:rsidR="00B03022" w:rsidRPr="00B03022">
        <w:rPr>
          <w:rStyle w:val="None"/>
          <w:rFonts w:ascii="Book Antiqua" w:hAnsi="Book Antiqua"/>
          <w:i/>
          <w:color w:val="auto"/>
          <w:sz w:val="24"/>
          <w:szCs w:val="24"/>
        </w:rPr>
        <w:t>et al</w:t>
      </w:r>
      <w:r w:rsidR="00B03022" w:rsidRPr="00974D6D">
        <w:rPr>
          <w:rStyle w:val="Hyperlink0"/>
          <w:rFonts w:ascii="Book Antiqua" w:eastAsia="Calibri" w:hAnsi="Book Antiqua"/>
          <w:color w:val="auto"/>
        </w:rPr>
        <w:t>[</w:t>
      </w:r>
      <w:hyperlink w:anchor="bookmark13" w:history="1">
        <w:r w:rsidR="00B03022" w:rsidRPr="00974D6D">
          <w:rPr>
            <w:rStyle w:val="Hyperlink0"/>
            <w:rFonts w:ascii="Book Antiqua" w:eastAsia="Calibri" w:hAnsi="Book Antiqua"/>
            <w:color w:val="auto"/>
          </w:rPr>
          <w:t>13</w:t>
        </w:r>
      </w:hyperlink>
      <w:r w:rsidR="00B03022"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confirmed that center tumor CD8</w:t>
      </w:r>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T cells could predict the prognosis for HCC patients, and were a valuable marker for predicting patien</w:t>
      </w:r>
      <w:r w:rsidR="00B03022">
        <w:rPr>
          <w:rStyle w:val="None"/>
          <w:rFonts w:ascii="Book Antiqua" w:hAnsi="Book Antiqua"/>
          <w:color w:val="auto"/>
          <w:sz w:val="24"/>
          <w:szCs w:val="24"/>
        </w:rPr>
        <w:t>t survival and tumor recurrence</w:t>
      </w:r>
      <w:r w:rsidRPr="00974D6D">
        <w:rPr>
          <w:rStyle w:val="None"/>
          <w:rFonts w:ascii="Book Antiqua" w:hAnsi="Book Antiqua"/>
          <w:color w:val="auto"/>
          <w:sz w:val="24"/>
          <w:szCs w:val="24"/>
        </w:rPr>
        <w:t>. However, only CD3</w:t>
      </w:r>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and </w:t>
      </w:r>
      <w:r w:rsidRPr="00974D6D">
        <w:rPr>
          <w:rStyle w:val="None"/>
          <w:rFonts w:ascii="Book Antiqua" w:hAnsi="Book Antiqua"/>
          <w:color w:val="auto"/>
          <w:sz w:val="24"/>
          <w:szCs w:val="24"/>
        </w:rPr>
        <w:lastRenderedPageBreak/>
        <w:t>CD8</w:t>
      </w:r>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T cells were measured by IHC in their research. Simil</w:t>
      </w:r>
      <w:r w:rsidR="00B03022">
        <w:rPr>
          <w:rStyle w:val="None"/>
          <w:rFonts w:ascii="Book Antiqua" w:hAnsi="Book Antiqua"/>
          <w:color w:val="auto"/>
          <w:sz w:val="24"/>
          <w:szCs w:val="24"/>
        </w:rPr>
        <w:t xml:space="preserve">arly, in 2016, </w:t>
      </w:r>
      <w:proofErr w:type="spellStart"/>
      <w:r w:rsidR="00B03022">
        <w:rPr>
          <w:rStyle w:val="None"/>
          <w:rFonts w:ascii="Book Antiqua" w:hAnsi="Book Antiqua"/>
          <w:color w:val="auto"/>
          <w:sz w:val="24"/>
          <w:szCs w:val="24"/>
        </w:rPr>
        <w:t>Gabrielson</w:t>
      </w:r>
      <w:proofErr w:type="spellEnd"/>
      <w:r w:rsidR="00B03022">
        <w:rPr>
          <w:rStyle w:val="None"/>
          <w:rFonts w:ascii="Book Antiqua" w:hAnsi="Book Antiqua"/>
          <w:color w:val="auto"/>
          <w:sz w:val="24"/>
          <w:szCs w:val="24"/>
        </w:rPr>
        <w:t xml:space="preserve"> </w:t>
      </w:r>
      <w:r w:rsidR="00B03022" w:rsidRPr="00B03022">
        <w:rPr>
          <w:rStyle w:val="None"/>
          <w:rFonts w:ascii="Book Antiqua" w:hAnsi="Book Antiqua"/>
          <w:i/>
          <w:color w:val="auto"/>
          <w:sz w:val="24"/>
          <w:szCs w:val="24"/>
        </w:rPr>
        <w:t>et al</w:t>
      </w:r>
      <w:r w:rsidR="00B03022" w:rsidRPr="00974D6D">
        <w:rPr>
          <w:rStyle w:val="Hyperlink0"/>
          <w:rFonts w:ascii="Book Antiqua" w:eastAsia="Calibri" w:hAnsi="Book Antiqua"/>
          <w:color w:val="auto"/>
        </w:rPr>
        <w:t>[</w:t>
      </w:r>
      <w:hyperlink w:anchor="bookmark14" w:history="1">
        <w:r w:rsidR="00B03022" w:rsidRPr="00974D6D">
          <w:rPr>
            <w:rStyle w:val="Hyperlink0"/>
            <w:rFonts w:ascii="Book Antiqua" w:eastAsia="Calibri" w:hAnsi="Book Antiqua"/>
            <w:color w:val="auto"/>
          </w:rPr>
          <w:t>14</w:t>
        </w:r>
      </w:hyperlink>
      <w:r w:rsidR="00B03022"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concluded that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as well as PD-L1 expression could be used as valuable markers to predict the prognosis for HCC patients underg</w:t>
      </w:r>
      <w:r w:rsidR="00B03022">
        <w:rPr>
          <w:rStyle w:val="None"/>
          <w:rFonts w:ascii="Book Antiqua" w:hAnsi="Book Antiqua"/>
          <w:color w:val="auto"/>
          <w:sz w:val="24"/>
          <w:szCs w:val="24"/>
        </w:rPr>
        <w:t>oing resection of primary tumor</w:t>
      </w:r>
      <w:r w:rsidRPr="00974D6D">
        <w:rPr>
          <w:rStyle w:val="None"/>
          <w:rFonts w:ascii="Book Antiqua" w:hAnsi="Book Antiqua"/>
          <w:color w:val="auto"/>
          <w:sz w:val="24"/>
          <w:szCs w:val="24"/>
        </w:rPr>
        <w:t xml:space="preserve">. However, regarding etiology of HCC, only 16.9% (11/65) </w:t>
      </w:r>
      <w:r w:rsidR="00487209">
        <w:rPr>
          <w:rStyle w:val="None"/>
          <w:rFonts w:ascii="Book Antiqua" w:hAnsi="Book Antiqua"/>
          <w:color w:val="auto"/>
          <w:sz w:val="24"/>
          <w:szCs w:val="24"/>
        </w:rPr>
        <w:t xml:space="preserve">of </w:t>
      </w:r>
      <w:r w:rsidRPr="00974D6D">
        <w:rPr>
          <w:rStyle w:val="None"/>
          <w:rFonts w:ascii="Book Antiqua" w:hAnsi="Book Antiqua"/>
          <w:color w:val="auto"/>
          <w:sz w:val="24"/>
          <w:szCs w:val="24"/>
        </w:rPr>
        <w:t xml:space="preserve">cases suffered from HBV infection in their study. In 2016, </w:t>
      </w:r>
      <w:proofErr w:type="spellStart"/>
      <w:r w:rsidRPr="00974D6D">
        <w:rPr>
          <w:rStyle w:val="None"/>
          <w:rFonts w:ascii="Book Antiqua" w:hAnsi="Book Antiqua"/>
          <w:color w:val="auto"/>
          <w:sz w:val="24"/>
          <w:szCs w:val="24"/>
        </w:rPr>
        <w:t>Petrizzo</w:t>
      </w:r>
      <w:proofErr w:type="spellEnd"/>
      <w:r w:rsidRPr="00974D6D">
        <w:rPr>
          <w:rStyle w:val="None"/>
          <w:rFonts w:ascii="Book Antiqua" w:hAnsi="Book Antiqua"/>
          <w:color w:val="auto"/>
          <w:sz w:val="24"/>
          <w:szCs w:val="24"/>
        </w:rPr>
        <w:t xml:space="preserve"> demonstrated that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was a meaningful marker to predict the prognosis for HCC patients undergo</w:t>
      </w:r>
      <w:r w:rsidR="00B03022">
        <w:rPr>
          <w:rStyle w:val="None"/>
          <w:rFonts w:ascii="Book Antiqua" w:hAnsi="Book Antiqua"/>
          <w:color w:val="auto"/>
          <w:sz w:val="24"/>
          <w:szCs w:val="24"/>
        </w:rPr>
        <w:t>ing resection for primary tumor</w:t>
      </w:r>
      <w:r w:rsidRPr="00974D6D">
        <w:rPr>
          <w:rStyle w:val="Hyperlink0"/>
          <w:rFonts w:ascii="Book Antiqua" w:eastAsia="Calibri" w:hAnsi="Book Antiqua"/>
          <w:color w:val="auto"/>
        </w:rPr>
        <w:t>[</w:t>
      </w:r>
      <w:hyperlink w:anchor="bookmark15" w:history="1">
        <w:r w:rsidRPr="00974D6D">
          <w:rPr>
            <w:rStyle w:val="Hyperlink0"/>
            <w:rFonts w:ascii="Book Antiqua" w:eastAsia="Calibri" w:hAnsi="Book Antiqua"/>
            <w:color w:val="auto"/>
          </w:rPr>
          <w:t>15</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However, 65 HCC patients with unknown virus condition were reviewed in that study, and IHC</w:t>
      </w:r>
      <w:r w:rsidR="00487209">
        <w:rPr>
          <w:rStyle w:val="None"/>
          <w:rFonts w:ascii="Book Antiqua" w:hAnsi="Book Antiqua"/>
          <w:color w:val="auto"/>
          <w:sz w:val="24"/>
          <w:szCs w:val="24"/>
        </w:rPr>
        <w:t xml:space="preserve"> </w:t>
      </w:r>
      <w:r w:rsidRPr="00974D6D">
        <w:rPr>
          <w:rStyle w:val="None"/>
          <w:rFonts w:ascii="Book Antiqua" w:hAnsi="Book Antiqua"/>
          <w:color w:val="auto"/>
          <w:sz w:val="24"/>
          <w:szCs w:val="24"/>
        </w:rPr>
        <w:t>was only performed with anti-CD3, CD8</w:t>
      </w:r>
      <w:r w:rsidR="00487209">
        <w:rPr>
          <w:rStyle w:val="None"/>
          <w:rFonts w:ascii="Book Antiqua" w:hAnsi="Book Antiqua"/>
          <w:color w:val="auto"/>
          <w:sz w:val="24"/>
          <w:szCs w:val="24"/>
        </w:rPr>
        <w:t>,</w:t>
      </w:r>
      <w:r w:rsidRPr="00974D6D">
        <w:rPr>
          <w:rStyle w:val="None"/>
          <w:rFonts w:ascii="Book Antiqua" w:hAnsi="Book Antiqua"/>
          <w:color w:val="auto"/>
          <w:sz w:val="24"/>
          <w:szCs w:val="24"/>
        </w:rPr>
        <w:t xml:space="preserve"> and PD-L1 monoclonal</w:t>
      </w:r>
      <w:r w:rsidR="00B03022">
        <w:rPr>
          <w:rStyle w:val="None"/>
          <w:rFonts w:ascii="Book Antiqua" w:hAnsi="Book Antiqua"/>
          <w:color w:val="auto"/>
          <w:sz w:val="24"/>
          <w:szCs w:val="24"/>
        </w:rPr>
        <w:t xml:space="preserve"> antibodies. In 2017, Yao </w:t>
      </w:r>
      <w:r w:rsidR="00B03022" w:rsidRPr="00B03022">
        <w:rPr>
          <w:rStyle w:val="None"/>
          <w:rFonts w:ascii="Book Antiqua" w:hAnsi="Book Antiqua"/>
          <w:i/>
          <w:color w:val="auto"/>
          <w:sz w:val="24"/>
          <w:szCs w:val="24"/>
        </w:rPr>
        <w:t>et al</w:t>
      </w:r>
      <w:r w:rsidR="00B03022" w:rsidRPr="00974D6D">
        <w:rPr>
          <w:rStyle w:val="Hyperlink0"/>
          <w:rFonts w:ascii="Book Antiqua" w:eastAsia="Calibri" w:hAnsi="Book Antiqua"/>
          <w:color w:val="auto"/>
        </w:rPr>
        <w:t>[</w:t>
      </w:r>
      <w:hyperlink w:anchor="bookmark16" w:history="1">
        <w:r w:rsidR="00B03022" w:rsidRPr="00974D6D">
          <w:rPr>
            <w:rStyle w:val="Hyperlink0"/>
            <w:rFonts w:ascii="Book Antiqua" w:eastAsia="Calibri" w:hAnsi="Book Antiqua"/>
            <w:color w:val="auto"/>
          </w:rPr>
          <w:t>16</w:t>
        </w:r>
      </w:hyperlink>
      <w:r w:rsidR="00B03022"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conducted a cohort study by recruiting 92 consecutive HBV-HCC patients, and concluded that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classification showed cl</w:t>
      </w:r>
      <w:r w:rsidR="00B03022">
        <w:rPr>
          <w:rStyle w:val="None"/>
          <w:rFonts w:ascii="Book Antiqua" w:hAnsi="Book Antiqua"/>
          <w:color w:val="auto"/>
          <w:sz w:val="24"/>
          <w:szCs w:val="24"/>
        </w:rPr>
        <w:t>ose relation to patient outcome</w:t>
      </w:r>
      <w:r w:rsidRPr="00974D6D">
        <w:rPr>
          <w:rStyle w:val="None"/>
          <w:rFonts w:ascii="Book Antiqua" w:hAnsi="Book Antiqua"/>
          <w:color w:val="auto"/>
          <w:sz w:val="24"/>
          <w:szCs w:val="24"/>
        </w:rPr>
        <w:t>. However, only CD3</w:t>
      </w:r>
      <w:r w:rsidRPr="00974D6D">
        <w:rPr>
          <w:rStyle w:val="Hyperlink0"/>
          <w:rFonts w:ascii="Book Antiqua" w:eastAsia="Calibri" w:hAnsi="Book Antiqua"/>
          <w:color w:val="auto"/>
        </w:rPr>
        <w:t>+</w:t>
      </w:r>
      <w:r w:rsidRPr="00974D6D">
        <w:rPr>
          <w:rStyle w:val="None"/>
          <w:rFonts w:ascii="Book Antiqua" w:hAnsi="Book Antiqua"/>
          <w:color w:val="auto"/>
          <w:sz w:val="24"/>
          <w:szCs w:val="24"/>
        </w:rPr>
        <w:t>, CD8</w:t>
      </w:r>
      <w:r w:rsidR="00487209" w:rsidRPr="00974D6D">
        <w:rPr>
          <w:rStyle w:val="Hyperlink0"/>
          <w:rFonts w:ascii="Book Antiqua" w:eastAsia="Calibri" w:hAnsi="Book Antiqua"/>
          <w:color w:val="auto"/>
        </w:rPr>
        <w:t>+</w:t>
      </w:r>
      <w:r w:rsidR="00487209">
        <w:rPr>
          <w:rStyle w:val="None"/>
          <w:rFonts w:ascii="Book Antiqua" w:hAnsi="Book Antiqua"/>
          <w:color w:val="auto"/>
          <w:sz w:val="24"/>
          <w:szCs w:val="24"/>
        </w:rPr>
        <w:t xml:space="preserve">, </w:t>
      </w:r>
      <w:r w:rsidRPr="00974D6D">
        <w:rPr>
          <w:rStyle w:val="None"/>
          <w:rFonts w:ascii="Book Antiqua" w:hAnsi="Book Antiqua"/>
          <w:color w:val="auto"/>
          <w:sz w:val="24"/>
          <w:szCs w:val="24"/>
        </w:rPr>
        <w:t>and CD45RO</w:t>
      </w:r>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T cells were measured by IHC in that study.</w:t>
      </w:r>
    </w:p>
    <w:p w14:paraId="7D152695" w14:textId="0D6E92EC" w:rsidR="00E03495" w:rsidRPr="00974D6D"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current study was superior to previous studies examining the prognosis value of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for HCC in several aspects. First, assessing CD3</w:t>
      </w:r>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and CD8</w:t>
      </w:r>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lymphocytes alone could not comprehensively represent local immune status. Prior research was limited by its narrow view of immunological reaction due to technical limitations, and immunocytes were evaluated through IHC based on a single surface marker, which was ineffective for distinguishing the tightly correlated cell types, since numerous marker proteins would be expressed among various types of cells. Technically, IHC is limited to existing phenotypic markers, and may lead to inconsistent findings in clinical studies. However, using transcriptomic data for computationally describing tumor microenvironment can serve as a promising tool to overcome the technical limitations related to IHC, and can be more readily employed for the further characterization of 22 different immune populations than IHC. Second, homogeneity in the case cohort was largely enhanced through pre-analysis case selection. Viral and non-viral HCC were suggested to be associated with different </w:t>
      </w:r>
      <w:r w:rsidR="00231BE9" w:rsidRPr="00974D6D">
        <w:rPr>
          <w:rStyle w:val="None"/>
          <w:rFonts w:ascii="Book Antiqua" w:hAnsi="Book Antiqua"/>
          <w:color w:val="auto"/>
          <w:sz w:val="24"/>
          <w:szCs w:val="24"/>
        </w:rPr>
        <w:t>prognos</w:t>
      </w:r>
      <w:r w:rsidR="00231BE9">
        <w:rPr>
          <w:rStyle w:val="None"/>
          <w:rFonts w:ascii="Book Antiqua" w:hAnsi="Book Antiqua"/>
          <w:color w:val="auto"/>
          <w:sz w:val="24"/>
          <w:szCs w:val="24"/>
        </w:rPr>
        <w:t>e</w:t>
      </w:r>
      <w:r w:rsidR="00231BE9" w:rsidRPr="00974D6D">
        <w:rPr>
          <w:rStyle w:val="None"/>
          <w:rFonts w:ascii="Book Antiqua" w:hAnsi="Book Antiqua"/>
          <w:color w:val="auto"/>
          <w:sz w:val="24"/>
          <w:szCs w:val="24"/>
        </w:rPr>
        <w:t>s</w:t>
      </w:r>
      <w:r w:rsidRPr="00974D6D">
        <w:rPr>
          <w:rStyle w:val="None"/>
          <w:rFonts w:ascii="Book Antiqua" w:hAnsi="Book Antiqua"/>
          <w:color w:val="auto"/>
          <w:sz w:val="24"/>
          <w:szCs w:val="24"/>
        </w:rPr>
        <w:t>, and different treatment strategies were recommended; therefore, they must be distinctively analyzed to d</w:t>
      </w:r>
      <w:r w:rsidR="00B03022">
        <w:rPr>
          <w:rStyle w:val="None"/>
          <w:rFonts w:ascii="Book Antiqua" w:hAnsi="Book Antiqua"/>
          <w:color w:val="auto"/>
          <w:sz w:val="24"/>
          <w:szCs w:val="24"/>
        </w:rPr>
        <w:t xml:space="preserve">evelop the models for </w:t>
      </w:r>
      <w:proofErr w:type="gramStart"/>
      <w:r w:rsidR="00B03022">
        <w:rPr>
          <w:rStyle w:val="None"/>
          <w:rFonts w:ascii="Book Antiqua" w:hAnsi="Book Antiqua"/>
          <w:color w:val="auto"/>
          <w:sz w:val="24"/>
          <w:szCs w:val="24"/>
        </w:rPr>
        <w:lastRenderedPageBreak/>
        <w:t>prognosis</w:t>
      </w:r>
      <w:r w:rsidRPr="00974D6D">
        <w:rPr>
          <w:rStyle w:val="Hyperlink0"/>
          <w:rFonts w:ascii="Book Antiqua" w:eastAsia="Calibri" w:hAnsi="Book Antiqua"/>
          <w:color w:val="auto"/>
        </w:rPr>
        <w:t>[</w:t>
      </w:r>
      <w:proofErr w:type="gramEnd"/>
      <w:r w:rsidR="00D66E7D">
        <w:fldChar w:fldCharType="begin"/>
      </w:r>
      <w:r w:rsidR="00D66E7D">
        <w:instrText xml:space="preserve"> HYPERLINK \l "bookmark17" </w:instrText>
      </w:r>
      <w:r w:rsidR="00D66E7D">
        <w:fldChar w:fldCharType="separate"/>
      </w:r>
      <w:r w:rsidRPr="00974D6D">
        <w:rPr>
          <w:rStyle w:val="Hyperlink0"/>
          <w:rFonts w:ascii="Book Antiqua" w:eastAsia="Calibri" w:hAnsi="Book Antiqua"/>
          <w:color w:val="auto"/>
        </w:rPr>
        <w:t>17-20</w:t>
      </w:r>
      <w:r w:rsidR="00D66E7D">
        <w:rPr>
          <w:rStyle w:val="Hyperlink0"/>
          <w:rFonts w:ascii="Book Antiqua" w:eastAsia="Calibri" w:hAnsi="Book Antiqua"/>
          <w:color w:val="auto"/>
        </w:rPr>
        <w:fldChar w:fldCharType="end"/>
      </w:r>
      <w:r w:rsidRPr="00974D6D">
        <w:rPr>
          <w:rStyle w:val="Hyperlink0"/>
          <w:rFonts w:ascii="Book Antiqua" w:eastAsia="Calibri" w:hAnsi="Book Antiqua"/>
          <w:color w:val="auto"/>
        </w:rPr>
        <w:t>]</w:t>
      </w:r>
      <w:r w:rsidRPr="00974D6D">
        <w:rPr>
          <w:rStyle w:val="None"/>
          <w:rFonts w:ascii="Book Antiqua" w:hAnsi="Book Antiqua"/>
          <w:color w:val="auto"/>
          <w:sz w:val="24"/>
          <w:szCs w:val="24"/>
        </w:rPr>
        <w:t>. In contrast to previous studies that combined viral and non-viral related HCC, the current study was conducted in HBV-positive patients only. Third, in terms of the methodology, LASSO penalized regression could increase the accuracy of bioinformatic analysis, and allowed for simultaneous analysis of each independent variable to sele</w:t>
      </w:r>
      <w:r w:rsidR="00B03022">
        <w:rPr>
          <w:rStyle w:val="None"/>
          <w:rFonts w:ascii="Book Antiqua" w:hAnsi="Book Antiqua"/>
          <w:color w:val="auto"/>
          <w:sz w:val="24"/>
          <w:szCs w:val="24"/>
        </w:rPr>
        <w:t>ct the most valuable parameters</w:t>
      </w:r>
      <w:r w:rsidRPr="00974D6D">
        <w:rPr>
          <w:rStyle w:val="Hyperlink0"/>
          <w:rFonts w:ascii="Book Antiqua" w:eastAsia="Calibri" w:hAnsi="Book Antiqua"/>
          <w:color w:val="auto"/>
        </w:rPr>
        <w:t>[</w:t>
      </w:r>
      <w:hyperlink w:anchor="bookmark18" w:history="1">
        <w:r w:rsidRPr="00974D6D">
          <w:rPr>
            <w:rStyle w:val="Hyperlink0"/>
            <w:rFonts w:ascii="Book Antiqua" w:eastAsia="Calibri" w:hAnsi="Book Antiqua"/>
            <w:color w:val="auto"/>
          </w:rPr>
          <w:t>21</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Therefore, such approach would show much higher accuracy than stepwise regressio</w:t>
      </w:r>
      <w:r w:rsidR="00B03022">
        <w:rPr>
          <w:rStyle w:val="None"/>
          <w:rFonts w:ascii="Book Antiqua" w:hAnsi="Book Antiqua"/>
          <w:color w:val="auto"/>
          <w:sz w:val="24"/>
          <w:szCs w:val="24"/>
        </w:rPr>
        <w:t>n of the multivariate Cox model</w:t>
      </w:r>
      <w:r w:rsidRPr="00974D6D">
        <w:rPr>
          <w:rStyle w:val="Hyperlink0"/>
          <w:rFonts w:ascii="Book Antiqua" w:eastAsia="Calibri" w:hAnsi="Book Antiqua"/>
          <w:color w:val="auto"/>
        </w:rPr>
        <w:t>[</w:t>
      </w:r>
      <w:hyperlink w:anchor="bookmark19" w:history="1">
        <w:r w:rsidRPr="00974D6D">
          <w:rPr>
            <w:rStyle w:val="Hyperlink0"/>
            <w:rFonts w:ascii="Book Antiqua" w:eastAsia="Calibri" w:hAnsi="Book Antiqua"/>
            <w:color w:val="auto"/>
          </w:rPr>
          <w:t>22</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Fourth, an easy-to-use nomogram model based on Cox analysis was constructed in our meticulously chosen patient cohort with clinicopathological characteristics that might facilitate individualized prediction of patients.</w:t>
      </w:r>
    </w:p>
    <w:p w14:paraId="2F7626FA" w14:textId="53C109D5" w:rsidR="00E03495" w:rsidRPr="00974D6D"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Immune checkpoint inhibitors have shown significant therapeutic responses to tumors. Clinical trials of antibodies targeting the</w:t>
      </w:r>
      <w:bookmarkStart w:id="43" w:name="OLE_LINK4"/>
      <w:r w:rsidRPr="00974D6D">
        <w:rPr>
          <w:rStyle w:val="None"/>
          <w:rFonts w:ascii="Book Antiqua" w:hAnsi="Book Antiqua"/>
          <w:color w:val="auto"/>
          <w:sz w:val="24"/>
          <w:szCs w:val="24"/>
        </w:rPr>
        <w:t xml:space="preserve"> immune checkpoint inhibitors</w:t>
      </w:r>
      <w:bookmarkEnd w:id="43"/>
      <w:r w:rsidRPr="00974D6D">
        <w:rPr>
          <w:rStyle w:val="None"/>
          <w:rFonts w:ascii="Book Antiqua" w:hAnsi="Book Antiqua"/>
          <w:color w:val="auto"/>
          <w:sz w:val="24"/>
          <w:szCs w:val="24"/>
        </w:rPr>
        <w:t xml:space="preserve"> to</w:t>
      </w:r>
      <w:r w:rsidR="00B03022">
        <w:rPr>
          <w:rStyle w:val="None"/>
          <w:rFonts w:ascii="Book Antiqua" w:hAnsi="Book Antiqua"/>
          <w:color w:val="auto"/>
          <w:sz w:val="24"/>
          <w:szCs w:val="24"/>
        </w:rPr>
        <w:t xml:space="preserve"> treat advanced HCC are ongoing</w:t>
      </w:r>
      <w:r w:rsidRPr="00974D6D">
        <w:rPr>
          <w:rStyle w:val="Hyperlink0"/>
          <w:rFonts w:ascii="Book Antiqua" w:eastAsia="Calibri" w:hAnsi="Book Antiqua"/>
          <w:color w:val="auto"/>
        </w:rPr>
        <w:t>[</w:t>
      </w:r>
      <w:hyperlink w:anchor="bookmark20" w:history="1">
        <w:r w:rsidRPr="00974D6D">
          <w:rPr>
            <w:rStyle w:val="Hyperlink0"/>
            <w:rFonts w:ascii="Book Antiqua" w:eastAsia="Calibri" w:hAnsi="Book Antiqua"/>
            <w:color w:val="auto"/>
          </w:rPr>
          <w:t>23</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Our results showed that </w:t>
      </w:r>
      <w:r w:rsidR="00231BE9">
        <w:rPr>
          <w:rStyle w:val="None"/>
          <w:rFonts w:ascii="Book Antiqua" w:hAnsi="Book Antiqua"/>
          <w:color w:val="auto"/>
          <w:sz w:val="24"/>
          <w:szCs w:val="24"/>
        </w:rPr>
        <w:t xml:space="preserve">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was negatively correlated with</w:t>
      </w:r>
      <w:r w:rsidR="000F42D7">
        <w:rPr>
          <w:rStyle w:val="None"/>
          <w:rFonts w:ascii="Book Antiqua" w:hAnsi="Book Antiqua"/>
          <w:color w:val="auto"/>
          <w:sz w:val="24"/>
          <w:szCs w:val="24"/>
        </w:rPr>
        <w:t xml:space="preserve"> PD-1</w:t>
      </w:r>
      <w:r w:rsidRPr="00974D6D">
        <w:rPr>
          <w:rStyle w:val="None"/>
          <w:rFonts w:ascii="Book Antiqua" w:hAnsi="Book Antiqua"/>
          <w:color w:val="auto"/>
          <w:sz w:val="24"/>
          <w:szCs w:val="24"/>
        </w:rPr>
        <w:t>, PD-L1, PD-L2, and CD27 (</w:t>
      </w:r>
      <w:r w:rsidR="00302472" w:rsidRPr="00974D6D">
        <w:rPr>
          <w:rStyle w:val="None"/>
          <w:rFonts w:ascii="Book Antiqua" w:hAnsi="Book Antiqua"/>
          <w:color w:val="auto"/>
          <w:sz w:val="24"/>
          <w:szCs w:val="24"/>
        </w:rPr>
        <w:t>Figure</w:t>
      </w:r>
      <w:r w:rsidRPr="00974D6D">
        <w:rPr>
          <w:rStyle w:val="None"/>
          <w:rFonts w:ascii="Book Antiqua" w:hAnsi="Book Antiqua"/>
          <w:color w:val="auto"/>
          <w:sz w:val="24"/>
          <w:szCs w:val="24"/>
        </w:rPr>
        <w:t xml:space="preserve"> 6). There are two ligands for PD-1 r</w:t>
      </w:r>
      <w:r w:rsidR="00B03022">
        <w:rPr>
          <w:rStyle w:val="None"/>
          <w:rFonts w:ascii="Book Antiqua" w:hAnsi="Book Antiqua"/>
          <w:color w:val="auto"/>
          <w:sz w:val="24"/>
          <w:szCs w:val="24"/>
        </w:rPr>
        <w:t>eceptor, namely</w:t>
      </w:r>
      <w:bookmarkStart w:id="44" w:name="_GoBack"/>
      <w:bookmarkEnd w:id="44"/>
      <w:r w:rsidR="00231BE9">
        <w:rPr>
          <w:rStyle w:val="None"/>
          <w:rFonts w:ascii="Book Antiqua" w:hAnsi="Book Antiqua"/>
          <w:color w:val="auto"/>
          <w:sz w:val="24"/>
          <w:szCs w:val="24"/>
        </w:rPr>
        <w:t>,</w:t>
      </w:r>
      <w:r w:rsidR="00B03022">
        <w:rPr>
          <w:rStyle w:val="None"/>
          <w:rFonts w:ascii="Book Antiqua" w:hAnsi="Book Antiqua"/>
          <w:color w:val="auto"/>
          <w:sz w:val="24"/>
          <w:szCs w:val="24"/>
        </w:rPr>
        <w:t xml:space="preserve"> PD-L1 and PD-</w:t>
      </w:r>
      <w:proofErr w:type="gramStart"/>
      <w:r w:rsidR="00B03022">
        <w:rPr>
          <w:rStyle w:val="None"/>
          <w:rFonts w:ascii="Book Antiqua" w:hAnsi="Book Antiqua"/>
          <w:color w:val="auto"/>
          <w:sz w:val="24"/>
          <w:szCs w:val="24"/>
        </w:rPr>
        <w:t>L2</w:t>
      </w:r>
      <w:r w:rsidRPr="00974D6D">
        <w:rPr>
          <w:rStyle w:val="Hyperlink0"/>
          <w:rFonts w:ascii="Book Antiqua" w:eastAsia="Calibri" w:hAnsi="Book Antiqua"/>
          <w:color w:val="auto"/>
        </w:rPr>
        <w:t>[</w:t>
      </w:r>
      <w:proofErr w:type="gramEnd"/>
      <w:r w:rsidR="00D66E7D">
        <w:fldChar w:fldCharType="begin"/>
      </w:r>
      <w:r w:rsidR="00D66E7D">
        <w:instrText xml:space="preserve"> HYPERLINK \l "bookmark21" </w:instrText>
      </w:r>
      <w:r w:rsidR="00D66E7D">
        <w:fldChar w:fldCharType="separate"/>
      </w:r>
      <w:r w:rsidRPr="00974D6D">
        <w:rPr>
          <w:rStyle w:val="Hyperlink0"/>
          <w:rFonts w:ascii="Book Antiqua" w:eastAsia="Calibri" w:hAnsi="Book Antiqua"/>
          <w:color w:val="auto"/>
        </w:rPr>
        <w:t>24</w:t>
      </w:r>
      <w:r w:rsidR="00D66E7D">
        <w:rPr>
          <w:rStyle w:val="Hyperlink0"/>
          <w:rFonts w:ascii="Book Antiqua" w:eastAsia="Calibri" w:hAnsi="Book Antiqua"/>
          <w:color w:val="auto"/>
        </w:rPr>
        <w:fldChar w:fldCharType="end"/>
      </w:r>
      <w:r w:rsidR="00B03022">
        <w:rPr>
          <w:rStyle w:val="Hyperlink0"/>
          <w:rFonts w:ascii="Book Antiqua" w:eastAsia="Calibri" w:hAnsi="Book Antiqua"/>
          <w:color w:val="auto"/>
        </w:rPr>
        <w:t>,</w:t>
      </w:r>
      <w:hyperlink w:anchor="bookmark22" w:history="1">
        <w:r w:rsidRPr="00974D6D">
          <w:rPr>
            <w:rStyle w:val="Hyperlink0"/>
            <w:rFonts w:ascii="Book Antiqua" w:eastAsia="Calibri" w:hAnsi="Book Antiqua"/>
            <w:color w:val="auto"/>
          </w:rPr>
          <w:t>25</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xml:space="preserve">. Our previous studies found that excessive PD-1-positive </w:t>
      </w:r>
      <w:proofErr w:type="spellStart"/>
      <w:r w:rsidRPr="00974D6D">
        <w:rPr>
          <w:rStyle w:val="None"/>
          <w:rFonts w:ascii="Book Antiqua" w:hAnsi="Book Antiqua"/>
          <w:color w:val="auto"/>
          <w:sz w:val="24"/>
          <w:szCs w:val="24"/>
        </w:rPr>
        <w:t>intratumoral</w:t>
      </w:r>
      <w:proofErr w:type="spellEnd"/>
      <w:r w:rsidRPr="00974D6D">
        <w:rPr>
          <w:rStyle w:val="None"/>
          <w:rFonts w:ascii="Book Antiqua" w:hAnsi="Book Antiqua"/>
          <w:color w:val="auto"/>
          <w:sz w:val="24"/>
          <w:szCs w:val="24"/>
        </w:rPr>
        <w:t xml:space="preserve"> lymphocytes could predict the cytokine-induced killer cell sur</w:t>
      </w:r>
      <w:r w:rsidR="00B03022">
        <w:rPr>
          <w:rStyle w:val="None"/>
          <w:rFonts w:ascii="Book Antiqua" w:hAnsi="Book Antiqua"/>
          <w:color w:val="auto"/>
          <w:sz w:val="24"/>
          <w:szCs w:val="24"/>
        </w:rPr>
        <w:t>vival benefits for HCC patients</w:t>
      </w:r>
      <w:r w:rsidRPr="00974D6D">
        <w:rPr>
          <w:rStyle w:val="Hyperlink0"/>
          <w:rFonts w:ascii="Book Antiqua" w:eastAsia="Calibri" w:hAnsi="Book Antiqua"/>
          <w:color w:val="auto"/>
        </w:rPr>
        <w:t>[</w:t>
      </w:r>
      <w:hyperlink w:anchor="bookmark23" w:history="1">
        <w:r w:rsidRPr="00974D6D">
          <w:rPr>
            <w:rStyle w:val="Hyperlink0"/>
            <w:rFonts w:ascii="Book Antiqua" w:eastAsia="Calibri" w:hAnsi="Book Antiqua"/>
            <w:color w:val="auto"/>
          </w:rPr>
          <w:t>26</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and serum soluble PD-1 and PD-L1 can independently predict the prognosis fo</w:t>
      </w:r>
      <w:r w:rsidR="00B03022">
        <w:rPr>
          <w:rStyle w:val="None"/>
          <w:rFonts w:ascii="Book Antiqua" w:hAnsi="Book Antiqua"/>
          <w:color w:val="auto"/>
          <w:sz w:val="24"/>
          <w:szCs w:val="24"/>
        </w:rPr>
        <w:t>r HCC patients in distinct ways</w:t>
      </w:r>
      <w:r w:rsidRPr="00974D6D">
        <w:rPr>
          <w:rStyle w:val="Hyperlink0"/>
          <w:rFonts w:ascii="Book Antiqua" w:eastAsia="Calibri" w:hAnsi="Book Antiqua"/>
          <w:color w:val="auto"/>
        </w:rPr>
        <w:t>[</w:t>
      </w:r>
      <w:hyperlink w:anchor="bookmark24" w:history="1">
        <w:r w:rsidRPr="00974D6D">
          <w:rPr>
            <w:rStyle w:val="Hyperlink0"/>
            <w:rFonts w:ascii="Book Antiqua" w:eastAsia="Calibri" w:hAnsi="Book Antiqua"/>
            <w:color w:val="auto"/>
          </w:rPr>
          <w:t>27</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CD27 is a cytokine that facilitates naive T cell expansion specific to antigen, which is of vital impor</w:t>
      </w:r>
      <w:r w:rsidR="00B03022">
        <w:rPr>
          <w:rStyle w:val="None"/>
          <w:rFonts w:ascii="Book Antiqua" w:hAnsi="Book Antiqua"/>
          <w:color w:val="auto"/>
          <w:sz w:val="24"/>
          <w:szCs w:val="24"/>
        </w:rPr>
        <w:t xml:space="preserve">tance to generate T cell </w:t>
      </w:r>
      <w:proofErr w:type="gramStart"/>
      <w:r w:rsidR="00B03022">
        <w:rPr>
          <w:rStyle w:val="None"/>
          <w:rFonts w:ascii="Book Antiqua" w:hAnsi="Book Antiqua"/>
          <w:color w:val="auto"/>
          <w:sz w:val="24"/>
          <w:szCs w:val="24"/>
        </w:rPr>
        <w:t>memory</w:t>
      </w:r>
      <w:r w:rsidRPr="00974D6D">
        <w:rPr>
          <w:rStyle w:val="Hyperlink0"/>
          <w:rFonts w:ascii="Book Antiqua" w:eastAsia="Calibri" w:hAnsi="Book Antiqua"/>
          <w:color w:val="auto"/>
        </w:rPr>
        <w:t>[</w:t>
      </w:r>
      <w:proofErr w:type="gramEnd"/>
      <w:hyperlink w:anchor="bookmark25" w:history="1">
        <w:r w:rsidRPr="00974D6D">
          <w:rPr>
            <w:rStyle w:val="Hyperlink0"/>
            <w:rFonts w:ascii="Book Antiqua" w:eastAsia="Calibri" w:hAnsi="Book Antiqua"/>
            <w:color w:val="auto"/>
          </w:rPr>
          <w:t>28</w:t>
        </w:r>
      </w:hyperlink>
      <w:r w:rsidRPr="00974D6D">
        <w:rPr>
          <w:rStyle w:val="Hyperlink0"/>
          <w:rFonts w:ascii="Book Antiqua" w:eastAsia="Calibri" w:hAnsi="Book Antiqua"/>
          <w:color w:val="auto"/>
        </w:rPr>
        <w:t>]</w:t>
      </w:r>
      <w:r w:rsidRPr="00974D6D">
        <w:rPr>
          <w:rStyle w:val="None"/>
          <w:rFonts w:ascii="Book Antiqua" w:hAnsi="Book Antiqua"/>
          <w:color w:val="auto"/>
          <w:sz w:val="24"/>
          <w:szCs w:val="24"/>
        </w:rPr>
        <w:t>. Moreover, pathway enrichment analysis suggested that such immunocytes could affect HCC genesis as well as progression by eight pathways whose biological functions have been previously reported in HCC. Most of these pathways are canonical and crucial, which participate in HCC genesis as well as progression.</w:t>
      </w:r>
    </w:p>
    <w:p w14:paraId="62C2209B" w14:textId="3CC802D5" w:rsidR="00E03495" w:rsidRPr="00974D6D"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This study had several limitations. First, information, such as acute infection, immune system diseases, as well as anti-inflammatory drugs, could not be obtained since this study was conducted based on the publicly available datasets, and this could potentially result in error or bias. Second, each case was retrospectively chosen, so an underlying bias may exist related to the imbalanced clinicopathological characteristics with treatment heterogeneity. </w:t>
      </w:r>
      <w:r w:rsidRPr="00974D6D">
        <w:rPr>
          <w:rStyle w:val="None"/>
          <w:rFonts w:ascii="Book Antiqua" w:hAnsi="Book Antiqua"/>
          <w:color w:val="auto"/>
          <w:sz w:val="24"/>
          <w:szCs w:val="24"/>
        </w:rPr>
        <w:lastRenderedPageBreak/>
        <w:t xml:space="preserve">Third, all data were downloaded from </w:t>
      </w:r>
      <w:r w:rsidR="00231BE9">
        <w:rPr>
          <w:rStyle w:val="None"/>
          <w:rFonts w:ascii="Book Antiqua" w:hAnsi="Book Antiqua"/>
          <w:color w:val="auto"/>
          <w:sz w:val="24"/>
          <w:szCs w:val="24"/>
        </w:rPr>
        <w:t>W</w:t>
      </w:r>
      <w:r w:rsidR="00231BE9" w:rsidRPr="00974D6D">
        <w:rPr>
          <w:rStyle w:val="None"/>
          <w:rFonts w:ascii="Book Antiqua" w:hAnsi="Book Antiqua"/>
          <w:color w:val="auto"/>
          <w:sz w:val="24"/>
          <w:szCs w:val="24"/>
        </w:rPr>
        <w:t xml:space="preserve">estern </w:t>
      </w:r>
      <w:r w:rsidRPr="00974D6D">
        <w:rPr>
          <w:rStyle w:val="None"/>
          <w:rFonts w:ascii="Book Antiqua" w:hAnsi="Book Antiqua"/>
          <w:color w:val="auto"/>
          <w:sz w:val="24"/>
          <w:szCs w:val="24"/>
        </w:rPr>
        <w:t xml:space="preserve">countries to establish the models, so the findings should be cautiously applied to </w:t>
      </w:r>
      <w:r w:rsidR="00231BE9">
        <w:rPr>
          <w:rStyle w:val="None"/>
          <w:rFonts w:ascii="Book Antiqua" w:hAnsi="Book Antiqua"/>
          <w:color w:val="auto"/>
          <w:sz w:val="24"/>
          <w:szCs w:val="24"/>
        </w:rPr>
        <w:t xml:space="preserve">the </w:t>
      </w:r>
      <w:r w:rsidRPr="00974D6D">
        <w:rPr>
          <w:rStyle w:val="None"/>
          <w:rFonts w:ascii="Book Antiqua" w:hAnsi="Book Antiqua"/>
          <w:color w:val="auto"/>
          <w:sz w:val="24"/>
          <w:szCs w:val="24"/>
        </w:rPr>
        <w:t>Asian population. Finally, further large</w:t>
      </w:r>
      <w:r w:rsidR="00231BE9">
        <w:rPr>
          <w:rStyle w:val="None"/>
          <w:rFonts w:ascii="Book Antiqua" w:hAnsi="Book Antiqua"/>
          <w:color w:val="auto"/>
          <w:sz w:val="24"/>
          <w:szCs w:val="24"/>
        </w:rPr>
        <w:t>-</w:t>
      </w:r>
      <w:r w:rsidRPr="00974D6D">
        <w:rPr>
          <w:rStyle w:val="None"/>
          <w:rFonts w:ascii="Book Antiqua" w:hAnsi="Book Antiqua"/>
          <w:color w:val="auto"/>
          <w:sz w:val="24"/>
          <w:szCs w:val="24"/>
        </w:rPr>
        <w:t>sample research is needed for external validation of our results.</w:t>
      </w:r>
    </w:p>
    <w:p w14:paraId="4C69C7B4" w14:textId="77777777" w:rsidR="00E03495" w:rsidRPr="00974D6D"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In summary, this study uncovered the immunocyte signature in HBV-related HCC. The proposed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model may comprehensively provide the required clinical data to improve the personalized treatment for HBV-related HCC cases.</w:t>
      </w:r>
    </w:p>
    <w:p w14:paraId="091B3545" w14:textId="77777777" w:rsidR="00E03495" w:rsidRDefault="00E03495" w:rsidP="00974D6D">
      <w:pPr>
        <w:framePr w:wrap="auto"/>
        <w:adjustRightInd w:val="0"/>
        <w:snapToGrid w:val="0"/>
        <w:spacing w:line="360" w:lineRule="auto"/>
        <w:rPr>
          <w:rStyle w:val="None"/>
          <w:rFonts w:ascii="Book Antiqua" w:eastAsiaTheme="minorEastAsia" w:hAnsi="Book Antiqua" w:cs="Times New Roman"/>
          <w:b/>
          <w:bCs/>
          <w:color w:val="auto"/>
          <w:sz w:val="24"/>
          <w:szCs w:val="24"/>
        </w:rPr>
      </w:pPr>
    </w:p>
    <w:p w14:paraId="25604682" w14:textId="65C5D678" w:rsidR="00B03022" w:rsidRPr="00B03022" w:rsidRDefault="00B03022" w:rsidP="00974D6D">
      <w:pPr>
        <w:framePr w:wrap="auto"/>
        <w:adjustRightInd w:val="0"/>
        <w:snapToGrid w:val="0"/>
        <w:spacing w:line="360" w:lineRule="auto"/>
        <w:rPr>
          <w:rStyle w:val="None"/>
          <w:rFonts w:ascii="Book Antiqua" w:eastAsiaTheme="minorEastAsia" w:hAnsi="Book Antiqua" w:cs="Times New Roman"/>
          <w:color w:val="auto"/>
          <w:sz w:val="24"/>
          <w:szCs w:val="24"/>
          <w:shd w:val="clear" w:color="auto" w:fill="FFFF00"/>
        </w:rPr>
      </w:pPr>
      <w:r>
        <w:rPr>
          <w:rStyle w:val="None"/>
          <w:rFonts w:ascii="Book Antiqua" w:eastAsiaTheme="minorEastAsia" w:hAnsi="Book Antiqua" w:cs="Times New Roman" w:hint="eastAsia"/>
          <w:b/>
          <w:bCs/>
          <w:color w:val="auto"/>
          <w:sz w:val="24"/>
          <w:szCs w:val="24"/>
        </w:rPr>
        <w:t>ARTICLE HIGHLIGHTS</w:t>
      </w:r>
    </w:p>
    <w:p w14:paraId="73D73F1A"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Research background</w:t>
      </w:r>
    </w:p>
    <w:p w14:paraId="239CBAA3" w14:textId="60218B34"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Hepatocellular carcinoma (HCC) is a common subtype of liver cancer, which has become a serious health threat worldwide. </w:t>
      </w:r>
      <w:r w:rsidR="00392487">
        <w:rPr>
          <w:rStyle w:val="None"/>
          <w:rFonts w:ascii="Book Antiqua" w:hAnsi="Book Antiqua"/>
          <w:color w:val="auto"/>
          <w:sz w:val="24"/>
          <w:szCs w:val="24"/>
        </w:rPr>
        <w:t>H</w:t>
      </w:r>
      <w:r w:rsidRPr="00974D6D">
        <w:rPr>
          <w:rStyle w:val="None"/>
          <w:rFonts w:ascii="Book Antiqua" w:hAnsi="Book Antiqua"/>
          <w:color w:val="auto"/>
          <w:sz w:val="24"/>
          <w:szCs w:val="24"/>
        </w:rPr>
        <w:t>epatitis B virus (HBV) has been identified as a leading cause of HCC. Increasing evidence indicates that cancer immune infiltration is associated with clinical outcomes. However, no credible prognosis signature for HBV-associated HCC has been constructed through systemically assessing bulk tumor transcriptomic immune landscape.</w:t>
      </w:r>
    </w:p>
    <w:p w14:paraId="4EB0D229"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707B4BA7"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Research motivation</w:t>
      </w:r>
    </w:p>
    <w:p w14:paraId="451240ED" w14:textId="01E64454"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Tumor-infiltrating </w:t>
      </w:r>
      <w:proofErr w:type="spellStart"/>
      <w:r w:rsidRPr="00974D6D">
        <w:rPr>
          <w:rStyle w:val="None"/>
          <w:rFonts w:ascii="Book Antiqua" w:hAnsi="Book Antiqua"/>
          <w:color w:val="auto"/>
          <w:sz w:val="24"/>
          <w:szCs w:val="24"/>
        </w:rPr>
        <w:t>immunocyte</w:t>
      </w:r>
      <w:r w:rsidR="00392487">
        <w:rPr>
          <w:rStyle w:val="None"/>
          <w:rFonts w:ascii="Book Antiqua" w:hAnsi="Book Antiqua"/>
          <w:color w:val="auto"/>
          <w:sz w:val="24"/>
          <w:szCs w:val="24"/>
        </w:rPr>
        <w:t>s</w:t>
      </w:r>
      <w:proofErr w:type="spellEnd"/>
      <w:r w:rsidRPr="00974D6D">
        <w:rPr>
          <w:rStyle w:val="None"/>
          <w:rFonts w:ascii="Book Antiqua" w:hAnsi="Book Antiqua"/>
          <w:color w:val="auto"/>
          <w:sz w:val="24"/>
          <w:szCs w:val="24"/>
        </w:rPr>
        <w:t xml:space="preserve"> represent a vital prognosis clue in HBV-associated HCC patients. In this study, a new immune model for HBV-associated HCC cases was developed through systematically assessing the bulk tumor transcriptomic immune landscape.</w:t>
      </w:r>
    </w:p>
    <w:p w14:paraId="6851964B"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1CFF9F0E"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 xml:space="preserve">Research objectives </w:t>
      </w:r>
    </w:p>
    <w:p w14:paraId="15858D77"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current research aimed to establish a prognosis-related immune signature based on bulk tumor transcriptome-derived immune infiltrate compositions, thus improving the prognosis prediction accuracy for HBV-associated HCC. </w:t>
      </w:r>
    </w:p>
    <w:p w14:paraId="3F90DC9B"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336C0000"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Research methods</w:t>
      </w:r>
    </w:p>
    <w:p w14:paraId="5148C3BC" w14:textId="79D7F658"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fractions of 22 immunocyte types extracted based on public datasets were </w:t>
      </w:r>
      <w:r w:rsidRPr="00974D6D">
        <w:rPr>
          <w:rStyle w:val="None"/>
          <w:rFonts w:ascii="Book Antiqua" w:hAnsi="Book Antiqua"/>
          <w:color w:val="auto"/>
          <w:sz w:val="24"/>
          <w:szCs w:val="24"/>
        </w:rPr>
        <w:lastRenderedPageBreak/>
        <w:t xml:space="preserve">predicated using the </w:t>
      </w:r>
      <w:r w:rsidR="004269D1">
        <w:rPr>
          <w:rStyle w:val="None"/>
          <w:rFonts w:ascii="Book Antiqua" w:hAnsi="Book Antiqua"/>
          <w:color w:val="auto"/>
          <w:sz w:val="24"/>
          <w:szCs w:val="24"/>
        </w:rPr>
        <w:t>c</w:t>
      </w:r>
      <w:r w:rsidRPr="00974D6D">
        <w:rPr>
          <w:rStyle w:val="None"/>
          <w:rFonts w:ascii="Book Antiqua" w:hAnsi="Book Antiqua"/>
          <w:color w:val="auto"/>
          <w:sz w:val="24"/>
          <w:szCs w:val="24"/>
        </w:rPr>
        <w:t xml:space="preserve">ell type </w:t>
      </w:r>
      <w:r w:rsidR="004269D1">
        <w:rPr>
          <w:rStyle w:val="None"/>
          <w:rFonts w:ascii="Book Antiqua" w:hAnsi="Book Antiqua"/>
          <w:color w:val="auto"/>
          <w:sz w:val="24"/>
          <w:szCs w:val="24"/>
        </w:rPr>
        <w:t>i</w:t>
      </w:r>
      <w:r w:rsidRPr="00974D6D">
        <w:rPr>
          <w:rStyle w:val="None"/>
          <w:rFonts w:ascii="Book Antiqua" w:hAnsi="Book Antiqua"/>
          <w:color w:val="auto"/>
          <w:sz w:val="24"/>
          <w:szCs w:val="24"/>
        </w:rPr>
        <w:t xml:space="preserve">dentification </w:t>
      </w:r>
      <w:r w:rsidR="004269D1">
        <w:rPr>
          <w:rStyle w:val="None"/>
          <w:rFonts w:ascii="Book Antiqua" w:hAnsi="Book Antiqua"/>
          <w:color w:val="auto"/>
          <w:sz w:val="24"/>
          <w:szCs w:val="24"/>
        </w:rPr>
        <w:t>b</w:t>
      </w:r>
      <w:r w:rsidRPr="00974D6D">
        <w:rPr>
          <w:rStyle w:val="None"/>
          <w:rFonts w:ascii="Book Antiqua" w:hAnsi="Book Antiqua"/>
          <w:color w:val="auto"/>
          <w:sz w:val="24"/>
          <w:szCs w:val="24"/>
        </w:rPr>
        <w:t xml:space="preserve">y </w:t>
      </w:r>
      <w:r w:rsidR="004269D1">
        <w:rPr>
          <w:rStyle w:val="None"/>
          <w:rFonts w:ascii="Book Antiqua" w:hAnsi="Book Antiqua"/>
          <w:color w:val="auto"/>
          <w:sz w:val="24"/>
          <w:szCs w:val="24"/>
        </w:rPr>
        <w:t>e</w:t>
      </w:r>
      <w:r w:rsidRPr="00974D6D">
        <w:rPr>
          <w:rStyle w:val="None"/>
          <w:rFonts w:ascii="Book Antiqua" w:hAnsi="Book Antiqua"/>
          <w:color w:val="auto"/>
          <w:sz w:val="24"/>
          <w:szCs w:val="24"/>
        </w:rPr>
        <w:t xml:space="preserve">stimating </w:t>
      </w:r>
      <w:r w:rsidR="004269D1">
        <w:rPr>
          <w:rStyle w:val="None"/>
          <w:rFonts w:ascii="Book Antiqua" w:hAnsi="Book Antiqua"/>
          <w:color w:val="auto"/>
          <w:sz w:val="24"/>
          <w:szCs w:val="24"/>
        </w:rPr>
        <w:t>r</w:t>
      </w:r>
      <w:r w:rsidRPr="00974D6D">
        <w:rPr>
          <w:rStyle w:val="None"/>
          <w:rFonts w:ascii="Book Antiqua" w:hAnsi="Book Antiqua"/>
          <w:color w:val="auto"/>
          <w:sz w:val="24"/>
          <w:szCs w:val="24"/>
        </w:rPr>
        <w:t xml:space="preserve">elative </w:t>
      </w:r>
      <w:r w:rsidR="004269D1">
        <w:rPr>
          <w:rStyle w:val="None"/>
          <w:rFonts w:ascii="Book Antiqua" w:hAnsi="Book Antiqua"/>
          <w:color w:val="auto"/>
          <w:sz w:val="24"/>
          <w:szCs w:val="24"/>
        </w:rPr>
        <w:t>s</w:t>
      </w:r>
      <w:r w:rsidRPr="00974D6D">
        <w:rPr>
          <w:rStyle w:val="None"/>
          <w:rFonts w:ascii="Book Antiqua" w:hAnsi="Book Antiqua"/>
          <w:color w:val="auto"/>
          <w:sz w:val="24"/>
          <w:szCs w:val="24"/>
        </w:rPr>
        <w:t xml:space="preserve">ubsets </w:t>
      </w:r>
      <w:r w:rsidR="004269D1">
        <w:rPr>
          <w:rStyle w:val="None"/>
          <w:rFonts w:ascii="Book Antiqua" w:hAnsi="Book Antiqua"/>
          <w:color w:val="auto"/>
          <w:sz w:val="24"/>
          <w:szCs w:val="24"/>
        </w:rPr>
        <w:t>o</w:t>
      </w:r>
      <w:r w:rsidRPr="00974D6D">
        <w:rPr>
          <w:rStyle w:val="None"/>
          <w:rFonts w:ascii="Book Antiqua" w:hAnsi="Book Antiqua"/>
          <w:color w:val="auto"/>
          <w:sz w:val="24"/>
          <w:szCs w:val="24"/>
        </w:rPr>
        <w:t>f RNA</w:t>
      </w:r>
      <w:r w:rsidR="004269D1">
        <w:rPr>
          <w:rStyle w:val="None"/>
          <w:rFonts w:ascii="Book Antiqua" w:hAnsi="Book Antiqua"/>
          <w:color w:val="auto"/>
          <w:sz w:val="24"/>
          <w:szCs w:val="24"/>
        </w:rPr>
        <w:t xml:space="preserve"> t</w:t>
      </w:r>
      <w:r w:rsidRPr="00974D6D">
        <w:rPr>
          <w:rStyle w:val="None"/>
          <w:rFonts w:ascii="Book Antiqua" w:hAnsi="Book Antiqua"/>
          <w:color w:val="auto"/>
          <w:sz w:val="24"/>
          <w:szCs w:val="24"/>
        </w:rPr>
        <w:t xml:space="preserve">ranscripts (CIBERSORT) algorithm. Furthermore, </w:t>
      </w:r>
      <w:r w:rsidR="00392487">
        <w:rPr>
          <w:rStyle w:val="None"/>
          <w:rFonts w:ascii="Book Antiqua" w:hAnsi="Book Antiqua"/>
          <w:color w:val="auto"/>
          <w:sz w:val="24"/>
          <w:szCs w:val="24"/>
        </w:rPr>
        <w:t>an</w:t>
      </w:r>
      <w:r w:rsidR="00392487" w:rsidRPr="00974D6D">
        <w:rPr>
          <w:rStyle w:val="None"/>
          <w:rFonts w:ascii="Book Antiqua" w:hAnsi="Book Antiqua"/>
          <w:color w:val="auto"/>
          <w:sz w:val="24"/>
          <w:szCs w:val="24"/>
        </w:rPr>
        <w:t xml:space="preserv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was calculated based on immunocyte type fractions by the least absolute shrinkage and selection operator (LASSO) model.</w:t>
      </w:r>
    </w:p>
    <w:p w14:paraId="6F89E4ED"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18204BF1"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Research results</w:t>
      </w:r>
    </w:p>
    <w:p w14:paraId="2A0E0923" w14:textId="6D129823"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constituted by eight immunocyte type fractions was constructed by adopting the LASSO model, which displayed </w:t>
      </w:r>
      <w:r w:rsidR="00392487">
        <w:rPr>
          <w:rStyle w:val="None"/>
          <w:rFonts w:ascii="Book Antiqua" w:hAnsi="Book Antiqua"/>
          <w:color w:val="auto"/>
          <w:sz w:val="24"/>
          <w:szCs w:val="24"/>
        </w:rPr>
        <w:t xml:space="preserve">a </w:t>
      </w:r>
      <w:r w:rsidRPr="00974D6D">
        <w:rPr>
          <w:rStyle w:val="None"/>
          <w:rFonts w:ascii="Book Antiqua" w:hAnsi="Book Antiqua"/>
          <w:color w:val="auto"/>
          <w:sz w:val="24"/>
          <w:szCs w:val="24"/>
        </w:rPr>
        <w:t xml:space="preserve">high sensitivity and specificity for overall survival (OS), and </w:t>
      </w:r>
      <w:r w:rsidR="00392487">
        <w:rPr>
          <w:rStyle w:val="None"/>
          <w:rFonts w:ascii="Book Antiqua" w:hAnsi="Book Antiqua"/>
          <w:color w:val="auto"/>
          <w:sz w:val="24"/>
          <w:szCs w:val="24"/>
        </w:rPr>
        <w:t>the areas under the curves for</w:t>
      </w:r>
      <w:r w:rsidR="00392487" w:rsidRPr="00974D6D">
        <w:rPr>
          <w:rStyle w:val="None"/>
          <w:rFonts w:ascii="Book Antiqua" w:hAnsi="Book Antiqua"/>
          <w:color w:val="auto"/>
          <w:sz w:val="24"/>
          <w:szCs w:val="24"/>
        </w:rPr>
        <w:t xml:space="preserve"> </w:t>
      </w:r>
      <w:r w:rsidRPr="00974D6D">
        <w:rPr>
          <w:rStyle w:val="None"/>
          <w:rFonts w:ascii="Book Antiqua" w:hAnsi="Book Antiqua"/>
          <w:color w:val="auto"/>
          <w:sz w:val="24"/>
          <w:szCs w:val="24"/>
        </w:rPr>
        <w:t>the 1-year, 3-year</w:t>
      </w:r>
      <w:r w:rsidR="00B03022">
        <w:rPr>
          <w:rStyle w:val="None"/>
          <w:rFonts w:ascii="Book Antiqua" w:eastAsiaTheme="minorEastAsia" w:hAnsi="Book Antiqua" w:hint="eastAsia"/>
          <w:color w:val="auto"/>
          <w:sz w:val="24"/>
          <w:szCs w:val="24"/>
        </w:rPr>
        <w:t>,</w:t>
      </w:r>
      <w:r w:rsidRPr="00974D6D">
        <w:rPr>
          <w:rStyle w:val="None"/>
          <w:rFonts w:ascii="Book Antiqua" w:hAnsi="Book Antiqua"/>
          <w:color w:val="auto"/>
          <w:sz w:val="24"/>
          <w:szCs w:val="24"/>
        </w:rPr>
        <w:t xml:space="preserve"> and 5-</w:t>
      </w:r>
      <w:r w:rsidR="00AE42A6">
        <w:rPr>
          <w:rStyle w:val="None"/>
          <w:rFonts w:ascii="Book Antiqua" w:hAnsi="Book Antiqua"/>
          <w:color w:val="auto"/>
          <w:sz w:val="24"/>
          <w:szCs w:val="24"/>
        </w:rPr>
        <w:t xml:space="preserve">year </w:t>
      </w:r>
      <w:r w:rsidR="00392487">
        <w:rPr>
          <w:rStyle w:val="None"/>
          <w:rFonts w:ascii="Book Antiqua" w:hAnsi="Book Antiqua"/>
          <w:color w:val="auto"/>
          <w:sz w:val="24"/>
          <w:szCs w:val="24"/>
        </w:rPr>
        <w:t>OS</w:t>
      </w:r>
      <w:r w:rsidRPr="00974D6D">
        <w:rPr>
          <w:rStyle w:val="None"/>
          <w:rFonts w:ascii="Book Antiqua" w:hAnsi="Book Antiqua"/>
          <w:color w:val="auto"/>
          <w:sz w:val="24"/>
          <w:szCs w:val="24"/>
        </w:rPr>
        <w:t xml:space="preserve"> were 0.971, 0.912, and 0.975, respectively. Difference in OS between the low-</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and high-</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groups was statistically significant. Additionally, a nomogram was established to expand the applied range of the model, which included the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as well as other clinical characteristics. The related pathways were enriched through gen</w:t>
      </w:r>
      <w:r w:rsidR="006C17E1">
        <w:rPr>
          <w:rStyle w:val="None"/>
          <w:rFonts w:ascii="Book Antiqua" w:hAnsi="Book Antiqua"/>
          <w:color w:val="auto"/>
          <w:sz w:val="24"/>
          <w:szCs w:val="24"/>
        </w:rPr>
        <w:t>e set enrichment analysis</w:t>
      </w:r>
      <w:r w:rsidRPr="00974D6D">
        <w:rPr>
          <w:rStyle w:val="None"/>
          <w:rFonts w:ascii="Book Antiqua" w:hAnsi="Book Antiqua"/>
          <w:color w:val="auto"/>
          <w:sz w:val="24"/>
          <w:szCs w:val="24"/>
        </w:rPr>
        <w:t xml:space="preserve">. </w:t>
      </w:r>
    </w:p>
    <w:p w14:paraId="77813A1C"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339F3F6E"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Research conclusions</w:t>
      </w:r>
    </w:p>
    <w:p w14:paraId="7F513127"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974D6D">
        <w:rPr>
          <w:rStyle w:val="None"/>
          <w:rFonts w:ascii="Book Antiqua" w:hAnsi="Book Antiqua"/>
          <w:color w:val="auto"/>
          <w:sz w:val="24"/>
          <w:szCs w:val="24"/>
        </w:rPr>
        <w:t xml:space="preserve">The established </w:t>
      </w:r>
      <w:proofErr w:type="spellStart"/>
      <w:r w:rsidRPr="00974D6D">
        <w:rPr>
          <w:rStyle w:val="None"/>
          <w:rFonts w:ascii="Book Antiqua" w:hAnsi="Book Antiqua"/>
          <w:color w:val="auto"/>
          <w:sz w:val="24"/>
          <w:szCs w:val="24"/>
        </w:rPr>
        <w:t>immunoscore</w:t>
      </w:r>
      <w:proofErr w:type="spellEnd"/>
      <w:r w:rsidRPr="00974D6D">
        <w:rPr>
          <w:rStyle w:val="None"/>
          <w:rFonts w:ascii="Book Antiqua" w:hAnsi="Book Antiqua"/>
          <w:color w:val="auto"/>
          <w:sz w:val="24"/>
          <w:szCs w:val="24"/>
        </w:rPr>
        <w:t xml:space="preserve"> showed high prognosis prediction accuracy for patients with HBV-associated HCC, which may facilitate the risk stratification and provide valuable clinical suggestions for individual cases.</w:t>
      </w:r>
    </w:p>
    <w:p w14:paraId="68D7AF55" w14:textId="77777777" w:rsidR="00E03495" w:rsidRPr="00974D6D"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356E4DFC" w14:textId="77777777" w:rsidR="00E03495" w:rsidRPr="00974D6D"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974D6D">
        <w:rPr>
          <w:rStyle w:val="None"/>
          <w:rFonts w:ascii="Book Antiqua" w:hAnsi="Book Antiqua"/>
          <w:b/>
          <w:bCs/>
          <w:i/>
          <w:iCs/>
          <w:color w:val="auto"/>
          <w:sz w:val="24"/>
          <w:szCs w:val="24"/>
        </w:rPr>
        <w:t>Research perspectives</w:t>
      </w:r>
    </w:p>
    <w:p w14:paraId="63B28AEC" w14:textId="7026684D" w:rsidR="00E03495" w:rsidRPr="00974D6D" w:rsidRDefault="00F474B9" w:rsidP="00974D6D">
      <w:pPr>
        <w:framePr w:wrap="auto"/>
        <w:adjustRightInd w:val="0"/>
        <w:snapToGrid w:val="0"/>
        <w:spacing w:line="360" w:lineRule="auto"/>
        <w:rPr>
          <w:rStyle w:val="None"/>
          <w:rFonts w:ascii="Book Antiqua" w:hAnsi="Book Antiqua"/>
          <w:color w:val="auto"/>
          <w:sz w:val="24"/>
          <w:szCs w:val="24"/>
        </w:rPr>
      </w:pPr>
      <w:r w:rsidRPr="00974D6D">
        <w:rPr>
          <w:rStyle w:val="None"/>
          <w:rFonts w:ascii="Book Antiqua" w:hAnsi="Book Antiqua"/>
          <w:color w:val="auto"/>
          <w:sz w:val="24"/>
          <w:szCs w:val="24"/>
        </w:rPr>
        <w:t>Findings of this study suggested that the tumor-infiltrating immunocytes could be used as promising biomarkers to predict the prognosis for HBV-associated HCC patients. This forms the framework for identification of efficient prognosis predictors and molecular biomarkers for HCC patients in the future.</w:t>
      </w:r>
    </w:p>
    <w:p w14:paraId="759A095D" w14:textId="77777777" w:rsidR="00F43EAC" w:rsidRPr="00974D6D" w:rsidRDefault="00F43EAC" w:rsidP="00974D6D">
      <w:pPr>
        <w:framePr w:wrap="auto"/>
        <w:adjustRightInd w:val="0"/>
        <w:snapToGrid w:val="0"/>
        <w:spacing w:line="360" w:lineRule="auto"/>
        <w:rPr>
          <w:rStyle w:val="None"/>
          <w:rFonts w:ascii="Book Antiqua" w:hAnsi="Book Antiqua"/>
          <w:color w:val="auto"/>
          <w:sz w:val="24"/>
          <w:szCs w:val="24"/>
        </w:rPr>
      </w:pPr>
    </w:p>
    <w:p w14:paraId="60F43D4E" w14:textId="77777777" w:rsidR="00860EC3" w:rsidRPr="00974D6D" w:rsidRDefault="00860EC3" w:rsidP="00974D6D">
      <w:pPr>
        <w:framePr w:wrap="auto"/>
        <w:adjustRightInd w:val="0"/>
        <w:snapToGrid w:val="0"/>
        <w:spacing w:line="360" w:lineRule="auto"/>
        <w:rPr>
          <w:rFonts w:ascii="Book Antiqua" w:eastAsia="宋体" w:hAnsi="Book Antiqua" w:cs="Times New Roman"/>
          <w:b/>
          <w:color w:val="auto"/>
          <w:sz w:val="24"/>
          <w:szCs w:val="22"/>
        </w:rPr>
      </w:pPr>
      <w:r w:rsidRPr="00974D6D">
        <w:rPr>
          <w:rFonts w:ascii="Book Antiqua" w:eastAsia="宋体" w:hAnsi="Book Antiqua" w:cs="Times New Roman"/>
          <w:b/>
          <w:color w:val="auto"/>
          <w:sz w:val="24"/>
          <w:szCs w:val="22"/>
        </w:rPr>
        <w:t>REFERENCES</w:t>
      </w:r>
    </w:p>
    <w:p w14:paraId="4D2714F4" w14:textId="1BB23674"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1 </w:t>
      </w:r>
      <w:r w:rsidRPr="00C045F4">
        <w:rPr>
          <w:rFonts w:ascii="Book Antiqua" w:eastAsia="宋体" w:hAnsi="Book Antiqua"/>
          <w:b/>
          <w:bCs/>
          <w:noProof/>
          <w:color w:val="auto"/>
          <w:sz w:val="24"/>
          <w:szCs w:val="22"/>
        </w:rPr>
        <w:t>Chen QF</w:t>
      </w:r>
      <w:r w:rsidRPr="00C045F4">
        <w:rPr>
          <w:rFonts w:ascii="Book Antiqua" w:eastAsia="宋体" w:hAnsi="Book Antiqua"/>
          <w:noProof/>
          <w:color w:val="auto"/>
          <w:sz w:val="24"/>
          <w:szCs w:val="22"/>
        </w:rPr>
        <w:t xml:space="preserve">, Jia ZY, Yang ZQ, Fan WL, Shi HB. Transarterial Chemoembolization Monotherapy </w:t>
      </w:r>
      <w:r w:rsidR="00770EE0" w:rsidRPr="00770EE0">
        <w:rPr>
          <w:rFonts w:ascii="Book Antiqua" w:eastAsia="宋体" w:hAnsi="Book Antiqua"/>
          <w:i/>
          <w:iCs/>
          <w:noProof/>
          <w:color w:val="auto"/>
          <w:sz w:val="24"/>
          <w:szCs w:val="22"/>
        </w:rPr>
        <w:t>vs</w:t>
      </w:r>
      <w:r w:rsidRPr="00C045F4">
        <w:rPr>
          <w:rFonts w:ascii="Book Antiqua" w:eastAsia="宋体" w:hAnsi="Book Antiqua"/>
          <w:noProof/>
          <w:color w:val="auto"/>
          <w:sz w:val="24"/>
          <w:szCs w:val="22"/>
        </w:rPr>
        <w:t xml:space="preserve"> Combined Transarterial Chemoembolization-Microwave Ablation Therapy for Hepatocellular </w:t>
      </w:r>
      <w:r w:rsidRPr="00C045F4">
        <w:rPr>
          <w:rFonts w:ascii="Book Antiqua" w:eastAsia="宋体" w:hAnsi="Book Antiqua"/>
          <w:noProof/>
          <w:color w:val="auto"/>
          <w:sz w:val="24"/>
          <w:szCs w:val="22"/>
        </w:rPr>
        <w:lastRenderedPageBreak/>
        <w:t>Carcinoma Tumors ≤</w:t>
      </w:r>
      <w:r>
        <w:rPr>
          <w:rFonts w:ascii="Book Antiqua" w:eastAsia="宋体" w:hAnsi="Book Antiqua" w:hint="eastAsia"/>
          <w:noProof/>
          <w:color w:val="auto"/>
          <w:sz w:val="24"/>
          <w:szCs w:val="22"/>
        </w:rPr>
        <w:t xml:space="preserve"> </w:t>
      </w:r>
      <w:r w:rsidRPr="00C045F4">
        <w:rPr>
          <w:rFonts w:ascii="Book Antiqua" w:eastAsia="宋体" w:hAnsi="Book Antiqua"/>
          <w:noProof/>
          <w:color w:val="auto"/>
          <w:sz w:val="24"/>
          <w:szCs w:val="22"/>
        </w:rPr>
        <w:t>5 cm: A Propensity Analysis at a Single Center. </w:t>
      </w:r>
      <w:r w:rsidRPr="00C045F4">
        <w:rPr>
          <w:rFonts w:ascii="Book Antiqua" w:eastAsia="宋体" w:hAnsi="Book Antiqua"/>
          <w:i/>
          <w:iCs/>
          <w:noProof/>
          <w:color w:val="auto"/>
          <w:sz w:val="24"/>
          <w:szCs w:val="22"/>
        </w:rPr>
        <w:t>Cardiovasc Intervent Radiol</w:t>
      </w:r>
      <w:r w:rsidRPr="00C045F4">
        <w:rPr>
          <w:rFonts w:ascii="Book Antiqua" w:eastAsia="宋体" w:hAnsi="Book Antiqua"/>
          <w:noProof/>
          <w:color w:val="auto"/>
          <w:sz w:val="24"/>
          <w:szCs w:val="22"/>
        </w:rPr>
        <w:t> 2017; </w:t>
      </w:r>
      <w:r w:rsidRPr="00C045F4">
        <w:rPr>
          <w:rFonts w:ascii="Book Antiqua" w:eastAsia="宋体" w:hAnsi="Book Antiqua"/>
          <w:b/>
          <w:bCs/>
          <w:noProof/>
          <w:color w:val="auto"/>
          <w:sz w:val="24"/>
          <w:szCs w:val="22"/>
        </w:rPr>
        <w:t>40</w:t>
      </w:r>
      <w:r w:rsidRPr="00C045F4">
        <w:rPr>
          <w:rFonts w:ascii="Book Antiqua" w:eastAsia="宋体" w:hAnsi="Book Antiqua"/>
          <w:noProof/>
          <w:color w:val="auto"/>
          <w:sz w:val="24"/>
          <w:szCs w:val="22"/>
        </w:rPr>
        <w:t>: 1748-1755 [PMID: 28681222 DOI: 10.1007/s00270-017-1736-8]</w:t>
      </w:r>
    </w:p>
    <w:p w14:paraId="6F5BADA7"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2 </w:t>
      </w:r>
      <w:r w:rsidRPr="00C045F4">
        <w:rPr>
          <w:rFonts w:ascii="Book Antiqua" w:eastAsia="宋体" w:hAnsi="Book Antiqua"/>
          <w:b/>
          <w:bCs/>
          <w:noProof/>
          <w:color w:val="auto"/>
          <w:sz w:val="24"/>
          <w:szCs w:val="22"/>
        </w:rPr>
        <w:t>Zhou HY</w:t>
      </w:r>
      <w:r w:rsidRPr="00C045F4">
        <w:rPr>
          <w:rFonts w:ascii="Book Antiqua" w:eastAsia="宋体" w:hAnsi="Book Antiqua"/>
          <w:noProof/>
          <w:color w:val="auto"/>
          <w:sz w:val="24"/>
          <w:szCs w:val="22"/>
        </w:rPr>
        <w:t>, Luo Y, Chen WD, Gong GZ. Hepatitis B virus mutation may play a role in hepatocellular carcinoma recurrence: A systematic review and meta-regression analysis. </w:t>
      </w:r>
      <w:r w:rsidRPr="00C045F4">
        <w:rPr>
          <w:rFonts w:ascii="Book Antiqua" w:eastAsia="宋体" w:hAnsi="Book Antiqua"/>
          <w:i/>
          <w:iCs/>
          <w:noProof/>
          <w:color w:val="auto"/>
          <w:sz w:val="24"/>
          <w:szCs w:val="22"/>
        </w:rPr>
        <w:t>J Gastroenterol Hepatol</w:t>
      </w:r>
      <w:r w:rsidRPr="00C045F4">
        <w:rPr>
          <w:rFonts w:ascii="Book Antiqua" w:eastAsia="宋体" w:hAnsi="Book Antiqua"/>
          <w:noProof/>
          <w:color w:val="auto"/>
          <w:sz w:val="24"/>
          <w:szCs w:val="22"/>
        </w:rPr>
        <w:t> 2015; </w:t>
      </w:r>
      <w:r w:rsidRPr="00C045F4">
        <w:rPr>
          <w:rFonts w:ascii="Book Antiqua" w:eastAsia="宋体" w:hAnsi="Book Antiqua"/>
          <w:b/>
          <w:bCs/>
          <w:noProof/>
          <w:color w:val="auto"/>
          <w:sz w:val="24"/>
          <w:szCs w:val="22"/>
        </w:rPr>
        <w:t>30</w:t>
      </w:r>
      <w:r w:rsidRPr="00C045F4">
        <w:rPr>
          <w:rFonts w:ascii="Book Antiqua" w:eastAsia="宋体" w:hAnsi="Book Antiqua"/>
          <w:noProof/>
          <w:color w:val="auto"/>
          <w:sz w:val="24"/>
          <w:szCs w:val="22"/>
        </w:rPr>
        <w:t>: 977-983 [PMID: 25689418 DOI: 10.1111/jgh.12917]</w:t>
      </w:r>
    </w:p>
    <w:p w14:paraId="2B21D7C8"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3 </w:t>
      </w:r>
      <w:r w:rsidRPr="00C045F4">
        <w:rPr>
          <w:rFonts w:ascii="Book Antiqua" w:eastAsia="宋体" w:hAnsi="Book Antiqua"/>
          <w:b/>
          <w:bCs/>
          <w:noProof/>
          <w:color w:val="auto"/>
          <w:sz w:val="24"/>
          <w:szCs w:val="22"/>
        </w:rPr>
        <w:t>Tang A</w:t>
      </w:r>
      <w:r w:rsidRPr="00C045F4">
        <w:rPr>
          <w:rFonts w:ascii="Book Antiqua" w:eastAsia="宋体" w:hAnsi="Book Antiqua"/>
          <w:noProof/>
          <w:color w:val="auto"/>
          <w:sz w:val="24"/>
          <w:szCs w:val="22"/>
        </w:rPr>
        <w:t>, Hallouch O, Chernyak V, Kamaya A, Sirlin CB. Epidemiology of hepatocellular carcinoma: target population for surveillance and diagnosis. </w:t>
      </w:r>
      <w:r w:rsidRPr="00C045F4">
        <w:rPr>
          <w:rFonts w:ascii="Book Antiqua" w:eastAsia="宋体" w:hAnsi="Book Antiqua"/>
          <w:i/>
          <w:iCs/>
          <w:noProof/>
          <w:color w:val="auto"/>
          <w:sz w:val="24"/>
          <w:szCs w:val="22"/>
        </w:rPr>
        <w:t xml:space="preserve">Abdom Radiol </w:t>
      </w:r>
      <w:r w:rsidRPr="004269D1">
        <w:rPr>
          <w:rFonts w:ascii="Book Antiqua" w:eastAsia="宋体" w:hAnsi="Book Antiqua"/>
          <w:noProof/>
          <w:color w:val="auto"/>
          <w:sz w:val="24"/>
          <w:szCs w:val="22"/>
        </w:rPr>
        <w:t>(NY)</w:t>
      </w:r>
      <w:r w:rsidRPr="00C045F4">
        <w:rPr>
          <w:rFonts w:ascii="Book Antiqua" w:eastAsia="宋体" w:hAnsi="Book Antiqua"/>
          <w:noProof/>
          <w:color w:val="auto"/>
          <w:sz w:val="24"/>
          <w:szCs w:val="22"/>
        </w:rPr>
        <w:t> 2018; </w:t>
      </w:r>
      <w:r w:rsidRPr="00C045F4">
        <w:rPr>
          <w:rFonts w:ascii="Book Antiqua" w:eastAsia="宋体" w:hAnsi="Book Antiqua"/>
          <w:b/>
          <w:bCs/>
          <w:noProof/>
          <w:color w:val="auto"/>
          <w:sz w:val="24"/>
          <w:szCs w:val="22"/>
        </w:rPr>
        <w:t>43</w:t>
      </w:r>
      <w:r w:rsidRPr="00C045F4">
        <w:rPr>
          <w:rFonts w:ascii="Book Antiqua" w:eastAsia="宋体" w:hAnsi="Book Antiqua"/>
          <w:noProof/>
          <w:color w:val="auto"/>
          <w:sz w:val="24"/>
          <w:szCs w:val="22"/>
        </w:rPr>
        <w:t>: 13-25 [PMID: 28647765 DOI: 10.1007/s00261-017-1209-1]</w:t>
      </w:r>
    </w:p>
    <w:p w14:paraId="4C5FCDBA" w14:textId="603F573C"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4 </w:t>
      </w:r>
      <w:r w:rsidRPr="00C045F4">
        <w:rPr>
          <w:rFonts w:ascii="Book Antiqua" w:eastAsia="宋体" w:hAnsi="Book Antiqua"/>
          <w:b/>
          <w:bCs/>
          <w:noProof/>
          <w:color w:val="auto"/>
          <w:sz w:val="24"/>
          <w:szCs w:val="22"/>
        </w:rPr>
        <w:t>El-Serag HB</w:t>
      </w:r>
      <w:r>
        <w:rPr>
          <w:rFonts w:ascii="Book Antiqua" w:eastAsia="宋体" w:hAnsi="Book Antiqua" w:hint="eastAsia"/>
          <w:noProof/>
          <w:color w:val="auto"/>
          <w:sz w:val="24"/>
          <w:szCs w:val="22"/>
        </w:rPr>
        <w:t>.</w:t>
      </w:r>
      <w:r w:rsidRPr="00C045F4">
        <w:rPr>
          <w:rFonts w:ascii="Book Antiqua" w:eastAsia="宋体" w:hAnsi="Book Antiqua"/>
          <w:noProof/>
          <w:color w:val="auto"/>
          <w:sz w:val="24"/>
          <w:szCs w:val="22"/>
        </w:rPr>
        <w:t xml:space="preserve"> Epidemiology of viral hepatitis and hepatocellular carcinoma. </w:t>
      </w:r>
      <w:r w:rsidRPr="00C045F4">
        <w:rPr>
          <w:rFonts w:ascii="Book Antiqua" w:eastAsia="宋体" w:hAnsi="Book Antiqua"/>
          <w:i/>
          <w:iCs/>
          <w:noProof/>
          <w:color w:val="auto"/>
          <w:sz w:val="24"/>
          <w:szCs w:val="22"/>
        </w:rPr>
        <w:t>Gastroenterology</w:t>
      </w:r>
      <w:r w:rsidRPr="00C045F4">
        <w:rPr>
          <w:rFonts w:ascii="Book Antiqua" w:eastAsia="宋体" w:hAnsi="Book Antiqua"/>
          <w:noProof/>
          <w:color w:val="auto"/>
          <w:sz w:val="24"/>
          <w:szCs w:val="22"/>
        </w:rPr>
        <w:t> 2012; </w:t>
      </w:r>
      <w:r w:rsidRPr="00C045F4">
        <w:rPr>
          <w:rFonts w:ascii="Book Antiqua" w:eastAsia="宋体" w:hAnsi="Book Antiqua"/>
          <w:b/>
          <w:bCs/>
          <w:noProof/>
          <w:color w:val="auto"/>
          <w:sz w:val="24"/>
          <w:szCs w:val="22"/>
        </w:rPr>
        <w:t>142</w:t>
      </w:r>
      <w:r>
        <w:rPr>
          <w:rFonts w:ascii="Book Antiqua" w:eastAsia="宋体" w:hAnsi="Book Antiqua"/>
          <w:noProof/>
          <w:color w:val="auto"/>
          <w:sz w:val="24"/>
          <w:szCs w:val="22"/>
        </w:rPr>
        <w:t>: 1264-1273</w:t>
      </w:r>
      <w:r w:rsidRPr="00C045F4">
        <w:rPr>
          <w:rFonts w:ascii="Book Antiqua" w:eastAsia="宋体" w:hAnsi="Book Antiqua"/>
          <w:noProof/>
          <w:color w:val="auto"/>
          <w:sz w:val="24"/>
          <w:szCs w:val="22"/>
        </w:rPr>
        <w:t xml:space="preserve"> [PMID: </w:t>
      </w:r>
      <w:bookmarkStart w:id="45" w:name="OLE_LINK9"/>
      <w:bookmarkStart w:id="46" w:name="OLE_LINK10"/>
      <w:r w:rsidRPr="00C045F4">
        <w:rPr>
          <w:rFonts w:ascii="Book Antiqua" w:eastAsia="宋体" w:hAnsi="Book Antiqua"/>
          <w:noProof/>
          <w:color w:val="auto"/>
          <w:sz w:val="24"/>
          <w:szCs w:val="22"/>
        </w:rPr>
        <w:t>22537432</w:t>
      </w:r>
      <w:bookmarkEnd w:id="45"/>
      <w:bookmarkEnd w:id="46"/>
      <w:r w:rsidRPr="00C045F4">
        <w:rPr>
          <w:rFonts w:ascii="Book Antiqua" w:eastAsia="宋体" w:hAnsi="Book Antiqua"/>
          <w:noProof/>
          <w:color w:val="auto"/>
          <w:sz w:val="24"/>
          <w:szCs w:val="22"/>
        </w:rPr>
        <w:t xml:space="preserve"> DOI: 10.1053/j.gastro.2011.12.061]</w:t>
      </w:r>
    </w:p>
    <w:p w14:paraId="126429A5"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5 </w:t>
      </w:r>
      <w:r w:rsidRPr="00C045F4">
        <w:rPr>
          <w:rFonts w:ascii="Book Antiqua" w:eastAsia="宋体" w:hAnsi="Book Antiqua"/>
          <w:b/>
          <w:bCs/>
          <w:noProof/>
          <w:color w:val="auto"/>
          <w:sz w:val="24"/>
          <w:szCs w:val="22"/>
        </w:rPr>
        <w:t>de Martel C</w:t>
      </w:r>
      <w:r w:rsidRPr="00C045F4">
        <w:rPr>
          <w:rFonts w:ascii="Book Antiqua" w:eastAsia="宋体" w:hAnsi="Book Antiqua"/>
          <w:noProof/>
          <w:color w:val="auto"/>
          <w:sz w:val="24"/>
          <w:szCs w:val="22"/>
        </w:rPr>
        <w:t>, Maucort-Boulch D, Plummer M, Franceschi S. World-wide relative contribution of hepatitis B and C viruses in hepatocellular carcinoma. </w:t>
      </w:r>
      <w:r w:rsidRPr="00C045F4">
        <w:rPr>
          <w:rFonts w:ascii="Book Antiqua" w:eastAsia="宋体" w:hAnsi="Book Antiqua"/>
          <w:i/>
          <w:iCs/>
          <w:noProof/>
          <w:color w:val="auto"/>
          <w:sz w:val="24"/>
          <w:szCs w:val="22"/>
        </w:rPr>
        <w:t>Hepatology</w:t>
      </w:r>
      <w:r w:rsidRPr="00C045F4">
        <w:rPr>
          <w:rFonts w:ascii="Book Antiqua" w:eastAsia="宋体" w:hAnsi="Book Antiqua"/>
          <w:noProof/>
          <w:color w:val="auto"/>
          <w:sz w:val="24"/>
          <w:szCs w:val="22"/>
        </w:rPr>
        <w:t> 2015; </w:t>
      </w:r>
      <w:r w:rsidRPr="00C045F4">
        <w:rPr>
          <w:rFonts w:ascii="Book Antiqua" w:eastAsia="宋体" w:hAnsi="Book Antiqua"/>
          <w:b/>
          <w:bCs/>
          <w:noProof/>
          <w:color w:val="auto"/>
          <w:sz w:val="24"/>
          <w:szCs w:val="22"/>
        </w:rPr>
        <w:t>62</w:t>
      </w:r>
      <w:r w:rsidRPr="00C045F4">
        <w:rPr>
          <w:rFonts w:ascii="Book Antiqua" w:eastAsia="宋体" w:hAnsi="Book Antiqua"/>
          <w:noProof/>
          <w:color w:val="auto"/>
          <w:sz w:val="24"/>
          <w:szCs w:val="22"/>
        </w:rPr>
        <w:t>: 1190-1200 [PMID: 26146815 DOI: 10.1002/hep.27969]</w:t>
      </w:r>
    </w:p>
    <w:p w14:paraId="279E66F3"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6 </w:t>
      </w:r>
      <w:r w:rsidRPr="00C045F4">
        <w:rPr>
          <w:rFonts w:ascii="Book Antiqua" w:eastAsia="宋体" w:hAnsi="Book Antiqua"/>
          <w:b/>
          <w:bCs/>
          <w:noProof/>
          <w:color w:val="auto"/>
          <w:sz w:val="24"/>
          <w:szCs w:val="22"/>
        </w:rPr>
        <w:t>Jang JE</w:t>
      </w:r>
      <w:r w:rsidRPr="00C045F4">
        <w:rPr>
          <w:rFonts w:ascii="Book Antiqua" w:eastAsia="宋体" w:hAnsi="Book Antiqua"/>
          <w:noProof/>
          <w:color w:val="auto"/>
          <w:sz w:val="24"/>
          <w:szCs w:val="22"/>
        </w:rPr>
        <w:t>, Hajdu CH, Liot C, Miller G, Dustin ML, Bar-Sagi D. Crosstalk between Regulatory T Cells and Tumor-Associated Dendritic Cells Negates Anti-tumor Immunity in Pancreatic Cancer. </w:t>
      </w:r>
      <w:r w:rsidRPr="00C045F4">
        <w:rPr>
          <w:rFonts w:ascii="Book Antiqua" w:eastAsia="宋体" w:hAnsi="Book Antiqua"/>
          <w:i/>
          <w:iCs/>
          <w:noProof/>
          <w:color w:val="auto"/>
          <w:sz w:val="24"/>
          <w:szCs w:val="22"/>
        </w:rPr>
        <w:t>Cell Rep</w:t>
      </w:r>
      <w:r w:rsidRPr="00C045F4">
        <w:rPr>
          <w:rFonts w:ascii="Book Antiqua" w:eastAsia="宋体" w:hAnsi="Book Antiqua"/>
          <w:noProof/>
          <w:color w:val="auto"/>
          <w:sz w:val="24"/>
          <w:szCs w:val="22"/>
        </w:rPr>
        <w:t> 2017; </w:t>
      </w:r>
      <w:r w:rsidRPr="00C045F4">
        <w:rPr>
          <w:rFonts w:ascii="Book Antiqua" w:eastAsia="宋体" w:hAnsi="Book Antiqua"/>
          <w:b/>
          <w:bCs/>
          <w:noProof/>
          <w:color w:val="auto"/>
          <w:sz w:val="24"/>
          <w:szCs w:val="22"/>
        </w:rPr>
        <w:t>20</w:t>
      </w:r>
      <w:r w:rsidRPr="00C045F4">
        <w:rPr>
          <w:rFonts w:ascii="Book Antiqua" w:eastAsia="宋体" w:hAnsi="Book Antiqua"/>
          <w:noProof/>
          <w:color w:val="auto"/>
          <w:sz w:val="24"/>
          <w:szCs w:val="22"/>
        </w:rPr>
        <w:t>: 558-571 [PMID: 28723561 DOI: 10.1016/j.celrep.2017.06.062]</w:t>
      </w:r>
    </w:p>
    <w:p w14:paraId="02E0411D"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7 </w:t>
      </w:r>
      <w:r w:rsidRPr="00C045F4">
        <w:rPr>
          <w:rFonts w:ascii="Book Antiqua" w:eastAsia="宋体" w:hAnsi="Book Antiqua"/>
          <w:b/>
          <w:bCs/>
          <w:noProof/>
          <w:color w:val="auto"/>
          <w:sz w:val="24"/>
          <w:szCs w:val="22"/>
        </w:rPr>
        <w:t>Wang TT</w:t>
      </w:r>
      <w:r w:rsidRPr="00C045F4">
        <w:rPr>
          <w:rFonts w:ascii="Book Antiqua" w:eastAsia="宋体" w:hAnsi="Book Antiqua"/>
          <w:noProof/>
          <w:color w:val="auto"/>
          <w:sz w:val="24"/>
          <w:szCs w:val="22"/>
        </w:rPr>
        <w:t>, Zhao YL, Peng LS, Chen N, Chen W, Lv YP, Mao FY, Zhang JY, Cheng P, Teng YS, Fu XL, Yu PW, Guo G, Luo P, Zhuang Y, Zou QM. Tumour-activated neutrophils in gastric cancer foster immune suppression and disease progression through GM-CSF-PD-L1 pathway. </w:t>
      </w:r>
      <w:r w:rsidRPr="00C045F4">
        <w:rPr>
          <w:rFonts w:ascii="Book Antiqua" w:eastAsia="宋体" w:hAnsi="Book Antiqua"/>
          <w:i/>
          <w:iCs/>
          <w:noProof/>
          <w:color w:val="auto"/>
          <w:sz w:val="24"/>
          <w:szCs w:val="22"/>
        </w:rPr>
        <w:t>Gut</w:t>
      </w:r>
      <w:r w:rsidRPr="00C045F4">
        <w:rPr>
          <w:rFonts w:ascii="Book Antiqua" w:eastAsia="宋体" w:hAnsi="Book Antiqua"/>
          <w:noProof/>
          <w:color w:val="auto"/>
          <w:sz w:val="24"/>
          <w:szCs w:val="22"/>
        </w:rPr>
        <w:t> 2017; </w:t>
      </w:r>
      <w:r w:rsidRPr="00C045F4">
        <w:rPr>
          <w:rFonts w:ascii="Book Antiqua" w:eastAsia="宋体" w:hAnsi="Book Antiqua"/>
          <w:b/>
          <w:bCs/>
          <w:noProof/>
          <w:color w:val="auto"/>
          <w:sz w:val="24"/>
          <w:szCs w:val="22"/>
        </w:rPr>
        <w:t>66</w:t>
      </w:r>
      <w:r w:rsidRPr="00C045F4">
        <w:rPr>
          <w:rFonts w:ascii="Book Antiqua" w:eastAsia="宋体" w:hAnsi="Book Antiqua"/>
          <w:noProof/>
          <w:color w:val="auto"/>
          <w:sz w:val="24"/>
          <w:szCs w:val="22"/>
        </w:rPr>
        <w:t>: 1900-1911 [PMID: 28274999 DOI: 10.1136/gutjnl-2016-313075]</w:t>
      </w:r>
    </w:p>
    <w:p w14:paraId="702E97ED"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8 </w:t>
      </w:r>
      <w:r w:rsidRPr="00C045F4">
        <w:rPr>
          <w:rFonts w:ascii="Book Antiqua" w:eastAsia="宋体" w:hAnsi="Book Antiqua"/>
          <w:b/>
          <w:bCs/>
          <w:noProof/>
          <w:color w:val="auto"/>
          <w:sz w:val="24"/>
          <w:szCs w:val="22"/>
        </w:rPr>
        <w:t>Fridman WH</w:t>
      </w:r>
      <w:r w:rsidRPr="00C045F4">
        <w:rPr>
          <w:rFonts w:ascii="Book Antiqua" w:eastAsia="宋体" w:hAnsi="Book Antiqua"/>
          <w:noProof/>
          <w:color w:val="auto"/>
          <w:sz w:val="24"/>
          <w:szCs w:val="22"/>
        </w:rPr>
        <w:t>, Pagès F, Sautès-Fridman C, Galon J. The immune contexture in human tumours: impact on clinical outcome. </w:t>
      </w:r>
      <w:r w:rsidRPr="00C045F4">
        <w:rPr>
          <w:rFonts w:ascii="Book Antiqua" w:eastAsia="宋体" w:hAnsi="Book Antiqua"/>
          <w:i/>
          <w:iCs/>
          <w:noProof/>
          <w:color w:val="auto"/>
          <w:sz w:val="24"/>
          <w:szCs w:val="22"/>
        </w:rPr>
        <w:t>Nat Rev Cancer</w:t>
      </w:r>
      <w:r w:rsidRPr="00C045F4">
        <w:rPr>
          <w:rFonts w:ascii="Book Antiqua" w:eastAsia="宋体" w:hAnsi="Book Antiqua"/>
          <w:noProof/>
          <w:color w:val="auto"/>
          <w:sz w:val="24"/>
          <w:szCs w:val="22"/>
        </w:rPr>
        <w:t> 2012; </w:t>
      </w:r>
      <w:r w:rsidRPr="00C045F4">
        <w:rPr>
          <w:rFonts w:ascii="Book Antiqua" w:eastAsia="宋体" w:hAnsi="Book Antiqua"/>
          <w:b/>
          <w:bCs/>
          <w:noProof/>
          <w:color w:val="auto"/>
          <w:sz w:val="24"/>
          <w:szCs w:val="22"/>
        </w:rPr>
        <w:t>12</w:t>
      </w:r>
      <w:r w:rsidRPr="00C045F4">
        <w:rPr>
          <w:rFonts w:ascii="Book Antiqua" w:eastAsia="宋体" w:hAnsi="Book Antiqua"/>
          <w:noProof/>
          <w:color w:val="auto"/>
          <w:sz w:val="24"/>
          <w:szCs w:val="22"/>
        </w:rPr>
        <w:t>: 298-306 [PMID: 22419253 DOI: 10.1038/nrc3245]</w:t>
      </w:r>
    </w:p>
    <w:p w14:paraId="46874740"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9 </w:t>
      </w:r>
      <w:r w:rsidRPr="00C045F4">
        <w:rPr>
          <w:rFonts w:ascii="Book Antiqua" w:eastAsia="宋体" w:hAnsi="Book Antiqua"/>
          <w:b/>
          <w:bCs/>
          <w:noProof/>
          <w:color w:val="auto"/>
          <w:sz w:val="24"/>
          <w:szCs w:val="22"/>
        </w:rPr>
        <w:t>Newman AM</w:t>
      </w:r>
      <w:r w:rsidRPr="00C045F4">
        <w:rPr>
          <w:rFonts w:ascii="Book Antiqua" w:eastAsia="宋体" w:hAnsi="Book Antiqua"/>
          <w:noProof/>
          <w:color w:val="auto"/>
          <w:sz w:val="24"/>
          <w:szCs w:val="22"/>
        </w:rPr>
        <w:t xml:space="preserve">, Liu CL, Green MR, Gentles AJ, Feng W, Xu Y, Hoang CD, </w:t>
      </w:r>
      <w:r w:rsidRPr="00C045F4">
        <w:rPr>
          <w:rFonts w:ascii="Book Antiqua" w:eastAsia="宋体" w:hAnsi="Book Antiqua"/>
          <w:noProof/>
          <w:color w:val="auto"/>
          <w:sz w:val="24"/>
          <w:szCs w:val="22"/>
        </w:rPr>
        <w:lastRenderedPageBreak/>
        <w:t>Diehn M, Alizadeh AA. Robust enumeration of cell subsets from tissue expression profiles. </w:t>
      </w:r>
      <w:r w:rsidRPr="00C045F4">
        <w:rPr>
          <w:rFonts w:ascii="Book Antiqua" w:eastAsia="宋体" w:hAnsi="Book Antiqua"/>
          <w:i/>
          <w:iCs/>
          <w:noProof/>
          <w:color w:val="auto"/>
          <w:sz w:val="24"/>
          <w:szCs w:val="22"/>
        </w:rPr>
        <w:t>Nat Methods</w:t>
      </w:r>
      <w:r w:rsidRPr="00C045F4">
        <w:rPr>
          <w:rFonts w:ascii="Book Antiqua" w:eastAsia="宋体" w:hAnsi="Book Antiqua"/>
          <w:noProof/>
          <w:color w:val="auto"/>
          <w:sz w:val="24"/>
          <w:szCs w:val="22"/>
        </w:rPr>
        <w:t> 2015; </w:t>
      </w:r>
      <w:r w:rsidRPr="00C045F4">
        <w:rPr>
          <w:rFonts w:ascii="Book Antiqua" w:eastAsia="宋体" w:hAnsi="Book Antiqua"/>
          <w:b/>
          <w:bCs/>
          <w:noProof/>
          <w:color w:val="auto"/>
          <w:sz w:val="24"/>
          <w:szCs w:val="22"/>
        </w:rPr>
        <w:t>12</w:t>
      </w:r>
      <w:r w:rsidRPr="00C045F4">
        <w:rPr>
          <w:rFonts w:ascii="Book Antiqua" w:eastAsia="宋体" w:hAnsi="Book Antiqua"/>
          <w:noProof/>
          <w:color w:val="auto"/>
          <w:sz w:val="24"/>
          <w:szCs w:val="22"/>
        </w:rPr>
        <w:t>: 453-457 [PMID: 25822800 DOI: 10.1038/nmeth.3337]</w:t>
      </w:r>
    </w:p>
    <w:p w14:paraId="4EC53F16"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10 </w:t>
      </w:r>
      <w:r w:rsidRPr="00C045F4">
        <w:rPr>
          <w:rFonts w:ascii="Book Antiqua" w:eastAsia="宋体" w:hAnsi="Book Antiqua"/>
          <w:b/>
          <w:bCs/>
          <w:noProof/>
          <w:color w:val="auto"/>
          <w:sz w:val="24"/>
          <w:szCs w:val="22"/>
        </w:rPr>
        <w:t>Charoentong P</w:t>
      </w:r>
      <w:r w:rsidRPr="00C045F4">
        <w:rPr>
          <w:rFonts w:ascii="Book Antiqua" w:eastAsia="宋体" w:hAnsi="Book Antiqua"/>
          <w:noProof/>
          <w:color w:val="auto"/>
          <w:sz w:val="24"/>
          <w:szCs w:val="22"/>
        </w:rPr>
        <w:t>, Finotello F, Angelova M, Mayer C, Efremova M, Rieder D, Hackl H, Trajanoski Z. Pan-cancer Immunogenomic Analyses Reveal Genotype-Immunophenotype Relationships and Predictors of Response to Checkpoint Blockade. </w:t>
      </w:r>
      <w:r w:rsidRPr="00C045F4">
        <w:rPr>
          <w:rFonts w:ascii="Book Antiqua" w:eastAsia="宋体" w:hAnsi="Book Antiqua"/>
          <w:i/>
          <w:iCs/>
          <w:noProof/>
          <w:color w:val="auto"/>
          <w:sz w:val="24"/>
          <w:szCs w:val="22"/>
        </w:rPr>
        <w:t>Cell Rep</w:t>
      </w:r>
      <w:r w:rsidRPr="00C045F4">
        <w:rPr>
          <w:rFonts w:ascii="Book Antiqua" w:eastAsia="宋体" w:hAnsi="Book Antiqua"/>
          <w:noProof/>
          <w:color w:val="auto"/>
          <w:sz w:val="24"/>
          <w:szCs w:val="22"/>
        </w:rPr>
        <w:t> 2017; </w:t>
      </w:r>
      <w:r w:rsidRPr="00C045F4">
        <w:rPr>
          <w:rFonts w:ascii="Book Antiqua" w:eastAsia="宋体" w:hAnsi="Book Antiqua"/>
          <w:b/>
          <w:bCs/>
          <w:noProof/>
          <w:color w:val="auto"/>
          <w:sz w:val="24"/>
          <w:szCs w:val="22"/>
        </w:rPr>
        <w:t>18</w:t>
      </w:r>
      <w:r w:rsidRPr="00C045F4">
        <w:rPr>
          <w:rFonts w:ascii="Book Antiqua" w:eastAsia="宋体" w:hAnsi="Book Antiqua"/>
          <w:noProof/>
          <w:color w:val="auto"/>
          <w:sz w:val="24"/>
          <w:szCs w:val="22"/>
        </w:rPr>
        <w:t>: 248-262 [PMID: 28052254 DOI: 10.1016/j.celrep.2016.12.019]</w:t>
      </w:r>
    </w:p>
    <w:p w14:paraId="00120ADC"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11 </w:t>
      </w:r>
      <w:r w:rsidRPr="00C045F4">
        <w:rPr>
          <w:rFonts w:ascii="Book Antiqua" w:eastAsia="宋体" w:hAnsi="Book Antiqua"/>
          <w:b/>
          <w:bCs/>
          <w:noProof/>
          <w:color w:val="auto"/>
          <w:sz w:val="24"/>
          <w:szCs w:val="22"/>
        </w:rPr>
        <w:t>Ali HR</w:t>
      </w:r>
      <w:r w:rsidRPr="00C045F4">
        <w:rPr>
          <w:rFonts w:ascii="Book Antiqua" w:eastAsia="宋体" w:hAnsi="Book Antiqua"/>
          <w:noProof/>
          <w:color w:val="auto"/>
          <w:sz w:val="24"/>
          <w:szCs w:val="22"/>
        </w:rPr>
        <w:t>, Chlon L, Pharoah PD, Markowetz F, Caldas C. Patterns of Immune Infiltration in Breast Cancer and Their Clinical Implications: A Gene-Expression-Based Retrospective Study. </w:t>
      </w:r>
      <w:r w:rsidRPr="00C045F4">
        <w:rPr>
          <w:rFonts w:ascii="Book Antiqua" w:eastAsia="宋体" w:hAnsi="Book Antiqua"/>
          <w:i/>
          <w:iCs/>
          <w:noProof/>
          <w:color w:val="auto"/>
          <w:sz w:val="24"/>
          <w:szCs w:val="22"/>
        </w:rPr>
        <w:t>PLoS Med</w:t>
      </w:r>
      <w:r w:rsidRPr="00C045F4">
        <w:rPr>
          <w:rFonts w:ascii="Book Antiqua" w:eastAsia="宋体" w:hAnsi="Book Antiqua"/>
          <w:noProof/>
          <w:color w:val="auto"/>
          <w:sz w:val="24"/>
          <w:szCs w:val="22"/>
        </w:rPr>
        <w:t> 2016; </w:t>
      </w:r>
      <w:r w:rsidRPr="00C045F4">
        <w:rPr>
          <w:rFonts w:ascii="Book Antiqua" w:eastAsia="宋体" w:hAnsi="Book Antiqua"/>
          <w:b/>
          <w:bCs/>
          <w:noProof/>
          <w:color w:val="auto"/>
          <w:sz w:val="24"/>
          <w:szCs w:val="22"/>
        </w:rPr>
        <w:t>13</w:t>
      </w:r>
      <w:r w:rsidRPr="00C045F4">
        <w:rPr>
          <w:rFonts w:ascii="Book Antiqua" w:eastAsia="宋体" w:hAnsi="Book Antiqua"/>
          <w:noProof/>
          <w:color w:val="auto"/>
          <w:sz w:val="24"/>
          <w:szCs w:val="22"/>
        </w:rPr>
        <w:t>: e1002194 [PMID: 27959923 DOI: 10.1371/journal.pmed.1002194]</w:t>
      </w:r>
    </w:p>
    <w:p w14:paraId="4F37418F" w14:textId="492D7065"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12 </w:t>
      </w:r>
      <w:r w:rsidRPr="00C045F4">
        <w:rPr>
          <w:rFonts w:ascii="Book Antiqua" w:eastAsia="宋体" w:hAnsi="Book Antiqua"/>
          <w:b/>
          <w:bCs/>
          <w:noProof/>
          <w:color w:val="auto"/>
          <w:sz w:val="24"/>
          <w:szCs w:val="22"/>
        </w:rPr>
        <w:t>Subramanian A</w:t>
      </w:r>
      <w:r w:rsidRPr="00C045F4">
        <w:rPr>
          <w:rFonts w:ascii="Book Antiqua" w:eastAsia="宋体" w:hAnsi="Book Antiqua"/>
          <w:noProof/>
          <w:color w:val="auto"/>
          <w:sz w:val="24"/>
          <w:szCs w:val="22"/>
        </w:rPr>
        <w:t>, Tamayo P, Mootha VK, Mukherjee S, Ebert BL, Gillette MA, Paulovich A, Pomeroy SL, Golub TR, Lander ES, Mesirov JP. Gene set enrichment analysis: a knowledge-based approach for interpreting genome-wide expression profiles. </w:t>
      </w:r>
      <w:r w:rsidRPr="00C045F4">
        <w:rPr>
          <w:rFonts w:ascii="Book Antiqua" w:eastAsia="宋体" w:hAnsi="Book Antiqua"/>
          <w:i/>
          <w:iCs/>
          <w:noProof/>
          <w:color w:val="auto"/>
          <w:sz w:val="24"/>
          <w:szCs w:val="22"/>
        </w:rPr>
        <w:t>Proc Natl Acad Sci USA</w:t>
      </w:r>
      <w:r w:rsidRPr="00C045F4">
        <w:rPr>
          <w:rFonts w:ascii="Book Antiqua" w:eastAsia="宋体" w:hAnsi="Book Antiqua"/>
          <w:noProof/>
          <w:color w:val="auto"/>
          <w:sz w:val="24"/>
          <w:szCs w:val="22"/>
        </w:rPr>
        <w:t> 2005; </w:t>
      </w:r>
      <w:r w:rsidRPr="00C045F4">
        <w:rPr>
          <w:rFonts w:ascii="Book Antiqua" w:eastAsia="宋体" w:hAnsi="Book Antiqua"/>
          <w:b/>
          <w:bCs/>
          <w:noProof/>
          <w:color w:val="auto"/>
          <w:sz w:val="24"/>
          <w:szCs w:val="22"/>
        </w:rPr>
        <w:t>102</w:t>
      </w:r>
      <w:r w:rsidRPr="00C045F4">
        <w:rPr>
          <w:rFonts w:ascii="Book Antiqua" w:eastAsia="宋体" w:hAnsi="Book Antiqua"/>
          <w:noProof/>
          <w:color w:val="auto"/>
          <w:sz w:val="24"/>
          <w:szCs w:val="22"/>
        </w:rPr>
        <w:t>: 15545-15550 [PMID: 16199517 DOI: 10.1073/pnas.0506580102]</w:t>
      </w:r>
    </w:p>
    <w:p w14:paraId="15DAE82A"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13 </w:t>
      </w:r>
      <w:r w:rsidRPr="00C045F4">
        <w:rPr>
          <w:rFonts w:ascii="Book Antiqua" w:eastAsia="宋体" w:hAnsi="Book Antiqua"/>
          <w:b/>
          <w:bCs/>
          <w:noProof/>
          <w:color w:val="auto"/>
          <w:sz w:val="24"/>
          <w:szCs w:val="22"/>
        </w:rPr>
        <w:t>Sun C</w:t>
      </w:r>
      <w:r w:rsidRPr="00C045F4">
        <w:rPr>
          <w:rFonts w:ascii="Book Antiqua" w:eastAsia="宋体" w:hAnsi="Book Antiqua"/>
          <w:noProof/>
          <w:color w:val="auto"/>
          <w:sz w:val="24"/>
          <w:szCs w:val="22"/>
        </w:rPr>
        <w:t>, Xu J, Song J, Liu C, Wang J, Weng C, Sun H, Wei H, Xiao W, Sun R, Tian Z. The predictive value of centre tumour CD8</w:t>
      </w:r>
      <w:r w:rsidRPr="00C045F4">
        <w:rPr>
          <w:rFonts w:ascii="Cambria Math" w:eastAsia="宋体" w:hAnsi="Cambria Math" w:cs="Cambria Math"/>
          <w:noProof/>
          <w:color w:val="auto"/>
          <w:sz w:val="24"/>
          <w:szCs w:val="22"/>
        </w:rPr>
        <w:t>⁺</w:t>
      </w:r>
      <w:r w:rsidRPr="00C045F4">
        <w:rPr>
          <w:rFonts w:ascii="Book Antiqua" w:eastAsia="宋体" w:hAnsi="Book Antiqua"/>
          <w:noProof/>
          <w:color w:val="auto"/>
          <w:sz w:val="24"/>
          <w:szCs w:val="22"/>
        </w:rPr>
        <w:t xml:space="preserve"> T cells in patients with hepatocellular carcinoma: comparison with Immunoscore. </w:t>
      </w:r>
      <w:r w:rsidRPr="00C045F4">
        <w:rPr>
          <w:rFonts w:ascii="Book Antiqua" w:eastAsia="宋体" w:hAnsi="Book Antiqua"/>
          <w:i/>
          <w:iCs/>
          <w:noProof/>
          <w:color w:val="auto"/>
          <w:sz w:val="24"/>
          <w:szCs w:val="22"/>
        </w:rPr>
        <w:t>Oncotarget</w:t>
      </w:r>
      <w:r w:rsidRPr="00C045F4">
        <w:rPr>
          <w:rFonts w:ascii="Book Antiqua" w:eastAsia="宋体" w:hAnsi="Book Antiqua"/>
          <w:noProof/>
          <w:color w:val="auto"/>
          <w:sz w:val="24"/>
          <w:szCs w:val="22"/>
        </w:rPr>
        <w:t> 2015; </w:t>
      </w:r>
      <w:r w:rsidRPr="00C045F4">
        <w:rPr>
          <w:rFonts w:ascii="Book Antiqua" w:eastAsia="宋体" w:hAnsi="Book Antiqua"/>
          <w:b/>
          <w:bCs/>
          <w:noProof/>
          <w:color w:val="auto"/>
          <w:sz w:val="24"/>
          <w:szCs w:val="22"/>
        </w:rPr>
        <w:t>6</w:t>
      </w:r>
      <w:r w:rsidRPr="00C045F4">
        <w:rPr>
          <w:rFonts w:ascii="Book Antiqua" w:eastAsia="宋体" w:hAnsi="Book Antiqua"/>
          <w:noProof/>
          <w:color w:val="auto"/>
          <w:sz w:val="24"/>
          <w:szCs w:val="22"/>
        </w:rPr>
        <w:t>: 35602-35615 [PMID: 26415232 DOI: 10.18632/oncotarget.5801]</w:t>
      </w:r>
    </w:p>
    <w:p w14:paraId="0A0952E0"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14 </w:t>
      </w:r>
      <w:r w:rsidRPr="00C045F4">
        <w:rPr>
          <w:rFonts w:ascii="Book Antiqua" w:eastAsia="宋体" w:hAnsi="Book Antiqua"/>
          <w:b/>
          <w:bCs/>
          <w:noProof/>
          <w:color w:val="auto"/>
          <w:sz w:val="24"/>
          <w:szCs w:val="22"/>
        </w:rPr>
        <w:t>Gabrielson A</w:t>
      </w:r>
      <w:r w:rsidRPr="00C045F4">
        <w:rPr>
          <w:rFonts w:ascii="Book Antiqua" w:eastAsia="宋体" w:hAnsi="Book Antiqua"/>
          <w:noProof/>
          <w:color w:val="auto"/>
          <w:sz w:val="24"/>
          <w:szCs w:val="22"/>
        </w:rPr>
        <w:t>, Wu Y, Wang H, Jiang J, Kallakury B, Gatalica Z, Reddy S, Kleiner D, Fishbein T, Johnson L, Island E, Satoskar R, Banovac F, Jha R, Kachhela J, Feng P, Zhang T, Tesfaye A, Prins P, Loffredo C, Marshall J, Weiner L, Atkins M, He AR. Intratumoral CD3 and CD8 T-cell Densities Associated with Relapse-Free Survival in HCC. </w:t>
      </w:r>
      <w:r w:rsidRPr="00C045F4">
        <w:rPr>
          <w:rFonts w:ascii="Book Antiqua" w:eastAsia="宋体" w:hAnsi="Book Antiqua"/>
          <w:i/>
          <w:iCs/>
          <w:noProof/>
          <w:color w:val="auto"/>
          <w:sz w:val="24"/>
          <w:szCs w:val="22"/>
        </w:rPr>
        <w:t>Cancer Immunol Res</w:t>
      </w:r>
      <w:r w:rsidRPr="00C045F4">
        <w:rPr>
          <w:rFonts w:ascii="Book Antiqua" w:eastAsia="宋体" w:hAnsi="Book Antiqua"/>
          <w:noProof/>
          <w:color w:val="auto"/>
          <w:sz w:val="24"/>
          <w:szCs w:val="22"/>
        </w:rPr>
        <w:t> 2016; </w:t>
      </w:r>
      <w:r w:rsidRPr="00C045F4">
        <w:rPr>
          <w:rFonts w:ascii="Book Antiqua" w:eastAsia="宋体" w:hAnsi="Book Antiqua"/>
          <w:b/>
          <w:bCs/>
          <w:noProof/>
          <w:color w:val="auto"/>
          <w:sz w:val="24"/>
          <w:szCs w:val="22"/>
        </w:rPr>
        <w:t>4</w:t>
      </w:r>
      <w:r w:rsidRPr="00C045F4">
        <w:rPr>
          <w:rFonts w:ascii="Book Antiqua" w:eastAsia="宋体" w:hAnsi="Book Antiqua"/>
          <w:noProof/>
          <w:color w:val="auto"/>
          <w:sz w:val="24"/>
          <w:szCs w:val="22"/>
        </w:rPr>
        <w:t>: 419-430 [PMID: 26968206 DOI: 10.1158/2326-6066.CIR-15-0110]</w:t>
      </w:r>
    </w:p>
    <w:p w14:paraId="22BD1705"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15 </w:t>
      </w:r>
      <w:r w:rsidRPr="00C045F4">
        <w:rPr>
          <w:rFonts w:ascii="Book Antiqua" w:eastAsia="宋体" w:hAnsi="Book Antiqua"/>
          <w:b/>
          <w:bCs/>
          <w:noProof/>
          <w:color w:val="auto"/>
          <w:sz w:val="24"/>
          <w:szCs w:val="22"/>
        </w:rPr>
        <w:t>Petrizzo A</w:t>
      </w:r>
      <w:r w:rsidRPr="00C045F4">
        <w:rPr>
          <w:rFonts w:ascii="Book Antiqua" w:eastAsia="宋体" w:hAnsi="Book Antiqua"/>
          <w:noProof/>
          <w:color w:val="auto"/>
          <w:sz w:val="24"/>
          <w:szCs w:val="22"/>
        </w:rPr>
        <w:t>, Buonaguro L. Application of the Immunoscore as prognostic tool for hepatocellular carcinoma. </w:t>
      </w:r>
      <w:r w:rsidRPr="00C045F4">
        <w:rPr>
          <w:rFonts w:ascii="Book Antiqua" w:eastAsia="宋体" w:hAnsi="Book Antiqua"/>
          <w:i/>
          <w:iCs/>
          <w:noProof/>
          <w:color w:val="auto"/>
          <w:sz w:val="24"/>
          <w:szCs w:val="22"/>
        </w:rPr>
        <w:t>J Immunother Cancer</w:t>
      </w:r>
      <w:r w:rsidRPr="00C045F4">
        <w:rPr>
          <w:rFonts w:ascii="Book Antiqua" w:eastAsia="宋体" w:hAnsi="Book Antiqua"/>
          <w:noProof/>
          <w:color w:val="auto"/>
          <w:sz w:val="24"/>
          <w:szCs w:val="22"/>
        </w:rPr>
        <w:t> 2016; </w:t>
      </w:r>
      <w:r w:rsidRPr="00C045F4">
        <w:rPr>
          <w:rFonts w:ascii="Book Antiqua" w:eastAsia="宋体" w:hAnsi="Book Antiqua"/>
          <w:b/>
          <w:bCs/>
          <w:noProof/>
          <w:color w:val="auto"/>
          <w:sz w:val="24"/>
          <w:szCs w:val="22"/>
        </w:rPr>
        <w:t>4</w:t>
      </w:r>
      <w:r w:rsidRPr="00C045F4">
        <w:rPr>
          <w:rFonts w:ascii="Book Antiqua" w:eastAsia="宋体" w:hAnsi="Book Antiqua"/>
          <w:noProof/>
          <w:color w:val="auto"/>
          <w:sz w:val="24"/>
          <w:szCs w:val="22"/>
        </w:rPr>
        <w:t>: 71 [PMID: 27879973 DOI: 10.1186/s40425-016-0182-5]</w:t>
      </w:r>
    </w:p>
    <w:p w14:paraId="4B28E4C5"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16 </w:t>
      </w:r>
      <w:r w:rsidRPr="00C045F4">
        <w:rPr>
          <w:rFonts w:ascii="Book Antiqua" w:eastAsia="宋体" w:hAnsi="Book Antiqua"/>
          <w:b/>
          <w:bCs/>
          <w:noProof/>
          <w:color w:val="auto"/>
          <w:sz w:val="24"/>
          <w:szCs w:val="22"/>
        </w:rPr>
        <w:t>Yao Q</w:t>
      </w:r>
      <w:r w:rsidRPr="00C045F4">
        <w:rPr>
          <w:rFonts w:ascii="Book Antiqua" w:eastAsia="宋体" w:hAnsi="Book Antiqua"/>
          <w:noProof/>
          <w:color w:val="auto"/>
          <w:sz w:val="24"/>
          <w:szCs w:val="22"/>
        </w:rPr>
        <w:t xml:space="preserve">, Bao X, Xue R, Liu H, Liu H, Li J, Dong J, Duan Z, Ren M, Zhao J, Song </w:t>
      </w:r>
      <w:r w:rsidRPr="00C045F4">
        <w:rPr>
          <w:rFonts w:ascii="Book Antiqua" w:eastAsia="宋体" w:hAnsi="Book Antiqua"/>
          <w:noProof/>
          <w:color w:val="auto"/>
          <w:sz w:val="24"/>
          <w:szCs w:val="22"/>
        </w:rPr>
        <w:lastRenderedPageBreak/>
        <w:t>Q, Yu H, Zhu Y, Lu J, Meng Q. Prognostic value of immunoscore to identify mortality outcomes in adults with HBV-related primary hepatocellular carcinoma. </w:t>
      </w:r>
      <w:r w:rsidRPr="00C045F4">
        <w:rPr>
          <w:rFonts w:ascii="Book Antiqua" w:eastAsia="宋体" w:hAnsi="Book Antiqua"/>
          <w:i/>
          <w:iCs/>
          <w:noProof/>
          <w:color w:val="auto"/>
          <w:sz w:val="24"/>
          <w:szCs w:val="22"/>
        </w:rPr>
        <w:t xml:space="preserve">Medicine </w:t>
      </w:r>
      <w:r w:rsidRPr="00403E00">
        <w:rPr>
          <w:rFonts w:ascii="Book Antiqua" w:eastAsia="宋体" w:hAnsi="Book Antiqua"/>
          <w:noProof/>
          <w:color w:val="auto"/>
          <w:sz w:val="24"/>
          <w:szCs w:val="22"/>
        </w:rPr>
        <w:t>(Baltimore)</w:t>
      </w:r>
      <w:r w:rsidRPr="00C045F4">
        <w:rPr>
          <w:rFonts w:ascii="Book Antiqua" w:eastAsia="宋体" w:hAnsi="Book Antiqua"/>
          <w:noProof/>
          <w:color w:val="auto"/>
          <w:sz w:val="24"/>
          <w:szCs w:val="22"/>
        </w:rPr>
        <w:t> 2017; </w:t>
      </w:r>
      <w:r w:rsidRPr="00C045F4">
        <w:rPr>
          <w:rFonts w:ascii="Book Antiqua" w:eastAsia="宋体" w:hAnsi="Book Antiqua"/>
          <w:b/>
          <w:bCs/>
          <w:noProof/>
          <w:color w:val="auto"/>
          <w:sz w:val="24"/>
          <w:szCs w:val="22"/>
        </w:rPr>
        <w:t>96</w:t>
      </w:r>
      <w:r w:rsidRPr="00C045F4">
        <w:rPr>
          <w:rFonts w:ascii="Book Antiqua" w:eastAsia="宋体" w:hAnsi="Book Antiqua"/>
          <w:noProof/>
          <w:color w:val="auto"/>
          <w:sz w:val="24"/>
          <w:szCs w:val="22"/>
        </w:rPr>
        <w:t>: e6735 [PMID: 28445292 DOI: 10.1097/MD.0000000000006735]</w:t>
      </w:r>
    </w:p>
    <w:p w14:paraId="7ADD3E1E"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17 </w:t>
      </w:r>
      <w:r w:rsidRPr="00C045F4">
        <w:rPr>
          <w:rFonts w:ascii="Book Antiqua" w:eastAsia="宋体" w:hAnsi="Book Antiqua"/>
          <w:b/>
          <w:bCs/>
          <w:noProof/>
          <w:color w:val="auto"/>
          <w:sz w:val="24"/>
          <w:szCs w:val="22"/>
        </w:rPr>
        <w:t>Hosaka T</w:t>
      </w:r>
      <w:r w:rsidRPr="00C045F4">
        <w:rPr>
          <w:rFonts w:ascii="Book Antiqua" w:eastAsia="宋体" w:hAnsi="Book Antiqua"/>
          <w:noProof/>
          <w:color w:val="auto"/>
          <w:sz w:val="24"/>
          <w:szCs w:val="22"/>
        </w:rPr>
        <w:t>, Suzuki F, Kobayashi M, Seko Y, Kawamura Y, Sezaki H, Akuta N, Suzuki Y, Saitoh S, Arase Y, Ikeda K, Kobayashi M, Kumada H. Long-term entecavir treatment reduces hepatocellular carcinoma incidence in patients with hepatitis B virus infection. </w:t>
      </w:r>
      <w:r w:rsidRPr="00C045F4">
        <w:rPr>
          <w:rFonts w:ascii="Book Antiqua" w:eastAsia="宋体" w:hAnsi="Book Antiqua"/>
          <w:i/>
          <w:iCs/>
          <w:noProof/>
          <w:color w:val="auto"/>
          <w:sz w:val="24"/>
          <w:szCs w:val="22"/>
        </w:rPr>
        <w:t>Hepatology</w:t>
      </w:r>
      <w:r w:rsidRPr="00C045F4">
        <w:rPr>
          <w:rFonts w:ascii="Book Antiqua" w:eastAsia="宋体" w:hAnsi="Book Antiqua"/>
          <w:noProof/>
          <w:color w:val="auto"/>
          <w:sz w:val="24"/>
          <w:szCs w:val="22"/>
        </w:rPr>
        <w:t> 2013; </w:t>
      </w:r>
      <w:r w:rsidRPr="00C045F4">
        <w:rPr>
          <w:rFonts w:ascii="Book Antiqua" w:eastAsia="宋体" w:hAnsi="Book Antiqua"/>
          <w:b/>
          <w:bCs/>
          <w:noProof/>
          <w:color w:val="auto"/>
          <w:sz w:val="24"/>
          <w:szCs w:val="22"/>
        </w:rPr>
        <w:t>58</w:t>
      </w:r>
      <w:r w:rsidRPr="00C045F4">
        <w:rPr>
          <w:rFonts w:ascii="Book Antiqua" w:eastAsia="宋体" w:hAnsi="Book Antiqua"/>
          <w:noProof/>
          <w:color w:val="auto"/>
          <w:sz w:val="24"/>
          <w:szCs w:val="22"/>
        </w:rPr>
        <w:t>: 98-107 [PMID: 23213040 DOI: 10.1002/hep.26180]</w:t>
      </w:r>
    </w:p>
    <w:p w14:paraId="14A4FBF6"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18 </w:t>
      </w:r>
      <w:r w:rsidRPr="00C045F4">
        <w:rPr>
          <w:rFonts w:ascii="Book Antiqua" w:eastAsia="宋体" w:hAnsi="Book Antiqua"/>
          <w:b/>
          <w:bCs/>
          <w:noProof/>
          <w:color w:val="auto"/>
          <w:sz w:val="24"/>
          <w:szCs w:val="22"/>
        </w:rPr>
        <w:t>Ogawa E</w:t>
      </w:r>
      <w:r w:rsidRPr="00C045F4">
        <w:rPr>
          <w:rFonts w:ascii="Book Antiqua" w:eastAsia="宋体" w:hAnsi="Book Antiqua"/>
          <w:noProof/>
          <w:color w:val="auto"/>
          <w:sz w:val="24"/>
          <w:szCs w:val="22"/>
        </w:rPr>
        <w:t>, Furusyo N, Nomura H, Dohmen K, Higashi N, Takahashi K, Kawano A, Azuma K, Satoh T, Nakamuta M, Koyanagi T, Kato M, Shimoda S, Kajiwara E, Hayashi J; Kyushu University Liver Disease Study (KULDS) Group. Short-term risk of hepatocellular carcinoma after hepatitis C virus eradication following direct-acting anti-viral treatment. </w:t>
      </w:r>
      <w:r w:rsidRPr="00C045F4">
        <w:rPr>
          <w:rFonts w:ascii="Book Antiqua" w:eastAsia="宋体" w:hAnsi="Book Antiqua"/>
          <w:i/>
          <w:iCs/>
          <w:noProof/>
          <w:color w:val="auto"/>
          <w:sz w:val="24"/>
          <w:szCs w:val="22"/>
        </w:rPr>
        <w:t>Aliment Pharmacol Ther</w:t>
      </w:r>
      <w:r w:rsidRPr="00C045F4">
        <w:rPr>
          <w:rFonts w:ascii="Book Antiqua" w:eastAsia="宋体" w:hAnsi="Book Antiqua"/>
          <w:noProof/>
          <w:color w:val="auto"/>
          <w:sz w:val="24"/>
          <w:szCs w:val="22"/>
        </w:rPr>
        <w:t> 2018; </w:t>
      </w:r>
      <w:r w:rsidRPr="00C045F4">
        <w:rPr>
          <w:rFonts w:ascii="Book Antiqua" w:eastAsia="宋体" w:hAnsi="Book Antiqua"/>
          <w:b/>
          <w:bCs/>
          <w:noProof/>
          <w:color w:val="auto"/>
          <w:sz w:val="24"/>
          <w:szCs w:val="22"/>
        </w:rPr>
        <w:t>47</w:t>
      </w:r>
      <w:r w:rsidRPr="00C045F4">
        <w:rPr>
          <w:rFonts w:ascii="Book Antiqua" w:eastAsia="宋体" w:hAnsi="Book Antiqua"/>
          <w:noProof/>
          <w:color w:val="auto"/>
          <w:sz w:val="24"/>
          <w:szCs w:val="22"/>
        </w:rPr>
        <w:t>: 104-113 [PMID: 29035002 DOI: 10.1111/apt.14380]</w:t>
      </w:r>
    </w:p>
    <w:p w14:paraId="1862D7F9"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19 </w:t>
      </w:r>
      <w:r w:rsidRPr="00C045F4">
        <w:rPr>
          <w:rFonts w:ascii="Book Antiqua" w:eastAsia="宋体" w:hAnsi="Book Antiqua"/>
          <w:b/>
          <w:bCs/>
          <w:noProof/>
          <w:color w:val="auto"/>
          <w:sz w:val="24"/>
          <w:szCs w:val="22"/>
        </w:rPr>
        <w:t>Liu GM</w:t>
      </w:r>
      <w:r w:rsidRPr="00C045F4">
        <w:rPr>
          <w:rFonts w:ascii="Book Antiqua" w:eastAsia="宋体" w:hAnsi="Book Antiqua"/>
          <w:noProof/>
          <w:color w:val="auto"/>
          <w:sz w:val="24"/>
          <w:szCs w:val="22"/>
        </w:rPr>
        <w:t>, Huang XY, Shen SL, Hu WJ, Peng BG. Adjuvant antiviral therapy for hepatitis B virus-related hepatocellular carcinoma after curative treatment: A systematic review and meta-analysis. </w:t>
      </w:r>
      <w:r w:rsidRPr="00C045F4">
        <w:rPr>
          <w:rFonts w:ascii="Book Antiqua" w:eastAsia="宋体" w:hAnsi="Book Antiqua"/>
          <w:i/>
          <w:iCs/>
          <w:noProof/>
          <w:color w:val="auto"/>
          <w:sz w:val="24"/>
          <w:szCs w:val="22"/>
        </w:rPr>
        <w:t>Hepatol Res</w:t>
      </w:r>
      <w:r w:rsidRPr="00C045F4">
        <w:rPr>
          <w:rFonts w:ascii="Book Antiqua" w:eastAsia="宋体" w:hAnsi="Book Antiqua"/>
          <w:noProof/>
          <w:color w:val="auto"/>
          <w:sz w:val="24"/>
          <w:szCs w:val="22"/>
        </w:rPr>
        <w:t> 2016; </w:t>
      </w:r>
      <w:r w:rsidRPr="00C045F4">
        <w:rPr>
          <w:rFonts w:ascii="Book Antiqua" w:eastAsia="宋体" w:hAnsi="Book Antiqua"/>
          <w:b/>
          <w:bCs/>
          <w:noProof/>
          <w:color w:val="auto"/>
          <w:sz w:val="24"/>
          <w:szCs w:val="22"/>
        </w:rPr>
        <w:t>46</w:t>
      </w:r>
      <w:r w:rsidRPr="00C045F4">
        <w:rPr>
          <w:rFonts w:ascii="Book Antiqua" w:eastAsia="宋体" w:hAnsi="Book Antiqua"/>
          <w:noProof/>
          <w:color w:val="auto"/>
          <w:sz w:val="24"/>
          <w:szCs w:val="22"/>
        </w:rPr>
        <w:t>: 100-110 [PMID: 26331530 DOI: 10.1111/hepr.12584]</w:t>
      </w:r>
    </w:p>
    <w:p w14:paraId="23042980"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20 </w:t>
      </w:r>
      <w:r w:rsidRPr="00C045F4">
        <w:rPr>
          <w:rFonts w:ascii="Book Antiqua" w:eastAsia="宋体" w:hAnsi="Book Antiqua"/>
          <w:b/>
          <w:bCs/>
          <w:noProof/>
          <w:color w:val="auto"/>
          <w:sz w:val="24"/>
          <w:szCs w:val="22"/>
        </w:rPr>
        <w:t>Shinn BJ</w:t>
      </w:r>
      <w:r w:rsidRPr="00C045F4">
        <w:rPr>
          <w:rFonts w:ascii="Book Antiqua" w:eastAsia="宋体" w:hAnsi="Book Antiqua"/>
          <w:noProof/>
          <w:color w:val="auto"/>
          <w:sz w:val="24"/>
          <w:szCs w:val="22"/>
        </w:rPr>
        <w:t>, Martin A, Coben RM, Conn MI, Prieto J, Kroop H, DiMarino AJ, Hann HW. Persistent risk for new, subsequent new and recurrent hepatocellular carcinoma despite successful anti-hepatitis B virus therapy and tumor ablation: The need for hepatitis B virus cure. </w:t>
      </w:r>
      <w:r w:rsidRPr="00C045F4">
        <w:rPr>
          <w:rFonts w:ascii="Book Antiqua" w:eastAsia="宋体" w:hAnsi="Book Antiqua"/>
          <w:i/>
          <w:iCs/>
          <w:noProof/>
          <w:color w:val="auto"/>
          <w:sz w:val="24"/>
          <w:szCs w:val="22"/>
        </w:rPr>
        <w:t>World J Hepatol</w:t>
      </w:r>
      <w:r w:rsidRPr="00C045F4">
        <w:rPr>
          <w:rFonts w:ascii="Book Antiqua" w:eastAsia="宋体" w:hAnsi="Book Antiqua"/>
          <w:noProof/>
          <w:color w:val="auto"/>
          <w:sz w:val="24"/>
          <w:szCs w:val="22"/>
        </w:rPr>
        <w:t> 2019; </w:t>
      </w:r>
      <w:r w:rsidRPr="00C045F4">
        <w:rPr>
          <w:rFonts w:ascii="Book Antiqua" w:eastAsia="宋体" w:hAnsi="Book Antiqua"/>
          <w:b/>
          <w:bCs/>
          <w:noProof/>
          <w:color w:val="auto"/>
          <w:sz w:val="24"/>
          <w:szCs w:val="22"/>
        </w:rPr>
        <w:t>11</w:t>
      </w:r>
      <w:r w:rsidRPr="00C045F4">
        <w:rPr>
          <w:rFonts w:ascii="Book Antiqua" w:eastAsia="宋体" w:hAnsi="Book Antiqua"/>
          <w:noProof/>
          <w:color w:val="auto"/>
          <w:sz w:val="24"/>
          <w:szCs w:val="22"/>
        </w:rPr>
        <w:t>: 65-73 [PMID: 30705719 DOI: 10.4254/wjh.v11.i1.65]</w:t>
      </w:r>
    </w:p>
    <w:p w14:paraId="71B8D642" w14:textId="642D3ED5"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21 </w:t>
      </w:r>
      <w:r w:rsidRPr="00C045F4">
        <w:rPr>
          <w:rFonts w:ascii="Book Antiqua" w:eastAsia="宋体" w:hAnsi="Book Antiqua"/>
          <w:b/>
          <w:bCs/>
          <w:noProof/>
          <w:color w:val="auto"/>
          <w:sz w:val="24"/>
          <w:szCs w:val="22"/>
        </w:rPr>
        <w:t>Friedman J</w:t>
      </w:r>
      <w:r w:rsidRPr="00C045F4">
        <w:rPr>
          <w:rFonts w:ascii="Book Antiqua" w:eastAsia="宋体" w:hAnsi="Book Antiqua"/>
          <w:noProof/>
          <w:color w:val="auto"/>
          <w:sz w:val="24"/>
          <w:szCs w:val="22"/>
        </w:rPr>
        <w:t xml:space="preserve">, Hastie T, Tibshirani R. Regularization Paths for Generalized Linear Models </w:t>
      </w:r>
      <w:r w:rsidRPr="000673BF">
        <w:rPr>
          <w:rFonts w:ascii="Book Antiqua" w:eastAsia="宋体" w:hAnsi="Book Antiqua"/>
          <w:i/>
          <w:noProof/>
          <w:color w:val="auto"/>
          <w:sz w:val="24"/>
          <w:szCs w:val="22"/>
        </w:rPr>
        <w:t>via</w:t>
      </w:r>
      <w:r w:rsidRPr="00C045F4">
        <w:rPr>
          <w:rFonts w:ascii="Book Antiqua" w:eastAsia="宋体" w:hAnsi="Book Antiqua"/>
          <w:noProof/>
          <w:color w:val="auto"/>
          <w:sz w:val="24"/>
          <w:szCs w:val="22"/>
        </w:rPr>
        <w:t xml:space="preserve"> Coordinate Descent. </w:t>
      </w:r>
      <w:r w:rsidRPr="00C045F4">
        <w:rPr>
          <w:rFonts w:ascii="Book Antiqua" w:eastAsia="宋体" w:hAnsi="Book Antiqua"/>
          <w:i/>
          <w:iCs/>
          <w:noProof/>
          <w:color w:val="auto"/>
          <w:sz w:val="24"/>
          <w:szCs w:val="22"/>
        </w:rPr>
        <w:t>J Stat Softw</w:t>
      </w:r>
      <w:r w:rsidRPr="00C045F4">
        <w:rPr>
          <w:rFonts w:ascii="Book Antiqua" w:eastAsia="宋体" w:hAnsi="Book Antiqua"/>
          <w:noProof/>
          <w:color w:val="auto"/>
          <w:sz w:val="24"/>
          <w:szCs w:val="22"/>
        </w:rPr>
        <w:t> 2010; </w:t>
      </w:r>
      <w:r w:rsidRPr="00C045F4">
        <w:rPr>
          <w:rFonts w:ascii="Book Antiqua" w:eastAsia="宋体" w:hAnsi="Book Antiqua"/>
          <w:b/>
          <w:bCs/>
          <w:noProof/>
          <w:color w:val="auto"/>
          <w:sz w:val="24"/>
          <w:szCs w:val="22"/>
        </w:rPr>
        <w:t>33</w:t>
      </w:r>
      <w:r w:rsidRPr="00C045F4">
        <w:rPr>
          <w:rFonts w:ascii="Book Antiqua" w:eastAsia="宋体" w:hAnsi="Book Antiqua"/>
          <w:noProof/>
          <w:color w:val="auto"/>
          <w:sz w:val="24"/>
          <w:szCs w:val="22"/>
        </w:rPr>
        <w:t xml:space="preserve">: 1-22 [PMID: </w:t>
      </w:r>
      <w:bookmarkStart w:id="47" w:name="OLE_LINK12"/>
      <w:bookmarkStart w:id="48" w:name="OLE_LINK13"/>
      <w:r w:rsidRPr="00C045F4">
        <w:rPr>
          <w:rFonts w:ascii="Book Antiqua" w:eastAsia="宋体" w:hAnsi="Book Antiqua"/>
          <w:noProof/>
          <w:color w:val="auto"/>
          <w:sz w:val="24"/>
          <w:szCs w:val="22"/>
        </w:rPr>
        <w:t>20808728</w:t>
      </w:r>
      <w:bookmarkEnd w:id="47"/>
      <w:bookmarkEnd w:id="48"/>
      <w:r w:rsidR="00B3657A">
        <w:rPr>
          <w:rFonts w:ascii="Book Antiqua" w:eastAsia="宋体" w:hAnsi="Book Antiqua" w:hint="eastAsia"/>
          <w:noProof/>
          <w:color w:val="auto"/>
          <w:sz w:val="24"/>
          <w:szCs w:val="22"/>
        </w:rPr>
        <w:t xml:space="preserve"> DOI:</w:t>
      </w:r>
      <w:r w:rsidR="00B3657A" w:rsidRPr="00B3657A">
        <w:t xml:space="preserve"> </w:t>
      </w:r>
      <w:r w:rsidR="00B3657A" w:rsidRPr="00B3657A">
        <w:rPr>
          <w:rFonts w:ascii="Book Antiqua" w:eastAsia="宋体" w:hAnsi="Book Antiqua"/>
          <w:noProof/>
          <w:color w:val="auto"/>
          <w:sz w:val="24"/>
          <w:szCs w:val="22"/>
        </w:rPr>
        <w:t>10.18637/jss.v033.i01</w:t>
      </w:r>
      <w:r w:rsidRPr="00C045F4">
        <w:rPr>
          <w:rFonts w:ascii="Book Antiqua" w:eastAsia="宋体" w:hAnsi="Book Antiqua"/>
          <w:noProof/>
          <w:color w:val="auto"/>
          <w:sz w:val="24"/>
          <w:szCs w:val="22"/>
        </w:rPr>
        <w:t>]</w:t>
      </w:r>
    </w:p>
    <w:p w14:paraId="5B009C1C"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22 </w:t>
      </w:r>
      <w:r w:rsidRPr="00C045F4">
        <w:rPr>
          <w:rFonts w:ascii="Book Antiqua" w:eastAsia="宋体" w:hAnsi="Book Antiqua"/>
          <w:b/>
          <w:bCs/>
          <w:noProof/>
          <w:color w:val="auto"/>
          <w:sz w:val="24"/>
          <w:szCs w:val="22"/>
        </w:rPr>
        <w:t>McNeish DM</w:t>
      </w:r>
      <w:r w:rsidRPr="00C045F4">
        <w:rPr>
          <w:rFonts w:ascii="Book Antiqua" w:eastAsia="宋体" w:hAnsi="Book Antiqua"/>
          <w:noProof/>
          <w:color w:val="auto"/>
          <w:sz w:val="24"/>
          <w:szCs w:val="22"/>
        </w:rPr>
        <w:t>. Using Lasso for Predictor Selection and to Assuage Overfitting: A Method Long Overlooked in Behavioral Sciences. </w:t>
      </w:r>
      <w:r w:rsidRPr="00C045F4">
        <w:rPr>
          <w:rFonts w:ascii="Book Antiqua" w:eastAsia="宋体" w:hAnsi="Book Antiqua"/>
          <w:i/>
          <w:iCs/>
          <w:noProof/>
          <w:color w:val="auto"/>
          <w:sz w:val="24"/>
          <w:szCs w:val="22"/>
        </w:rPr>
        <w:t>Multivariate Behav Res</w:t>
      </w:r>
      <w:r w:rsidRPr="00C045F4">
        <w:rPr>
          <w:rFonts w:ascii="Book Antiqua" w:eastAsia="宋体" w:hAnsi="Book Antiqua"/>
          <w:noProof/>
          <w:color w:val="auto"/>
          <w:sz w:val="24"/>
          <w:szCs w:val="22"/>
        </w:rPr>
        <w:t> 2015; </w:t>
      </w:r>
      <w:r w:rsidRPr="00C045F4">
        <w:rPr>
          <w:rFonts w:ascii="Book Antiqua" w:eastAsia="宋体" w:hAnsi="Book Antiqua"/>
          <w:b/>
          <w:bCs/>
          <w:noProof/>
          <w:color w:val="auto"/>
          <w:sz w:val="24"/>
          <w:szCs w:val="22"/>
        </w:rPr>
        <w:t>50</w:t>
      </w:r>
      <w:r w:rsidRPr="00C045F4">
        <w:rPr>
          <w:rFonts w:ascii="Book Antiqua" w:eastAsia="宋体" w:hAnsi="Book Antiqua"/>
          <w:noProof/>
          <w:color w:val="auto"/>
          <w:sz w:val="24"/>
          <w:szCs w:val="22"/>
        </w:rPr>
        <w:t>: 471-484 [PMID: 26610247 DOI: 10.1080/00273171.2015.1036965]</w:t>
      </w:r>
    </w:p>
    <w:p w14:paraId="4171BADC" w14:textId="01A41443"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lastRenderedPageBreak/>
        <w:t>23 </w:t>
      </w:r>
      <w:r w:rsidRPr="00C045F4">
        <w:rPr>
          <w:rFonts w:ascii="Book Antiqua" w:eastAsia="宋体" w:hAnsi="Book Antiqua"/>
          <w:b/>
          <w:bCs/>
          <w:noProof/>
          <w:color w:val="auto"/>
          <w:sz w:val="24"/>
          <w:szCs w:val="22"/>
        </w:rPr>
        <w:t>Kudo M</w:t>
      </w:r>
      <w:r w:rsidRPr="00C045F4">
        <w:rPr>
          <w:rFonts w:ascii="Book Antiqua" w:eastAsia="宋体" w:hAnsi="Book Antiqua"/>
          <w:noProof/>
          <w:color w:val="auto"/>
          <w:sz w:val="24"/>
          <w:szCs w:val="22"/>
        </w:rPr>
        <w:t>. Immune Checkpoint Inhibition in Hepatocellular Carcinoma: Basics and Ongoing Clinical Trials. </w:t>
      </w:r>
      <w:r w:rsidRPr="00C045F4">
        <w:rPr>
          <w:rFonts w:ascii="Book Antiqua" w:eastAsia="宋体" w:hAnsi="Book Antiqua"/>
          <w:i/>
          <w:iCs/>
          <w:noProof/>
          <w:color w:val="auto"/>
          <w:sz w:val="24"/>
          <w:szCs w:val="22"/>
        </w:rPr>
        <w:t>Oncology</w:t>
      </w:r>
      <w:r w:rsidRPr="00C045F4">
        <w:rPr>
          <w:rFonts w:ascii="Book Antiqua" w:eastAsia="宋体" w:hAnsi="Book Antiqua"/>
          <w:noProof/>
          <w:color w:val="auto"/>
          <w:sz w:val="24"/>
          <w:szCs w:val="22"/>
        </w:rPr>
        <w:t> 2017; </w:t>
      </w:r>
      <w:r>
        <w:rPr>
          <w:rFonts w:ascii="Book Antiqua" w:eastAsia="宋体" w:hAnsi="Book Antiqua"/>
          <w:b/>
          <w:bCs/>
          <w:noProof/>
          <w:color w:val="auto"/>
          <w:sz w:val="24"/>
          <w:szCs w:val="22"/>
        </w:rPr>
        <w:t>92</w:t>
      </w:r>
      <w:r w:rsidRPr="00C045F4">
        <w:rPr>
          <w:rFonts w:ascii="Book Antiqua" w:eastAsia="宋体" w:hAnsi="Book Antiqua"/>
          <w:noProof/>
          <w:color w:val="auto"/>
          <w:sz w:val="24"/>
          <w:szCs w:val="22"/>
        </w:rPr>
        <w:t>: 50-62 [PMID: 28147363 DOI: 10.1159/000451016]</w:t>
      </w:r>
    </w:p>
    <w:p w14:paraId="431A57D9"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24 </w:t>
      </w:r>
      <w:r w:rsidRPr="00C045F4">
        <w:rPr>
          <w:rFonts w:ascii="Book Antiqua" w:eastAsia="宋体" w:hAnsi="Book Antiqua"/>
          <w:b/>
          <w:bCs/>
          <w:noProof/>
          <w:color w:val="auto"/>
          <w:sz w:val="24"/>
          <w:szCs w:val="22"/>
        </w:rPr>
        <w:t>Syn NL</w:t>
      </w:r>
      <w:r w:rsidRPr="00C045F4">
        <w:rPr>
          <w:rFonts w:ascii="Book Antiqua" w:eastAsia="宋体" w:hAnsi="Book Antiqua"/>
          <w:noProof/>
          <w:color w:val="auto"/>
          <w:sz w:val="24"/>
          <w:szCs w:val="22"/>
        </w:rPr>
        <w:t>, Teng MWL, Mok TSK, Soo RA. De-novo and acquired resistance to immune checkpoint targeting. </w:t>
      </w:r>
      <w:r w:rsidRPr="00C045F4">
        <w:rPr>
          <w:rFonts w:ascii="Book Antiqua" w:eastAsia="宋体" w:hAnsi="Book Antiqua"/>
          <w:i/>
          <w:iCs/>
          <w:noProof/>
          <w:color w:val="auto"/>
          <w:sz w:val="24"/>
          <w:szCs w:val="22"/>
        </w:rPr>
        <w:t>Lancet Oncol</w:t>
      </w:r>
      <w:r w:rsidRPr="00C045F4">
        <w:rPr>
          <w:rFonts w:ascii="Book Antiqua" w:eastAsia="宋体" w:hAnsi="Book Antiqua"/>
          <w:noProof/>
          <w:color w:val="auto"/>
          <w:sz w:val="24"/>
          <w:szCs w:val="22"/>
        </w:rPr>
        <w:t> 2017; </w:t>
      </w:r>
      <w:r w:rsidRPr="00C045F4">
        <w:rPr>
          <w:rFonts w:ascii="Book Antiqua" w:eastAsia="宋体" w:hAnsi="Book Antiqua"/>
          <w:b/>
          <w:bCs/>
          <w:noProof/>
          <w:color w:val="auto"/>
          <w:sz w:val="24"/>
          <w:szCs w:val="22"/>
        </w:rPr>
        <w:t>18</w:t>
      </w:r>
      <w:r w:rsidRPr="00C045F4">
        <w:rPr>
          <w:rFonts w:ascii="Book Antiqua" w:eastAsia="宋体" w:hAnsi="Book Antiqua"/>
          <w:noProof/>
          <w:color w:val="auto"/>
          <w:sz w:val="24"/>
          <w:szCs w:val="22"/>
        </w:rPr>
        <w:t>: e731-e741 [PMID: 29208439 DOI: 10.1016/S1470-2045(17)30607-1]</w:t>
      </w:r>
    </w:p>
    <w:p w14:paraId="64A8F613" w14:textId="07906E36"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25 </w:t>
      </w:r>
      <w:r w:rsidRPr="00C045F4">
        <w:rPr>
          <w:rFonts w:ascii="Book Antiqua" w:eastAsia="宋体" w:hAnsi="Book Antiqua"/>
          <w:b/>
          <w:bCs/>
          <w:noProof/>
          <w:color w:val="auto"/>
          <w:sz w:val="24"/>
          <w:szCs w:val="22"/>
        </w:rPr>
        <w:t>Philips GK</w:t>
      </w:r>
      <w:r w:rsidRPr="00C045F4">
        <w:rPr>
          <w:rFonts w:ascii="Book Antiqua" w:eastAsia="宋体" w:hAnsi="Book Antiqua"/>
          <w:noProof/>
          <w:color w:val="auto"/>
          <w:sz w:val="24"/>
          <w:szCs w:val="22"/>
        </w:rPr>
        <w:t>, Atkins M. Therapeutic uses of anti-PD-1 and anti-PD-L1 antibodies.</w:t>
      </w:r>
      <w:r w:rsidR="002647E0">
        <w:rPr>
          <w:rFonts w:ascii="Book Antiqua" w:eastAsia="宋体" w:hAnsi="Book Antiqua"/>
          <w:noProof/>
          <w:color w:val="auto"/>
          <w:sz w:val="24"/>
          <w:szCs w:val="22"/>
        </w:rPr>
        <w:t xml:space="preserve"> </w:t>
      </w:r>
      <w:r w:rsidRPr="00C045F4">
        <w:rPr>
          <w:rFonts w:ascii="Book Antiqua" w:eastAsia="宋体" w:hAnsi="Book Antiqua"/>
          <w:i/>
          <w:iCs/>
          <w:noProof/>
          <w:color w:val="auto"/>
          <w:sz w:val="24"/>
          <w:szCs w:val="22"/>
        </w:rPr>
        <w:t>Int Immunol</w:t>
      </w:r>
      <w:r w:rsidRPr="00C045F4">
        <w:rPr>
          <w:rFonts w:ascii="Book Antiqua" w:eastAsia="宋体" w:hAnsi="Book Antiqua"/>
          <w:noProof/>
          <w:color w:val="auto"/>
          <w:sz w:val="24"/>
          <w:szCs w:val="22"/>
        </w:rPr>
        <w:t> 2015; </w:t>
      </w:r>
      <w:r w:rsidRPr="00C045F4">
        <w:rPr>
          <w:rFonts w:ascii="Book Antiqua" w:eastAsia="宋体" w:hAnsi="Book Antiqua"/>
          <w:b/>
          <w:bCs/>
          <w:noProof/>
          <w:color w:val="auto"/>
          <w:sz w:val="24"/>
          <w:szCs w:val="22"/>
        </w:rPr>
        <w:t>27</w:t>
      </w:r>
      <w:r w:rsidRPr="00C045F4">
        <w:rPr>
          <w:rFonts w:ascii="Book Antiqua" w:eastAsia="宋体" w:hAnsi="Book Antiqua"/>
          <w:noProof/>
          <w:color w:val="auto"/>
          <w:sz w:val="24"/>
          <w:szCs w:val="22"/>
        </w:rPr>
        <w:t>: 39-46 [PMID: 25323844 DOI: 10.1093/intimm/dxu095]</w:t>
      </w:r>
    </w:p>
    <w:p w14:paraId="40F5135D"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26 </w:t>
      </w:r>
      <w:r w:rsidRPr="00C045F4">
        <w:rPr>
          <w:rFonts w:ascii="Book Antiqua" w:eastAsia="宋体" w:hAnsi="Book Antiqua"/>
          <w:b/>
          <w:bCs/>
          <w:noProof/>
          <w:color w:val="auto"/>
          <w:sz w:val="24"/>
          <w:szCs w:val="22"/>
        </w:rPr>
        <w:t>Chang B</w:t>
      </w:r>
      <w:r w:rsidRPr="00C045F4">
        <w:rPr>
          <w:rFonts w:ascii="Book Antiqua" w:eastAsia="宋体" w:hAnsi="Book Antiqua"/>
          <w:noProof/>
          <w:color w:val="auto"/>
          <w:sz w:val="24"/>
          <w:szCs w:val="22"/>
        </w:rPr>
        <w:t>, Shen L, Wang K, Jin J, Huang T, Chen Q, Li W, Wu P. High number of PD-1 positive intratumoural lymphocytes predicts survival benefit of cytokine-induced killer cells for hepatocellular carcinoma patients. </w:t>
      </w:r>
      <w:r w:rsidRPr="00C045F4">
        <w:rPr>
          <w:rFonts w:ascii="Book Antiqua" w:eastAsia="宋体" w:hAnsi="Book Antiqua"/>
          <w:i/>
          <w:iCs/>
          <w:noProof/>
          <w:color w:val="auto"/>
          <w:sz w:val="24"/>
          <w:szCs w:val="22"/>
        </w:rPr>
        <w:t>Liver Int</w:t>
      </w:r>
      <w:r w:rsidRPr="00C045F4">
        <w:rPr>
          <w:rFonts w:ascii="Book Antiqua" w:eastAsia="宋体" w:hAnsi="Book Antiqua"/>
          <w:noProof/>
          <w:color w:val="auto"/>
          <w:sz w:val="24"/>
          <w:szCs w:val="22"/>
        </w:rPr>
        <w:t> 2018; </w:t>
      </w:r>
      <w:r w:rsidRPr="00C045F4">
        <w:rPr>
          <w:rFonts w:ascii="Book Antiqua" w:eastAsia="宋体" w:hAnsi="Book Antiqua"/>
          <w:b/>
          <w:bCs/>
          <w:noProof/>
          <w:color w:val="auto"/>
          <w:sz w:val="24"/>
          <w:szCs w:val="22"/>
        </w:rPr>
        <w:t>38</w:t>
      </w:r>
      <w:r w:rsidRPr="00C045F4">
        <w:rPr>
          <w:rFonts w:ascii="Book Antiqua" w:eastAsia="宋体" w:hAnsi="Book Antiqua"/>
          <w:noProof/>
          <w:color w:val="auto"/>
          <w:sz w:val="24"/>
          <w:szCs w:val="22"/>
        </w:rPr>
        <w:t>: 1449-1458 [PMID: 29356308 DOI: 10.1111/liv.13697]</w:t>
      </w:r>
    </w:p>
    <w:p w14:paraId="14F4B62C"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27 </w:t>
      </w:r>
      <w:r w:rsidRPr="00C045F4">
        <w:rPr>
          <w:rFonts w:ascii="Book Antiqua" w:eastAsia="宋体" w:hAnsi="Book Antiqua"/>
          <w:b/>
          <w:bCs/>
          <w:noProof/>
          <w:color w:val="auto"/>
          <w:sz w:val="24"/>
          <w:szCs w:val="22"/>
        </w:rPr>
        <w:t>Chang B</w:t>
      </w:r>
      <w:r w:rsidRPr="00C045F4">
        <w:rPr>
          <w:rFonts w:ascii="Book Antiqua" w:eastAsia="宋体" w:hAnsi="Book Antiqua"/>
          <w:noProof/>
          <w:color w:val="auto"/>
          <w:sz w:val="24"/>
          <w:szCs w:val="22"/>
        </w:rPr>
        <w:t>, Huang T, Wei H, Shen L, Zhu D, He W, Chen Q, Zhang H, Li Y, Huang R, Li W, Wu P. The correlation and prognostic value of serum levels of soluble programmed death protein 1 (sPD-1) and soluble programmed death-ligand 1 (sPD-L1) in patients with hepatocellular carcinoma. </w:t>
      </w:r>
      <w:r w:rsidRPr="00C045F4">
        <w:rPr>
          <w:rFonts w:ascii="Book Antiqua" w:eastAsia="宋体" w:hAnsi="Book Antiqua"/>
          <w:i/>
          <w:iCs/>
          <w:noProof/>
          <w:color w:val="auto"/>
          <w:sz w:val="24"/>
          <w:szCs w:val="22"/>
        </w:rPr>
        <w:t>Cancer Immunol Immunother</w:t>
      </w:r>
      <w:r w:rsidRPr="00C045F4">
        <w:rPr>
          <w:rFonts w:ascii="Book Antiqua" w:eastAsia="宋体" w:hAnsi="Book Antiqua"/>
          <w:noProof/>
          <w:color w:val="auto"/>
          <w:sz w:val="24"/>
          <w:szCs w:val="22"/>
        </w:rPr>
        <w:t> 2019; </w:t>
      </w:r>
      <w:r w:rsidRPr="00C045F4">
        <w:rPr>
          <w:rFonts w:ascii="Book Antiqua" w:eastAsia="宋体" w:hAnsi="Book Antiqua"/>
          <w:b/>
          <w:bCs/>
          <w:noProof/>
          <w:color w:val="auto"/>
          <w:sz w:val="24"/>
          <w:szCs w:val="22"/>
        </w:rPr>
        <w:t>68</w:t>
      </w:r>
      <w:r w:rsidRPr="00C045F4">
        <w:rPr>
          <w:rFonts w:ascii="Book Antiqua" w:eastAsia="宋体" w:hAnsi="Book Antiqua"/>
          <w:noProof/>
          <w:color w:val="auto"/>
          <w:sz w:val="24"/>
          <w:szCs w:val="22"/>
        </w:rPr>
        <w:t>: 353-363 [PMID: 30506460 DOI: 10.1007/s00262-018-2271-4]</w:t>
      </w:r>
    </w:p>
    <w:p w14:paraId="0AFD723B" w14:textId="77777777" w:rsidR="00C045F4" w:rsidRPr="00C045F4" w:rsidRDefault="00C045F4" w:rsidP="00C045F4">
      <w:pPr>
        <w:framePr w:wrap="auto"/>
        <w:adjustRightInd w:val="0"/>
        <w:snapToGrid w:val="0"/>
        <w:spacing w:line="360" w:lineRule="auto"/>
        <w:rPr>
          <w:rFonts w:ascii="Book Antiqua" w:eastAsia="宋体" w:hAnsi="Book Antiqua"/>
          <w:noProof/>
          <w:color w:val="auto"/>
          <w:sz w:val="24"/>
          <w:szCs w:val="22"/>
        </w:rPr>
      </w:pPr>
      <w:r w:rsidRPr="00C045F4">
        <w:rPr>
          <w:rFonts w:ascii="Book Antiqua" w:eastAsia="宋体" w:hAnsi="Book Antiqua"/>
          <w:noProof/>
          <w:color w:val="auto"/>
          <w:sz w:val="24"/>
          <w:szCs w:val="22"/>
        </w:rPr>
        <w:t>28 </w:t>
      </w:r>
      <w:r w:rsidRPr="00C045F4">
        <w:rPr>
          <w:rFonts w:ascii="Book Antiqua" w:eastAsia="宋体" w:hAnsi="Book Antiqua"/>
          <w:b/>
          <w:bCs/>
          <w:noProof/>
          <w:color w:val="auto"/>
          <w:sz w:val="24"/>
          <w:szCs w:val="22"/>
        </w:rPr>
        <w:t>Hendriks J</w:t>
      </w:r>
      <w:r w:rsidRPr="00C045F4">
        <w:rPr>
          <w:rFonts w:ascii="Book Antiqua" w:eastAsia="宋体" w:hAnsi="Book Antiqua"/>
          <w:noProof/>
          <w:color w:val="auto"/>
          <w:sz w:val="24"/>
          <w:szCs w:val="22"/>
        </w:rPr>
        <w:t>, Gravestein LA, Tesselaar K, van Lier RA, Schumacher TN, Borst J. CD27 is required for generation and long-term maintenance of T cell immunity. </w:t>
      </w:r>
      <w:r w:rsidRPr="00C045F4">
        <w:rPr>
          <w:rFonts w:ascii="Book Antiqua" w:eastAsia="宋体" w:hAnsi="Book Antiqua"/>
          <w:i/>
          <w:iCs/>
          <w:noProof/>
          <w:color w:val="auto"/>
          <w:sz w:val="24"/>
          <w:szCs w:val="22"/>
        </w:rPr>
        <w:t>Nat Immunol</w:t>
      </w:r>
      <w:r w:rsidRPr="00C045F4">
        <w:rPr>
          <w:rFonts w:ascii="Book Antiqua" w:eastAsia="宋体" w:hAnsi="Book Antiqua"/>
          <w:noProof/>
          <w:color w:val="auto"/>
          <w:sz w:val="24"/>
          <w:szCs w:val="22"/>
        </w:rPr>
        <w:t> 2000; </w:t>
      </w:r>
      <w:r w:rsidRPr="00C045F4">
        <w:rPr>
          <w:rFonts w:ascii="Book Antiqua" w:eastAsia="宋体" w:hAnsi="Book Antiqua"/>
          <w:b/>
          <w:bCs/>
          <w:noProof/>
          <w:color w:val="auto"/>
          <w:sz w:val="24"/>
          <w:szCs w:val="22"/>
        </w:rPr>
        <w:t>1</w:t>
      </w:r>
      <w:r w:rsidRPr="00C045F4">
        <w:rPr>
          <w:rFonts w:ascii="Book Antiqua" w:eastAsia="宋体" w:hAnsi="Book Antiqua"/>
          <w:noProof/>
          <w:color w:val="auto"/>
          <w:sz w:val="24"/>
          <w:szCs w:val="22"/>
        </w:rPr>
        <w:t>: 433-440 [PMID: 11062504 DOI: 10.1038/80877]</w:t>
      </w:r>
    </w:p>
    <w:p w14:paraId="7F88429B" w14:textId="585D76FF" w:rsidR="00DA5FD0" w:rsidRPr="00DA5FD0" w:rsidRDefault="00DA5FD0" w:rsidP="00DA5FD0">
      <w:pPr>
        <w:framePr w:wrap="auto"/>
        <w:widowControl/>
        <w:wordWrap w:val="0"/>
        <w:snapToGrid w:val="0"/>
        <w:spacing w:line="360" w:lineRule="auto"/>
        <w:jc w:val="right"/>
        <w:rPr>
          <w:rFonts w:ascii="Book Antiqua" w:eastAsia="宋体" w:hAnsi="Book Antiqua" w:cs="Times New Roman"/>
          <w:b/>
          <w:bCs/>
          <w:color w:val="auto"/>
          <w:kern w:val="0"/>
          <w:sz w:val="24"/>
          <w:szCs w:val="24"/>
        </w:rPr>
      </w:pPr>
      <w:bookmarkStart w:id="49" w:name="OLE_LINK148"/>
      <w:bookmarkStart w:id="50" w:name="OLE_LINK320"/>
      <w:bookmarkStart w:id="51" w:name="OLE_LINK387"/>
      <w:bookmarkStart w:id="52" w:name="OLE_LINK254"/>
      <w:bookmarkStart w:id="53" w:name="OLE_LINK149"/>
      <w:bookmarkStart w:id="54" w:name="OLE_LINK225"/>
      <w:bookmarkStart w:id="55" w:name="OLE_LINK207"/>
      <w:bookmarkStart w:id="56" w:name="OLE_LINK226"/>
      <w:bookmarkStart w:id="57" w:name="OLE_LINK212"/>
      <w:bookmarkStart w:id="58" w:name="OLE_LINK250"/>
      <w:bookmarkStart w:id="59" w:name="OLE_LINK281"/>
      <w:bookmarkStart w:id="60" w:name="OLE_LINK282"/>
      <w:bookmarkStart w:id="61" w:name="OLE_LINK313"/>
      <w:bookmarkStart w:id="62" w:name="OLE_LINK304"/>
      <w:bookmarkStart w:id="63" w:name="OLE_LINK321"/>
      <w:bookmarkStart w:id="64" w:name="OLE_LINK385"/>
      <w:bookmarkStart w:id="65" w:name="OLE_LINK400"/>
      <w:bookmarkStart w:id="66" w:name="OLE_LINK346"/>
      <w:bookmarkStart w:id="67" w:name="OLE_LINK371"/>
      <w:bookmarkStart w:id="68" w:name="OLE_LINK334"/>
      <w:bookmarkStart w:id="69" w:name="OLE_LINK1830"/>
      <w:bookmarkStart w:id="70" w:name="OLE_LINK457"/>
      <w:bookmarkStart w:id="71" w:name="OLE_LINK288"/>
      <w:bookmarkStart w:id="72" w:name="OLE_LINK384"/>
      <w:bookmarkStart w:id="73" w:name="OLE_LINK379"/>
      <w:bookmarkStart w:id="74" w:name="OLE_LINK303"/>
      <w:bookmarkStart w:id="75" w:name="OLE_LINK450"/>
      <w:bookmarkStart w:id="76" w:name="OLE_LINK489"/>
      <w:bookmarkStart w:id="77" w:name="OLE_LINK535"/>
      <w:bookmarkStart w:id="78" w:name="OLE_LINK648"/>
      <w:bookmarkStart w:id="79" w:name="OLE_LINK686"/>
      <w:bookmarkStart w:id="80" w:name="OLE_LINK471"/>
      <w:bookmarkStart w:id="81" w:name="OLE_LINK462"/>
      <w:bookmarkStart w:id="82" w:name="OLE_LINK519"/>
      <w:bookmarkStart w:id="83" w:name="OLE_LINK575"/>
      <w:bookmarkStart w:id="84" w:name="OLE_LINK491"/>
      <w:bookmarkStart w:id="85" w:name="OLE_LINK532"/>
      <w:bookmarkStart w:id="86" w:name="OLE_LINK572"/>
      <w:bookmarkStart w:id="87" w:name="OLE_LINK574"/>
      <w:bookmarkStart w:id="88" w:name="OLE_LINK480"/>
      <w:bookmarkStart w:id="89" w:name="OLE_LINK567"/>
      <w:bookmarkStart w:id="90" w:name="OLE_LINK2700"/>
      <w:bookmarkStart w:id="91" w:name="OLE_LINK581"/>
      <w:bookmarkStart w:id="92" w:name="OLE_LINK639"/>
      <w:bookmarkStart w:id="93" w:name="OLE_LINK688"/>
      <w:bookmarkStart w:id="94" w:name="OLE_LINK722"/>
      <w:bookmarkStart w:id="95" w:name="OLE_LINK542"/>
      <w:bookmarkStart w:id="96" w:name="OLE_LINK589"/>
      <w:bookmarkStart w:id="97" w:name="OLE_LINK582"/>
      <w:bookmarkStart w:id="98" w:name="OLE_LINK640"/>
      <w:bookmarkStart w:id="99" w:name="OLE_LINK714"/>
      <w:bookmarkStart w:id="100" w:name="OLE_LINK593"/>
      <w:bookmarkStart w:id="101" w:name="OLE_LINK716"/>
      <w:bookmarkStart w:id="102" w:name="OLE_LINK770"/>
      <w:bookmarkStart w:id="103" w:name="OLE_LINK801"/>
      <w:bookmarkStart w:id="104" w:name="OLE_LINK660"/>
      <w:bookmarkStart w:id="105" w:name="OLE_LINK781"/>
      <w:bookmarkStart w:id="106" w:name="OLE_LINK833"/>
      <w:bookmarkStart w:id="107" w:name="OLE_LINK642"/>
      <w:bookmarkStart w:id="108" w:name="OLE_LINK700"/>
      <w:bookmarkStart w:id="109" w:name="OLE_LINK792"/>
      <w:bookmarkStart w:id="110" w:name="OLE_LINK2882"/>
      <w:bookmarkStart w:id="111" w:name="OLE_LINK836"/>
      <w:bookmarkStart w:id="112" w:name="OLE_LINK889"/>
      <w:bookmarkStart w:id="113" w:name="OLE_LINK782"/>
      <w:bookmarkStart w:id="114" w:name="OLE_LINK826"/>
      <w:bookmarkStart w:id="115" w:name="OLE_LINK865"/>
      <w:bookmarkStart w:id="116" w:name="OLE_LINK856"/>
      <w:bookmarkStart w:id="117" w:name="OLE_LINK908"/>
      <w:bookmarkStart w:id="118" w:name="OLE_LINK980"/>
      <w:bookmarkStart w:id="119" w:name="OLE_LINK1018"/>
      <w:bookmarkStart w:id="120" w:name="OLE_LINK1049"/>
      <w:bookmarkStart w:id="121" w:name="OLE_LINK1076"/>
      <w:bookmarkStart w:id="122" w:name="OLE_LINK1106"/>
      <w:bookmarkStart w:id="123" w:name="OLE_LINK891"/>
      <w:bookmarkStart w:id="124" w:name="OLE_LINK943"/>
      <w:bookmarkStart w:id="125" w:name="OLE_LINK981"/>
      <w:bookmarkStart w:id="126" w:name="OLE_LINK1030"/>
      <w:bookmarkStart w:id="127" w:name="OLE_LINK847"/>
      <w:bookmarkStart w:id="128" w:name="OLE_LINK909"/>
      <w:bookmarkStart w:id="129" w:name="OLE_LINK906"/>
      <w:bookmarkStart w:id="130" w:name="OLE_LINK992"/>
      <w:bookmarkStart w:id="131" w:name="OLE_LINK993"/>
      <w:bookmarkStart w:id="132" w:name="OLE_LINK1052"/>
      <w:bookmarkStart w:id="133" w:name="OLE_LINK946"/>
      <w:bookmarkStart w:id="134" w:name="OLE_LINK911"/>
      <w:bookmarkStart w:id="135" w:name="OLE_LINK930"/>
      <w:bookmarkStart w:id="136" w:name="OLE_LINK1059"/>
      <w:bookmarkStart w:id="137" w:name="OLE_LINK1174"/>
      <w:bookmarkStart w:id="138" w:name="OLE_LINK1137"/>
      <w:bookmarkStart w:id="139" w:name="OLE_LINK1167"/>
      <w:bookmarkStart w:id="140" w:name="OLE_LINK1200"/>
      <w:bookmarkStart w:id="141" w:name="OLE_LINK1241"/>
      <w:bookmarkStart w:id="142" w:name="OLE_LINK1288"/>
      <w:bookmarkStart w:id="143" w:name="OLE_LINK1056"/>
      <w:bookmarkStart w:id="144" w:name="OLE_LINK1158"/>
      <w:bookmarkStart w:id="145" w:name="OLE_LINK1175"/>
      <w:bookmarkStart w:id="146" w:name="OLE_LINK1074"/>
      <w:bookmarkStart w:id="147" w:name="OLE_LINK1169"/>
      <w:bookmarkStart w:id="148" w:name="OLE_LINK386"/>
      <w:bookmarkStart w:id="149" w:name="OLE_LINK33"/>
      <w:bookmarkStart w:id="150" w:name="OLE_LINK34"/>
      <w:bookmarkStart w:id="151" w:name="OLE_LINK599"/>
      <w:bookmarkStart w:id="152" w:name="OLE_LINK87"/>
      <w:r w:rsidRPr="00DA5FD0">
        <w:rPr>
          <w:rFonts w:ascii="Book Antiqua" w:eastAsia="宋体" w:hAnsi="Book Antiqua" w:cs="Times New Roman"/>
          <w:b/>
          <w:bCs/>
          <w:color w:val="auto"/>
          <w:kern w:val="0"/>
          <w:sz w:val="24"/>
          <w:szCs w:val="24"/>
        </w:rPr>
        <w:t>P-Reviewer:</w:t>
      </w:r>
      <w:r w:rsidRPr="00DA5FD0">
        <w:rPr>
          <w:rFonts w:ascii="Book Antiqua" w:eastAsia="宋体" w:hAnsi="Book Antiqua" w:cs="Times New Roman" w:hint="eastAsia"/>
          <w:b/>
          <w:bCs/>
          <w:color w:val="auto"/>
          <w:kern w:val="0"/>
          <w:sz w:val="24"/>
          <w:szCs w:val="24"/>
        </w:rPr>
        <w:t xml:space="preserve"> </w:t>
      </w:r>
      <w:r w:rsidR="00216621" w:rsidRPr="00216621">
        <w:rPr>
          <w:rFonts w:ascii="Book Antiqua" w:eastAsia="宋体" w:hAnsi="Book Antiqua" w:cs="Times New Roman"/>
          <w:bCs/>
          <w:color w:val="auto"/>
          <w:kern w:val="0"/>
          <w:sz w:val="24"/>
          <w:szCs w:val="24"/>
        </w:rPr>
        <w:t>Kai</w:t>
      </w:r>
      <w:r w:rsidR="00216621">
        <w:rPr>
          <w:rFonts w:ascii="Book Antiqua" w:eastAsia="宋体" w:hAnsi="Book Antiqua" w:cs="Times New Roman"/>
          <w:bCs/>
          <w:color w:val="auto"/>
          <w:kern w:val="0"/>
          <w:sz w:val="24"/>
          <w:szCs w:val="24"/>
        </w:rPr>
        <w:t xml:space="preserve"> K</w:t>
      </w:r>
      <w:r w:rsidRPr="00DA5FD0">
        <w:rPr>
          <w:rFonts w:ascii="Book Antiqua" w:eastAsia="宋体" w:hAnsi="Book Antiqua" w:cs="Times New Roman" w:hint="eastAsia"/>
          <w:bCs/>
          <w:color w:val="auto"/>
          <w:kern w:val="0"/>
          <w:sz w:val="24"/>
          <w:szCs w:val="24"/>
        </w:rPr>
        <w:t>,</w:t>
      </w:r>
      <w:r w:rsidR="00216621">
        <w:rPr>
          <w:rFonts w:ascii="Verdana" w:hAnsi="Verdana"/>
          <w:sz w:val="17"/>
          <w:szCs w:val="17"/>
          <w:shd w:val="clear" w:color="auto" w:fill="FFFFFF"/>
        </w:rPr>
        <w:t xml:space="preserve"> </w:t>
      </w:r>
      <w:r w:rsidR="00216621" w:rsidRPr="00216621">
        <w:rPr>
          <w:rFonts w:ascii="Book Antiqua" w:hAnsi="Book Antiqua"/>
          <w:sz w:val="24"/>
          <w:szCs w:val="24"/>
          <w:shd w:val="clear" w:color="auto" w:fill="FFFFFF"/>
        </w:rPr>
        <w:t>El-</w:t>
      </w:r>
      <w:proofErr w:type="spellStart"/>
      <w:r w:rsidR="00216621" w:rsidRPr="00216621">
        <w:rPr>
          <w:rFonts w:ascii="Book Antiqua" w:hAnsi="Book Antiqua"/>
          <w:sz w:val="24"/>
          <w:szCs w:val="24"/>
          <w:shd w:val="clear" w:color="auto" w:fill="FFFFFF"/>
        </w:rPr>
        <w:t>Bendary</w:t>
      </w:r>
      <w:proofErr w:type="spellEnd"/>
      <w:r w:rsidR="00216621">
        <w:rPr>
          <w:rFonts w:ascii="Book Antiqua" w:hAnsi="Book Antiqua"/>
          <w:sz w:val="24"/>
          <w:szCs w:val="24"/>
          <w:shd w:val="clear" w:color="auto" w:fill="FFFFFF"/>
        </w:rPr>
        <w:t xml:space="preserve"> M</w:t>
      </w:r>
    </w:p>
    <w:p w14:paraId="2970265A" w14:textId="55A8BD61" w:rsidR="00DA5FD0" w:rsidRPr="00DA5FD0" w:rsidRDefault="00DA5FD0" w:rsidP="00E32659">
      <w:pPr>
        <w:framePr w:wrap="auto"/>
        <w:widowControl/>
        <w:wordWrap w:val="0"/>
        <w:snapToGrid w:val="0"/>
        <w:spacing w:line="360" w:lineRule="auto"/>
        <w:jc w:val="right"/>
        <w:rPr>
          <w:rFonts w:ascii="Book Antiqua" w:eastAsia="宋体" w:hAnsi="Book Antiqua" w:cs="Times New Roman"/>
          <w:color w:val="auto"/>
          <w:kern w:val="0"/>
          <w:sz w:val="24"/>
          <w:szCs w:val="24"/>
        </w:rPr>
      </w:pPr>
      <w:r w:rsidRPr="00DA5FD0">
        <w:rPr>
          <w:rFonts w:ascii="Book Antiqua" w:eastAsia="宋体" w:hAnsi="Book Antiqua" w:cs="Times New Roman"/>
          <w:b/>
          <w:bCs/>
          <w:color w:val="auto"/>
          <w:kern w:val="0"/>
          <w:sz w:val="24"/>
          <w:szCs w:val="24"/>
        </w:rPr>
        <w:t>S-Editor:</w:t>
      </w:r>
      <w:r w:rsidRPr="00DA5FD0">
        <w:rPr>
          <w:rFonts w:ascii="Book Antiqua" w:eastAsia="宋体" w:hAnsi="Book Antiqua" w:cs="Times New Roman" w:hint="eastAsia"/>
          <w:color w:val="auto"/>
          <w:kern w:val="0"/>
          <w:sz w:val="24"/>
          <w:szCs w:val="24"/>
        </w:rPr>
        <w:t xml:space="preserve"> </w:t>
      </w:r>
      <w:r w:rsidRPr="00DA5FD0">
        <w:rPr>
          <w:rFonts w:ascii="Book Antiqua" w:eastAsia="宋体" w:hAnsi="Book Antiqua" w:cs="Times New Roman"/>
          <w:color w:val="auto"/>
          <w:kern w:val="0"/>
          <w:sz w:val="24"/>
          <w:szCs w:val="24"/>
        </w:rPr>
        <w:t>Ma</w:t>
      </w:r>
      <w:r w:rsidRPr="00DA5FD0">
        <w:rPr>
          <w:rFonts w:ascii="Book Antiqua" w:eastAsia="宋体" w:hAnsi="Book Antiqua" w:cs="Times New Roman" w:hint="eastAsia"/>
          <w:color w:val="auto"/>
          <w:kern w:val="0"/>
          <w:sz w:val="24"/>
          <w:szCs w:val="24"/>
        </w:rPr>
        <w:t xml:space="preserve"> </w:t>
      </w:r>
      <w:r w:rsidRPr="00DA5FD0">
        <w:rPr>
          <w:rFonts w:ascii="Book Antiqua" w:eastAsia="宋体" w:hAnsi="Book Antiqua" w:cs="Times New Roman"/>
          <w:color w:val="auto"/>
          <w:kern w:val="0"/>
          <w:sz w:val="24"/>
          <w:szCs w:val="24"/>
        </w:rPr>
        <w:t>RY</w:t>
      </w:r>
      <w:r w:rsidRPr="00DA5FD0">
        <w:rPr>
          <w:rFonts w:ascii="Book Antiqua" w:eastAsia="宋体" w:hAnsi="Book Antiqua" w:cs="Times New Roman" w:hint="eastAsia"/>
          <w:color w:val="auto"/>
          <w:kern w:val="0"/>
          <w:sz w:val="24"/>
          <w:szCs w:val="24"/>
        </w:rPr>
        <w:t xml:space="preserve"> </w:t>
      </w:r>
      <w:r w:rsidRPr="00DA5FD0">
        <w:rPr>
          <w:rFonts w:ascii="Book Antiqua" w:eastAsia="宋体" w:hAnsi="Book Antiqua" w:cs="Times New Roman"/>
          <w:b/>
          <w:bCs/>
          <w:color w:val="auto"/>
          <w:kern w:val="0"/>
          <w:sz w:val="24"/>
          <w:szCs w:val="24"/>
        </w:rPr>
        <w:t>L-Editor:</w:t>
      </w:r>
      <w:r w:rsidRPr="00DA5FD0">
        <w:rPr>
          <w:rFonts w:ascii="Book Antiqua" w:eastAsia="宋体" w:hAnsi="Book Antiqua" w:cs="Times New Roman"/>
          <w:color w:val="auto"/>
          <w:kern w:val="0"/>
          <w:sz w:val="24"/>
          <w:szCs w:val="24"/>
        </w:rPr>
        <w:t xml:space="preserve"> </w:t>
      </w:r>
      <w:r w:rsidR="00392487">
        <w:rPr>
          <w:rFonts w:ascii="Book Antiqua" w:eastAsia="宋体" w:hAnsi="Book Antiqua" w:cs="Times New Roman"/>
          <w:color w:val="auto"/>
          <w:kern w:val="0"/>
          <w:sz w:val="24"/>
          <w:szCs w:val="24"/>
        </w:rPr>
        <w:t xml:space="preserve">Wang TQ </w:t>
      </w:r>
      <w:r w:rsidRPr="00DA5FD0">
        <w:rPr>
          <w:rFonts w:ascii="Book Antiqua" w:eastAsia="宋体" w:hAnsi="Book Antiqua" w:cs="Times New Roman"/>
          <w:b/>
          <w:bCs/>
          <w:color w:val="auto"/>
          <w:kern w:val="0"/>
          <w:sz w:val="24"/>
          <w:szCs w:val="24"/>
        </w:rPr>
        <w:t>E-Editor:</w:t>
      </w:r>
    </w:p>
    <w:p w14:paraId="4E7C0FDB" w14:textId="77777777" w:rsidR="00DA5FD0" w:rsidRPr="00DA5FD0" w:rsidRDefault="00DA5FD0" w:rsidP="00DA5FD0">
      <w:pPr>
        <w:framePr w:wrap="auto"/>
        <w:widowControl/>
        <w:shd w:val="clear" w:color="auto" w:fill="FFFFFF"/>
        <w:snapToGrid w:val="0"/>
        <w:spacing w:line="360" w:lineRule="auto"/>
        <w:rPr>
          <w:rFonts w:ascii="Book Antiqua" w:eastAsia="宋体" w:hAnsi="Book Antiqua" w:cs="Helvetica"/>
          <w:b/>
          <w:color w:val="auto"/>
          <w:kern w:val="0"/>
          <w:sz w:val="24"/>
          <w:szCs w:val="24"/>
        </w:rPr>
      </w:pPr>
      <w:bookmarkStart w:id="153" w:name="OLE_LINK880"/>
      <w:bookmarkStart w:id="154" w:name="OLE_LINK88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DA5FD0">
        <w:rPr>
          <w:rFonts w:ascii="Book Antiqua" w:eastAsia="宋体" w:hAnsi="Book Antiqua" w:cs="Helvetica"/>
          <w:b/>
          <w:color w:val="auto"/>
          <w:kern w:val="0"/>
          <w:sz w:val="24"/>
          <w:szCs w:val="24"/>
        </w:rPr>
        <w:t xml:space="preserve">Specialty type: </w:t>
      </w:r>
      <w:r w:rsidRPr="00DA5FD0">
        <w:rPr>
          <w:rFonts w:ascii="Book Antiqua" w:eastAsia="宋体" w:hAnsi="Book Antiqua" w:cs="Helvetica"/>
          <w:color w:val="auto"/>
          <w:kern w:val="0"/>
          <w:sz w:val="24"/>
          <w:szCs w:val="24"/>
        </w:rPr>
        <w:t>Gastroenterology and</w:t>
      </w:r>
      <w:r w:rsidRPr="00DA5FD0">
        <w:rPr>
          <w:rFonts w:ascii="Book Antiqua" w:eastAsia="宋体" w:hAnsi="Book Antiqua" w:cs="Helvetica" w:hint="eastAsia"/>
          <w:color w:val="auto"/>
          <w:kern w:val="0"/>
          <w:sz w:val="24"/>
          <w:szCs w:val="24"/>
        </w:rPr>
        <w:t xml:space="preserve"> </w:t>
      </w:r>
      <w:r w:rsidRPr="00DA5FD0">
        <w:rPr>
          <w:rFonts w:ascii="Book Antiqua" w:eastAsia="宋体" w:hAnsi="Book Antiqua" w:cs="Helvetica"/>
          <w:color w:val="auto"/>
          <w:kern w:val="0"/>
          <w:sz w:val="24"/>
          <w:szCs w:val="24"/>
        </w:rPr>
        <w:t>hepatology</w:t>
      </w:r>
    </w:p>
    <w:p w14:paraId="08791124" w14:textId="77777777" w:rsidR="00DA5FD0" w:rsidRPr="00DA5FD0" w:rsidRDefault="00DA5FD0" w:rsidP="00DA5FD0">
      <w:pPr>
        <w:framePr w:wrap="auto"/>
        <w:widowControl/>
        <w:shd w:val="clear" w:color="auto" w:fill="FFFFFF"/>
        <w:snapToGrid w:val="0"/>
        <w:spacing w:line="360" w:lineRule="auto"/>
        <w:rPr>
          <w:rFonts w:ascii="Book Antiqua" w:eastAsia="宋体" w:hAnsi="Book Antiqua" w:cs="Helvetica"/>
          <w:b/>
          <w:color w:val="auto"/>
          <w:kern w:val="0"/>
          <w:sz w:val="24"/>
          <w:szCs w:val="24"/>
        </w:rPr>
      </w:pPr>
      <w:r w:rsidRPr="00DA5FD0">
        <w:rPr>
          <w:rFonts w:ascii="Book Antiqua" w:eastAsia="宋体" w:hAnsi="Book Antiqua" w:cs="Helvetica"/>
          <w:b/>
          <w:color w:val="auto"/>
          <w:kern w:val="0"/>
          <w:sz w:val="24"/>
          <w:szCs w:val="24"/>
        </w:rPr>
        <w:t xml:space="preserve">Country of origin: </w:t>
      </w:r>
      <w:r w:rsidRPr="00DA5FD0">
        <w:rPr>
          <w:rFonts w:ascii="Book Antiqua" w:eastAsia="宋体" w:hAnsi="Book Antiqua" w:cs="Helvetica"/>
          <w:color w:val="auto"/>
          <w:kern w:val="0"/>
          <w:sz w:val="24"/>
          <w:szCs w:val="24"/>
        </w:rPr>
        <w:t>China</w:t>
      </w:r>
    </w:p>
    <w:p w14:paraId="2793379E" w14:textId="77777777" w:rsidR="00DA5FD0" w:rsidRPr="00DA5FD0" w:rsidRDefault="00DA5FD0" w:rsidP="00DA5FD0">
      <w:pPr>
        <w:framePr w:wrap="auto"/>
        <w:widowControl/>
        <w:shd w:val="clear" w:color="auto" w:fill="FFFFFF"/>
        <w:snapToGrid w:val="0"/>
        <w:spacing w:line="360" w:lineRule="auto"/>
        <w:rPr>
          <w:rFonts w:ascii="Book Antiqua" w:eastAsia="宋体" w:hAnsi="Book Antiqua" w:cs="Helvetica"/>
          <w:b/>
          <w:color w:val="auto"/>
          <w:kern w:val="0"/>
          <w:sz w:val="24"/>
          <w:szCs w:val="24"/>
        </w:rPr>
      </w:pPr>
      <w:r w:rsidRPr="00DA5FD0">
        <w:rPr>
          <w:rFonts w:ascii="Book Antiqua" w:eastAsia="宋体" w:hAnsi="Book Antiqua" w:cs="Helvetica"/>
          <w:b/>
          <w:color w:val="auto"/>
          <w:kern w:val="0"/>
          <w:sz w:val="24"/>
          <w:szCs w:val="24"/>
        </w:rPr>
        <w:t>Peer-review report classification</w:t>
      </w:r>
    </w:p>
    <w:p w14:paraId="55C98250" w14:textId="690B5A29" w:rsidR="00DA5FD0" w:rsidRPr="00DA5FD0" w:rsidRDefault="00DA5FD0" w:rsidP="00DA5FD0">
      <w:pPr>
        <w:framePr w:wrap="auto"/>
        <w:widowControl/>
        <w:shd w:val="clear" w:color="auto" w:fill="FFFFFF"/>
        <w:snapToGrid w:val="0"/>
        <w:spacing w:line="360" w:lineRule="auto"/>
        <w:rPr>
          <w:rFonts w:ascii="Book Antiqua" w:eastAsia="宋体" w:hAnsi="Book Antiqua" w:cs="Helvetica"/>
          <w:color w:val="auto"/>
          <w:kern w:val="0"/>
          <w:sz w:val="24"/>
          <w:szCs w:val="24"/>
        </w:rPr>
      </w:pPr>
      <w:r w:rsidRPr="00DA5FD0">
        <w:rPr>
          <w:rFonts w:ascii="Book Antiqua" w:eastAsia="宋体" w:hAnsi="Book Antiqua" w:cs="Helvetica"/>
          <w:color w:val="auto"/>
          <w:kern w:val="0"/>
          <w:sz w:val="24"/>
          <w:szCs w:val="24"/>
        </w:rPr>
        <w:t xml:space="preserve">Grade A (Excellent): </w:t>
      </w:r>
      <w:r w:rsidR="00180981">
        <w:rPr>
          <w:rFonts w:ascii="Book Antiqua" w:eastAsia="宋体" w:hAnsi="Book Antiqua" w:cs="Helvetica"/>
          <w:color w:val="auto"/>
          <w:kern w:val="0"/>
          <w:sz w:val="24"/>
          <w:szCs w:val="24"/>
        </w:rPr>
        <w:t>A</w:t>
      </w:r>
    </w:p>
    <w:p w14:paraId="2E990FB4" w14:textId="77777777" w:rsidR="00DA5FD0" w:rsidRPr="00DA5FD0" w:rsidRDefault="00DA5FD0" w:rsidP="00DA5FD0">
      <w:pPr>
        <w:framePr w:wrap="auto"/>
        <w:widowControl/>
        <w:shd w:val="clear" w:color="auto" w:fill="FFFFFF"/>
        <w:snapToGrid w:val="0"/>
        <w:spacing w:line="360" w:lineRule="auto"/>
        <w:rPr>
          <w:rFonts w:ascii="Book Antiqua" w:eastAsia="宋体" w:hAnsi="Book Antiqua" w:cs="Helvetica"/>
          <w:color w:val="auto"/>
          <w:kern w:val="0"/>
          <w:sz w:val="24"/>
          <w:szCs w:val="24"/>
        </w:rPr>
      </w:pPr>
      <w:r w:rsidRPr="00DA5FD0">
        <w:rPr>
          <w:rFonts w:ascii="Book Antiqua" w:eastAsia="宋体" w:hAnsi="Book Antiqua" w:cs="Helvetica"/>
          <w:color w:val="auto"/>
          <w:kern w:val="0"/>
          <w:sz w:val="24"/>
          <w:szCs w:val="24"/>
        </w:rPr>
        <w:t xml:space="preserve">Grade B (Very good): </w:t>
      </w:r>
      <w:r w:rsidRPr="00DA5FD0">
        <w:rPr>
          <w:rFonts w:ascii="Book Antiqua" w:eastAsia="宋体" w:hAnsi="Book Antiqua" w:cs="Helvetica" w:hint="eastAsia"/>
          <w:color w:val="auto"/>
          <w:kern w:val="0"/>
          <w:sz w:val="24"/>
          <w:szCs w:val="24"/>
        </w:rPr>
        <w:t>B</w:t>
      </w:r>
    </w:p>
    <w:p w14:paraId="40FC41A9" w14:textId="112371AE" w:rsidR="00DA5FD0" w:rsidRPr="00DA5FD0" w:rsidRDefault="00DA5FD0" w:rsidP="00DA5FD0">
      <w:pPr>
        <w:framePr w:wrap="auto"/>
        <w:widowControl/>
        <w:shd w:val="clear" w:color="auto" w:fill="FFFFFF"/>
        <w:snapToGrid w:val="0"/>
        <w:spacing w:line="360" w:lineRule="auto"/>
        <w:rPr>
          <w:rFonts w:ascii="Book Antiqua" w:eastAsia="宋体" w:hAnsi="Book Antiqua" w:cs="Helvetica"/>
          <w:color w:val="auto"/>
          <w:kern w:val="0"/>
          <w:sz w:val="24"/>
          <w:szCs w:val="24"/>
        </w:rPr>
      </w:pPr>
      <w:r w:rsidRPr="00DA5FD0">
        <w:rPr>
          <w:rFonts w:ascii="Book Antiqua" w:eastAsia="宋体" w:hAnsi="Book Antiqua" w:cs="Helvetica"/>
          <w:color w:val="auto"/>
          <w:kern w:val="0"/>
          <w:sz w:val="24"/>
          <w:szCs w:val="24"/>
        </w:rPr>
        <w:t xml:space="preserve">Grade C (Good): </w:t>
      </w:r>
      <w:r w:rsidR="00180981">
        <w:rPr>
          <w:rFonts w:ascii="Book Antiqua" w:eastAsia="宋体" w:hAnsi="Book Antiqua" w:cs="Helvetica"/>
          <w:color w:val="auto"/>
          <w:kern w:val="0"/>
          <w:sz w:val="24"/>
          <w:szCs w:val="24"/>
        </w:rPr>
        <w:t>0</w:t>
      </w:r>
    </w:p>
    <w:p w14:paraId="286FBEFF" w14:textId="77777777" w:rsidR="00DA5FD0" w:rsidRPr="00DA5FD0" w:rsidRDefault="00DA5FD0" w:rsidP="00DA5FD0">
      <w:pPr>
        <w:framePr w:wrap="auto"/>
        <w:widowControl/>
        <w:shd w:val="clear" w:color="auto" w:fill="FFFFFF"/>
        <w:snapToGrid w:val="0"/>
        <w:spacing w:line="360" w:lineRule="auto"/>
        <w:rPr>
          <w:rFonts w:ascii="Book Antiqua" w:eastAsia="宋体" w:hAnsi="Book Antiqua" w:cs="Helvetica"/>
          <w:color w:val="auto"/>
          <w:kern w:val="0"/>
          <w:sz w:val="24"/>
          <w:szCs w:val="24"/>
        </w:rPr>
      </w:pPr>
      <w:r w:rsidRPr="00DA5FD0">
        <w:rPr>
          <w:rFonts w:ascii="Book Antiqua" w:eastAsia="宋体" w:hAnsi="Book Antiqua" w:cs="Helvetica"/>
          <w:color w:val="auto"/>
          <w:kern w:val="0"/>
          <w:sz w:val="24"/>
          <w:szCs w:val="24"/>
        </w:rPr>
        <w:t xml:space="preserve">Grade D (Fair): </w:t>
      </w:r>
      <w:r w:rsidRPr="00DA5FD0">
        <w:rPr>
          <w:rFonts w:ascii="Book Antiqua" w:eastAsia="宋体" w:hAnsi="Book Antiqua" w:cs="Helvetica" w:hint="eastAsia"/>
          <w:color w:val="auto"/>
          <w:kern w:val="0"/>
          <w:sz w:val="24"/>
          <w:szCs w:val="24"/>
        </w:rPr>
        <w:t>0</w:t>
      </w:r>
    </w:p>
    <w:p w14:paraId="61FF04DE" w14:textId="77777777" w:rsidR="00DA5FD0" w:rsidRPr="00DA5FD0" w:rsidRDefault="00DA5FD0" w:rsidP="00DA5FD0">
      <w:pPr>
        <w:framePr w:wrap="auto"/>
        <w:widowControl/>
        <w:snapToGrid w:val="0"/>
        <w:spacing w:line="360" w:lineRule="auto"/>
        <w:rPr>
          <w:rFonts w:ascii="Book Antiqua" w:eastAsia="宋体" w:hAnsi="Book Antiqua" w:cs="Times New Roman"/>
          <w:b/>
          <w:iCs/>
          <w:color w:val="auto"/>
          <w:kern w:val="0"/>
          <w:sz w:val="24"/>
          <w:szCs w:val="24"/>
        </w:rPr>
      </w:pPr>
      <w:r w:rsidRPr="00DA5FD0">
        <w:rPr>
          <w:rFonts w:ascii="Book Antiqua" w:eastAsia="宋体" w:hAnsi="Book Antiqua" w:cs="Helvetica"/>
          <w:color w:val="auto"/>
          <w:kern w:val="0"/>
          <w:sz w:val="24"/>
          <w:szCs w:val="24"/>
        </w:rPr>
        <w:lastRenderedPageBreak/>
        <w:t xml:space="preserve">Grade E (Poor): </w:t>
      </w:r>
      <w:r w:rsidRPr="00DA5FD0">
        <w:rPr>
          <w:rFonts w:ascii="Book Antiqua" w:eastAsia="宋体" w:hAnsi="Book Antiqua" w:cs="Helvetica" w:hint="eastAsia"/>
          <w:color w:val="auto"/>
          <w:kern w:val="0"/>
          <w:sz w:val="24"/>
          <w:szCs w:val="24"/>
        </w:rPr>
        <w:t>0</w:t>
      </w:r>
      <w:bookmarkEnd w:id="148"/>
      <w:bookmarkEnd w:id="153"/>
      <w:bookmarkEnd w:id="154"/>
    </w:p>
    <w:bookmarkEnd w:id="149"/>
    <w:bookmarkEnd w:id="150"/>
    <w:bookmarkEnd w:id="151"/>
    <w:bookmarkEnd w:id="152"/>
    <w:p w14:paraId="1B72471B" w14:textId="77777777" w:rsidR="00DA5FD0" w:rsidRPr="00DA5FD0" w:rsidRDefault="00DA5FD0" w:rsidP="00974D6D">
      <w:pPr>
        <w:framePr w:wrap="auto"/>
        <w:adjustRightInd w:val="0"/>
        <w:snapToGrid w:val="0"/>
        <w:spacing w:line="360" w:lineRule="auto"/>
        <w:rPr>
          <w:rFonts w:ascii="Book Antiqua" w:eastAsia="宋体" w:hAnsi="Book Antiqua" w:cs="Times New Roman"/>
          <w:color w:val="auto"/>
          <w:sz w:val="24"/>
          <w:szCs w:val="22"/>
        </w:rPr>
      </w:pPr>
    </w:p>
    <w:p w14:paraId="46F93623" w14:textId="77777777" w:rsidR="00F474B9" w:rsidRPr="00974D6D" w:rsidRDefault="00F474B9" w:rsidP="00974D6D">
      <w:pPr>
        <w:framePr w:wrap="auto"/>
        <w:widowControl/>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br w:type="page"/>
      </w:r>
    </w:p>
    <w:p w14:paraId="08A4ED2F" w14:textId="7450419C" w:rsidR="00FD1EED" w:rsidRDefault="00FD1EED" w:rsidP="00974D6D">
      <w:pPr>
        <w:framePr w:wrap="auto"/>
        <w:adjustRightInd w:val="0"/>
        <w:snapToGrid w:val="0"/>
        <w:spacing w:line="360" w:lineRule="auto"/>
        <w:rPr>
          <w:rFonts w:ascii="Book Antiqua" w:eastAsia="宋体" w:hAnsi="Book Antiqua" w:cs="Times New Roman"/>
          <w:b/>
          <w:noProof/>
          <w:color w:val="auto"/>
          <w:sz w:val="24"/>
          <w:szCs w:val="22"/>
        </w:rPr>
      </w:pPr>
      <w:r>
        <w:rPr>
          <w:noProof/>
        </w:rPr>
        <w:lastRenderedPageBreak/>
        <w:drawing>
          <wp:inline distT="0" distB="0" distL="0" distR="0" wp14:anchorId="53889351" wp14:editId="39887C2B">
            <wp:extent cx="4857143" cy="524761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57143" cy="5247619"/>
                    </a:xfrm>
                    <a:prstGeom prst="rect">
                      <a:avLst/>
                    </a:prstGeom>
                  </pic:spPr>
                </pic:pic>
              </a:graphicData>
            </a:graphic>
          </wp:inline>
        </w:drawing>
      </w:r>
    </w:p>
    <w:p w14:paraId="06E546A8" w14:textId="184053B3" w:rsidR="00F474B9" w:rsidRPr="00974D6D"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974D6D">
        <w:rPr>
          <w:rFonts w:ascii="Book Antiqua" w:eastAsia="宋体" w:hAnsi="Book Antiqua" w:cs="Times New Roman"/>
          <w:b/>
          <w:color w:val="auto"/>
          <w:sz w:val="24"/>
          <w:szCs w:val="22"/>
        </w:rPr>
        <w:t xml:space="preserve">Figure 1 General design </w:t>
      </w:r>
      <w:r w:rsidR="00392487">
        <w:rPr>
          <w:rFonts w:ascii="Book Antiqua" w:eastAsia="宋体" w:hAnsi="Book Antiqua" w:cs="Times New Roman"/>
          <w:b/>
          <w:color w:val="auto"/>
          <w:sz w:val="24"/>
          <w:szCs w:val="22"/>
        </w:rPr>
        <w:t>of</w:t>
      </w:r>
      <w:r w:rsidR="00392487" w:rsidRPr="00974D6D">
        <w:rPr>
          <w:rFonts w:ascii="Book Antiqua" w:eastAsia="宋体" w:hAnsi="Book Antiqua" w:cs="Times New Roman"/>
          <w:b/>
          <w:color w:val="auto"/>
          <w:sz w:val="24"/>
          <w:szCs w:val="22"/>
        </w:rPr>
        <w:t xml:space="preserve"> </w:t>
      </w:r>
      <w:r w:rsidRPr="00974D6D">
        <w:rPr>
          <w:rFonts w:ascii="Book Antiqua" w:eastAsia="宋体" w:hAnsi="Book Antiqua" w:cs="Times New Roman"/>
          <w:b/>
          <w:color w:val="auto"/>
          <w:sz w:val="24"/>
          <w:szCs w:val="22"/>
        </w:rPr>
        <w:t>this study.</w:t>
      </w:r>
    </w:p>
    <w:p w14:paraId="24D45ADF" w14:textId="44104D1F" w:rsidR="00FD1EED" w:rsidRDefault="00FD1EED">
      <w:pPr>
        <w:framePr w:wrap="auto"/>
        <w:widowControl/>
        <w:jc w:val="left"/>
        <w:rPr>
          <w:rFonts w:ascii="Book Antiqua" w:eastAsia="宋体" w:hAnsi="Book Antiqua" w:cs="Times New Roman"/>
          <w:b/>
          <w:color w:val="auto"/>
          <w:sz w:val="24"/>
          <w:szCs w:val="22"/>
        </w:rPr>
      </w:pPr>
      <w:r>
        <w:rPr>
          <w:rFonts w:ascii="Book Antiqua" w:eastAsia="宋体" w:hAnsi="Book Antiqua" w:cs="Times New Roman"/>
          <w:b/>
          <w:color w:val="auto"/>
          <w:sz w:val="24"/>
          <w:szCs w:val="22"/>
        </w:rPr>
        <w:br w:type="page"/>
      </w:r>
    </w:p>
    <w:p w14:paraId="6085BC87" w14:textId="7A485A5F" w:rsidR="003936A7" w:rsidRPr="00974D6D" w:rsidRDefault="003936A7" w:rsidP="00974D6D">
      <w:pPr>
        <w:framePr w:wrap="auto"/>
        <w:adjustRightInd w:val="0"/>
        <w:snapToGrid w:val="0"/>
        <w:spacing w:line="360" w:lineRule="auto"/>
        <w:rPr>
          <w:rFonts w:ascii="Book Antiqua" w:eastAsia="宋体" w:hAnsi="Book Antiqua" w:cs="Times New Roman"/>
          <w:color w:val="auto"/>
          <w:sz w:val="24"/>
          <w:szCs w:val="22"/>
        </w:rPr>
      </w:pPr>
      <w:r>
        <w:rPr>
          <w:noProof/>
        </w:rPr>
        <w:lastRenderedPageBreak/>
        <w:drawing>
          <wp:inline distT="0" distB="0" distL="0" distR="0" wp14:anchorId="64D48E91" wp14:editId="438256CA">
            <wp:extent cx="5270500" cy="366800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0500" cy="3668000"/>
                    </a:xfrm>
                    <a:prstGeom prst="rect">
                      <a:avLst/>
                    </a:prstGeom>
                  </pic:spPr>
                </pic:pic>
              </a:graphicData>
            </a:graphic>
          </wp:inline>
        </w:drawing>
      </w:r>
    </w:p>
    <w:p w14:paraId="2EDC6AE8" w14:textId="18D82A7A" w:rsidR="00F474B9" w:rsidRPr="00974D6D"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974D6D">
        <w:rPr>
          <w:rFonts w:ascii="Book Antiqua" w:eastAsia="宋体" w:hAnsi="Book Antiqua" w:cs="Times New Roman"/>
          <w:b/>
          <w:color w:val="auto"/>
          <w:sz w:val="24"/>
          <w:szCs w:val="22"/>
        </w:rPr>
        <w:t>Figure 2</w:t>
      </w:r>
      <w:r w:rsidRPr="00974D6D">
        <w:rPr>
          <w:rFonts w:ascii="Book Antiqua" w:eastAsia="宋体" w:hAnsi="Book Antiqua" w:cs="Times New Roman"/>
          <w:color w:val="auto"/>
          <w:sz w:val="24"/>
          <w:szCs w:val="22"/>
        </w:rPr>
        <w:t xml:space="preserve"> </w:t>
      </w:r>
      <w:r w:rsidRPr="00974D6D">
        <w:rPr>
          <w:rFonts w:ascii="Book Antiqua" w:eastAsia="宋体" w:hAnsi="Book Antiqua" w:cs="Times New Roman"/>
          <w:b/>
          <w:color w:val="auto"/>
          <w:sz w:val="24"/>
          <w:szCs w:val="22"/>
        </w:rPr>
        <w:t>Immune infiltrate landscape for hepatitis B virus-rela</w:t>
      </w:r>
      <w:r w:rsidR="00670C28">
        <w:rPr>
          <w:rFonts w:ascii="Book Antiqua" w:eastAsia="宋体" w:hAnsi="Book Antiqua" w:cs="Times New Roman"/>
          <w:b/>
          <w:color w:val="auto"/>
          <w:sz w:val="24"/>
          <w:szCs w:val="22"/>
        </w:rPr>
        <w:t xml:space="preserve">ted hepatocellular carcinoma. </w:t>
      </w:r>
      <w:r w:rsidR="00670C28" w:rsidRPr="007C638F">
        <w:rPr>
          <w:rFonts w:ascii="Book Antiqua" w:eastAsia="宋体" w:hAnsi="Book Antiqua" w:cs="Times New Roman"/>
          <w:color w:val="auto"/>
          <w:sz w:val="24"/>
          <w:szCs w:val="22"/>
        </w:rPr>
        <w:t>A</w:t>
      </w:r>
      <w:r w:rsidR="00670C28" w:rsidRPr="007C638F">
        <w:rPr>
          <w:rFonts w:ascii="Book Antiqua" w:eastAsia="宋体" w:hAnsi="Book Antiqua" w:cs="Times New Roman" w:hint="eastAsia"/>
          <w:color w:val="auto"/>
          <w:sz w:val="24"/>
          <w:szCs w:val="22"/>
        </w:rPr>
        <w:t>:</w:t>
      </w:r>
      <w:r w:rsidRPr="00974D6D">
        <w:rPr>
          <w:rFonts w:ascii="Book Antiqua" w:eastAsia="宋体" w:hAnsi="Book Antiqua" w:cs="Times New Roman"/>
          <w:b/>
          <w:color w:val="auto"/>
          <w:sz w:val="24"/>
          <w:szCs w:val="22"/>
        </w:rPr>
        <w:t xml:space="preserve"> </w:t>
      </w:r>
      <w:r w:rsidRPr="00974D6D">
        <w:rPr>
          <w:rFonts w:ascii="Book Antiqua" w:eastAsia="宋体" w:hAnsi="Book Antiqua" w:cs="Times New Roman"/>
          <w:color w:val="auto"/>
          <w:sz w:val="24"/>
          <w:szCs w:val="22"/>
        </w:rPr>
        <w:t>Immune infiltrate composition in each sample.</w:t>
      </w:r>
      <w:r w:rsidRPr="00974D6D">
        <w:rPr>
          <w:rFonts w:ascii="Book Antiqua" w:eastAsia="宋体" w:hAnsi="Book Antiqua" w:cs="Times New Roman"/>
          <w:b/>
          <w:color w:val="auto"/>
          <w:sz w:val="24"/>
          <w:szCs w:val="22"/>
        </w:rPr>
        <w:t xml:space="preserve"> </w:t>
      </w:r>
      <w:r w:rsidR="00670C28">
        <w:rPr>
          <w:rFonts w:ascii="Book Antiqua" w:eastAsia="宋体" w:hAnsi="Book Antiqua" w:cs="Times New Roman"/>
          <w:color w:val="auto"/>
          <w:sz w:val="24"/>
          <w:szCs w:val="22"/>
        </w:rPr>
        <w:t>B</w:t>
      </w:r>
      <w:r w:rsidR="00670C28">
        <w:rPr>
          <w:rFonts w:ascii="Book Antiqua" w:eastAsia="宋体" w:hAnsi="Book Antiqua" w:cs="Times New Roman" w:hint="eastAsia"/>
          <w:color w:val="auto"/>
          <w:sz w:val="24"/>
          <w:szCs w:val="22"/>
        </w:rPr>
        <w:t>:</w:t>
      </w:r>
      <w:r w:rsidRPr="00460CBB">
        <w:rPr>
          <w:rFonts w:ascii="Book Antiqua" w:eastAsia="宋体" w:hAnsi="Book Antiqua" w:cs="Times New Roman"/>
          <w:color w:val="auto"/>
          <w:sz w:val="24"/>
          <w:szCs w:val="22"/>
        </w:rPr>
        <w:t xml:space="preserve"> </w:t>
      </w:r>
      <w:r w:rsidRPr="00974D6D">
        <w:rPr>
          <w:rFonts w:ascii="Book Antiqua" w:eastAsia="宋体" w:hAnsi="Book Antiqua" w:cs="Times New Roman"/>
          <w:color w:val="auto"/>
          <w:sz w:val="24"/>
          <w:szCs w:val="22"/>
        </w:rPr>
        <w:t xml:space="preserve">Heatmap showing the 20 fractions of immunocytes, where the horizontal axis </w:t>
      </w:r>
      <w:r w:rsidR="00392487" w:rsidRPr="00974D6D">
        <w:rPr>
          <w:rFonts w:ascii="Book Antiqua" w:eastAsia="宋体" w:hAnsi="Book Antiqua" w:cs="Times New Roman"/>
          <w:color w:val="auto"/>
          <w:sz w:val="24"/>
          <w:szCs w:val="22"/>
        </w:rPr>
        <w:t>display</w:t>
      </w:r>
      <w:r w:rsidR="00392487">
        <w:rPr>
          <w:rFonts w:ascii="Book Antiqua" w:eastAsia="宋体" w:hAnsi="Book Antiqua" w:cs="Times New Roman"/>
          <w:color w:val="auto"/>
          <w:sz w:val="24"/>
          <w:szCs w:val="22"/>
        </w:rPr>
        <w:t>s</w:t>
      </w:r>
      <w:r w:rsidR="00392487" w:rsidRPr="00974D6D">
        <w:rPr>
          <w:rFonts w:ascii="Book Antiqua" w:eastAsia="宋体" w:hAnsi="Book Antiqua" w:cs="Times New Roman"/>
          <w:color w:val="auto"/>
          <w:sz w:val="24"/>
          <w:szCs w:val="22"/>
        </w:rPr>
        <w:t xml:space="preserve"> </w:t>
      </w:r>
      <w:r w:rsidRPr="00974D6D">
        <w:rPr>
          <w:rFonts w:ascii="Book Antiqua" w:eastAsia="宋体" w:hAnsi="Book Antiqua" w:cs="Times New Roman"/>
          <w:color w:val="auto"/>
          <w:sz w:val="24"/>
          <w:szCs w:val="22"/>
        </w:rPr>
        <w:t xml:space="preserve">samples that </w:t>
      </w:r>
      <w:r w:rsidR="006974FA" w:rsidRPr="00974D6D">
        <w:rPr>
          <w:rFonts w:ascii="Book Antiqua" w:eastAsia="宋体" w:hAnsi="Book Antiqua" w:cs="Times New Roman"/>
          <w:color w:val="auto"/>
          <w:sz w:val="24"/>
          <w:szCs w:val="22"/>
        </w:rPr>
        <w:t>were</w:t>
      </w:r>
      <w:r w:rsidRPr="00974D6D">
        <w:rPr>
          <w:rFonts w:ascii="Book Antiqua" w:eastAsia="宋体" w:hAnsi="Book Antiqua" w:cs="Times New Roman"/>
          <w:color w:val="auto"/>
          <w:sz w:val="24"/>
          <w:szCs w:val="22"/>
        </w:rPr>
        <w:t xml:space="preserve"> c</w:t>
      </w:r>
      <w:r w:rsidR="00A7173C">
        <w:rPr>
          <w:rFonts w:ascii="Book Antiqua" w:eastAsia="宋体" w:hAnsi="Book Antiqua" w:cs="Times New Roman"/>
          <w:color w:val="auto"/>
          <w:sz w:val="24"/>
          <w:szCs w:val="22"/>
        </w:rPr>
        <w:t xml:space="preserve">lassified as </w:t>
      </w:r>
      <w:r w:rsidR="00392487">
        <w:rPr>
          <w:rFonts w:ascii="Book Antiqua" w:eastAsia="宋体" w:hAnsi="Book Antiqua" w:cs="Times New Roman"/>
          <w:color w:val="auto"/>
          <w:sz w:val="24"/>
          <w:szCs w:val="22"/>
        </w:rPr>
        <w:t xml:space="preserve">two </w:t>
      </w:r>
      <w:r w:rsidR="00A7173C">
        <w:rPr>
          <w:rFonts w:ascii="Book Antiqua" w:eastAsia="宋体" w:hAnsi="Book Antiqua" w:cs="Times New Roman"/>
          <w:color w:val="auto"/>
          <w:sz w:val="24"/>
          <w:szCs w:val="22"/>
        </w:rPr>
        <w:t>leading clusters</w:t>
      </w:r>
      <w:r w:rsidR="00A7173C">
        <w:rPr>
          <w:rFonts w:ascii="Book Antiqua" w:eastAsia="宋体" w:hAnsi="Book Antiqua" w:cs="Times New Roman" w:hint="eastAsia"/>
          <w:color w:val="auto"/>
          <w:sz w:val="24"/>
          <w:szCs w:val="22"/>
        </w:rPr>
        <w:t>;</w:t>
      </w:r>
      <w:r w:rsidR="00670C28">
        <w:rPr>
          <w:rFonts w:ascii="Book Antiqua" w:eastAsia="宋体" w:hAnsi="Book Antiqua" w:cs="Times New Roman"/>
          <w:b/>
          <w:color w:val="auto"/>
          <w:sz w:val="24"/>
          <w:szCs w:val="22"/>
        </w:rPr>
        <w:t xml:space="preserve"> </w:t>
      </w:r>
      <w:r w:rsidR="00670C28" w:rsidRPr="007C638F">
        <w:rPr>
          <w:rFonts w:ascii="Book Antiqua" w:eastAsia="宋体" w:hAnsi="Book Antiqua" w:cs="Times New Roman"/>
          <w:color w:val="auto"/>
          <w:sz w:val="24"/>
          <w:szCs w:val="22"/>
        </w:rPr>
        <w:t>C</w:t>
      </w:r>
      <w:r w:rsidR="00670C28" w:rsidRPr="007C638F">
        <w:rPr>
          <w:rFonts w:ascii="Book Antiqua" w:eastAsia="宋体" w:hAnsi="Book Antiqua" w:cs="Times New Roman" w:hint="eastAsia"/>
          <w:color w:val="auto"/>
          <w:sz w:val="24"/>
          <w:szCs w:val="22"/>
        </w:rPr>
        <w:t>:</w:t>
      </w:r>
      <w:r w:rsidRPr="00974D6D">
        <w:rPr>
          <w:rFonts w:ascii="Book Antiqua" w:eastAsia="宋体" w:hAnsi="Book Antiqua" w:cs="Times New Roman"/>
          <w:b/>
          <w:color w:val="auto"/>
          <w:sz w:val="24"/>
          <w:szCs w:val="22"/>
        </w:rPr>
        <w:t xml:space="preserve"> </w:t>
      </w:r>
      <w:r w:rsidRPr="00974D6D">
        <w:rPr>
          <w:rFonts w:ascii="Book Antiqua" w:eastAsia="宋体" w:hAnsi="Book Antiqua" w:cs="Times New Roman"/>
          <w:color w:val="auto"/>
          <w:sz w:val="24"/>
          <w:szCs w:val="22"/>
        </w:rPr>
        <w:t xml:space="preserve">Correlation matrix for the 20 immunocyte proportions as well as the immunocyte lytic activity. Variables </w:t>
      </w:r>
      <w:r w:rsidR="006974FA" w:rsidRPr="00974D6D">
        <w:rPr>
          <w:rFonts w:ascii="Book Antiqua" w:eastAsia="宋体" w:hAnsi="Book Antiqua" w:cs="Times New Roman"/>
          <w:color w:val="auto"/>
          <w:sz w:val="24"/>
          <w:szCs w:val="22"/>
        </w:rPr>
        <w:t>were</w:t>
      </w:r>
      <w:r w:rsidRPr="00974D6D">
        <w:rPr>
          <w:rFonts w:ascii="Book Antiqua" w:eastAsia="宋体" w:hAnsi="Book Antiqua" w:cs="Times New Roman"/>
          <w:color w:val="auto"/>
          <w:sz w:val="24"/>
          <w:szCs w:val="22"/>
        </w:rPr>
        <w:t xml:space="preserve"> sorted according</w:t>
      </w:r>
      <w:r w:rsidR="00A7173C">
        <w:rPr>
          <w:rFonts w:ascii="Book Antiqua" w:eastAsia="宋体" w:hAnsi="Book Antiqua" w:cs="Times New Roman"/>
          <w:color w:val="auto"/>
          <w:sz w:val="24"/>
          <w:szCs w:val="22"/>
        </w:rPr>
        <w:t xml:space="preserve"> to the mean linkage clustering</w:t>
      </w:r>
      <w:r w:rsidR="00A7173C">
        <w:rPr>
          <w:rFonts w:ascii="Book Antiqua" w:eastAsia="宋体" w:hAnsi="Book Antiqua" w:cs="Times New Roman" w:hint="eastAsia"/>
          <w:color w:val="auto"/>
          <w:sz w:val="24"/>
          <w:szCs w:val="22"/>
        </w:rPr>
        <w:t>;</w:t>
      </w:r>
      <w:r w:rsidRPr="00974D6D">
        <w:rPr>
          <w:rFonts w:ascii="Book Antiqua" w:eastAsia="宋体" w:hAnsi="Book Antiqua" w:cs="Times New Roman"/>
          <w:b/>
          <w:color w:val="auto"/>
          <w:sz w:val="24"/>
          <w:szCs w:val="22"/>
        </w:rPr>
        <w:t xml:space="preserve"> </w:t>
      </w:r>
      <w:r w:rsidRPr="00460CBB">
        <w:rPr>
          <w:rFonts w:ascii="Book Antiqua" w:eastAsia="宋体" w:hAnsi="Book Antiqua" w:cs="Times New Roman"/>
          <w:color w:val="auto"/>
          <w:sz w:val="24"/>
          <w:szCs w:val="22"/>
        </w:rPr>
        <w:t>D</w:t>
      </w:r>
      <w:r w:rsidR="00670C28">
        <w:rPr>
          <w:rFonts w:ascii="Book Antiqua" w:eastAsia="宋体" w:hAnsi="Book Antiqua" w:cs="Times New Roman" w:hint="eastAsia"/>
          <w:color w:val="auto"/>
          <w:sz w:val="24"/>
          <w:szCs w:val="22"/>
        </w:rPr>
        <w:t>:</w:t>
      </w:r>
      <w:r w:rsidRPr="00974D6D">
        <w:rPr>
          <w:rFonts w:ascii="Book Antiqua" w:eastAsia="宋体" w:hAnsi="Book Antiqua" w:cs="Times New Roman"/>
          <w:b/>
          <w:color w:val="auto"/>
          <w:sz w:val="24"/>
          <w:szCs w:val="22"/>
        </w:rPr>
        <w:t xml:space="preserve"> </w:t>
      </w:r>
      <w:r w:rsidRPr="00974D6D">
        <w:rPr>
          <w:rFonts w:ascii="Book Antiqua" w:eastAsia="宋体" w:hAnsi="Book Antiqua" w:cs="Times New Roman"/>
          <w:color w:val="auto"/>
          <w:sz w:val="24"/>
          <w:szCs w:val="22"/>
        </w:rPr>
        <w:t>Violin plot showing differential expression of 20 immunocytes.</w:t>
      </w:r>
      <w:r w:rsidR="00C27949" w:rsidRPr="00974D6D">
        <w:rPr>
          <w:rFonts w:ascii="Book Antiqua" w:eastAsia="宋体" w:hAnsi="Book Antiqua" w:cs="Times New Roman"/>
          <w:color w:val="auto"/>
          <w:sz w:val="24"/>
          <w:szCs w:val="22"/>
        </w:rPr>
        <w:t xml:space="preserve"> </w:t>
      </w:r>
      <w:proofErr w:type="spellStart"/>
      <w:r w:rsidR="00C27949" w:rsidRPr="00974D6D">
        <w:rPr>
          <w:rFonts w:ascii="Book Antiqua" w:eastAsia="宋体" w:hAnsi="Book Antiqua" w:cs="Times New Roman"/>
          <w:color w:val="auto"/>
          <w:sz w:val="24"/>
          <w:szCs w:val="22"/>
          <w:vertAlign w:val="superscript"/>
        </w:rPr>
        <w:t>b</w:t>
      </w:r>
      <w:r w:rsidR="00C27949" w:rsidRPr="00974D6D">
        <w:rPr>
          <w:rFonts w:ascii="Book Antiqua" w:eastAsia="宋体" w:hAnsi="Book Antiqua" w:cs="Times New Roman"/>
          <w:i/>
          <w:color w:val="auto"/>
          <w:sz w:val="24"/>
          <w:szCs w:val="22"/>
        </w:rPr>
        <w:t>P</w:t>
      </w:r>
      <w:proofErr w:type="spellEnd"/>
      <w:r w:rsidR="00C27949" w:rsidRPr="00974D6D">
        <w:rPr>
          <w:rFonts w:ascii="Book Antiqua" w:eastAsia="宋体" w:hAnsi="Book Antiqua" w:cs="Times New Roman"/>
          <w:color w:val="auto"/>
          <w:sz w:val="24"/>
          <w:szCs w:val="22"/>
        </w:rPr>
        <w:t xml:space="preserve"> &lt; 0.01, </w:t>
      </w:r>
      <w:proofErr w:type="spellStart"/>
      <w:r w:rsidR="00C27949" w:rsidRPr="00974D6D">
        <w:rPr>
          <w:rFonts w:ascii="Book Antiqua" w:eastAsia="宋体" w:hAnsi="Book Antiqua" w:cs="Times New Roman"/>
          <w:color w:val="auto"/>
          <w:sz w:val="24"/>
          <w:szCs w:val="22"/>
          <w:vertAlign w:val="superscript"/>
        </w:rPr>
        <w:t>c</w:t>
      </w:r>
      <w:r w:rsidR="00C27949" w:rsidRPr="00974D6D">
        <w:rPr>
          <w:rFonts w:ascii="Book Antiqua" w:eastAsia="宋体" w:hAnsi="Book Antiqua" w:cs="Times New Roman"/>
          <w:i/>
          <w:color w:val="auto"/>
          <w:sz w:val="24"/>
          <w:szCs w:val="22"/>
        </w:rPr>
        <w:t>P</w:t>
      </w:r>
      <w:proofErr w:type="spellEnd"/>
      <w:r w:rsidR="00C27949" w:rsidRPr="00974D6D">
        <w:rPr>
          <w:rFonts w:ascii="Book Antiqua" w:eastAsia="宋体" w:hAnsi="Book Antiqua" w:cs="Times New Roman"/>
          <w:color w:val="auto"/>
          <w:sz w:val="24"/>
          <w:szCs w:val="22"/>
        </w:rPr>
        <w:t xml:space="preserve"> &lt; 0.001</w:t>
      </w:r>
      <w:r w:rsidR="00E55051">
        <w:rPr>
          <w:rFonts w:ascii="Book Antiqua" w:eastAsia="宋体" w:hAnsi="Book Antiqua" w:cs="Times New Roman" w:hint="eastAsia"/>
          <w:color w:val="auto"/>
          <w:sz w:val="24"/>
          <w:szCs w:val="22"/>
        </w:rPr>
        <w:t>.</w:t>
      </w:r>
      <w:r w:rsidR="001E28C3">
        <w:rPr>
          <w:rFonts w:ascii="Book Antiqua" w:eastAsia="宋体" w:hAnsi="Book Antiqua" w:cs="Times New Roman" w:hint="eastAsia"/>
          <w:color w:val="auto"/>
          <w:sz w:val="24"/>
          <w:szCs w:val="22"/>
        </w:rPr>
        <w:t xml:space="preserve"> </w:t>
      </w:r>
      <w:r w:rsidR="00670C28">
        <w:rPr>
          <w:rFonts w:ascii="Book Antiqua" w:eastAsia="宋体" w:hAnsi="Book Antiqua" w:cs="Times New Roman"/>
          <w:color w:val="auto"/>
          <w:sz w:val="24"/>
          <w:szCs w:val="22"/>
        </w:rPr>
        <w:t xml:space="preserve">NS: </w:t>
      </w:r>
      <w:r w:rsidR="00670C28">
        <w:rPr>
          <w:rFonts w:ascii="Book Antiqua" w:eastAsia="宋体" w:hAnsi="Book Antiqua" w:cs="Times New Roman" w:hint="eastAsia"/>
          <w:color w:val="auto"/>
          <w:sz w:val="24"/>
          <w:szCs w:val="22"/>
        </w:rPr>
        <w:t>N</w:t>
      </w:r>
      <w:r w:rsidR="009A2B5E" w:rsidRPr="00974D6D">
        <w:rPr>
          <w:rFonts w:ascii="Book Antiqua" w:eastAsia="宋体" w:hAnsi="Book Antiqua" w:cs="Times New Roman"/>
          <w:color w:val="auto"/>
          <w:sz w:val="24"/>
          <w:szCs w:val="22"/>
        </w:rPr>
        <w:t>ot significant</w:t>
      </w:r>
      <w:r w:rsidR="00C27949" w:rsidRPr="00974D6D">
        <w:rPr>
          <w:rFonts w:ascii="Book Antiqua" w:eastAsia="宋体" w:hAnsi="Book Antiqua" w:cs="Times New Roman"/>
          <w:color w:val="auto"/>
          <w:sz w:val="24"/>
          <w:szCs w:val="22"/>
        </w:rPr>
        <w:t>.</w:t>
      </w:r>
    </w:p>
    <w:p w14:paraId="58FE0599" w14:textId="05636B88" w:rsidR="00A57314" w:rsidRDefault="00A57314">
      <w:pPr>
        <w:framePr w:wrap="auto"/>
        <w:widowControl/>
        <w:jc w:val="left"/>
        <w:rPr>
          <w:rFonts w:ascii="Book Antiqua" w:eastAsia="宋体" w:hAnsi="Book Antiqua" w:cs="Times New Roman"/>
          <w:b/>
          <w:color w:val="auto"/>
          <w:sz w:val="24"/>
          <w:szCs w:val="22"/>
        </w:rPr>
      </w:pPr>
      <w:r>
        <w:rPr>
          <w:rFonts w:ascii="Book Antiqua" w:eastAsia="宋体" w:hAnsi="Book Antiqua" w:cs="Times New Roman"/>
          <w:b/>
          <w:color w:val="auto"/>
          <w:sz w:val="24"/>
          <w:szCs w:val="22"/>
        </w:rPr>
        <w:br w:type="page"/>
      </w:r>
    </w:p>
    <w:p w14:paraId="56D6E426" w14:textId="7746E880" w:rsidR="00A57314" w:rsidRDefault="00A57314" w:rsidP="00974D6D">
      <w:pPr>
        <w:framePr w:wrap="auto"/>
        <w:adjustRightInd w:val="0"/>
        <w:snapToGrid w:val="0"/>
        <w:spacing w:line="360" w:lineRule="auto"/>
        <w:rPr>
          <w:rFonts w:ascii="Book Antiqua" w:eastAsia="宋体" w:hAnsi="Book Antiqua" w:cs="Times New Roman"/>
          <w:b/>
          <w:color w:val="auto"/>
          <w:sz w:val="24"/>
          <w:szCs w:val="22"/>
        </w:rPr>
      </w:pPr>
      <w:r>
        <w:rPr>
          <w:noProof/>
        </w:rPr>
        <w:lastRenderedPageBreak/>
        <w:drawing>
          <wp:inline distT="0" distB="0" distL="0" distR="0" wp14:anchorId="76525D4C" wp14:editId="7D19C0A3">
            <wp:extent cx="5270500" cy="3867473"/>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500" cy="3867473"/>
                    </a:xfrm>
                    <a:prstGeom prst="rect">
                      <a:avLst/>
                    </a:prstGeom>
                  </pic:spPr>
                </pic:pic>
              </a:graphicData>
            </a:graphic>
          </wp:inline>
        </w:drawing>
      </w:r>
    </w:p>
    <w:p w14:paraId="6B47B337" w14:textId="3D7C84EA" w:rsidR="00F474B9" w:rsidRPr="00974D6D"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974D6D">
        <w:rPr>
          <w:rFonts w:ascii="Book Antiqua" w:eastAsia="宋体" w:hAnsi="Book Antiqua" w:cs="Times New Roman"/>
          <w:b/>
          <w:color w:val="auto"/>
          <w:sz w:val="24"/>
          <w:szCs w:val="22"/>
        </w:rPr>
        <w:t>Figure 3</w:t>
      </w:r>
      <w:r w:rsidRPr="00974D6D">
        <w:rPr>
          <w:rFonts w:ascii="Book Antiqua" w:eastAsia="宋体" w:hAnsi="Book Antiqua" w:cs="Times New Roman"/>
          <w:color w:val="auto"/>
          <w:sz w:val="24"/>
          <w:szCs w:val="22"/>
        </w:rPr>
        <w:t xml:space="preserve"> </w:t>
      </w:r>
      <w:proofErr w:type="spellStart"/>
      <w:r w:rsidRPr="00974D6D">
        <w:rPr>
          <w:rFonts w:ascii="Book Antiqua" w:eastAsia="宋体" w:hAnsi="Book Antiqua" w:cs="Times New Roman"/>
          <w:b/>
          <w:color w:val="auto"/>
          <w:sz w:val="24"/>
          <w:szCs w:val="22"/>
        </w:rPr>
        <w:t>Im</w:t>
      </w:r>
      <w:r w:rsidR="00A57314">
        <w:rPr>
          <w:rFonts w:ascii="Book Antiqua" w:eastAsia="宋体" w:hAnsi="Book Antiqua" w:cs="Times New Roman"/>
          <w:b/>
          <w:color w:val="auto"/>
          <w:sz w:val="24"/>
          <w:szCs w:val="22"/>
        </w:rPr>
        <w:t>munoscore</w:t>
      </w:r>
      <w:proofErr w:type="spellEnd"/>
      <w:r w:rsidR="00A57314">
        <w:rPr>
          <w:rFonts w:ascii="Book Antiqua" w:eastAsia="宋体" w:hAnsi="Book Antiqua" w:cs="Times New Roman"/>
          <w:b/>
          <w:color w:val="auto"/>
          <w:sz w:val="24"/>
          <w:szCs w:val="22"/>
        </w:rPr>
        <w:t xml:space="preserve"> model construction. </w:t>
      </w:r>
      <w:r w:rsidR="00A57314" w:rsidRPr="00A57314">
        <w:rPr>
          <w:rFonts w:ascii="Book Antiqua" w:eastAsia="宋体" w:hAnsi="Book Antiqua" w:cs="Times New Roman"/>
          <w:color w:val="auto"/>
          <w:sz w:val="24"/>
          <w:szCs w:val="22"/>
        </w:rPr>
        <w:t>A</w:t>
      </w:r>
      <w:r w:rsidR="00A57314" w:rsidRPr="00A57314">
        <w:rPr>
          <w:rFonts w:ascii="Book Antiqua" w:eastAsia="宋体" w:hAnsi="Book Antiqua" w:cs="Times New Roman" w:hint="eastAsia"/>
          <w:color w:val="auto"/>
          <w:sz w:val="24"/>
          <w:szCs w:val="22"/>
        </w:rPr>
        <w:t>:</w:t>
      </w:r>
      <w:r w:rsidRPr="00974D6D">
        <w:rPr>
          <w:rFonts w:ascii="Book Antiqua" w:eastAsia="宋体" w:hAnsi="Book Antiqua" w:cs="Times New Roman"/>
          <w:b/>
          <w:color w:val="auto"/>
          <w:sz w:val="24"/>
          <w:szCs w:val="22"/>
        </w:rPr>
        <w:t xml:space="preserve"> </w:t>
      </w:r>
      <w:r w:rsidRPr="00974D6D">
        <w:rPr>
          <w:rFonts w:ascii="Book Antiqua" w:eastAsia="宋体" w:hAnsi="Book Antiqua" w:cs="Times New Roman"/>
          <w:color w:val="auto"/>
          <w:sz w:val="24"/>
          <w:szCs w:val="22"/>
        </w:rPr>
        <w:t xml:space="preserve">Forest plots presenting the relationships of various immunocyte subpopulations with </w:t>
      </w:r>
      <w:r w:rsidR="006974FA" w:rsidRPr="00974D6D">
        <w:rPr>
          <w:rFonts w:ascii="Book Antiqua" w:eastAsia="宋体" w:hAnsi="Book Antiqua" w:cs="Times New Roman"/>
          <w:color w:val="auto"/>
          <w:sz w:val="24"/>
          <w:szCs w:val="22"/>
        </w:rPr>
        <w:t>overall survival</w:t>
      </w:r>
      <w:r w:rsidRPr="00974D6D">
        <w:rPr>
          <w:rFonts w:ascii="Book Antiqua" w:eastAsia="宋体" w:hAnsi="Book Antiqua" w:cs="Times New Roman"/>
          <w:color w:val="auto"/>
          <w:sz w:val="24"/>
          <w:szCs w:val="22"/>
        </w:rPr>
        <w:t xml:space="preserve">, in which the unadjusted </w:t>
      </w:r>
      <w:r w:rsidR="003A263E">
        <w:rPr>
          <w:rFonts w:ascii="Book Antiqua" w:eastAsia="宋体" w:hAnsi="Book Antiqua" w:cs="Times New Roman" w:hint="eastAsia"/>
          <w:color w:val="auto"/>
          <w:sz w:val="24"/>
          <w:szCs w:val="22"/>
        </w:rPr>
        <w:t>h</w:t>
      </w:r>
      <w:r w:rsidR="003A263E" w:rsidRPr="00974D6D">
        <w:rPr>
          <w:rFonts w:ascii="Book Antiqua" w:eastAsia="宋体" w:hAnsi="Book Antiqua" w:cs="Times New Roman"/>
          <w:color w:val="auto"/>
          <w:sz w:val="24"/>
          <w:szCs w:val="22"/>
        </w:rPr>
        <w:t>azard ratios</w:t>
      </w:r>
      <w:r w:rsidRPr="00974D6D">
        <w:rPr>
          <w:rFonts w:ascii="Book Antiqua" w:eastAsia="宋体" w:hAnsi="Book Antiqua" w:cs="Times New Roman"/>
          <w:color w:val="auto"/>
          <w:sz w:val="24"/>
          <w:szCs w:val="22"/>
        </w:rPr>
        <w:t xml:space="preserve"> as well as the correspondi</w:t>
      </w:r>
      <w:r w:rsidR="003A263E">
        <w:rPr>
          <w:rFonts w:ascii="Book Antiqua" w:eastAsia="宋体" w:hAnsi="Book Antiqua" w:cs="Times New Roman"/>
          <w:color w:val="auto"/>
          <w:sz w:val="24"/>
          <w:szCs w:val="22"/>
        </w:rPr>
        <w:t xml:space="preserve">ng 95% confidence intervals </w:t>
      </w:r>
      <w:r w:rsidR="00392487">
        <w:rPr>
          <w:rFonts w:ascii="Book Antiqua" w:eastAsia="宋体" w:hAnsi="Book Antiqua" w:cs="Times New Roman"/>
          <w:color w:val="auto"/>
          <w:sz w:val="24"/>
          <w:szCs w:val="22"/>
        </w:rPr>
        <w:t xml:space="preserve">are </w:t>
      </w:r>
      <w:r w:rsidR="000B4902">
        <w:rPr>
          <w:rFonts w:ascii="Book Antiqua" w:eastAsia="宋体" w:hAnsi="Book Antiqua" w:cs="Times New Roman"/>
          <w:color w:val="auto"/>
          <w:sz w:val="24"/>
          <w:szCs w:val="22"/>
        </w:rPr>
        <w:t>displayed</w:t>
      </w:r>
      <w:r w:rsidR="000B4902">
        <w:rPr>
          <w:rFonts w:ascii="Book Antiqua" w:eastAsia="宋体" w:hAnsi="Book Antiqua" w:cs="Times New Roman" w:hint="eastAsia"/>
          <w:color w:val="auto"/>
          <w:sz w:val="24"/>
          <w:szCs w:val="22"/>
        </w:rPr>
        <w:t>;</w:t>
      </w:r>
      <w:r w:rsidR="00A57314">
        <w:rPr>
          <w:rFonts w:ascii="Book Antiqua" w:eastAsia="宋体" w:hAnsi="Book Antiqua" w:cs="Times New Roman"/>
          <w:b/>
          <w:color w:val="auto"/>
          <w:sz w:val="24"/>
          <w:szCs w:val="22"/>
        </w:rPr>
        <w:t xml:space="preserve"> </w:t>
      </w:r>
      <w:r w:rsidR="00A57314" w:rsidRPr="00A57314">
        <w:rPr>
          <w:rFonts w:ascii="Book Antiqua" w:eastAsia="宋体" w:hAnsi="Book Antiqua" w:cs="Times New Roman"/>
          <w:color w:val="auto"/>
          <w:sz w:val="24"/>
          <w:szCs w:val="22"/>
        </w:rPr>
        <w:t>B</w:t>
      </w:r>
      <w:r w:rsidR="00A57314" w:rsidRPr="00A57314">
        <w:rPr>
          <w:rFonts w:ascii="Book Antiqua" w:eastAsia="宋体" w:hAnsi="Book Antiqua" w:cs="Times New Roman" w:hint="eastAsia"/>
          <w:color w:val="auto"/>
          <w:sz w:val="24"/>
          <w:szCs w:val="22"/>
        </w:rPr>
        <w:t>:</w:t>
      </w:r>
      <w:r w:rsidRPr="00974D6D">
        <w:rPr>
          <w:rFonts w:ascii="Book Antiqua" w:eastAsia="宋体" w:hAnsi="Book Antiqua" w:cs="Times New Roman"/>
          <w:b/>
          <w:color w:val="auto"/>
          <w:sz w:val="24"/>
          <w:szCs w:val="22"/>
        </w:rPr>
        <w:t xml:space="preserve"> </w:t>
      </w:r>
      <w:r w:rsidRPr="00974D6D">
        <w:rPr>
          <w:rFonts w:ascii="Book Antiqua" w:eastAsia="宋体" w:hAnsi="Book Antiqua" w:cs="Times New Roman"/>
          <w:color w:val="auto"/>
          <w:sz w:val="24"/>
          <w:szCs w:val="22"/>
        </w:rPr>
        <w:t xml:space="preserve">Coefficient profiles of 20 immunocyte type fractions using </w:t>
      </w:r>
      <w:r w:rsidR="006974FA" w:rsidRPr="00974D6D">
        <w:rPr>
          <w:rFonts w:ascii="Book Antiqua" w:eastAsia="宋体" w:hAnsi="Book Antiqua" w:cs="Times New Roman"/>
          <w:color w:val="auto"/>
          <w:sz w:val="24"/>
          <w:szCs w:val="22"/>
        </w:rPr>
        <w:t xml:space="preserve">the </w:t>
      </w:r>
      <w:r w:rsidR="003E51AF" w:rsidRPr="003E51AF">
        <w:rPr>
          <w:rFonts w:ascii="Book Antiqua" w:eastAsia="宋体" w:hAnsi="Book Antiqua" w:cs="Times New Roman"/>
          <w:color w:val="auto"/>
          <w:sz w:val="24"/>
          <w:szCs w:val="22"/>
        </w:rPr>
        <w:t xml:space="preserve">least absolute shrinkage and selection operator </w:t>
      </w:r>
      <w:r w:rsidR="003E51AF">
        <w:rPr>
          <w:rFonts w:ascii="Book Antiqua" w:eastAsia="宋体" w:hAnsi="Book Antiqua" w:cs="Times New Roman"/>
          <w:color w:val="auto"/>
          <w:sz w:val="24"/>
          <w:szCs w:val="22"/>
        </w:rPr>
        <w:t>(</w:t>
      </w:r>
      <w:r w:rsidRPr="00974D6D">
        <w:rPr>
          <w:rFonts w:ascii="Book Antiqua" w:eastAsia="宋体" w:hAnsi="Book Antiqua" w:cs="Times New Roman"/>
          <w:color w:val="auto"/>
          <w:sz w:val="24"/>
          <w:szCs w:val="22"/>
        </w:rPr>
        <w:t>LASSO</w:t>
      </w:r>
      <w:r w:rsidR="003E51AF">
        <w:rPr>
          <w:rFonts w:ascii="Book Antiqua" w:eastAsia="宋体" w:hAnsi="Book Antiqua" w:cs="Times New Roman"/>
          <w:color w:val="auto"/>
          <w:sz w:val="24"/>
          <w:szCs w:val="22"/>
        </w:rPr>
        <w:t>)</w:t>
      </w:r>
      <w:r w:rsidR="000B4902">
        <w:rPr>
          <w:rFonts w:ascii="Book Antiqua" w:eastAsia="宋体" w:hAnsi="Book Antiqua" w:cs="Times New Roman" w:hint="eastAsia"/>
          <w:color w:val="auto"/>
          <w:sz w:val="24"/>
          <w:szCs w:val="22"/>
        </w:rPr>
        <w:t>;</w:t>
      </w:r>
      <w:r w:rsidR="00A57314">
        <w:rPr>
          <w:rFonts w:ascii="Book Antiqua" w:eastAsia="宋体" w:hAnsi="Book Antiqua" w:cs="Times New Roman"/>
          <w:b/>
          <w:color w:val="auto"/>
          <w:sz w:val="24"/>
          <w:szCs w:val="22"/>
        </w:rPr>
        <w:t xml:space="preserve"> </w:t>
      </w:r>
      <w:r w:rsidR="00A57314" w:rsidRPr="00A57314">
        <w:rPr>
          <w:rFonts w:ascii="Book Antiqua" w:eastAsia="宋体" w:hAnsi="Book Antiqua" w:cs="Times New Roman"/>
          <w:color w:val="auto"/>
          <w:sz w:val="24"/>
          <w:szCs w:val="22"/>
        </w:rPr>
        <w:t>C</w:t>
      </w:r>
      <w:r w:rsidR="00A57314" w:rsidRPr="00A57314">
        <w:rPr>
          <w:rFonts w:ascii="Book Antiqua" w:eastAsia="宋体" w:hAnsi="Book Antiqua" w:cs="Times New Roman" w:hint="eastAsia"/>
          <w:color w:val="auto"/>
          <w:sz w:val="24"/>
          <w:szCs w:val="22"/>
        </w:rPr>
        <w:t>:</w:t>
      </w:r>
      <w:r w:rsidRPr="00974D6D">
        <w:rPr>
          <w:rFonts w:ascii="Book Antiqua" w:eastAsia="宋体" w:hAnsi="Book Antiqua" w:cs="Times New Roman"/>
          <w:b/>
          <w:color w:val="auto"/>
          <w:sz w:val="24"/>
          <w:szCs w:val="22"/>
        </w:rPr>
        <w:t xml:space="preserve"> </w:t>
      </w:r>
      <w:r w:rsidRPr="00974D6D">
        <w:rPr>
          <w:rFonts w:ascii="Book Antiqua" w:eastAsia="宋体" w:hAnsi="Book Antiqua" w:cs="Times New Roman"/>
          <w:color w:val="auto"/>
          <w:sz w:val="24"/>
          <w:szCs w:val="22"/>
        </w:rPr>
        <w:t xml:space="preserve">10-fold cross-validation to select parameters for LASSO model, which can determine the cell type </w:t>
      </w:r>
      <w:r w:rsidR="000B4902">
        <w:rPr>
          <w:rFonts w:ascii="Book Antiqua" w:eastAsia="宋体" w:hAnsi="Book Antiqua" w:cs="Times New Roman"/>
          <w:color w:val="auto"/>
          <w:sz w:val="24"/>
          <w:szCs w:val="22"/>
        </w:rPr>
        <w:t>numbers adopted for LASSO model</w:t>
      </w:r>
      <w:r w:rsidR="000B4902">
        <w:rPr>
          <w:rFonts w:ascii="Book Antiqua" w:eastAsia="宋体" w:hAnsi="Book Antiqua" w:cs="Times New Roman" w:hint="eastAsia"/>
          <w:color w:val="auto"/>
          <w:sz w:val="24"/>
          <w:szCs w:val="22"/>
        </w:rPr>
        <w:t>;</w:t>
      </w:r>
      <w:r w:rsidR="00A57314">
        <w:rPr>
          <w:rFonts w:ascii="Book Antiqua" w:eastAsia="宋体" w:hAnsi="Book Antiqua" w:cs="Times New Roman"/>
          <w:b/>
          <w:color w:val="auto"/>
          <w:sz w:val="24"/>
          <w:szCs w:val="22"/>
        </w:rPr>
        <w:t xml:space="preserve"> </w:t>
      </w:r>
      <w:r w:rsidR="00A57314" w:rsidRPr="00A57314">
        <w:rPr>
          <w:rFonts w:ascii="Book Antiqua" w:eastAsia="宋体" w:hAnsi="Book Antiqua" w:cs="Times New Roman"/>
          <w:color w:val="auto"/>
          <w:sz w:val="24"/>
          <w:szCs w:val="22"/>
        </w:rPr>
        <w:t>D</w:t>
      </w:r>
      <w:r w:rsidR="00A57314" w:rsidRPr="00A57314">
        <w:rPr>
          <w:rFonts w:ascii="Book Antiqua" w:eastAsia="宋体" w:hAnsi="Book Antiqua" w:cs="Times New Roman" w:hint="eastAsia"/>
          <w:color w:val="auto"/>
          <w:sz w:val="24"/>
          <w:szCs w:val="22"/>
        </w:rPr>
        <w:t>:</w:t>
      </w:r>
      <w:r w:rsidRPr="00974D6D">
        <w:rPr>
          <w:rFonts w:ascii="Book Antiqua" w:eastAsia="宋体" w:hAnsi="Book Antiqua" w:cs="Times New Roman"/>
          <w:b/>
          <w:color w:val="auto"/>
          <w:sz w:val="24"/>
          <w:szCs w:val="22"/>
        </w:rPr>
        <w:t xml:space="preserve"> </w:t>
      </w:r>
      <w:proofErr w:type="spellStart"/>
      <w:r w:rsidRPr="00974D6D">
        <w:rPr>
          <w:rFonts w:ascii="Book Antiqua" w:eastAsia="宋体" w:hAnsi="Book Antiqua" w:cs="Times New Roman"/>
          <w:color w:val="auto"/>
          <w:sz w:val="24"/>
          <w:szCs w:val="22"/>
        </w:rPr>
        <w:t>Immunoscore</w:t>
      </w:r>
      <w:proofErr w:type="spellEnd"/>
      <w:r w:rsidRPr="00974D6D">
        <w:rPr>
          <w:rFonts w:ascii="Book Antiqua" w:eastAsia="宋体" w:hAnsi="Book Antiqua" w:cs="Times New Roman"/>
          <w:color w:val="auto"/>
          <w:sz w:val="24"/>
          <w:szCs w:val="22"/>
        </w:rPr>
        <w:t xml:space="preserve"> determined using the time dependent</w:t>
      </w:r>
      <w:r w:rsidR="00392487">
        <w:rPr>
          <w:rFonts w:ascii="Book Antiqua" w:eastAsia="宋体" w:hAnsi="Book Antiqua" w:cs="Times New Roman"/>
          <w:color w:val="auto"/>
          <w:sz w:val="24"/>
          <w:szCs w:val="22"/>
        </w:rPr>
        <w:t xml:space="preserve"> </w:t>
      </w:r>
      <w:r w:rsidR="006974FA" w:rsidRPr="00974D6D">
        <w:rPr>
          <w:rFonts w:ascii="Book Antiqua" w:eastAsia="宋体" w:hAnsi="Book Antiqua" w:cs="Times New Roman"/>
          <w:color w:val="auto"/>
          <w:sz w:val="24"/>
          <w:szCs w:val="22"/>
        </w:rPr>
        <w:t>rec</w:t>
      </w:r>
      <w:r w:rsidR="00A43F10">
        <w:rPr>
          <w:rFonts w:ascii="Book Antiqua" w:eastAsia="宋体" w:hAnsi="Book Antiqua" w:cs="Times New Roman"/>
          <w:color w:val="auto"/>
          <w:sz w:val="24"/>
          <w:szCs w:val="22"/>
        </w:rPr>
        <w:t>eiver operating characteristic</w:t>
      </w:r>
      <w:r w:rsidRPr="00974D6D">
        <w:rPr>
          <w:rFonts w:ascii="Book Antiqua" w:eastAsia="宋体" w:hAnsi="Book Antiqua" w:cs="Times New Roman"/>
          <w:color w:val="auto"/>
          <w:sz w:val="24"/>
          <w:szCs w:val="22"/>
        </w:rPr>
        <w:t xml:space="preserve"> curves. </w:t>
      </w:r>
      <w:r w:rsidR="00392487">
        <w:rPr>
          <w:rFonts w:ascii="Book Antiqua" w:eastAsia="宋体" w:hAnsi="Book Antiqua" w:cs="Times New Roman"/>
          <w:color w:val="auto"/>
          <w:sz w:val="24"/>
          <w:szCs w:val="22"/>
        </w:rPr>
        <w:t>For t</w:t>
      </w:r>
      <w:r w:rsidR="00392487" w:rsidRPr="00974D6D">
        <w:rPr>
          <w:rFonts w:ascii="Book Antiqua" w:eastAsia="宋体" w:hAnsi="Book Antiqua" w:cs="Times New Roman"/>
          <w:color w:val="auto"/>
          <w:sz w:val="24"/>
          <w:szCs w:val="22"/>
        </w:rPr>
        <w:t xml:space="preserve">he </w:t>
      </w:r>
      <w:r w:rsidRPr="00974D6D">
        <w:rPr>
          <w:rFonts w:ascii="Book Antiqua" w:eastAsia="宋体" w:hAnsi="Book Antiqua" w:cs="Times New Roman"/>
          <w:color w:val="auto"/>
          <w:sz w:val="24"/>
          <w:szCs w:val="22"/>
        </w:rPr>
        <w:t>1-, 3-, and 5-year</w:t>
      </w:r>
      <w:r w:rsidR="00392487">
        <w:rPr>
          <w:rFonts w:ascii="Book Antiqua" w:eastAsia="宋体" w:hAnsi="Book Antiqua" w:cs="Times New Roman"/>
          <w:color w:val="auto"/>
          <w:sz w:val="24"/>
          <w:szCs w:val="22"/>
        </w:rPr>
        <w:t xml:space="preserve"> OS, </w:t>
      </w:r>
      <w:r w:rsidR="006974FA" w:rsidRPr="00974D6D">
        <w:rPr>
          <w:rFonts w:ascii="Book Antiqua" w:eastAsia="宋体" w:hAnsi="Book Antiqua" w:cs="Times New Roman"/>
          <w:color w:val="auto"/>
          <w:sz w:val="24"/>
          <w:szCs w:val="22"/>
        </w:rPr>
        <w:t xml:space="preserve">the </w:t>
      </w:r>
      <w:r w:rsidR="004B3B3E">
        <w:rPr>
          <w:rFonts w:ascii="Book Antiqua" w:eastAsia="宋体" w:hAnsi="Book Antiqua" w:cs="Times New Roman"/>
          <w:color w:val="auto"/>
          <w:sz w:val="24"/>
          <w:szCs w:val="22"/>
        </w:rPr>
        <w:t>AUC</w:t>
      </w:r>
      <w:r w:rsidR="00392487">
        <w:rPr>
          <w:rFonts w:ascii="Book Antiqua" w:eastAsia="宋体" w:hAnsi="Book Antiqua" w:cs="Times New Roman"/>
          <w:color w:val="auto"/>
          <w:sz w:val="24"/>
          <w:szCs w:val="22"/>
        </w:rPr>
        <w:t>s</w:t>
      </w:r>
      <w:r w:rsidR="004B3B3E">
        <w:rPr>
          <w:rFonts w:ascii="Book Antiqua" w:eastAsia="宋体" w:hAnsi="Book Antiqua" w:cs="Times New Roman"/>
          <w:color w:val="auto"/>
          <w:sz w:val="24"/>
          <w:szCs w:val="22"/>
        </w:rPr>
        <w:t xml:space="preserve"> </w:t>
      </w:r>
      <w:r w:rsidRPr="00974D6D">
        <w:rPr>
          <w:rFonts w:ascii="Book Antiqua" w:eastAsia="宋体" w:hAnsi="Book Antiqua" w:cs="Times New Roman"/>
          <w:color w:val="auto"/>
          <w:sz w:val="24"/>
          <w:szCs w:val="22"/>
        </w:rPr>
        <w:t xml:space="preserve">for </w:t>
      </w:r>
      <w:r w:rsidR="00392487">
        <w:rPr>
          <w:rFonts w:ascii="Book Antiqua" w:eastAsia="宋体" w:hAnsi="Book Antiqua" w:cs="Times New Roman"/>
          <w:color w:val="auto"/>
          <w:sz w:val="24"/>
          <w:szCs w:val="22"/>
        </w:rPr>
        <w:t xml:space="preserve">the </w:t>
      </w:r>
      <w:proofErr w:type="spellStart"/>
      <w:r w:rsidRPr="00974D6D">
        <w:rPr>
          <w:rFonts w:ascii="Book Antiqua" w:eastAsia="宋体" w:hAnsi="Book Antiqua" w:cs="Times New Roman"/>
          <w:color w:val="auto"/>
          <w:sz w:val="24"/>
          <w:szCs w:val="22"/>
        </w:rPr>
        <w:t>immunoscore</w:t>
      </w:r>
      <w:proofErr w:type="spellEnd"/>
      <w:r w:rsidRPr="00974D6D">
        <w:rPr>
          <w:rFonts w:ascii="Book Antiqua" w:eastAsia="宋体" w:hAnsi="Book Antiqua" w:cs="Times New Roman"/>
          <w:color w:val="auto"/>
          <w:sz w:val="24"/>
          <w:szCs w:val="22"/>
        </w:rPr>
        <w:t xml:space="preserve"> </w:t>
      </w:r>
      <w:r w:rsidR="00FB10F4" w:rsidRPr="00974D6D">
        <w:rPr>
          <w:rFonts w:ascii="Book Antiqua" w:eastAsia="宋体" w:hAnsi="Book Antiqua" w:cs="Times New Roman"/>
          <w:color w:val="auto"/>
          <w:sz w:val="24"/>
          <w:szCs w:val="22"/>
        </w:rPr>
        <w:t>were</w:t>
      </w:r>
      <w:r w:rsidRPr="00974D6D">
        <w:rPr>
          <w:rFonts w:ascii="Book Antiqua" w:eastAsia="宋体" w:hAnsi="Book Antiqua" w:cs="Times New Roman"/>
          <w:color w:val="auto"/>
          <w:sz w:val="24"/>
          <w:szCs w:val="22"/>
        </w:rPr>
        <w:t xml:space="preserve"> 0.971, 0.912</w:t>
      </w:r>
      <w:r w:rsidR="00392487">
        <w:rPr>
          <w:rFonts w:ascii="Book Antiqua" w:eastAsia="宋体" w:hAnsi="Book Antiqua" w:cs="Times New Roman"/>
          <w:color w:val="auto"/>
          <w:sz w:val="24"/>
          <w:szCs w:val="22"/>
        </w:rPr>
        <w:t xml:space="preserve">, and </w:t>
      </w:r>
      <w:r w:rsidRPr="00974D6D">
        <w:rPr>
          <w:rFonts w:ascii="Book Antiqua" w:eastAsia="宋体" w:hAnsi="Book Antiqua" w:cs="Times New Roman"/>
          <w:color w:val="auto"/>
          <w:sz w:val="24"/>
          <w:szCs w:val="22"/>
        </w:rPr>
        <w:t>0.975, respectively.</w:t>
      </w:r>
      <w:r w:rsidR="009A2B5E" w:rsidRPr="00974D6D">
        <w:rPr>
          <w:rFonts w:ascii="Book Antiqua" w:eastAsia="宋体" w:hAnsi="Book Antiqua" w:cs="Times New Roman"/>
          <w:color w:val="auto"/>
          <w:sz w:val="24"/>
          <w:szCs w:val="22"/>
        </w:rPr>
        <w:t xml:space="preserve"> </w:t>
      </w:r>
      <w:proofErr w:type="spellStart"/>
      <w:r w:rsidR="003E51AF" w:rsidRPr="003E51AF">
        <w:rPr>
          <w:rFonts w:ascii="Book Antiqua" w:eastAsia="宋体" w:hAnsi="Book Antiqua" w:cs="Times New Roman"/>
          <w:color w:val="auto"/>
          <w:sz w:val="24"/>
          <w:szCs w:val="22"/>
          <w:vertAlign w:val="superscript"/>
        </w:rPr>
        <w:t>a</w:t>
      </w:r>
      <w:r w:rsidR="009A2B5E" w:rsidRPr="00974D6D">
        <w:rPr>
          <w:rFonts w:ascii="Book Antiqua" w:eastAsia="宋体" w:hAnsi="Book Antiqua" w:cs="Times New Roman"/>
          <w:i/>
          <w:color w:val="auto"/>
          <w:sz w:val="24"/>
          <w:szCs w:val="22"/>
        </w:rPr>
        <w:t>P</w:t>
      </w:r>
      <w:proofErr w:type="spellEnd"/>
      <w:r w:rsidR="009A2B5E" w:rsidRPr="00974D6D">
        <w:rPr>
          <w:rFonts w:ascii="Book Antiqua" w:eastAsia="宋体" w:hAnsi="Book Antiqua" w:cs="Times New Roman"/>
          <w:i/>
          <w:color w:val="auto"/>
          <w:sz w:val="24"/>
          <w:szCs w:val="22"/>
        </w:rPr>
        <w:t xml:space="preserve"> </w:t>
      </w:r>
      <w:r w:rsidR="009A2B5E" w:rsidRPr="00974D6D">
        <w:rPr>
          <w:rFonts w:ascii="Book Antiqua" w:eastAsia="宋体" w:hAnsi="Book Antiqua" w:cs="Times New Roman"/>
          <w:color w:val="auto"/>
          <w:sz w:val="24"/>
          <w:szCs w:val="22"/>
        </w:rPr>
        <w:t>&lt; 0.05.</w:t>
      </w:r>
      <w:r w:rsidR="00A43F10">
        <w:rPr>
          <w:rFonts w:ascii="Book Antiqua" w:eastAsia="宋体" w:hAnsi="Book Antiqua" w:cs="Times New Roman" w:hint="eastAsia"/>
          <w:color w:val="auto"/>
          <w:sz w:val="24"/>
          <w:szCs w:val="22"/>
        </w:rPr>
        <w:t xml:space="preserve"> </w:t>
      </w:r>
      <w:r w:rsidR="003A263E" w:rsidRPr="00974D6D">
        <w:rPr>
          <w:rFonts w:ascii="Book Antiqua" w:eastAsia="宋体" w:hAnsi="Book Antiqua" w:cs="Times New Roman"/>
          <w:color w:val="auto"/>
          <w:sz w:val="24"/>
          <w:szCs w:val="22"/>
        </w:rPr>
        <w:t>LASSO</w:t>
      </w:r>
      <w:r w:rsidR="003A263E">
        <w:rPr>
          <w:rFonts w:ascii="Book Antiqua" w:eastAsia="宋体" w:hAnsi="Book Antiqua" w:cs="Times New Roman" w:hint="eastAsia"/>
          <w:color w:val="auto"/>
          <w:sz w:val="24"/>
          <w:szCs w:val="22"/>
        </w:rPr>
        <w:t>: L</w:t>
      </w:r>
      <w:r w:rsidR="003A263E" w:rsidRPr="00974D6D">
        <w:rPr>
          <w:rFonts w:ascii="Book Antiqua" w:eastAsia="宋体" w:hAnsi="Book Antiqua" w:cs="Times New Roman"/>
          <w:color w:val="auto"/>
          <w:sz w:val="24"/>
          <w:szCs w:val="22"/>
        </w:rPr>
        <w:t>east absolute shrinkage and selection operator</w:t>
      </w:r>
      <w:r w:rsidR="003A263E">
        <w:rPr>
          <w:rFonts w:ascii="Book Antiqua" w:eastAsia="宋体" w:hAnsi="Book Antiqua" w:cs="Times New Roman" w:hint="eastAsia"/>
          <w:color w:val="auto"/>
          <w:sz w:val="24"/>
          <w:szCs w:val="22"/>
        </w:rPr>
        <w:t xml:space="preserve">; </w:t>
      </w:r>
      <w:r w:rsidR="00A43F10" w:rsidRPr="00974D6D">
        <w:rPr>
          <w:rFonts w:ascii="Book Antiqua" w:eastAsia="宋体" w:hAnsi="Book Antiqua" w:cs="Times New Roman"/>
          <w:color w:val="auto"/>
          <w:sz w:val="24"/>
          <w:szCs w:val="22"/>
        </w:rPr>
        <w:t>AUC</w:t>
      </w:r>
      <w:r w:rsidR="00A43F10">
        <w:rPr>
          <w:rFonts w:ascii="Book Antiqua" w:eastAsia="宋体" w:hAnsi="Book Antiqua" w:cs="Times New Roman" w:hint="eastAsia"/>
          <w:color w:val="auto"/>
          <w:sz w:val="24"/>
          <w:szCs w:val="22"/>
        </w:rPr>
        <w:t>:</w:t>
      </w:r>
      <w:r w:rsidR="00A43F10" w:rsidRPr="00A43F10">
        <w:rPr>
          <w:rFonts w:ascii="Book Antiqua" w:eastAsia="宋体" w:hAnsi="Book Antiqua" w:cs="Times New Roman"/>
          <w:color w:val="auto"/>
          <w:sz w:val="24"/>
          <w:szCs w:val="22"/>
        </w:rPr>
        <w:t xml:space="preserve"> </w:t>
      </w:r>
      <w:r w:rsidR="00A43F10">
        <w:rPr>
          <w:rFonts w:ascii="Book Antiqua" w:eastAsia="宋体" w:hAnsi="Book Antiqua" w:cs="Times New Roman" w:hint="eastAsia"/>
          <w:color w:val="auto"/>
          <w:sz w:val="24"/>
          <w:szCs w:val="22"/>
        </w:rPr>
        <w:t>A</w:t>
      </w:r>
      <w:r w:rsidR="00A43F10" w:rsidRPr="00974D6D">
        <w:rPr>
          <w:rFonts w:ascii="Book Antiqua" w:eastAsia="宋体" w:hAnsi="Book Antiqua" w:cs="Times New Roman"/>
          <w:color w:val="auto"/>
          <w:sz w:val="24"/>
          <w:szCs w:val="22"/>
        </w:rPr>
        <w:t xml:space="preserve">reas under </w:t>
      </w:r>
      <w:r w:rsidR="00392487">
        <w:rPr>
          <w:rFonts w:ascii="Book Antiqua" w:eastAsia="宋体" w:hAnsi="Book Antiqua" w:cs="Times New Roman"/>
          <w:color w:val="auto"/>
          <w:sz w:val="24"/>
          <w:szCs w:val="22"/>
        </w:rPr>
        <w:t xml:space="preserve">the </w:t>
      </w:r>
      <w:r w:rsidR="00A43F10" w:rsidRPr="00974D6D">
        <w:rPr>
          <w:rFonts w:ascii="Book Antiqua" w:eastAsia="宋体" w:hAnsi="Book Antiqua" w:cs="Times New Roman"/>
          <w:color w:val="auto"/>
          <w:sz w:val="24"/>
          <w:szCs w:val="22"/>
        </w:rPr>
        <w:t>curve</w:t>
      </w:r>
      <w:r w:rsidR="006D44D7">
        <w:rPr>
          <w:rFonts w:ascii="Book Antiqua" w:eastAsia="宋体" w:hAnsi="Book Antiqua" w:cs="Times New Roman"/>
          <w:color w:val="auto"/>
          <w:sz w:val="24"/>
          <w:szCs w:val="22"/>
        </w:rPr>
        <w:t>.</w:t>
      </w:r>
    </w:p>
    <w:p w14:paraId="38B328DC" w14:textId="0A889287" w:rsidR="004A5977" w:rsidRDefault="004A5977">
      <w:pPr>
        <w:framePr w:wrap="auto"/>
        <w:widowControl/>
        <w:jc w:val="left"/>
        <w:rPr>
          <w:rFonts w:ascii="Book Antiqua" w:eastAsia="宋体" w:hAnsi="Book Antiqua" w:cs="Times New Roman"/>
          <w:color w:val="auto"/>
          <w:sz w:val="24"/>
          <w:szCs w:val="22"/>
        </w:rPr>
      </w:pPr>
      <w:r>
        <w:rPr>
          <w:rFonts w:ascii="Book Antiqua" w:eastAsia="宋体" w:hAnsi="Book Antiqua" w:cs="Times New Roman"/>
          <w:color w:val="auto"/>
          <w:sz w:val="24"/>
          <w:szCs w:val="22"/>
        </w:rPr>
        <w:br w:type="page"/>
      </w:r>
    </w:p>
    <w:p w14:paraId="43417952" w14:textId="6E1A85B6" w:rsidR="004A5977" w:rsidRDefault="004A5977" w:rsidP="00974D6D">
      <w:pPr>
        <w:framePr w:wrap="auto"/>
        <w:adjustRightInd w:val="0"/>
        <w:snapToGrid w:val="0"/>
        <w:spacing w:line="360" w:lineRule="auto"/>
        <w:rPr>
          <w:rFonts w:ascii="Book Antiqua" w:eastAsia="宋体" w:hAnsi="Book Antiqua" w:cs="Times New Roman"/>
          <w:b/>
          <w:color w:val="auto"/>
          <w:sz w:val="24"/>
          <w:szCs w:val="22"/>
        </w:rPr>
      </w:pPr>
      <w:r>
        <w:rPr>
          <w:noProof/>
        </w:rPr>
        <w:lastRenderedPageBreak/>
        <w:drawing>
          <wp:inline distT="0" distB="0" distL="0" distR="0" wp14:anchorId="3E7E9822" wp14:editId="27B53762">
            <wp:extent cx="5270500" cy="2003888"/>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2003888"/>
                    </a:xfrm>
                    <a:prstGeom prst="rect">
                      <a:avLst/>
                    </a:prstGeom>
                  </pic:spPr>
                </pic:pic>
              </a:graphicData>
            </a:graphic>
          </wp:inline>
        </w:drawing>
      </w:r>
    </w:p>
    <w:p w14:paraId="69C516F9" w14:textId="5FE12CFF" w:rsidR="00F474B9" w:rsidRPr="00974D6D"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974D6D">
        <w:rPr>
          <w:rFonts w:ascii="Book Antiqua" w:eastAsia="宋体" w:hAnsi="Book Antiqua" w:cs="Times New Roman"/>
          <w:b/>
          <w:color w:val="auto"/>
          <w:sz w:val="24"/>
          <w:szCs w:val="22"/>
        </w:rPr>
        <w:t>Figure 4</w:t>
      </w:r>
      <w:r w:rsidRPr="00974D6D">
        <w:rPr>
          <w:rFonts w:ascii="Book Antiqua" w:eastAsia="宋体" w:hAnsi="Book Antiqua" w:cs="Times New Roman"/>
          <w:color w:val="auto"/>
          <w:sz w:val="24"/>
          <w:szCs w:val="24"/>
        </w:rPr>
        <w:t xml:space="preserve"> </w:t>
      </w:r>
      <w:r w:rsidRPr="00974D6D">
        <w:rPr>
          <w:rFonts w:ascii="Book Antiqua" w:eastAsia="宋体" w:hAnsi="Book Antiqua" w:cs="Times New Roman"/>
          <w:b/>
          <w:color w:val="auto"/>
          <w:sz w:val="24"/>
          <w:szCs w:val="24"/>
        </w:rPr>
        <w:t xml:space="preserve">Verification of the </w:t>
      </w:r>
      <w:proofErr w:type="spellStart"/>
      <w:r w:rsidRPr="00974D6D">
        <w:rPr>
          <w:rFonts w:ascii="Book Antiqua" w:eastAsia="宋体" w:hAnsi="Book Antiqua" w:cs="Times New Roman"/>
          <w:b/>
          <w:color w:val="auto"/>
          <w:sz w:val="24"/>
          <w:szCs w:val="24"/>
        </w:rPr>
        <w:t>immunoscore</w:t>
      </w:r>
      <w:proofErr w:type="spellEnd"/>
      <w:r w:rsidRPr="00974D6D">
        <w:rPr>
          <w:rFonts w:ascii="Book Antiqua" w:eastAsia="宋体" w:hAnsi="Book Antiqua" w:cs="Times New Roman"/>
          <w:b/>
          <w:color w:val="auto"/>
          <w:sz w:val="24"/>
          <w:szCs w:val="24"/>
        </w:rPr>
        <w:t xml:space="preserve"> signature to predict the prognosis for hepatitis B virus-related hepatocellular carcinoma.</w:t>
      </w:r>
      <w:r w:rsidRPr="004A5977">
        <w:rPr>
          <w:rFonts w:ascii="Book Antiqua" w:eastAsia="宋体" w:hAnsi="Book Antiqua" w:cs="Times New Roman"/>
          <w:color w:val="auto"/>
          <w:sz w:val="24"/>
          <w:szCs w:val="24"/>
        </w:rPr>
        <w:t xml:space="preserve"> A</w:t>
      </w:r>
      <w:r w:rsidR="004A5977" w:rsidRPr="004A5977">
        <w:rPr>
          <w:rFonts w:ascii="Book Antiqua" w:eastAsia="宋体" w:hAnsi="Book Antiqua" w:cs="Times New Roman" w:hint="eastAsia"/>
          <w:color w:val="auto"/>
          <w:sz w:val="24"/>
          <w:szCs w:val="24"/>
        </w:rPr>
        <w:t>:</w:t>
      </w:r>
      <w:r w:rsidRPr="00974D6D">
        <w:rPr>
          <w:rFonts w:ascii="Book Antiqua" w:eastAsia="宋体" w:hAnsi="Book Antiqua" w:cs="Times New Roman"/>
          <w:color w:val="auto"/>
          <w:sz w:val="24"/>
          <w:szCs w:val="24"/>
        </w:rPr>
        <w:t xml:space="preserve"> The vital status and </w:t>
      </w:r>
      <w:r w:rsidR="0047287D">
        <w:rPr>
          <w:rFonts w:ascii="Book Antiqua" w:eastAsia="宋体" w:hAnsi="Book Antiqua" w:cs="Times New Roman"/>
          <w:color w:val="auto"/>
          <w:sz w:val="24"/>
          <w:szCs w:val="22"/>
        </w:rPr>
        <w:t>overall survival</w:t>
      </w:r>
      <w:r w:rsidRPr="00974D6D">
        <w:rPr>
          <w:rFonts w:ascii="Book Antiqua" w:eastAsia="宋体" w:hAnsi="Book Antiqua" w:cs="Times New Roman"/>
          <w:color w:val="auto"/>
          <w:sz w:val="24"/>
          <w:szCs w:val="24"/>
        </w:rPr>
        <w:t xml:space="preserve"> </w:t>
      </w:r>
      <w:r w:rsidR="00FB10F4" w:rsidRPr="00974D6D">
        <w:rPr>
          <w:rFonts w:ascii="Book Antiqua" w:eastAsia="宋体" w:hAnsi="Book Antiqua" w:cs="Times New Roman"/>
          <w:color w:val="auto"/>
          <w:sz w:val="24"/>
          <w:szCs w:val="24"/>
        </w:rPr>
        <w:t>were</w:t>
      </w:r>
      <w:r w:rsidRPr="00974D6D">
        <w:rPr>
          <w:rFonts w:ascii="Book Antiqua" w:eastAsia="宋体" w:hAnsi="Book Antiqua" w:cs="Times New Roman"/>
          <w:color w:val="auto"/>
          <w:sz w:val="24"/>
          <w:szCs w:val="24"/>
        </w:rPr>
        <w:t xml:space="preserve"> d</w:t>
      </w:r>
      <w:r w:rsidR="004A5977">
        <w:rPr>
          <w:rFonts w:ascii="Book Antiqua" w:eastAsia="宋体" w:hAnsi="Book Antiqua" w:cs="Times New Roman"/>
          <w:color w:val="auto"/>
          <w:sz w:val="24"/>
          <w:szCs w:val="24"/>
        </w:rPr>
        <w:t xml:space="preserve">istributed based on </w:t>
      </w:r>
      <w:r w:rsidR="00392487">
        <w:rPr>
          <w:rFonts w:ascii="Book Antiqua" w:eastAsia="宋体" w:hAnsi="Book Antiqua" w:cs="Times New Roman"/>
          <w:color w:val="auto"/>
          <w:sz w:val="24"/>
          <w:szCs w:val="24"/>
        </w:rPr>
        <w:t xml:space="preserve">the </w:t>
      </w:r>
      <w:proofErr w:type="spellStart"/>
      <w:r w:rsidR="004A5977">
        <w:rPr>
          <w:rFonts w:ascii="Book Antiqua" w:eastAsia="宋体" w:hAnsi="Book Antiqua" w:cs="Times New Roman"/>
          <w:color w:val="auto"/>
          <w:sz w:val="24"/>
          <w:szCs w:val="24"/>
        </w:rPr>
        <w:t>immunoscore</w:t>
      </w:r>
      <w:proofErr w:type="spellEnd"/>
      <w:r w:rsidR="004A5977">
        <w:rPr>
          <w:rFonts w:ascii="Book Antiqua" w:eastAsia="宋体" w:hAnsi="Book Antiqua" w:cs="Times New Roman" w:hint="eastAsia"/>
          <w:color w:val="auto"/>
          <w:sz w:val="24"/>
          <w:szCs w:val="24"/>
        </w:rPr>
        <w:t>;</w:t>
      </w:r>
      <w:r w:rsidRPr="00974D6D">
        <w:rPr>
          <w:rFonts w:ascii="Book Antiqua" w:eastAsia="宋体" w:hAnsi="Book Antiqua" w:cs="Times New Roman"/>
          <w:color w:val="auto"/>
          <w:sz w:val="24"/>
          <w:szCs w:val="24"/>
        </w:rPr>
        <w:t xml:space="preserve"> </w:t>
      </w:r>
      <w:r w:rsidR="004A5977" w:rsidRPr="004A5977">
        <w:rPr>
          <w:rFonts w:ascii="Book Antiqua" w:eastAsia="宋体" w:hAnsi="Book Antiqua" w:cs="Times New Roman"/>
          <w:color w:val="auto"/>
          <w:sz w:val="24"/>
          <w:szCs w:val="24"/>
        </w:rPr>
        <w:t>B</w:t>
      </w:r>
      <w:r w:rsidR="004A5977" w:rsidRPr="004A5977">
        <w:rPr>
          <w:rFonts w:ascii="Book Antiqua" w:eastAsia="宋体" w:hAnsi="Book Antiqua" w:cs="Times New Roman" w:hint="eastAsia"/>
          <w:color w:val="auto"/>
          <w:sz w:val="24"/>
          <w:szCs w:val="24"/>
        </w:rPr>
        <w:t>:</w:t>
      </w:r>
      <w:r w:rsidRPr="004A5977">
        <w:rPr>
          <w:rFonts w:ascii="Book Antiqua" w:eastAsia="宋体" w:hAnsi="Book Antiqua" w:cs="Times New Roman"/>
          <w:color w:val="auto"/>
          <w:sz w:val="24"/>
          <w:szCs w:val="24"/>
        </w:rPr>
        <w:t xml:space="preserve"> </w:t>
      </w:r>
      <w:r w:rsidRPr="00974D6D">
        <w:rPr>
          <w:rFonts w:ascii="Book Antiqua" w:eastAsia="宋体" w:hAnsi="Book Antiqua" w:cs="Times New Roman"/>
          <w:color w:val="auto"/>
          <w:sz w:val="24"/>
          <w:szCs w:val="24"/>
        </w:rPr>
        <w:t>Kaplan-Meier curve regarding the</w:t>
      </w:r>
      <w:r w:rsidR="002F2419" w:rsidRPr="002F2419">
        <w:rPr>
          <w:rFonts w:ascii="Book Antiqua" w:eastAsia="宋体" w:hAnsi="Book Antiqua" w:cs="Times New Roman"/>
          <w:color w:val="auto"/>
          <w:sz w:val="24"/>
          <w:szCs w:val="22"/>
        </w:rPr>
        <w:t xml:space="preserve"> </w:t>
      </w:r>
      <w:r w:rsidR="002F2419">
        <w:rPr>
          <w:rFonts w:ascii="Book Antiqua" w:eastAsia="宋体" w:hAnsi="Book Antiqua" w:cs="Times New Roman"/>
          <w:color w:val="auto"/>
          <w:sz w:val="24"/>
          <w:szCs w:val="22"/>
        </w:rPr>
        <w:t>overall survival</w:t>
      </w:r>
      <w:r w:rsidRPr="00974D6D">
        <w:rPr>
          <w:rFonts w:ascii="Book Antiqua" w:eastAsia="宋体" w:hAnsi="Book Antiqua" w:cs="Times New Roman"/>
          <w:color w:val="auto"/>
          <w:sz w:val="24"/>
          <w:szCs w:val="24"/>
        </w:rPr>
        <w:t xml:space="preserve"> of high- </w:t>
      </w:r>
      <w:r w:rsidRPr="00770EE0">
        <w:rPr>
          <w:rFonts w:ascii="Book Antiqua" w:eastAsia="宋体" w:hAnsi="Book Antiqua" w:cs="Times New Roman"/>
          <w:i/>
          <w:iCs/>
          <w:color w:val="auto"/>
          <w:sz w:val="24"/>
          <w:szCs w:val="24"/>
        </w:rPr>
        <w:t>v</w:t>
      </w:r>
      <w:r w:rsidR="00770EE0" w:rsidRPr="00770EE0">
        <w:rPr>
          <w:rFonts w:ascii="Book Antiqua" w:eastAsia="宋体" w:hAnsi="Book Antiqua" w:cs="Times New Roman"/>
          <w:i/>
          <w:iCs/>
          <w:color w:val="auto"/>
          <w:sz w:val="24"/>
          <w:szCs w:val="24"/>
        </w:rPr>
        <w:t>s</w:t>
      </w:r>
      <w:r w:rsidRPr="00974D6D">
        <w:rPr>
          <w:rFonts w:ascii="Book Antiqua" w:eastAsia="宋体" w:hAnsi="Book Antiqua" w:cs="Times New Roman"/>
          <w:color w:val="auto"/>
          <w:sz w:val="24"/>
          <w:szCs w:val="24"/>
        </w:rPr>
        <w:t xml:space="preserve"> low- </w:t>
      </w:r>
      <w:proofErr w:type="spellStart"/>
      <w:r w:rsidRPr="00974D6D">
        <w:rPr>
          <w:rFonts w:ascii="Book Antiqua" w:eastAsia="宋体" w:hAnsi="Book Antiqua" w:cs="Times New Roman"/>
          <w:color w:val="auto"/>
          <w:sz w:val="24"/>
          <w:szCs w:val="24"/>
        </w:rPr>
        <w:t>immunoscore</w:t>
      </w:r>
      <w:proofErr w:type="spellEnd"/>
      <w:r w:rsidRPr="00974D6D">
        <w:rPr>
          <w:rFonts w:ascii="Book Antiqua" w:eastAsia="宋体" w:hAnsi="Book Antiqua" w:cs="Times New Roman"/>
          <w:color w:val="auto"/>
          <w:sz w:val="24"/>
          <w:szCs w:val="24"/>
        </w:rPr>
        <w:t xml:space="preserve"> groups.</w:t>
      </w:r>
    </w:p>
    <w:p w14:paraId="490F4AC3" w14:textId="61614D20" w:rsidR="004A5977" w:rsidRDefault="004A5977">
      <w:pPr>
        <w:framePr w:wrap="auto"/>
        <w:widowControl/>
        <w:jc w:val="left"/>
        <w:rPr>
          <w:rFonts w:ascii="Book Antiqua" w:eastAsia="宋体" w:hAnsi="Book Antiqua" w:cs="Times New Roman"/>
          <w:color w:val="auto"/>
          <w:sz w:val="24"/>
          <w:szCs w:val="22"/>
        </w:rPr>
      </w:pPr>
      <w:r>
        <w:rPr>
          <w:rFonts w:ascii="Book Antiqua" w:eastAsia="宋体" w:hAnsi="Book Antiqua" w:cs="Times New Roman"/>
          <w:color w:val="auto"/>
          <w:sz w:val="24"/>
          <w:szCs w:val="22"/>
        </w:rPr>
        <w:br w:type="page"/>
      </w:r>
    </w:p>
    <w:p w14:paraId="6AB401CA" w14:textId="4789C693" w:rsidR="00F474B9" w:rsidRDefault="00FF4AFC" w:rsidP="00974D6D">
      <w:pPr>
        <w:framePr w:wrap="auto"/>
        <w:adjustRightInd w:val="0"/>
        <w:snapToGrid w:val="0"/>
        <w:spacing w:line="360" w:lineRule="auto"/>
        <w:rPr>
          <w:rFonts w:ascii="Book Antiqua" w:eastAsia="宋体" w:hAnsi="Book Antiqua" w:cs="Times New Roman"/>
          <w:color w:val="auto"/>
          <w:sz w:val="24"/>
          <w:szCs w:val="22"/>
        </w:rPr>
      </w:pPr>
      <w:r>
        <w:rPr>
          <w:noProof/>
        </w:rPr>
        <w:lastRenderedPageBreak/>
        <w:drawing>
          <wp:inline distT="0" distB="0" distL="0" distR="0" wp14:anchorId="0B93CD86" wp14:editId="3A5B3680">
            <wp:extent cx="5270500" cy="2478477"/>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0500" cy="2478477"/>
                    </a:xfrm>
                    <a:prstGeom prst="rect">
                      <a:avLst/>
                    </a:prstGeom>
                  </pic:spPr>
                </pic:pic>
              </a:graphicData>
            </a:graphic>
          </wp:inline>
        </w:drawing>
      </w:r>
    </w:p>
    <w:p w14:paraId="16B59241" w14:textId="6D03E404" w:rsidR="00F474B9" w:rsidRDefault="00F474B9" w:rsidP="00974D6D">
      <w:pPr>
        <w:framePr w:wrap="auto"/>
        <w:adjustRightInd w:val="0"/>
        <w:snapToGrid w:val="0"/>
        <w:spacing w:line="360" w:lineRule="auto"/>
        <w:rPr>
          <w:rFonts w:ascii="Book Antiqua" w:eastAsia="宋体" w:hAnsi="Book Antiqua" w:cs="Times New Roman"/>
          <w:color w:val="auto"/>
          <w:sz w:val="24"/>
          <w:szCs w:val="24"/>
        </w:rPr>
      </w:pPr>
      <w:r w:rsidRPr="00974D6D">
        <w:rPr>
          <w:rFonts w:ascii="Book Antiqua" w:eastAsia="宋体" w:hAnsi="Book Antiqua" w:cs="Times New Roman"/>
          <w:b/>
          <w:color w:val="auto"/>
          <w:sz w:val="24"/>
          <w:szCs w:val="22"/>
        </w:rPr>
        <w:t>Figure 5</w:t>
      </w:r>
      <w:r w:rsidRPr="00974D6D">
        <w:rPr>
          <w:rFonts w:ascii="Book Antiqua" w:eastAsia="宋体" w:hAnsi="Book Antiqua" w:cs="Times New Roman"/>
          <w:color w:val="auto"/>
          <w:sz w:val="24"/>
          <w:szCs w:val="24"/>
        </w:rPr>
        <w:t xml:space="preserve"> </w:t>
      </w:r>
      <w:r w:rsidRPr="00974D6D">
        <w:rPr>
          <w:rFonts w:ascii="Book Antiqua" w:eastAsia="宋体" w:hAnsi="Book Antiqua" w:cs="Times New Roman"/>
          <w:b/>
          <w:color w:val="auto"/>
          <w:sz w:val="24"/>
          <w:szCs w:val="24"/>
        </w:rPr>
        <w:t>Construction of the nomogram.</w:t>
      </w:r>
      <w:r w:rsidRPr="00974D6D">
        <w:rPr>
          <w:rFonts w:ascii="Book Antiqua" w:eastAsia="宋体" w:hAnsi="Book Antiqua" w:cs="Times New Roman"/>
          <w:color w:val="auto"/>
          <w:sz w:val="24"/>
          <w:szCs w:val="24"/>
        </w:rPr>
        <w:t xml:space="preserve"> </w:t>
      </w:r>
      <w:r w:rsidR="00FF4AFC" w:rsidRPr="00A5406A">
        <w:rPr>
          <w:rFonts w:ascii="Book Antiqua" w:eastAsia="宋体" w:hAnsi="Book Antiqua" w:cs="Times New Roman"/>
          <w:color w:val="auto"/>
          <w:sz w:val="24"/>
          <w:szCs w:val="24"/>
        </w:rPr>
        <w:t>A</w:t>
      </w:r>
      <w:r w:rsidR="00FF4AFC" w:rsidRPr="00A5406A">
        <w:rPr>
          <w:rFonts w:ascii="Book Antiqua" w:eastAsia="宋体" w:hAnsi="Book Antiqua" w:cs="Times New Roman" w:hint="eastAsia"/>
          <w:color w:val="auto"/>
          <w:sz w:val="24"/>
          <w:szCs w:val="24"/>
        </w:rPr>
        <w:t>:</w:t>
      </w:r>
      <w:r w:rsidRPr="00974D6D">
        <w:rPr>
          <w:rFonts w:ascii="Book Antiqua" w:eastAsia="宋体" w:hAnsi="Book Antiqua" w:cs="Times New Roman"/>
          <w:color w:val="auto"/>
          <w:sz w:val="24"/>
          <w:szCs w:val="24"/>
        </w:rPr>
        <w:t xml:space="preserve"> Nomogram to predict the 1-, 3-, </w:t>
      </w:r>
      <w:r w:rsidR="00392487">
        <w:rPr>
          <w:rFonts w:ascii="Book Antiqua" w:eastAsia="宋体" w:hAnsi="Book Antiqua" w:cs="Times New Roman"/>
          <w:color w:val="auto"/>
          <w:sz w:val="24"/>
          <w:szCs w:val="24"/>
        </w:rPr>
        <w:t>and</w:t>
      </w:r>
      <w:r w:rsidRPr="00974D6D">
        <w:rPr>
          <w:rFonts w:ascii="Book Antiqua" w:eastAsia="宋体" w:hAnsi="Book Antiqua" w:cs="Times New Roman"/>
          <w:color w:val="auto"/>
          <w:sz w:val="24"/>
          <w:szCs w:val="24"/>
        </w:rPr>
        <w:t xml:space="preserve"> 5-year </w:t>
      </w:r>
      <w:r w:rsidR="00CD7229">
        <w:rPr>
          <w:rFonts w:ascii="Book Antiqua" w:eastAsia="宋体" w:hAnsi="Book Antiqua" w:cs="Times New Roman"/>
          <w:color w:val="auto"/>
          <w:sz w:val="24"/>
          <w:szCs w:val="22"/>
        </w:rPr>
        <w:t>overall survival</w:t>
      </w:r>
      <w:r w:rsidRPr="00974D6D">
        <w:rPr>
          <w:rFonts w:ascii="Book Antiqua" w:eastAsia="宋体" w:hAnsi="Book Antiqua" w:cs="Times New Roman"/>
          <w:color w:val="auto"/>
          <w:sz w:val="24"/>
          <w:szCs w:val="24"/>
        </w:rPr>
        <w:t xml:space="preserve"> of </w:t>
      </w:r>
      <w:r w:rsidR="00FB10F4" w:rsidRPr="00974D6D">
        <w:rPr>
          <w:rFonts w:ascii="Book Antiqua" w:eastAsia="宋体" w:hAnsi="Book Antiqua" w:cs="Times New Roman"/>
          <w:color w:val="auto"/>
          <w:sz w:val="24"/>
          <w:szCs w:val="24"/>
        </w:rPr>
        <w:t>hepatitis B virus-related hepatocellular carcinoma</w:t>
      </w:r>
      <w:r w:rsidRPr="00974D6D">
        <w:rPr>
          <w:rFonts w:ascii="Book Antiqua" w:eastAsia="宋体" w:hAnsi="Book Antiqua" w:cs="Times New Roman"/>
          <w:color w:val="auto"/>
          <w:sz w:val="24"/>
          <w:szCs w:val="24"/>
        </w:rPr>
        <w:t xml:space="preserve"> patients based on </w:t>
      </w:r>
      <w:r w:rsidR="00392487">
        <w:rPr>
          <w:rFonts w:ascii="Book Antiqua" w:eastAsia="宋体" w:hAnsi="Book Antiqua" w:cs="Times New Roman"/>
          <w:color w:val="auto"/>
          <w:sz w:val="24"/>
          <w:szCs w:val="24"/>
        </w:rPr>
        <w:t xml:space="preserve">the </w:t>
      </w:r>
      <w:proofErr w:type="spellStart"/>
      <w:r w:rsidRPr="00974D6D">
        <w:rPr>
          <w:rFonts w:ascii="Book Antiqua" w:eastAsia="宋体" w:hAnsi="Book Antiqua" w:cs="Times New Roman"/>
          <w:color w:val="auto"/>
          <w:sz w:val="24"/>
          <w:szCs w:val="24"/>
        </w:rPr>
        <w:t>immunoscore</w:t>
      </w:r>
      <w:proofErr w:type="spellEnd"/>
      <w:r w:rsidRPr="00974D6D">
        <w:rPr>
          <w:rFonts w:ascii="Book Antiqua" w:eastAsia="宋体" w:hAnsi="Book Antiqua" w:cs="Times New Roman"/>
          <w:color w:val="auto"/>
          <w:sz w:val="24"/>
          <w:szCs w:val="24"/>
        </w:rPr>
        <w:t xml:space="preserve"> and</w:t>
      </w:r>
      <w:r w:rsidR="00FF4AFC">
        <w:rPr>
          <w:rFonts w:ascii="Book Antiqua" w:eastAsia="宋体" w:hAnsi="Book Antiqua" w:cs="Times New Roman"/>
          <w:color w:val="auto"/>
          <w:sz w:val="24"/>
          <w:szCs w:val="24"/>
        </w:rPr>
        <w:t xml:space="preserve"> </w:t>
      </w:r>
      <w:proofErr w:type="spellStart"/>
      <w:r w:rsidR="00FF4AFC">
        <w:rPr>
          <w:rFonts w:ascii="Book Antiqua" w:eastAsia="宋体" w:hAnsi="Book Antiqua" w:cs="Times New Roman"/>
          <w:color w:val="auto"/>
          <w:sz w:val="24"/>
          <w:szCs w:val="24"/>
        </w:rPr>
        <w:t>clinicopathological</w:t>
      </w:r>
      <w:proofErr w:type="spellEnd"/>
      <w:r w:rsidR="00FF4AFC">
        <w:rPr>
          <w:rFonts w:ascii="Book Antiqua" w:eastAsia="宋体" w:hAnsi="Book Antiqua" w:cs="Times New Roman"/>
          <w:color w:val="auto"/>
          <w:sz w:val="24"/>
          <w:szCs w:val="24"/>
        </w:rPr>
        <w:t xml:space="preserve"> parameters</w:t>
      </w:r>
      <w:r w:rsidR="00FF4AFC">
        <w:rPr>
          <w:rFonts w:ascii="Book Antiqua" w:eastAsia="宋体" w:hAnsi="Book Antiqua" w:cs="Times New Roman" w:hint="eastAsia"/>
          <w:color w:val="auto"/>
          <w:sz w:val="24"/>
          <w:szCs w:val="24"/>
        </w:rPr>
        <w:t>;</w:t>
      </w:r>
      <w:r w:rsidRPr="00974D6D">
        <w:rPr>
          <w:rFonts w:ascii="Book Antiqua" w:eastAsia="宋体" w:hAnsi="Book Antiqua" w:cs="Times New Roman"/>
          <w:color w:val="auto"/>
          <w:sz w:val="24"/>
          <w:szCs w:val="24"/>
        </w:rPr>
        <w:t xml:space="preserve"> Calibration curves for predicting patient survival at 1 </w:t>
      </w:r>
      <w:r w:rsidRPr="00A5406A">
        <w:rPr>
          <w:rFonts w:ascii="Book Antiqua" w:eastAsia="宋体" w:hAnsi="Book Antiqua" w:cs="Times New Roman"/>
          <w:color w:val="auto"/>
          <w:sz w:val="24"/>
          <w:szCs w:val="24"/>
        </w:rPr>
        <w:t>(B)</w:t>
      </w:r>
      <w:r w:rsidRPr="00974D6D">
        <w:rPr>
          <w:rFonts w:ascii="Book Antiqua" w:eastAsia="宋体" w:hAnsi="Book Antiqua" w:cs="Times New Roman"/>
          <w:color w:val="auto"/>
          <w:sz w:val="24"/>
          <w:szCs w:val="24"/>
        </w:rPr>
        <w:t>, 3</w:t>
      </w:r>
      <w:r w:rsidRPr="00A5406A">
        <w:rPr>
          <w:rFonts w:ascii="Book Antiqua" w:eastAsia="宋体" w:hAnsi="Book Antiqua" w:cs="Times New Roman"/>
          <w:color w:val="auto"/>
          <w:sz w:val="24"/>
          <w:szCs w:val="24"/>
        </w:rPr>
        <w:t xml:space="preserve"> (C)</w:t>
      </w:r>
      <w:r w:rsidRPr="00974D6D">
        <w:rPr>
          <w:rFonts w:ascii="Book Antiqua" w:eastAsia="宋体" w:hAnsi="Book Antiqua" w:cs="Times New Roman"/>
          <w:color w:val="auto"/>
          <w:sz w:val="24"/>
          <w:szCs w:val="24"/>
        </w:rPr>
        <w:t>, and 5</w:t>
      </w:r>
      <w:r w:rsidRPr="00A5406A">
        <w:rPr>
          <w:rFonts w:ascii="Book Antiqua" w:eastAsia="宋体" w:hAnsi="Book Antiqua" w:cs="Times New Roman"/>
          <w:color w:val="auto"/>
          <w:sz w:val="24"/>
          <w:szCs w:val="24"/>
        </w:rPr>
        <w:t xml:space="preserve"> (D)</w:t>
      </w:r>
      <w:r w:rsidR="00A5406A">
        <w:rPr>
          <w:rFonts w:ascii="Book Antiqua" w:eastAsia="宋体" w:hAnsi="Book Antiqua" w:cs="Times New Roman"/>
          <w:color w:val="auto"/>
          <w:sz w:val="24"/>
          <w:szCs w:val="24"/>
        </w:rPr>
        <w:t xml:space="preserve"> y</w:t>
      </w:r>
      <w:r w:rsidR="002535DB">
        <w:rPr>
          <w:rFonts w:ascii="Book Antiqua" w:eastAsia="宋体" w:hAnsi="Book Antiqua" w:cs="Times New Roman"/>
          <w:color w:val="auto"/>
          <w:sz w:val="24"/>
          <w:szCs w:val="24"/>
        </w:rPr>
        <w:t>ears</w:t>
      </w:r>
      <w:r w:rsidRPr="00974D6D">
        <w:rPr>
          <w:rFonts w:ascii="Book Antiqua" w:eastAsia="宋体" w:hAnsi="Book Antiqua" w:cs="Times New Roman"/>
          <w:color w:val="auto"/>
          <w:sz w:val="24"/>
          <w:szCs w:val="24"/>
        </w:rPr>
        <w:t>.</w:t>
      </w:r>
    </w:p>
    <w:p w14:paraId="13E2FC3A" w14:textId="05F2FC8A" w:rsidR="004A5977" w:rsidRDefault="004A5977">
      <w:pPr>
        <w:framePr w:wrap="auto"/>
        <w:widowControl/>
        <w:jc w:val="left"/>
        <w:rPr>
          <w:rFonts w:ascii="Book Antiqua" w:eastAsia="宋体" w:hAnsi="Book Antiqua" w:cs="Times New Roman"/>
          <w:color w:val="auto"/>
          <w:sz w:val="24"/>
          <w:szCs w:val="24"/>
        </w:rPr>
      </w:pPr>
      <w:r>
        <w:rPr>
          <w:rFonts w:ascii="Book Antiqua" w:eastAsia="宋体" w:hAnsi="Book Antiqua" w:cs="Times New Roman"/>
          <w:color w:val="auto"/>
          <w:sz w:val="24"/>
          <w:szCs w:val="24"/>
        </w:rPr>
        <w:br w:type="page"/>
      </w:r>
    </w:p>
    <w:p w14:paraId="17EABB44" w14:textId="09583161" w:rsidR="009D2472" w:rsidRPr="00974D6D" w:rsidRDefault="009D2472" w:rsidP="00974D6D">
      <w:pPr>
        <w:framePr w:wrap="auto"/>
        <w:adjustRightInd w:val="0"/>
        <w:snapToGrid w:val="0"/>
        <w:spacing w:line="360" w:lineRule="auto"/>
        <w:rPr>
          <w:rFonts w:ascii="Book Antiqua" w:eastAsia="宋体" w:hAnsi="Book Antiqua" w:cs="Times New Roman"/>
          <w:color w:val="auto"/>
          <w:sz w:val="24"/>
          <w:szCs w:val="22"/>
        </w:rPr>
      </w:pPr>
      <w:r>
        <w:rPr>
          <w:noProof/>
        </w:rPr>
        <w:lastRenderedPageBreak/>
        <w:drawing>
          <wp:inline distT="0" distB="0" distL="0" distR="0" wp14:anchorId="0EE7D5A5" wp14:editId="455EB9A8">
            <wp:extent cx="5270500" cy="4851422"/>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4851422"/>
                    </a:xfrm>
                    <a:prstGeom prst="rect">
                      <a:avLst/>
                    </a:prstGeom>
                  </pic:spPr>
                </pic:pic>
              </a:graphicData>
            </a:graphic>
          </wp:inline>
        </w:drawing>
      </w:r>
    </w:p>
    <w:p w14:paraId="69644C53" w14:textId="494F5395" w:rsidR="00EE45B8" w:rsidRPr="009D2472" w:rsidRDefault="00F474B9" w:rsidP="00974D6D">
      <w:pPr>
        <w:framePr w:wrap="auto"/>
        <w:adjustRightInd w:val="0"/>
        <w:snapToGrid w:val="0"/>
        <w:spacing w:line="360" w:lineRule="auto"/>
        <w:rPr>
          <w:rFonts w:ascii="Book Antiqua" w:eastAsia="宋体" w:hAnsi="Book Antiqua" w:cs="Times New Roman"/>
          <w:b/>
          <w:color w:val="auto"/>
          <w:sz w:val="24"/>
          <w:szCs w:val="24"/>
        </w:rPr>
      </w:pPr>
      <w:r w:rsidRPr="00974D6D">
        <w:rPr>
          <w:rFonts w:ascii="Book Antiqua" w:eastAsia="宋体" w:hAnsi="Book Antiqua" w:cs="Times New Roman"/>
          <w:b/>
          <w:color w:val="auto"/>
          <w:sz w:val="24"/>
          <w:szCs w:val="22"/>
        </w:rPr>
        <w:t>Figure 6</w:t>
      </w:r>
      <w:r w:rsidRPr="00974D6D">
        <w:rPr>
          <w:rFonts w:ascii="Book Antiqua" w:eastAsia="宋体" w:hAnsi="Book Antiqua" w:cs="Times New Roman"/>
          <w:color w:val="auto"/>
          <w:sz w:val="24"/>
          <w:szCs w:val="24"/>
        </w:rPr>
        <w:t xml:space="preserve"> </w:t>
      </w:r>
      <w:r w:rsidRPr="00974D6D">
        <w:rPr>
          <w:rFonts w:ascii="Book Antiqua" w:eastAsia="宋体" w:hAnsi="Book Antiqua" w:cs="Times New Roman"/>
          <w:b/>
          <w:color w:val="auto"/>
          <w:sz w:val="24"/>
          <w:szCs w:val="24"/>
        </w:rPr>
        <w:t xml:space="preserve">Scatter plots describing the relationship of </w:t>
      </w:r>
      <w:proofErr w:type="spellStart"/>
      <w:r w:rsidRPr="00974D6D">
        <w:rPr>
          <w:rFonts w:ascii="Book Antiqua" w:eastAsia="宋体" w:hAnsi="Book Antiqua" w:cs="Times New Roman"/>
          <w:b/>
          <w:color w:val="auto"/>
          <w:sz w:val="24"/>
          <w:szCs w:val="24"/>
        </w:rPr>
        <w:t>immunoscore</w:t>
      </w:r>
      <w:proofErr w:type="spellEnd"/>
      <w:r w:rsidRPr="00974D6D">
        <w:rPr>
          <w:rFonts w:ascii="Book Antiqua" w:eastAsia="宋体" w:hAnsi="Book Antiqua" w:cs="Times New Roman"/>
          <w:b/>
          <w:color w:val="auto"/>
          <w:sz w:val="24"/>
          <w:szCs w:val="24"/>
        </w:rPr>
        <w:t xml:space="preserve"> with </w:t>
      </w:r>
      <w:r w:rsidR="00392487">
        <w:rPr>
          <w:rFonts w:ascii="Book Antiqua" w:eastAsia="宋体" w:hAnsi="Book Antiqua" w:cs="Times New Roman"/>
          <w:b/>
          <w:color w:val="auto"/>
          <w:sz w:val="24"/>
          <w:szCs w:val="24"/>
        </w:rPr>
        <w:t xml:space="preserve">the </w:t>
      </w:r>
      <w:r w:rsidR="00392487" w:rsidRPr="00974D6D">
        <w:rPr>
          <w:rFonts w:ascii="Book Antiqua" w:eastAsia="宋体" w:hAnsi="Book Antiqua" w:cs="Times New Roman"/>
          <w:b/>
          <w:color w:val="auto"/>
          <w:sz w:val="24"/>
          <w:szCs w:val="24"/>
        </w:rPr>
        <w:t xml:space="preserve">expression </w:t>
      </w:r>
      <w:r w:rsidR="00392487">
        <w:rPr>
          <w:rFonts w:ascii="Book Antiqua" w:eastAsia="宋体" w:hAnsi="Book Antiqua" w:cs="Times New Roman"/>
          <w:b/>
          <w:color w:val="auto"/>
          <w:sz w:val="24"/>
          <w:szCs w:val="24"/>
        </w:rPr>
        <w:t xml:space="preserve">of </w:t>
      </w:r>
      <w:r w:rsidRPr="00974D6D">
        <w:rPr>
          <w:rFonts w:ascii="Book Antiqua" w:eastAsia="宋体" w:hAnsi="Book Antiqua" w:cs="Times New Roman"/>
          <w:b/>
          <w:color w:val="auto"/>
          <w:sz w:val="24"/>
          <w:szCs w:val="24"/>
        </w:rPr>
        <w:t>immune checkpoint regulators</w:t>
      </w:r>
      <w:r w:rsidRPr="009D2472">
        <w:rPr>
          <w:rFonts w:ascii="Book Antiqua" w:eastAsia="宋体" w:hAnsi="Book Antiqua" w:cs="Times New Roman"/>
          <w:b/>
          <w:color w:val="auto"/>
          <w:sz w:val="24"/>
          <w:szCs w:val="24"/>
        </w:rPr>
        <w:t>, including PD-1 (A), PD-L1 (B), PD-L2 (C), and CD27 (D).</w:t>
      </w:r>
    </w:p>
    <w:p w14:paraId="5103162A" w14:textId="77777777" w:rsidR="00EE45B8" w:rsidRDefault="00EE45B8">
      <w:pPr>
        <w:framePr w:wrap="auto"/>
        <w:widowControl/>
        <w:jc w:val="left"/>
        <w:rPr>
          <w:rFonts w:ascii="Book Antiqua" w:eastAsia="宋体" w:hAnsi="Book Antiqua" w:cs="Times New Roman"/>
          <w:color w:val="auto"/>
          <w:sz w:val="24"/>
          <w:szCs w:val="24"/>
        </w:rPr>
      </w:pPr>
      <w:r>
        <w:rPr>
          <w:rFonts w:ascii="Book Antiqua" w:eastAsia="宋体" w:hAnsi="Book Antiqua" w:cs="Times New Roman"/>
          <w:color w:val="auto"/>
          <w:sz w:val="24"/>
          <w:szCs w:val="24"/>
        </w:rPr>
        <w:br w:type="page"/>
      </w:r>
    </w:p>
    <w:p w14:paraId="1F2AA6A6" w14:textId="1D826C00" w:rsidR="009D2472" w:rsidRPr="001A75AE" w:rsidRDefault="001A75AE" w:rsidP="00974D6D">
      <w:pPr>
        <w:framePr w:wrap="auto"/>
        <w:adjustRightInd w:val="0"/>
        <w:snapToGrid w:val="0"/>
        <w:spacing w:line="360" w:lineRule="auto"/>
        <w:rPr>
          <w:rFonts w:ascii="Book Antiqua" w:eastAsia="宋体" w:hAnsi="Book Antiqua" w:cs="Times New Roman"/>
          <w:color w:val="auto"/>
          <w:sz w:val="24"/>
          <w:szCs w:val="22"/>
        </w:rPr>
      </w:pPr>
      <w:r>
        <w:rPr>
          <w:noProof/>
        </w:rPr>
        <w:lastRenderedPageBreak/>
        <w:drawing>
          <wp:inline distT="0" distB="0" distL="0" distR="0" wp14:anchorId="606D240A" wp14:editId="47EE56BD">
            <wp:extent cx="5270500" cy="2724312"/>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0500" cy="2724312"/>
                    </a:xfrm>
                    <a:prstGeom prst="rect">
                      <a:avLst/>
                    </a:prstGeom>
                  </pic:spPr>
                </pic:pic>
              </a:graphicData>
            </a:graphic>
          </wp:inline>
        </w:drawing>
      </w:r>
    </w:p>
    <w:p w14:paraId="0E415AB8" w14:textId="7C420534" w:rsidR="00F30A79" w:rsidRPr="00974D6D" w:rsidRDefault="00F474B9" w:rsidP="00974D6D">
      <w:pPr>
        <w:framePr w:wrap="auto"/>
        <w:adjustRightInd w:val="0"/>
        <w:snapToGrid w:val="0"/>
        <w:spacing w:line="360" w:lineRule="auto"/>
        <w:rPr>
          <w:rFonts w:ascii="Book Antiqua" w:eastAsia="宋体" w:hAnsi="Book Antiqua" w:cs="Times New Roman"/>
          <w:b/>
          <w:color w:val="auto"/>
          <w:sz w:val="24"/>
          <w:szCs w:val="24"/>
        </w:rPr>
      </w:pPr>
      <w:r w:rsidRPr="00974D6D">
        <w:rPr>
          <w:rFonts w:ascii="Book Antiqua" w:eastAsia="宋体" w:hAnsi="Book Antiqua" w:cs="Times New Roman"/>
          <w:b/>
          <w:color w:val="auto"/>
          <w:sz w:val="24"/>
          <w:szCs w:val="22"/>
        </w:rPr>
        <w:t>Figure 7</w:t>
      </w:r>
      <w:r w:rsidRPr="00974D6D">
        <w:rPr>
          <w:rFonts w:ascii="Book Antiqua" w:eastAsia="宋体" w:hAnsi="Book Antiqua" w:cs="Times New Roman"/>
          <w:color w:val="auto"/>
          <w:sz w:val="24"/>
          <w:szCs w:val="24"/>
        </w:rPr>
        <w:t xml:space="preserve"> </w:t>
      </w:r>
      <w:bookmarkStart w:id="155" w:name="OLE_LINK15"/>
      <w:bookmarkStart w:id="156" w:name="OLE_LINK17"/>
      <w:r w:rsidRPr="00974D6D">
        <w:rPr>
          <w:rFonts w:ascii="Book Antiqua" w:eastAsia="宋体" w:hAnsi="Book Antiqua" w:cs="Times New Roman"/>
          <w:b/>
          <w:color w:val="auto"/>
          <w:sz w:val="24"/>
          <w:szCs w:val="24"/>
        </w:rPr>
        <w:t xml:space="preserve">Gene set enrichment analysis delineating the biological pathways related to the </w:t>
      </w:r>
      <w:proofErr w:type="spellStart"/>
      <w:r w:rsidRPr="00974D6D">
        <w:rPr>
          <w:rFonts w:ascii="Book Antiqua" w:eastAsia="宋体" w:hAnsi="Book Antiqua" w:cs="Times New Roman"/>
          <w:b/>
          <w:color w:val="auto"/>
          <w:sz w:val="24"/>
          <w:szCs w:val="24"/>
        </w:rPr>
        <w:t>immunoscore</w:t>
      </w:r>
      <w:proofErr w:type="spellEnd"/>
      <w:r w:rsidRPr="00974D6D">
        <w:rPr>
          <w:rFonts w:ascii="Book Antiqua" w:eastAsia="宋体" w:hAnsi="Book Antiqua" w:cs="Times New Roman"/>
          <w:b/>
          <w:color w:val="auto"/>
          <w:sz w:val="24"/>
          <w:szCs w:val="24"/>
        </w:rPr>
        <w:t xml:space="preserve"> values using the “c2.cp.kegg.v6.2.symbols” gene sets.</w:t>
      </w:r>
    </w:p>
    <w:bookmarkEnd w:id="155"/>
    <w:bookmarkEnd w:id="156"/>
    <w:p w14:paraId="29A98C7A"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p>
    <w:p w14:paraId="1072349B" w14:textId="77777777" w:rsidR="00F30A79" w:rsidRPr="00974D6D" w:rsidRDefault="00F30A79" w:rsidP="00974D6D">
      <w:pPr>
        <w:framePr w:wrap="auto"/>
        <w:widowControl/>
        <w:adjustRightInd w:val="0"/>
        <w:snapToGrid w:val="0"/>
        <w:spacing w:line="360" w:lineRule="auto"/>
        <w:rPr>
          <w:rFonts w:ascii="Book Antiqua" w:eastAsia="宋体" w:hAnsi="Book Antiqua" w:cs="Times New Roman"/>
          <w:b/>
          <w:color w:val="auto"/>
          <w:sz w:val="24"/>
          <w:szCs w:val="22"/>
        </w:rPr>
      </w:pPr>
      <w:r w:rsidRPr="00974D6D">
        <w:rPr>
          <w:rFonts w:ascii="Book Antiqua" w:eastAsia="宋体" w:hAnsi="Book Antiqua" w:cs="Times New Roman"/>
          <w:b/>
          <w:color w:val="auto"/>
          <w:sz w:val="24"/>
          <w:szCs w:val="22"/>
        </w:rPr>
        <w:br w:type="page"/>
      </w:r>
    </w:p>
    <w:p w14:paraId="79D9A45E" w14:textId="0BCE9D38" w:rsidR="00F474B9" w:rsidRPr="00974D6D"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974D6D">
        <w:rPr>
          <w:rFonts w:ascii="Book Antiqua" w:eastAsia="宋体" w:hAnsi="Book Antiqua" w:cs="Times New Roman"/>
          <w:b/>
          <w:color w:val="auto"/>
          <w:sz w:val="24"/>
          <w:szCs w:val="22"/>
        </w:rPr>
        <w:lastRenderedPageBreak/>
        <w:t>Table 1 Baseline patient characteristics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2214"/>
        <w:gridCol w:w="2789"/>
        <w:gridCol w:w="1396"/>
      </w:tblGrid>
      <w:tr w:rsidR="00974D6D" w:rsidRPr="00974D6D" w14:paraId="553B76CD" w14:textId="77777777" w:rsidTr="00BB5827">
        <w:tc>
          <w:tcPr>
            <w:tcW w:w="1145" w:type="pct"/>
            <w:tcBorders>
              <w:top w:val="single" w:sz="4" w:space="0" w:color="auto"/>
              <w:left w:val="nil"/>
              <w:bottom w:val="nil"/>
              <w:right w:val="nil"/>
            </w:tcBorders>
            <w:hideMark/>
          </w:tcPr>
          <w:p w14:paraId="2D83A089" w14:textId="034644CA" w:rsidR="00F474B9" w:rsidRPr="00B85586" w:rsidRDefault="00392487" w:rsidP="00974D6D">
            <w:pPr>
              <w:framePr w:wrap="auto"/>
              <w:adjustRightInd w:val="0"/>
              <w:snapToGrid w:val="0"/>
              <w:spacing w:line="360" w:lineRule="auto"/>
              <w:rPr>
                <w:rFonts w:ascii="Book Antiqua" w:eastAsia="宋体" w:hAnsi="Book Antiqua" w:cs="Times New Roman"/>
                <w:b/>
                <w:color w:val="auto"/>
                <w:sz w:val="24"/>
                <w:szCs w:val="22"/>
              </w:rPr>
            </w:pPr>
            <w:r>
              <w:rPr>
                <w:rFonts w:ascii="Book Antiqua" w:eastAsia="宋体" w:hAnsi="Book Antiqua" w:cs="Times New Roman"/>
                <w:b/>
                <w:color w:val="auto"/>
                <w:sz w:val="24"/>
                <w:szCs w:val="22"/>
              </w:rPr>
              <w:t>Variable</w:t>
            </w:r>
          </w:p>
        </w:tc>
        <w:tc>
          <w:tcPr>
            <w:tcW w:w="1334" w:type="pct"/>
            <w:vMerge w:val="restart"/>
            <w:tcBorders>
              <w:top w:val="single" w:sz="4" w:space="0" w:color="auto"/>
              <w:left w:val="nil"/>
              <w:bottom w:val="single" w:sz="4" w:space="0" w:color="auto"/>
              <w:right w:val="nil"/>
            </w:tcBorders>
          </w:tcPr>
          <w:p w14:paraId="2DB2814F" w14:textId="77777777" w:rsidR="00F474B9" w:rsidRPr="00B85586" w:rsidRDefault="00F474B9" w:rsidP="00974D6D">
            <w:pPr>
              <w:framePr w:wrap="auto"/>
              <w:adjustRightInd w:val="0"/>
              <w:snapToGrid w:val="0"/>
              <w:spacing w:line="360" w:lineRule="auto"/>
              <w:rPr>
                <w:rFonts w:ascii="Book Antiqua" w:eastAsia="宋体" w:hAnsi="Book Antiqua" w:cs="Times New Roman"/>
                <w:b/>
                <w:color w:val="auto"/>
                <w:sz w:val="24"/>
                <w:szCs w:val="22"/>
              </w:rPr>
            </w:pPr>
          </w:p>
        </w:tc>
        <w:tc>
          <w:tcPr>
            <w:tcW w:w="1680" w:type="pct"/>
            <w:vMerge w:val="restart"/>
            <w:tcBorders>
              <w:top w:val="single" w:sz="4" w:space="0" w:color="auto"/>
              <w:left w:val="nil"/>
              <w:bottom w:val="single" w:sz="4" w:space="0" w:color="auto"/>
              <w:right w:val="nil"/>
            </w:tcBorders>
            <w:hideMark/>
          </w:tcPr>
          <w:p w14:paraId="34178FDD" w14:textId="77777777" w:rsidR="00F474B9" w:rsidRPr="00B85586" w:rsidRDefault="00F474B9" w:rsidP="00B85586">
            <w:pPr>
              <w:framePr w:wrap="auto"/>
              <w:adjustRightInd w:val="0"/>
              <w:snapToGrid w:val="0"/>
              <w:spacing w:line="360" w:lineRule="auto"/>
              <w:jc w:val="center"/>
              <w:rPr>
                <w:rFonts w:ascii="Book Antiqua" w:eastAsia="宋体" w:hAnsi="Book Antiqua" w:cs="Times New Roman"/>
                <w:b/>
                <w:color w:val="auto"/>
                <w:sz w:val="24"/>
                <w:szCs w:val="22"/>
              </w:rPr>
            </w:pPr>
            <w:r w:rsidRPr="00B85586">
              <w:rPr>
                <w:rFonts w:ascii="Book Antiqua" w:eastAsia="宋体" w:hAnsi="Book Antiqua" w:cs="Times New Roman"/>
                <w:b/>
                <w:color w:val="auto"/>
                <w:sz w:val="24"/>
                <w:szCs w:val="22"/>
              </w:rPr>
              <w:t>Number</w:t>
            </w:r>
          </w:p>
          <w:p w14:paraId="06F6D4CD" w14:textId="4286B97C" w:rsidR="00F474B9" w:rsidRPr="00B85586" w:rsidRDefault="00B85586" w:rsidP="00B85586">
            <w:pPr>
              <w:framePr w:wrap="auto"/>
              <w:adjustRightInd w:val="0"/>
              <w:snapToGrid w:val="0"/>
              <w:spacing w:line="360" w:lineRule="auto"/>
              <w:jc w:val="center"/>
              <w:rPr>
                <w:rFonts w:ascii="Book Antiqua" w:eastAsia="宋体" w:hAnsi="Book Antiqua" w:cs="Times New Roman"/>
                <w:b/>
                <w:color w:val="auto"/>
                <w:sz w:val="24"/>
                <w:szCs w:val="22"/>
              </w:rPr>
            </w:pPr>
            <w:r w:rsidRPr="00B85586">
              <w:rPr>
                <w:rFonts w:ascii="Book Antiqua" w:eastAsia="宋体" w:hAnsi="Book Antiqua" w:cs="Times New Roman"/>
                <w:b/>
                <w:color w:val="auto"/>
                <w:sz w:val="24"/>
                <w:szCs w:val="22"/>
              </w:rPr>
              <w:t>(</w:t>
            </w:r>
            <w:r w:rsidRPr="00B85586">
              <w:rPr>
                <w:rFonts w:ascii="Book Antiqua" w:eastAsia="宋体" w:hAnsi="Book Antiqua" w:cs="Times New Roman" w:hint="eastAsia"/>
                <w:b/>
                <w:i/>
                <w:color w:val="auto"/>
                <w:sz w:val="24"/>
                <w:szCs w:val="22"/>
              </w:rPr>
              <w:t>n</w:t>
            </w:r>
            <w:r w:rsidR="00F474B9" w:rsidRPr="00B85586">
              <w:rPr>
                <w:rFonts w:ascii="Book Antiqua" w:eastAsia="宋体" w:hAnsi="Book Antiqua" w:cs="Times New Roman"/>
                <w:b/>
                <w:color w:val="auto"/>
                <w:sz w:val="24"/>
                <w:szCs w:val="22"/>
              </w:rPr>
              <w:t>)</w:t>
            </w:r>
          </w:p>
        </w:tc>
        <w:tc>
          <w:tcPr>
            <w:tcW w:w="841" w:type="pct"/>
            <w:vMerge w:val="restart"/>
            <w:tcBorders>
              <w:top w:val="single" w:sz="4" w:space="0" w:color="auto"/>
              <w:left w:val="nil"/>
              <w:bottom w:val="single" w:sz="4" w:space="0" w:color="auto"/>
              <w:right w:val="nil"/>
            </w:tcBorders>
            <w:hideMark/>
          </w:tcPr>
          <w:p w14:paraId="464E62D6" w14:textId="77777777" w:rsidR="00F474B9" w:rsidRPr="00B85586" w:rsidRDefault="00F474B9" w:rsidP="00B85586">
            <w:pPr>
              <w:framePr w:wrap="auto"/>
              <w:adjustRightInd w:val="0"/>
              <w:snapToGrid w:val="0"/>
              <w:spacing w:line="360" w:lineRule="auto"/>
              <w:jc w:val="center"/>
              <w:rPr>
                <w:rFonts w:ascii="Book Antiqua" w:eastAsia="宋体" w:hAnsi="Book Antiqua" w:cs="Times New Roman"/>
                <w:b/>
                <w:color w:val="auto"/>
                <w:sz w:val="24"/>
                <w:szCs w:val="22"/>
              </w:rPr>
            </w:pPr>
            <w:r w:rsidRPr="00B85586">
              <w:rPr>
                <w:rFonts w:ascii="Book Antiqua" w:eastAsia="宋体" w:hAnsi="Book Antiqua" w:cs="Times New Roman"/>
                <w:b/>
                <w:color w:val="auto"/>
                <w:sz w:val="24"/>
                <w:szCs w:val="22"/>
              </w:rPr>
              <w:t>Percent</w:t>
            </w:r>
          </w:p>
          <w:p w14:paraId="48328595" w14:textId="77777777" w:rsidR="00F474B9" w:rsidRPr="00B85586" w:rsidRDefault="00F474B9" w:rsidP="00B85586">
            <w:pPr>
              <w:framePr w:wrap="auto"/>
              <w:adjustRightInd w:val="0"/>
              <w:snapToGrid w:val="0"/>
              <w:spacing w:line="360" w:lineRule="auto"/>
              <w:jc w:val="center"/>
              <w:rPr>
                <w:rFonts w:ascii="Book Antiqua" w:eastAsia="宋体" w:hAnsi="Book Antiqua" w:cs="Times New Roman"/>
                <w:b/>
                <w:color w:val="auto"/>
                <w:sz w:val="24"/>
                <w:szCs w:val="22"/>
              </w:rPr>
            </w:pPr>
            <w:r w:rsidRPr="00B85586">
              <w:rPr>
                <w:rFonts w:ascii="Book Antiqua" w:eastAsia="宋体" w:hAnsi="Book Antiqua" w:cs="Times New Roman"/>
                <w:b/>
                <w:color w:val="auto"/>
                <w:sz w:val="24"/>
                <w:szCs w:val="22"/>
              </w:rPr>
              <w:t>(%)</w:t>
            </w:r>
          </w:p>
        </w:tc>
      </w:tr>
      <w:tr w:rsidR="00974D6D" w:rsidRPr="00974D6D" w14:paraId="67B423CB" w14:textId="77777777" w:rsidTr="00BB5827">
        <w:tc>
          <w:tcPr>
            <w:tcW w:w="1145" w:type="pct"/>
            <w:tcBorders>
              <w:top w:val="nil"/>
              <w:left w:val="nil"/>
              <w:bottom w:val="single" w:sz="4" w:space="0" w:color="auto"/>
              <w:right w:val="nil"/>
            </w:tcBorders>
          </w:tcPr>
          <w:p w14:paraId="65496FDC"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p>
        </w:tc>
        <w:tc>
          <w:tcPr>
            <w:tcW w:w="1334" w:type="pct"/>
            <w:vMerge/>
            <w:tcBorders>
              <w:top w:val="single" w:sz="4" w:space="0" w:color="auto"/>
              <w:left w:val="nil"/>
              <w:bottom w:val="single" w:sz="4" w:space="0" w:color="auto"/>
              <w:right w:val="nil"/>
            </w:tcBorders>
            <w:vAlign w:val="center"/>
            <w:hideMark/>
          </w:tcPr>
          <w:p w14:paraId="4D553F83" w14:textId="77777777" w:rsidR="00F474B9" w:rsidRPr="00974D6D" w:rsidRDefault="00F474B9" w:rsidP="00974D6D">
            <w:pPr>
              <w:framePr w:wrap="auto"/>
              <w:widowControl/>
              <w:adjustRightInd w:val="0"/>
              <w:snapToGrid w:val="0"/>
              <w:spacing w:line="360" w:lineRule="auto"/>
              <w:rPr>
                <w:rFonts w:ascii="Book Antiqua" w:eastAsia="宋体" w:hAnsi="Book Antiqua" w:cs="Times New Roman"/>
                <w:b/>
                <w:color w:val="auto"/>
                <w:sz w:val="24"/>
                <w:szCs w:val="22"/>
              </w:rPr>
            </w:pPr>
          </w:p>
        </w:tc>
        <w:tc>
          <w:tcPr>
            <w:tcW w:w="0" w:type="auto"/>
            <w:vMerge/>
            <w:tcBorders>
              <w:top w:val="single" w:sz="4" w:space="0" w:color="auto"/>
              <w:left w:val="nil"/>
              <w:bottom w:val="single" w:sz="4" w:space="0" w:color="auto"/>
              <w:right w:val="nil"/>
            </w:tcBorders>
            <w:vAlign w:val="center"/>
            <w:hideMark/>
          </w:tcPr>
          <w:p w14:paraId="5A725057" w14:textId="77777777" w:rsidR="00F474B9" w:rsidRPr="00974D6D" w:rsidRDefault="00F474B9" w:rsidP="00B85586">
            <w:pPr>
              <w:framePr w:wrap="auto"/>
              <w:widowControl/>
              <w:adjustRightInd w:val="0"/>
              <w:snapToGrid w:val="0"/>
              <w:spacing w:line="360" w:lineRule="auto"/>
              <w:jc w:val="center"/>
              <w:rPr>
                <w:rFonts w:ascii="Book Antiqua" w:eastAsia="宋体" w:hAnsi="Book Antiqua" w:cs="Times New Roman"/>
                <w:b/>
                <w:color w:val="auto"/>
                <w:sz w:val="24"/>
                <w:szCs w:val="22"/>
              </w:rPr>
            </w:pPr>
          </w:p>
        </w:tc>
        <w:tc>
          <w:tcPr>
            <w:tcW w:w="0" w:type="auto"/>
            <w:vMerge/>
            <w:tcBorders>
              <w:top w:val="single" w:sz="4" w:space="0" w:color="auto"/>
              <w:left w:val="nil"/>
              <w:bottom w:val="single" w:sz="4" w:space="0" w:color="auto"/>
              <w:right w:val="nil"/>
            </w:tcBorders>
            <w:vAlign w:val="center"/>
            <w:hideMark/>
          </w:tcPr>
          <w:p w14:paraId="6E810BF2" w14:textId="77777777" w:rsidR="00F474B9" w:rsidRPr="00974D6D" w:rsidRDefault="00F474B9" w:rsidP="00B85586">
            <w:pPr>
              <w:framePr w:wrap="auto"/>
              <w:widowControl/>
              <w:adjustRightInd w:val="0"/>
              <w:snapToGrid w:val="0"/>
              <w:spacing w:line="360" w:lineRule="auto"/>
              <w:jc w:val="center"/>
              <w:rPr>
                <w:rFonts w:ascii="Book Antiqua" w:eastAsia="宋体" w:hAnsi="Book Antiqua" w:cs="Times New Roman"/>
                <w:b/>
                <w:color w:val="auto"/>
                <w:sz w:val="24"/>
                <w:szCs w:val="22"/>
              </w:rPr>
            </w:pPr>
          </w:p>
        </w:tc>
      </w:tr>
      <w:tr w:rsidR="00974D6D" w:rsidRPr="00974D6D" w14:paraId="4C969833" w14:textId="77777777" w:rsidTr="00BB5827">
        <w:tc>
          <w:tcPr>
            <w:tcW w:w="1145" w:type="pct"/>
            <w:tcBorders>
              <w:top w:val="nil"/>
              <w:left w:val="nil"/>
              <w:bottom w:val="nil"/>
              <w:right w:val="nil"/>
            </w:tcBorders>
            <w:hideMark/>
          </w:tcPr>
          <w:p w14:paraId="04CE1DB5"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Age</w:t>
            </w:r>
          </w:p>
        </w:tc>
        <w:tc>
          <w:tcPr>
            <w:tcW w:w="1334" w:type="pct"/>
            <w:tcBorders>
              <w:top w:val="nil"/>
              <w:left w:val="nil"/>
              <w:bottom w:val="nil"/>
              <w:right w:val="nil"/>
            </w:tcBorders>
            <w:hideMark/>
          </w:tcPr>
          <w:p w14:paraId="72565F00" w14:textId="77777777"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60.1 ± 15.4</w:t>
            </w:r>
          </w:p>
        </w:tc>
        <w:tc>
          <w:tcPr>
            <w:tcW w:w="1680" w:type="pct"/>
            <w:tcBorders>
              <w:top w:val="nil"/>
              <w:left w:val="nil"/>
              <w:bottom w:val="nil"/>
              <w:right w:val="nil"/>
            </w:tcBorders>
            <w:hideMark/>
          </w:tcPr>
          <w:p w14:paraId="76877051"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53</w:t>
            </w:r>
          </w:p>
        </w:tc>
        <w:tc>
          <w:tcPr>
            <w:tcW w:w="841" w:type="pct"/>
            <w:tcBorders>
              <w:top w:val="nil"/>
              <w:left w:val="nil"/>
              <w:bottom w:val="nil"/>
              <w:right w:val="nil"/>
            </w:tcBorders>
            <w:hideMark/>
          </w:tcPr>
          <w:p w14:paraId="44ECD43A"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100</w:t>
            </w:r>
          </w:p>
        </w:tc>
      </w:tr>
      <w:tr w:rsidR="00974D6D" w:rsidRPr="00974D6D" w14:paraId="3297C71D" w14:textId="77777777" w:rsidTr="00BB5827">
        <w:tc>
          <w:tcPr>
            <w:tcW w:w="1145" w:type="pct"/>
            <w:tcBorders>
              <w:top w:val="nil"/>
              <w:left w:val="nil"/>
              <w:bottom w:val="nil"/>
              <w:right w:val="nil"/>
            </w:tcBorders>
            <w:hideMark/>
          </w:tcPr>
          <w:p w14:paraId="4859C248"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Gender</w:t>
            </w:r>
          </w:p>
        </w:tc>
        <w:tc>
          <w:tcPr>
            <w:tcW w:w="1334" w:type="pct"/>
            <w:tcBorders>
              <w:top w:val="nil"/>
              <w:left w:val="nil"/>
              <w:bottom w:val="nil"/>
              <w:right w:val="nil"/>
            </w:tcBorders>
            <w:hideMark/>
          </w:tcPr>
          <w:p w14:paraId="367F1142" w14:textId="491DB652"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43C5E74B" w14:textId="59C90ACE"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c>
          <w:tcPr>
            <w:tcW w:w="841" w:type="pct"/>
            <w:tcBorders>
              <w:top w:val="nil"/>
              <w:left w:val="nil"/>
              <w:bottom w:val="nil"/>
              <w:right w:val="nil"/>
            </w:tcBorders>
            <w:hideMark/>
          </w:tcPr>
          <w:p w14:paraId="1A470BAE" w14:textId="0927FE26"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r>
      <w:tr w:rsidR="003E6F32" w:rsidRPr="00974D6D" w14:paraId="39E63E77" w14:textId="77777777" w:rsidTr="00BB5827">
        <w:tc>
          <w:tcPr>
            <w:tcW w:w="1145" w:type="pct"/>
            <w:tcBorders>
              <w:top w:val="nil"/>
              <w:left w:val="nil"/>
              <w:bottom w:val="nil"/>
              <w:right w:val="nil"/>
            </w:tcBorders>
          </w:tcPr>
          <w:p w14:paraId="73AF29EA" w14:textId="766573B2" w:rsidR="003E6F32"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Male</w:t>
            </w:r>
          </w:p>
        </w:tc>
        <w:tc>
          <w:tcPr>
            <w:tcW w:w="1334" w:type="pct"/>
            <w:tcBorders>
              <w:top w:val="nil"/>
              <w:left w:val="nil"/>
              <w:bottom w:val="nil"/>
              <w:right w:val="nil"/>
            </w:tcBorders>
          </w:tcPr>
          <w:p w14:paraId="21E7F3F7" w14:textId="0F060E76" w:rsidR="003E6F32" w:rsidRPr="00974D6D" w:rsidRDefault="003E6F32"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tcPr>
          <w:p w14:paraId="5A870B3E" w14:textId="10B06E4F" w:rsidR="003E6F32" w:rsidRPr="00974D6D"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31</w:t>
            </w:r>
          </w:p>
        </w:tc>
        <w:tc>
          <w:tcPr>
            <w:tcW w:w="841" w:type="pct"/>
            <w:tcBorders>
              <w:top w:val="nil"/>
              <w:left w:val="nil"/>
              <w:bottom w:val="nil"/>
              <w:right w:val="nil"/>
            </w:tcBorders>
          </w:tcPr>
          <w:p w14:paraId="09C7326D" w14:textId="5E4DAE6D" w:rsidR="003E6F32" w:rsidRPr="00974D6D"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58.5</w:t>
            </w:r>
          </w:p>
        </w:tc>
      </w:tr>
      <w:tr w:rsidR="00974D6D" w:rsidRPr="00974D6D" w14:paraId="1642302B" w14:textId="77777777" w:rsidTr="00BB5827">
        <w:tc>
          <w:tcPr>
            <w:tcW w:w="1145" w:type="pct"/>
            <w:tcBorders>
              <w:top w:val="nil"/>
              <w:left w:val="nil"/>
              <w:bottom w:val="nil"/>
              <w:right w:val="nil"/>
            </w:tcBorders>
          </w:tcPr>
          <w:p w14:paraId="03BE6028" w14:textId="1DB75BE4" w:rsidR="00F474B9"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Female</w:t>
            </w:r>
          </w:p>
        </w:tc>
        <w:tc>
          <w:tcPr>
            <w:tcW w:w="1334" w:type="pct"/>
            <w:tcBorders>
              <w:top w:val="nil"/>
              <w:left w:val="nil"/>
              <w:bottom w:val="nil"/>
              <w:right w:val="nil"/>
            </w:tcBorders>
            <w:hideMark/>
          </w:tcPr>
          <w:p w14:paraId="397B8FFC" w14:textId="6E5DC0B9"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544F8BE4"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22</w:t>
            </w:r>
          </w:p>
        </w:tc>
        <w:tc>
          <w:tcPr>
            <w:tcW w:w="841" w:type="pct"/>
            <w:tcBorders>
              <w:top w:val="nil"/>
              <w:left w:val="nil"/>
              <w:bottom w:val="nil"/>
              <w:right w:val="nil"/>
            </w:tcBorders>
            <w:hideMark/>
          </w:tcPr>
          <w:p w14:paraId="0AB67F66"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41.5</w:t>
            </w:r>
          </w:p>
        </w:tc>
      </w:tr>
      <w:tr w:rsidR="00974D6D" w:rsidRPr="00974D6D" w14:paraId="46DECAE2" w14:textId="77777777" w:rsidTr="00BB5827">
        <w:tc>
          <w:tcPr>
            <w:tcW w:w="1145" w:type="pct"/>
            <w:tcBorders>
              <w:top w:val="nil"/>
              <w:left w:val="nil"/>
              <w:bottom w:val="nil"/>
              <w:right w:val="nil"/>
            </w:tcBorders>
            <w:hideMark/>
          </w:tcPr>
          <w:p w14:paraId="043E995F"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Race</w:t>
            </w:r>
          </w:p>
        </w:tc>
        <w:tc>
          <w:tcPr>
            <w:tcW w:w="1334" w:type="pct"/>
            <w:tcBorders>
              <w:top w:val="nil"/>
              <w:left w:val="nil"/>
              <w:bottom w:val="nil"/>
              <w:right w:val="nil"/>
            </w:tcBorders>
            <w:hideMark/>
          </w:tcPr>
          <w:p w14:paraId="708E8A61" w14:textId="404F1B32"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275FA646" w14:textId="4C3B7920"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c>
          <w:tcPr>
            <w:tcW w:w="841" w:type="pct"/>
            <w:tcBorders>
              <w:top w:val="nil"/>
              <w:left w:val="nil"/>
              <w:bottom w:val="nil"/>
              <w:right w:val="nil"/>
            </w:tcBorders>
            <w:hideMark/>
          </w:tcPr>
          <w:p w14:paraId="1B7A88CC" w14:textId="28BADFBC"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r>
      <w:tr w:rsidR="003E6F32" w:rsidRPr="00974D6D" w14:paraId="06C78916" w14:textId="77777777" w:rsidTr="00BB5827">
        <w:tc>
          <w:tcPr>
            <w:tcW w:w="1145" w:type="pct"/>
            <w:tcBorders>
              <w:top w:val="nil"/>
              <w:left w:val="nil"/>
              <w:bottom w:val="nil"/>
              <w:right w:val="nil"/>
            </w:tcBorders>
          </w:tcPr>
          <w:p w14:paraId="48C377BC" w14:textId="3647BFCB" w:rsidR="003E6F32"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White</w:t>
            </w:r>
          </w:p>
        </w:tc>
        <w:tc>
          <w:tcPr>
            <w:tcW w:w="1334" w:type="pct"/>
            <w:tcBorders>
              <w:top w:val="nil"/>
              <w:left w:val="nil"/>
              <w:bottom w:val="nil"/>
              <w:right w:val="nil"/>
            </w:tcBorders>
          </w:tcPr>
          <w:p w14:paraId="0DD54110" w14:textId="6C9F4C87" w:rsidR="003E6F32" w:rsidRPr="00974D6D" w:rsidRDefault="003E6F32"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tcPr>
          <w:p w14:paraId="492DCD84" w14:textId="20A28C88" w:rsidR="003E6F32" w:rsidRPr="00974D6D"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33</w:t>
            </w:r>
          </w:p>
        </w:tc>
        <w:tc>
          <w:tcPr>
            <w:tcW w:w="841" w:type="pct"/>
            <w:tcBorders>
              <w:top w:val="nil"/>
              <w:left w:val="nil"/>
              <w:bottom w:val="nil"/>
              <w:right w:val="nil"/>
            </w:tcBorders>
          </w:tcPr>
          <w:p w14:paraId="7D321E76" w14:textId="2425EAF1" w:rsidR="003E6F32" w:rsidRPr="00974D6D"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62.3</w:t>
            </w:r>
          </w:p>
        </w:tc>
      </w:tr>
      <w:tr w:rsidR="00974D6D" w:rsidRPr="00974D6D" w14:paraId="2721014B" w14:textId="77777777" w:rsidTr="00BB5827">
        <w:tc>
          <w:tcPr>
            <w:tcW w:w="1145" w:type="pct"/>
            <w:tcBorders>
              <w:top w:val="nil"/>
              <w:left w:val="nil"/>
              <w:bottom w:val="nil"/>
              <w:right w:val="nil"/>
            </w:tcBorders>
          </w:tcPr>
          <w:p w14:paraId="6C1A1298" w14:textId="159DDC3F" w:rsidR="00F474B9"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Others</w:t>
            </w:r>
          </w:p>
        </w:tc>
        <w:tc>
          <w:tcPr>
            <w:tcW w:w="1334" w:type="pct"/>
            <w:tcBorders>
              <w:top w:val="nil"/>
              <w:left w:val="nil"/>
              <w:bottom w:val="nil"/>
              <w:right w:val="nil"/>
            </w:tcBorders>
            <w:hideMark/>
          </w:tcPr>
          <w:p w14:paraId="3F4850E6" w14:textId="21A016F8"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54544ED0"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20</w:t>
            </w:r>
          </w:p>
        </w:tc>
        <w:tc>
          <w:tcPr>
            <w:tcW w:w="841" w:type="pct"/>
            <w:tcBorders>
              <w:top w:val="nil"/>
              <w:left w:val="nil"/>
              <w:bottom w:val="nil"/>
              <w:right w:val="nil"/>
            </w:tcBorders>
            <w:hideMark/>
          </w:tcPr>
          <w:p w14:paraId="41605170"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37.7</w:t>
            </w:r>
          </w:p>
        </w:tc>
      </w:tr>
      <w:tr w:rsidR="00974D6D" w:rsidRPr="00974D6D" w14:paraId="773AD0C2" w14:textId="77777777" w:rsidTr="00BB5827">
        <w:tc>
          <w:tcPr>
            <w:tcW w:w="1145" w:type="pct"/>
            <w:tcBorders>
              <w:top w:val="nil"/>
              <w:left w:val="nil"/>
              <w:bottom w:val="nil"/>
              <w:right w:val="nil"/>
            </w:tcBorders>
            <w:hideMark/>
          </w:tcPr>
          <w:p w14:paraId="383B584A"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Grade</w:t>
            </w:r>
          </w:p>
        </w:tc>
        <w:tc>
          <w:tcPr>
            <w:tcW w:w="1334" w:type="pct"/>
            <w:tcBorders>
              <w:top w:val="nil"/>
              <w:left w:val="nil"/>
              <w:bottom w:val="nil"/>
              <w:right w:val="nil"/>
            </w:tcBorders>
            <w:hideMark/>
          </w:tcPr>
          <w:p w14:paraId="57B6D1A5" w14:textId="41001F7B"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1B957AB7" w14:textId="4505550D"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c>
          <w:tcPr>
            <w:tcW w:w="841" w:type="pct"/>
            <w:tcBorders>
              <w:top w:val="nil"/>
              <w:left w:val="nil"/>
              <w:bottom w:val="nil"/>
              <w:right w:val="nil"/>
            </w:tcBorders>
            <w:hideMark/>
          </w:tcPr>
          <w:p w14:paraId="509174CE" w14:textId="25279F23"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r>
      <w:tr w:rsidR="003E6F32" w:rsidRPr="00974D6D" w14:paraId="049EEADD" w14:textId="77777777" w:rsidTr="00BB5827">
        <w:tc>
          <w:tcPr>
            <w:tcW w:w="1145" w:type="pct"/>
            <w:tcBorders>
              <w:top w:val="nil"/>
              <w:left w:val="nil"/>
              <w:bottom w:val="nil"/>
              <w:right w:val="nil"/>
            </w:tcBorders>
          </w:tcPr>
          <w:p w14:paraId="605CB5A2" w14:textId="3CC47F16" w:rsidR="003E6F32"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I</w:t>
            </w:r>
          </w:p>
        </w:tc>
        <w:tc>
          <w:tcPr>
            <w:tcW w:w="1334" w:type="pct"/>
            <w:tcBorders>
              <w:top w:val="nil"/>
              <w:left w:val="nil"/>
              <w:bottom w:val="nil"/>
              <w:right w:val="nil"/>
            </w:tcBorders>
          </w:tcPr>
          <w:p w14:paraId="5FB0F579" w14:textId="77777777" w:rsidR="003E6F32" w:rsidRPr="00974D6D" w:rsidRDefault="003E6F32"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tcPr>
          <w:p w14:paraId="22C5FE4C" w14:textId="789CB2CE" w:rsidR="003E6F32" w:rsidRPr="00974D6D"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18</w:t>
            </w:r>
          </w:p>
        </w:tc>
        <w:tc>
          <w:tcPr>
            <w:tcW w:w="841" w:type="pct"/>
            <w:tcBorders>
              <w:top w:val="nil"/>
              <w:left w:val="nil"/>
              <w:bottom w:val="nil"/>
              <w:right w:val="nil"/>
            </w:tcBorders>
          </w:tcPr>
          <w:p w14:paraId="20B96D32" w14:textId="7C10B9FC" w:rsidR="003E6F32" w:rsidRPr="00974D6D"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34.0</w:t>
            </w:r>
          </w:p>
        </w:tc>
      </w:tr>
      <w:tr w:rsidR="00974D6D" w:rsidRPr="00974D6D" w14:paraId="6F4DCEFB" w14:textId="77777777" w:rsidTr="00BB5827">
        <w:tc>
          <w:tcPr>
            <w:tcW w:w="1145" w:type="pct"/>
            <w:tcBorders>
              <w:top w:val="nil"/>
              <w:left w:val="nil"/>
              <w:bottom w:val="nil"/>
              <w:right w:val="nil"/>
            </w:tcBorders>
            <w:hideMark/>
          </w:tcPr>
          <w:p w14:paraId="26679F16" w14:textId="392F93BE" w:rsidR="00F474B9"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II</w:t>
            </w:r>
          </w:p>
        </w:tc>
        <w:tc>
          <w:tcPr>
            <w:tcW w:w="1334" w:type="pct"/>
            <w:tcBorders>
              <w:top w:val="nil"/>
              <w:left w:val="nil"/>
              <w:bottom w:val="nil"/>
              <w:right w:val="nil"/>
            </w:tcBorders>
            <w:hideMark/>
          </w:tcPr>
          <w:p w14:paraId="704EC52A" w14:textId="597AEABD"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18EEC29D"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16</w:t>
            </w:r>
          </w:p>
        </w:tc>
        <w:tc>
          <w:tcPr>
            <w:tcW w:w="841" w:type="pct"/>
            <w:tcBorders>
              <w:top w:val="nil"/>
              <w:left w:val="nil"/>
              <w:bottom w:val="nil"/>
              <w:right w:val="nil"/>
            </w:tcBorders>
            <w:hideMark/>
          </w:tcPr>
          <w:p w14:paraId="1AACB94F"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30.2</w:t>
            </w:r>
          </w:p>
        </w:tc>
      </w:tr>
      <w:tr w:rsidR="00974D6D" w:rsidRPr="00974D6D" w14:paraId="0DE67321" w14:textId="77777777" w:rsidTr="00BB5827">
        <w:tc>
          <w:tcPr>
            <w:tcW w:w="1145" w:type="pct"/>
            <w:tcBorders>
              <w:top w:val="nil"/>
              <w:left w:val="nil"/>
              <w:bottom w:val="nil"/>
              <w:right w:val="nil"/>
            </w:tcBorders>
            <w:hideMark/>
          </w:tcPr>
          <w:p w14:paraId="170A77BC" w14:textId="7143B331" w:rsidR="00F474B9"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III</w:t>
            </w:r>
          </w:p>
        </w:tc>
        <w:tc>
          <w:tcPr>
            <w:tcW w:w="1334" w:type="pct"/>
            <w:tcBorders>
              <w:top w:val="nil"/>
              <w:left w:val="nil"/>
              <w:bottom w:val="nil"/>
              <w:right w:val="nil"/>
            </w:tcBorders>
            <w:hideMark/>
          </w:tcPr>
          <w:p w14:paraId="07A02737" w14:textId="35B57943"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260D1A23"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14</w:t>
            </w:r>
          </w:p>
        </w:tc>
        <w:tc>
          <w:tcPr>
            <w:tcW w:w="841" w:type="pct"/>
            <w:tcBorders>
              <w:top w:val="nil"/>
              <w:left w:val="nil"/>
              <w:bottom w:val="nil"/>
              <w:right w:val="nil"/>
            </w:tcBorders>
            <w:hideMark/>
          </w:tcPr>
          <w:p w14:paraId="5FB06A2F"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26.4</w:t>
            </w:r>
          </w:p>
        </w:tc>
      </w:tr>
      <w:tr w:rsidR="00974D6D" w:rsidRPr="00974D6D" w14:paraId="65688D42" w14:textId="77777777" w:rsidTr="00BB5827">
        <w:tc>
          <w:tcPr>
            <w:tcW w:w="1145" w:type="pct"/>
            <w:tcBorders>
              <w:top w:val="nil"/>
              <w:left w:val="nil"/>
              <w:bottom w:val="nil"/>
              <w:right w:val="nil"/>
            </w:tcBorders>
          </w:tcPr>
          <w:p w14:paraId="5CDB7B99" w14:textId="51BF50E6" w:rsidR="00F474B9"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IV</w:t>
            </w:r>
          </w:p>
        </w:tc>
        <w:tc>
          <w:tcPr>
            <w:tcW w:w="1334" w:type="pct"/>
            <w:tcBorders>
              <w:top w:val="nil"/>
              <w:left w:val="nil"/>
              <w:bottom w:val="nil"/>
              <w:right w:val="nil"/>
            </w:tcBorders>
            <w:hideMark/>
          </w:tcPr>
          <w:p w14:paraId="6B2188C7" w14:textId="60A269BD"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00891F3A"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5</w:t>
            </w:r>
          </w:p>
        </w:tc>
        <w:tc>
          <w:tcPr>
            <w:tcW w:w="841" w:type="pct"/>
            <w:tcBorders>
              <w:top w:val="nil"/>
              <w:left w:val="nil"/>
              <w:bottom w:val="nil"/>
              <w:right w:val="nil"/>
            </w:tcBorders>
            <w:hideMark/>
          </w:tcPr>
          <w:p w14:paraId="277F9AF6"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9.4</w:t>
            </w:r>
          </w:p>
        </w:tc>
      </w:tr>
      <w:tr w:rsidR="00974D6D" w:rsidRPr="00974D6D" w14:paraId="50A15636" w14:textId="77777777" w:rsidTr="00BB5827">
        <w:tc>
          <w:tcPr>
            <w:tcW w:w="1145" w:type="pct"/>
            <w:tcBorders>
              <w:top w:val="nil"/>
              <w:left w:val="nil"/>
              <w:bottom w:val="nil"/>
              <w:right w:val="nil"/>
            </w:tcBorders>
            <w:hideMark/>
          </w:tcPr>
          <w:p w14:paraId="770003AA"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Stage</w:t>
            </w:r>
          </w:p>
        </w:tc>
        <w:tc>
          <w:tcPr>
            <w:tcW w:w="1334" w:type="pct"/>
            <w:tcBorders>
              <w:top w:val="nil"/>
              <w:left w:val="nil"/>
              <w:bottom w:val="nil"/>
              <w:right w:val="nil"/>
            </w:tcBorders>
            <w:hideMark/>
          </w:tcPr>
          <w:p w14:paraId="56997B74" w14:textId="081404AC"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59220428" w14:textId="66EFC542"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c>
          <w:tcPr>
            <w:tcW w:w="841" w:type="pct"/>
            <w:tcBorders>
              <w:top w:val="nil"/>
              <w:left w:val="nil"/>
              <w:bottom w:val="nil"/>
              <w:right w:val="nil"/>
            </w:tcBorders>
            <w:hideMark/>
          </w:tcPr>
          <w:p w14:paraId="09064568" w14:textId="0F36440D"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r>
      <w:tr w:rsidR="003E6F32" w:rsidRPr="00974D6D" w14:paraId="20AEBA6D" w14:textId="77777777" w:rsidTr="00BB5827">
        <w:tc>
          <w:tcPr>
            <w:tcW w:w="1145" w:type="pct"/>
            <w:tcBorders>
              <w:top w:val="nil"/>
              <w:left w:val="nil"/>
              <w:bottom w:val="nil"/>
              <w:right w:val="nil"/>
            </w:tcBorders>
          </w:tcPr>
          <w:p w14:paraId="1D6FE433" w14:textId="0303DE01" w:rsidR="003E6F32"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I</w:t>
            </w:r>
          </w:p>
        </w:tc>
        <w:tc>
          <w:tcPr>
            <w:tcW w:w="1334" w:type="pct"/>
            <w:tcBorders>
              <w:top w:val="nil"/>
              <w:left w:val="nil"/>
              <w:bottom w:val="nil"/>
              <w:right w:val="nil"/>
            </w:tcBorders>
          </w:tcPr>
          <w:p w14:paraId="689241BB" w14:textId="77777777" w:rsidR="003E6F32" w:rsidRPr="00974D6D" w:rsidRDefault="003E6F32"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tcPr>
          <w:p w14:paraId="4DF08E88" w14:textId="176F6A3E" w:rsidR="003E6F32" w:rsidRPr="00974D6D"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5</w:t>
            </w:r>
          </w:p>
        </w:tc>
        <w:tc>
          <w:tcPr>
            <w:tcW w:w="841" w:type="pct"/>
            <w:tcBorders>
              <w:top w:val="nil"/>
              <w:left w:val="nil"/>
              <w:bottom w:val="nil"/>
              <w:right w:val="nil"/>
            </w:tcBorders>
          </w:tcPr>
          <w:p w14:paraId="2098CAF4" w14:textId="2FDD5AB9" w:rsidR="003E6F32" w:rsidRPr="00974D6D"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9.4</w:t>
            </w:r>
          </w:p>
        </w:tc>
      </w:tr>
      <w:tr w:rsidR="00974D6D" w:rsidRPr="00974D6D" w14:paraId="564EDF28" w14:textId="77777777" w:rsidTr="00BB5827">
        <w:tc>
          <w:tcPr>
            <w:tcW w:w="1145" w:type="pct"/>
            <w:tcBorders>
              <w:top w:val="nil"/>
              <w:left w:val="nil"/>
              <w:bottom w:val="nil"/>
              <w:right w:val="nil"/>
            </w:tcBorders>
          </w:tcPr>
          <w:p w14:paraId="58752EA1" w14:textId="644F637E" w:rsidR="00F474B9"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II</w:t>
            </w:r>
          </w:p>
        </w:tc>
        <w:tc>
          <w:tcPr>
            <w:tcW w:w="1334" w:type="pct"/>
            <w:tcBorders>
              <w:top w:val="nil"/>
              <w:left w:val="nil"/>
              <w:bottom w:val="nil"/>
              <w:right w:val="nil"/>
            </w:tcBorders>
            <w:hideMark/>
          </w:tcPr>
          <w:p w14:paraId="228ACE9A" w14:textId="160F4ED1"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4224A3F1"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25</w:t>
            </w:r>
          </w:p>
        </w:tc>
        <w:tc>
          <w:tcPr>
            <w:tcW w:w="841" w:type="pct"/>
            <w:tcBorders>
              <w:top w:val="nil"/>
              <w:left w:val="nil"/>
              <w:bottom w:val="nil"/>
              <w:right w:val="nil"/>
            </w:tcBorders>
            <w:hideMark/>
          </w:tcPr>
          <w:p w14:paraId="12B21EA8"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47.2</w:t>
            </w:r>
          </w:p>
        </w:tc>
      </w:tr>
      <w:tr w:rsidR="00974D6D" w:rsidRPr="00974D6D" w14:paraId="17D92F95" w14:textId="77777777" w:rsidTr="00BB5827">
        <w:tc>
          <w:tcPr>
            <w:tcW w:w="1145" w:type="pct"/>
            <w:tcBorders>
              <w:top w:val="nil"/>
              <w:left w:val="nil"/>
              <w:bottom w:val="nil"/>
              <w:right w:val="nil"/>
            </w:tcBorders>
          </w:tcPr>
          <w:p w14:paraId="2AD3F05A" w14:textId="119E7463" w:rsidR="00F474B9"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III</w:t>
            </w:r>
          </w:p>
        </w:tc>
        <w:tc>
          <w:tcPr>
            <w:tcW w:w="1334" w:type="pct"/>
            <w:tcBorders>
              <w:top w:val="nil"/>
              <w:left w:val="nil"/>
              <w:bottom w:val="nil"/>
              <w:right w:val="nil"/>
            </w:tcBorders>
            <w:hideMark/>
          </w:tcPr>
          <w:p w14:paraId="1FB878FA" w14:textId="20630408"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0305BEDA"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22</w:t>
            </w:r>
          </w:p>
        </w:tc>
        <w:tc>
          <w:tcPr>
            <w:tcW w:w="841" w:type="pct"/>
            <w:tcBorders>
              <w:top w:val="nil"/>
              <w:left w:val="nil"/>
              <w:bottom w:val="nil"/>
              <w:right w:val="nil"/>
            </w:tcBorders>
            <w:hideMark/>
          </w:tcPr>
          <w:p w14:paraId="0E77753C"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41.5</w:t>
            </w:r>
          </w:p>
        </w:tc>
      </w:tr>
      <w:tr w:rsidR="00974D6D" w:rsidRPr="00974D6D" w14:paraId="2BE23DD5" w14:textId="77777777" w:rsidTr="00BB5827">
        <w:tc>
          <w:tcPr>
            <w:tcW w:w="1145" w:type="pct"/>
            <w:tcBorders>
              <w:top w:val="nil"/>
              <w:left w:val="nil"/>
              <w:bottom w:val="single" w:sz="4" w:space="0" w:color="auto"/>
              <w:right w:val="nil"/>
            </w:tcBorders>
          </w:tcPr>
          <w:p w14:paraId="020314C4" w14:textId="3542B33B" w:rsidR="00F474B9" w:rsidRPr="00974D6D"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IV</w:t>
            </w:r>
          </w:p>
        </w:tc>
        <w:tc>
          <w:tcPr>
            <w:tcW w:w="1334" w:type="pct"/>
            <w:tcBorders>
              <w:top w:val="nil"/>
              <w:left w:val="nil"/>
              <w:bottom w:val="single" w:sz="4" w:space="0" w:color="auto"/>
              <w:right w:val="nil"/>
            </w:tcBorders>
            <w:hideMark/>
          </w:tcPr>
          <w:p w14:paraId="4B404811" w14:textId="2E3152D0" w:rsidR="00F474B9" w:rsidRPr="00974D6D"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single" w:sz="4" w:space="0" w:color="auto"/>
              <w:right w:val="nil"/>
            </w:tcBorders>
            <w:hideMark/>
          </w:tcPr>
          <w:p w14:paraId="7C199C1A"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w:t>
            </w:r>
          </w:p>
        </w:tc>
        <w:tc>
          <w:tcPr>
            <w:tcW w:w="841" w:type="pct"/>
            <w:tcBorders>
              <w:top w:val="nil"/>
              <w:left w:val="nil"/>
              <w:bottom w:val="single" w:sz="4" w:space="0" w:color="auto"/>
              <w:right w:val="nil"/>
            </w:tcBorders>
            <w:hideMark/>
          </w:tcPr>
          <w:p w14:paraId="7D867FD0" w14:textId="77777777" w:rsidR="00F474B9" w:rsidRPr="00974D6D"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1.9</w:t>
            </w:r>
          </w:p>
        </w:tc>
      </w:tr>
    </w:tbl>
    <w:p w14:paraId="18C2879F" w14:textId="113998E9" w:rsidR="00F474B9" w:rsidRPr="00974D6D" w:rsidRDefault="00516E84" w:rsidP="00974D6D">
      <w:pPr>
        <w:framePr w:wrap="auto"/>
        <w:adjustRightInd w:val="0"/>
        <w:snapToGrid w:val="0"/>
        <w:spacing w:line="360" w:lineRule="auto"/>
        <w:rPr>
          <w:rFonts w:ascii="Book Antiqua" w:eastAsia="宋体" w:hAnsi="Book Antiqua" w:cs="Times New Roman"/>
          <w:color w:val="auto"/>
          <w:sz w:val="24"/>
          <w:szCs w:val="22"/>
        </w:rPr>
      </w:pPr>
      <w:r>
        <w:rPr>
          <w:rFonts w:ascii="Book Antiqua" w:eastAsia="宋体" w:hAnsi="Book Antiqua" w:cs="Times New Roman"/>
          <w:color w:val="auto"/>
          <w:sz w:val="24"/>
          <w:szCs w:val="22"/>
        </w:rPr>
        <w:t>Grade</w:t>
      </w:r>
      <w:r>
        <w:rPr>
          <w:rFonts w:ascii="Book Antiqua" w:eastAsia="宋体" w:hAnsi="Book Antiqua" w:cs="Times New Roman" w:hint="eastAsia"/>
          <w:color w:val="auto"/>
          <w:sz w:val="24"/>
          <w:szCs w:val="22"/>
        </w:rPr>
        <w:t xml:space="preserve">: </w:t>
      </w:r>
      <w:r w:rsidR="008B0A8B">
        <w:rPr>
          <w:rFonts w:ascii="Book Antiqua" w:eastAsia="宋体" w:hAnsi="Book Antiqua" w:cs="Times New Roman"/>
          <w:color w:val="auto"/>
          <w:sz w:val="24"/>
          <w:szCs w:val="22"/>
        </w:rPr>
        <w:t>N</w:t>
      </w:r>
      <w:r w:rsidR="003C1430" w:rsidRPr="00974D6D">
        <w:rPr>
          <w:rFonts w:ascii="Book Antiqua" w:eastAsia="宋体" w:hAnsi="Book Antiqua" w:cs="Times New Roman"/>
          <w:color w:val="auto"/>
          <w:sz w:val="24"/>
          <w:szCs w:val="22"/>
        </w:rPr>
        <w:t>e</w:t>
      </w:r>
      <w:r>
        <w:rPr>
          <w:rFonts w:ascii="Book Antiqua" w:eastAsia="宋体" w:hAnsi="Book Antiqua" w:cs="Times New Roman"/>
          <w:color w:val="auto"/>
          <w:sz w:val="24"/>
          <w:szCs w:val="22"/>
        </w:rPr>
        <w:t>oplasm histologic grade; Stage</w:t>
      </w:r>
      <w:r>
        <w:rPr>
          <w:rFonts w:ascii="Book Antiqua" w:eastAsia="宋体" w:hAnsi="Book Antiqua" w:cs="Times New Roman" w:hint="eastAsia"/>
          <w:color w:val="auto"/>
          <w:sz w:val="24"/>
          <w:szCs w:val="22"/>
        </w:rPr>
        <w:t xml:space="preserve">: </w:t>
      </w:r>
      <w:r w:rsidR="003C1430" w:rsidRPr="00974D6D">
        <w:rPr>
          <w:rFonts w:ascii="Book Antiqua" w:eastAsia="宋体" w:hAnsi="Book Antiqua" w:cs="Times New Roman"/>
          <w:color w:val="auto"/>
          <w:sz w:val="24"/>
          <w:szCs w:val="22"/>
        </w:rPr>
        <w:t>TNM stage.</w:t>
      </w:r>
    </w:p>
    <w:p w14:paraId="59AFE9C9" w14:textId="7A2CF530" w:rsidR="0033312F" w:rsidRDefault="00D51B76" w:rsidP="00D51B76">
      <w:pPr>
        <w:framePr w:wrap="auto"/>
        <w:widowControl/>
        <w:jc w:val="left"/>
        <w:rPr>
          <w:rFonts w:ascii="Book Antiqua" w:eastAsia="宋体" w:hAnsi="Book Antiqua" w:cs="Times New Roman"/>
          <w:b/>
          <w:color w:val="auto"/>
          <w:sz w:val="24"/>
          <w:szCs w:val="22"/>
        </w:rPr>
      </w:pPr>
      <w:r>
        <w:rPr>
          <w:rFonts w:ascii="Book Antiqua" w:eastAsia="宋体" w:hAnsi="Book Antiqua" w:cs="Times New Roman"/>
          <w:b/>
          <w:color w:val="auto"/>
          <w:sz w:val="24"/>
          <w:szCs w:val="22"/>
        </w:rPr>
        <w:br w:type="page"/>
      </w:r>
    </w:p>
    <w:p w14:paraId="671DA847" w14:textId="25F22A16" w:rsidR="00F474B9" w:rsidRPr="00974D6D"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974D6D">
        <w:rPr>
          <w:rFonts w:ascii="Book Antiqua" w:eastAsia="宋体" w:hAnsi="Book Antiqua" w:cs="Times New Roman"/>
          <w:b/>
          <w:color w:val="auto"/>
          <w:sz w:val="24"/>
          <w:szCs w:val="22"/>
        </w:rPr>
        <w:lastRenderedPageBreak/>
        <w:t>Table 2 Thresholds for immunocyte fractions</w:t>
      </w:r>
    </w:p>
    <w:tbl>
      <w:tblPr>
        <w:tblW w:w="6251" w:type="dxa"/>
        <w:tblBorders>
          <w:top w:val="single" w:sz="4" w:space="0" w:color="auto"/>
          <w:bottom w:val="single" w:sz="4" w:space="0" w:color="auto"/>
        </w:tblBorders>
        <w:tblLayout w:type="fixed"/>
        <w:tblLook w:val="04A0" w:firstRow="1" w:lastRow="0" w:firstColumn="1" w:lastColumn="0" w:noHBand="0" w:noVBand="1"/>
      </w:tblPr>
      <w:tblGrid>
        <w:gridCol w:w="4235"/>
        <w:gridCol w:w="2016"/>
      </w:tblGrid>
      <w:tr w:rsidR="00974D6D" w:rsidRPr="00974D6D" w14:paraId="7987F299" w14:textId="77777777" w:rsidTr="00792D55">
        <w:trPr>
          <w:trHeight w:val="365"/>
        </w:trPr>
        <w:tc>
          <w:tcPr>
            <w:tcW w:w="4235" w:type="dxa"/>
            <w:tcBorders>
              <w:bottom w:val="single" w:sz="4" w:space="0" w:color="auto"/>
            </w:tcBorders>
          </w:tcPr>
          <w:p w14:paraId="77CD9105" w14:textId="77777777" w:rsidR="00F474B9" w:rsidRPr="0033312F"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3312F">
              <w:rPr>
                <w:rFonts w:ascii="Book Antiqua" w:eastAsia="宋体" w:hAnsi="Book Antiqua" w:cs="Times New Roman"/>
                <w:b/>
                <w:color w:val="auto"/>
                <w:sz w:val="24"/>
                <w:szCs w:val="22"/>
              </w:rPr>
              <w:t>Cell type</w:t>
            </w:r>
          </w:p>
        </w:tc>
        <w:tc>
          <w:tcPr>
            <w:tcW w:w="2016" w:type="dxa"/>
            <w:tcBorders>
              <w:bottom w:val="single" w:sz="4" w:space="0" w:color="auto"/>
            </w:tcBorders>
          </w:tcPr>
          <w:p w14:paraId="244155DE" w14:textId="77777777" w:rsidR="00F474B9" w:rsidRPr="0033312F"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3312F">
              <w:rPr>
                <w:rFonts w:ascii="Book Antiqua" w:eastAsia="宋体" w:hAnsi="Book Antiqua" w:cs="Times New Roman"/>
                <w:b/>
                <w:color w:val="auto"/>
                <w:sz w:val="24"/>
                <w:szCs w:val="22"/>
              </w:rPr>
              <w:t>Cut-off value</w:t>
            </w:r>
          </w:p>
        </w:tc>
      </w:tr>
      <w:tr w:rsidR="00974D6D" w:rsidRPr="00974D6D" w14:paraId="2E35BDFC" w14:textId="77777777" w:rsidTr="00792D55">
        <w:trPr>
          <w:trHeight w:hRule="exact" w:val="373"/>
        </w:trPr>
        <w:tc>
          <w:tcPr>
            <w:tcW w:w="4235" w:type="dxa"/>
            <w:tcBorders>
              <w:top w:val="single" w:sz="4" w:space="0" w:color="auto"/>
            </w:tcBorders>
          </w:tcPr>
          <w:p w14:paraId="6F72C653"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B cells naive</w:t>
            </w:r>
          </w:p>
        </w:tc>
        <w:tc>
          <w:tcPr>
            <w:tcW w:w="2016" w:type="dxa"/>
            <w:tcBorders>
              <w:top w:val="single" w:sz="4" w:space="0" w:color="auto"/>
            </w:tcBorders>
          </w:tcPr>
          <w:p w14:paraId="212F49FA" w14:textId="756E7396"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0.107</w:t>
            </w:r>
          </w:p>
        </w:tc>
      </w:tr>
      <w:tr w:rsidR="00974D6D" w:rsidRPr="00974D6D" w14:paraId="403E6FD4" w14:textId="77777777" w:rsidTr="00792D55">
        <w:trPr>
          <w:trHeight w:hRule="exact" w:val="373"/>
        </w:trPr>
        <w:tc>
          <w:tcPr>
            <w:tcW w:w="4235" w:type="dxa"/>
          </w:tcPr>
          <w:p w14:paraId="5EC62EEF"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B cells memory</w:t>
            </w:r>
          </w:p>
        </w:tc>
        <w:tc>
          <w:tcPr>
            <w:tcW w:w="2016" w:type="dxa"/>
          </w:tcPr>
          <w:p w14:paraId="74035E1D" w14:textId="29552526"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w:t>
            </w:r>
          </w:p>
        </w:tc>
      </w:tr>
      <w:tr w:rsidR="00974D6D" w:rsidRPr="00974D6D" w14:paraId="2BDE04F1" w14:textId="77777777" w:rsidTr="00792D55">
        <w:trPr>
          <w:trHeight w:hRule="exact" w:val="373"/>
        </w:trPr>
        <w:tc>
          <w:tcPr>
            <w:tcW w:w="4235" w:type="dxa"/>
          </w:tcPr>
          <w:p w14:paraId="3654E412"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Plasma cells</w:t>
            </w:r>
          </w:p>
        </w:tc>
        <w:tc>
          <w:tcPr>
            <w:tcW w:w="2016" w:type="dxa"/>
          </w:tcPr>
          <w:p w14:paraId="71BE4806" w14:textId="427EEC9C"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0.010</w:t>
            </w:r>
          </w:p>
        </w:tc>
      </w:tr>
      <w:tr w:rsidR="00974D6D" w:rsidRPr="00974D6D" w14:paraId="6E3D03DB" w14:textId="77777777" w:rsidTr="00792D55">
        <w:trPr>
          <w:trHeight w:hRule="exact" w:val="373"/>
        </w:trPr>
        <w:tc>
          <w:tcPr>
            <w:tcW w:w="4235" w:type="dxa"/>
          </w:tcPr>
          <w:p w14:paraId="7F7067A4"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T cells CD8</w:t>
            </w:r>
          </w:p>
        </w:tc>
        <w:tc>
          <w:tcPr>
            <w:tcW w:w="2016" w:type="dxa"/>
          </w:tcPr>
          <w:p w14:paraId="1644F378" w14:textId="1A47F34B"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0.020</w:t>
            </w:r>
          </w:p>
        </w:tc>
      </w:tr>
      <w:tr w:rsidR="00974D6D" w:rsidRPr="00974D6D" w14:paraId="25517F01" w14:textId="77777777" w:rsidTr="00792D55">
        <w:trPr>
          <w:trHeight w:hRule="exact" w:val="373"/>
        </w:trPr>
        <w:tc>
          <w:tcPr>
            <w:tcW w:w="4235" w:type="dxa"/>
          </w:tcPr>
          <w:p w14:paraId="35C9CA6A"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T cells CD4 memory resting</w:t>
            </w:r>
          </w:p>
        </w:tc>
        <w:tc>
          <w:tcPr>
            <w:tcW w:w="2016" w:type="dxa"/>
          </w:tcPr>
          <w:p w14:paraId="1967270B" w14:textId="554D36D2"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0.157</w:t>
            </w:r>
          </w:p>
        </w:tc>
      </w:tr>
      <w:tr w:rsidR="00974D6D" w:rsidRPr="00974D6D" w14:paraId="2B3B7B2A" w14:textId="77777777" w:rsidTr="00792D55">
        <w:trPr>
          <w:trHeight w:hRule="exact" w:val="373"/>
        </w:trPr>
        <w:tc>
          <w:tcPr>
            <w:tcW w:w="4235" w:type="dxa"/>
          </w:tcPr>
          <w:p w14:paraId="42821112"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T cells CD4 memory activated</w:t>
            </w:r>
          </w:p>
        </w:tc>
        <w:tc>
          <w:tcPr>
            <w:tcW w:w="2016" w:type="dxa"/>
          </w:tcPr>
          <w:p w14:paraId="12D5B2DD" w14:textId="0E3D076F"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w:t>
            </w:r>
          </w:p>
        </w:tc>
      </w:tr>
      <w:tr w:rsidR="00974D6D" w:rsidRPr="00974D6D" w14:paraId="325D7CCA" w14:textId="77777777" w:rsidTr="00792D55">
        <w:trPr>
          <w:trHeight w:hRule="exact" w:val="373"/>
        </w:trPr>
        <w:tc>
          <w:tcPr>
            <w:tcW w:w="4235" w:type="dxa"/>
          </w:tcPr>
          <w:p w14:paraId="23F0BA8C"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T cells follicular helper</w:t>
            </w:r>
          </w:p>
        </w:tc>
        <w:tc>
          <w:tcPr>
            <w:tcW w:w="2016" w:type="dxa"/>
          </w:tcPr>
          <w:p w14:paraId="653160DA" w14:textId="5652EB70"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0.054</w:t>
            </w:r>
          </w:p>
        </w:tc>
      </w:tr>
      <w:tr w:rsidR="00974D6D" w:rsidRPr="00974D6D" w14:paraId="10D98D0E" w14:textId="77777777" w:rsidTr="00792D55">
        <w:trPr>
          <w:trHeight w:hRule="exact" w:val="373"/>
        </w:trPr>
        <w:tc>
          <w:tcPr>
            <w:tcW w:w="4235" w:type="dxa"/>
          </w:tcPr>
          <w:p w14:paraId="478912F2"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T cells regulatory</w:t>
            </w:r>
          </w:p>
        </w:tc>
        <w:tc>
          <w:tcPr>
            <w:tcW w:w="2016" w:type="dxa"/>
          </w:tcPr>
          <w:p w14:paraId="70A8A547" w14:textId="461F17C8"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0.108</w:t>
            </w:r>
          </w:p>
        </w:tc>
      </w:tr>
      <w:tr w:rsidR="00974D6D" w:rsidRPr="00974D6D" w14:paraId="79AE90FA" w14:textId="77777777" w:rsidTr="00792D55">
        <w:trPr>
          <w:trHeight w:hRule="exact" w:val="373"/>
        </w:trPr>
        <w:tc>
          <w:tcPr>
            <w:tcW w:w="4235" w:type="dxa"/>
          </w:tcPr>
          <w:p w14:paraId="05051A19"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NK cells resting</w:t>
            </w:r>
          </w:p>
        </w:tc>
        <w:tc>
          <w:tcPr>
            <w:tcW w:w="2016" w:type="dxa"/>
          </w:tcPr>
          <w:p w14:paraId="2FC6D38D" w14:textId="31E0234E"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0.002</w:t>
            </w:r>
          </w:p>
        </w:tc>
      </w:tr>
      <w:tr w:rsidR="00974D6D" w:rsidRPr="00974D6D" w14:paraId="0871376D" w14:textId="77777777" w:rsidTr="00792D55">
        <w:trPr>
          <w:trHeight w:hRule="exact" w:val="373"/>
        </w:trPr>
        <w:tc>
          <w:tcPr>
            <w:tcW w:w="4235" w:type="dxa"/>
          </w:tcPr>
          <w:p w14:paraId="38FCAEF9"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NK cells activated</w:t>
            </w:r>
          </w:p>
        </w:tc>
        <w:tc>
          <w:tcPr>
            <w:tcW w:w="2016" w:type="dxa"/>
          </w:tcPr>
          <w:p w14:paraId="50D14C84" w14:textId="7EB74465"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0.035</w:t>
            </w:r>
          </w:p>
        </w:tc>
      </w:tr>
      <w:tr w:rsidR="00974D6D" w:rsidRPr="00974D6D" w14:paraId="52A46754" w14:textId="77777777" w:rsidTr="00792D55">
        <w:trPr>
          <w:trHeight w:hRule="exact" w:val="373"/>
        </w:trPr>
        <w:tc>
          <w:tcPr>
            <w:tcW w:w="4235" w:type="dxa"/>
          </w:tcPr>
          <w:p w14:paraId="7A681168"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Monocytes</w:t>
            </w:r>
          </w:p>
        </w:tc>
        <w:tc>
          <w:tcPr>
            <w:tcW w:w="2016" w:type="dxa"/>
          </w:tcPr>
          <w:p w14:paraId="0570C78F" w14:textId="57C7C775"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0.082</w:t>
            </w:r>
          </w:p>
        </w:tc>
      </w:tr>
      <w:tr w:rsidR="00974D6D" w:rsidRPr="00974D6D" w14:paraId="01AA33F2" w14:textId="77777777" w:rsidTr="00792D55">
        <w:trPr>
          <w:trHeight w:hRule="exact" w:val="373"/>
        </w:trPr>
        <w:tc>
          <w:tcPr>
            <w:tcW w:w="4235" w:type="dxa"/>
          </w:tcPr>
          <w:p w14:paraId="081CEC11"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Macrophages M0</w:t>
            </w:r>
          </w:p>
        </w:tc>
        <w:tc>
          <w:tcPr>
            <w:tcW w:w="2016" w:type="dxa"/>
          </w:tcPr>
          <w:p w14:paraId="589906E4" w14:textId="263BBB95"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0.067</w:t>
            </w:r>
          </w:p>
        </w:tc>
      </w:tr>
      <w:tr w:rsidR="00974D6D" w:rsidRPr="00974D6D" w14:paraId="55182FED" w14:textId="77777777" w:rsidTr="00792D55">
        <w:trPr>
          <w:trHeight w:hRule="exact" w:val="373"/>
        </w:trPr>
        <w:tc>
          <w:tcPr>
            <w:tcW w:w="4235" w:type="dxa"/>
          </w:tcPr>
          <w:p w14:paraId="79977997"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Macrophages M1</w:t>
            </w:r>
          </w:p>
        </w:tc>
        <w:tc>
          <w:tcPr>
            <w:tcW w:w="2016" w:type="dxa"/>
          </w:tcPr>
          <w:p w14:paraId="43209C47" w14:textId="5C980211"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0.030</w:t>
            </w:r>
          </w:p>
        </w:tc>
      </w:tr>
      <w:tr w:rsidR="00974D6D" w:rsidRPr="00974D6D" w14:paraId="5DBCECCC" w14:textId="77777777" w:rsidTr="00792D55">
        <w:trPr>
          <w:trHeight w:hRule="exact" w:val="373"/>
        </w:trPr>
        <w:tc>
          <w:tcPr>
            <w:tcW w:w="4235" w:type="dxa"/>
          </w:tcPr>
          <w:p w14:paraId="1BF372AA"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Macrophages M2</w:t>
            </w:r>
          </w:p>
        </w:tc>
        <w:tc>
          <w:tcPr>
            <w:tcW w:w="2016" w:type="dxa"/>
          </w:tcPr>
          <w:p w14:paraId="658295E2" w14:textId="4E943631"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0.131</w:t>
            </w:r>
          </w:p>
        </w:tc>
      </w:tr>
      <w:tr w:rsidR="00974D6D" w:rsidRPr="00974D6D" w14:paraId="38FBC60B" w14:textId="77777777" w:rsidTr="00792D55">
        <w:trPr>
          <w:trHeight w:hRule="exact" w:val="373"/>
        </w:trPr>
        <w:tc>
          <w:tcPr>
            <w:tcW w:w="4235" w:type="dxa"/>
          </w:tcPr>
          <w:p w14:paraId="33D524F4"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Dendritic cells resting</w:t>
            </w:r>
          </w:p>
        </w:tc>
        <w:tc>
          <w:tcPr>
            <w:tcW w:w="2016" w:type="dxa"/>
          </w:tcPr>
          <w:p w14:paraId="12F76C20" w14:textId="26EFE4D9"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0.039</w:t>
            </w:r>
          </w:p>
        </w:tc>
      </w:tr>
      <w:tr w:rsidR="00974D6D" w:rsidRPr="00974D6D" w14:paraId="6D37F0B6" w14:textId="77777777" w:rsidTr="00792D55">
        <w:trPr>
          <w:trHeight w:hRule="exact" w:val="373"/>
        </w:trPr>
        <w:tc>
          <w:tcPr>
            <w:tcW w:w="4235" w:type="dxa"/>
          </w:tcPr>
          <w:p w14:paraId="2DE9533D"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Dendritic cells activated</w:t>
            </w:r>
          </w:p>
        </w:tc>
        <w:tc>
          <w:tcPr>
            <w:tcW w:w="2016" w:type="dxa"/>
          </w:tcPr>
          <w:p w14:paraId="6B2B0A53" w14:textId="5C2B13A6"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0.002</w:t>
            </w:r>
          </w:p>
        </w:tc>
      </w:tr>
      <w:tr w:rsidR="00974D6D" w:rsidRPr="00974D6D" w14:paraId="3F54B7FD" w14:textId="77777777" w:rsidTr="00792D55">
        <w:trPr>
          <w:trHeight w:hRule="exact" w:val="373"/>
        </w:trPr>
        <w:tc>
          <w:tcPr>
            <w:tcW w:w="4235" w:type="dxa"/>
          </w:tcPr>
          <w:p w14:paraId="161A58F3"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Mast cells resting</w:t>
            </w:r>
          </w:p>
        </w:tc>
        <w:tc>
          <w:tcPr>
            <w:tcW w:w="2016" w:type="dxa"/>
          </w:tcPr>
          <w:p w14:paraId="0BD32C3C" w14:textId="7B9DB7B2"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0.074</w:t>
            </w:r>
          </w:p>
        </w:tc>
      </w:tr>
      <w:tr w:rsidR="00974D6D" w:rsidRPr="00974D6D" w14:paraId="2A861AF7" w14:textId="77777777" w:rsidTr="00792D55">
        <w:trPr>
          <w:trHeight w:hRule="exact" w:val="373"/>
        </w:trPr>
        <w:tc>
          <w:tcPr>
            <w:tcW w:w="4235" w:type="dxa"/>
          </w:tcPr>
          <w:p w14:paraId="3023359C"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Mast cells activated</w:t>
            </w:r>
          </w:p>
        </w:tc>
        <w:tc>
          <w:tcPr>
            <w:tcW w:w="2016" w:type="dxa"/>
          </w:tcPr>
          <w:p w14:paraId="51CC6D33" w14:textId="6C9D132F"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w:t>
            </w:r>
          </w:p>
        </w:tc>
      </w:tr>
      <w:tr w:rsidR="00974D6D" w:rsidRPr="00974D6D" w14:paraId="35D62A3F" w14:textId="77777777" w:rsidTr="00792D55">
        <w:trPr>
          <w:trHeight w:hRule="exact" w:val="373"/>
        </w:trPr>
        <w:tc>
          <w:tcPr>
            <w:tcW w:w="4235" w:type="dxa"/>
          </w:tcPr>
          <w:p w14:paraId="75C53C9C"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Eosinophils</w:t>
            </w:r>
          </w:p>
        </w:tc>
        <w:tc>
          <w:tcPr>
            <w:tcW w:w="2016" w:type="dxa"/>
          </w:tcPr>
          <w:p w14:paraId="2AB3266F" w14:textId="60F5E516"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w:t>
            </w:r>
          </w:p>
        </w:tc>
      </w:tr>
      <w:tr w:rsidR="00F474B9" w:rsidRPr="00974D6D" w14:paraId="68EE081D" w14:textId="77777777" w:rsidTr="00792D55">
        <w:trPr>
          <w:trHeight w:hRule="exact" w:val="373"/>
        </w:trPr>
        <w:tc>
          <w:tcPr>
            <w:tcW w:w="4235" w:type="dxa"/>
          </w:tcPr>
          <w:p w14:paraId="741F7605"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Neutrophils</w:t>
            </w:r>
          </w:p>
        </w:tc>
        <w:tc>
          <w:tcPr>
            <w:tcW w:w="2016" w:type="dxa"/>
          </w:tcPr>
          <w:p w14:paraId="75FF946D" w14:textId="5462764D"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0.013</w:t>
            </w:r>
          </w:p>
        </w:tc>
      </w:tr>
    </w:tbl>
    <w:p w14:paraId="0EBA3DBE" w14:textId="04CC8A10" w:rsidR="00D51B76" w:rsidRDefault="00D51B76" w:rsidP="00974D6D">
      <w:pPr>
        <w:framePr w:wrap="auto"/>
        <w:adjustRightInd w:val="0"/>
        <w:snapToGrid w:val="0"/>
        <w:spacing w:line="360" w:lineRule="auto"/>
        <w:rPr>
          <w:rFonts w:ascii="Book Antiqua" w:eastAsia="宋体" w:hAnsi="Book Antiqua" w:cs="Times New Roman"/>
          <w:color w:val="auto"/>
          <w:sz w:val="24"/>
          <w:szCs w:val="22"/>
        </w:rPr>
      </w:pPr>
    </w:p>
    <w:p w14:paraId="35D93931" w14:textId="77777777" w:rsidR="00D51B76" w:rsidRDefault="00D51B76">
      <w:pPr>
        <w:framePr w:wrap="auto"/>
        <w:widowControl/>
        <w:jc w:val="left"/>
        <w:rPr>
          <w:rFonts w:ascii="Book Antiqua" w:eastAsia="宋体" w:hAnsi="Book Antiqua" w:cs="Times New Roman"/>
          <w:color w:val="auto"/>
          <w:sz w:val="24"/>
          <w:szCs w:val="22"/>
        </w:rPr>
      </w:pPr>
      <w:r>
        <w:rPr>
          <w:rFonts w:ascii="Book Antiqua" w:eastAsia="宋体" w:hAnsi="Book Antiqua" w:cs="Times New Roman"/>
          <w:color w:val="auto"/>
          <w:sz w:val="24"/>
          <w:szCs w:val="22"/>
        </w:rPr>
        <w:br w:type="page"/>
      </w:r>
    </w:p>
    <w:p w14:paraId="19DF6982" w14:textId="67770CEC" w:rsidR="00F474B9" w:rsidRPr="00974D6D"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974D6D">
        <w:rPr>
          <w:rFonts w:ascii="Book Antiqua" w:eastAsia="宋体" w:hAnsi="Book Antiqua" w:cs="Times New Roman"/>
          <w:b/>
          <w:color w:val="auto"/>
          <w:sz w:val="24"/>
          <w:szCs w:val="22"/>
        </w:rPr>
        <w:lastRenderedPageBreak/>
        <w:t xml:space="preserve">Table 3 Cox regression analysis for </w:t>
      </w:r>
      <w:r w:rsidR="006974FA" w:rsidRPr="00974D6D">
        <w:rPr>
          <w:rFonts w:ascii="Book Antiqua" w:eastAsia="宋体" w:hAnsi="Book Antiqua" w:cs="Times New Roman"/>
          <w:b/>
          <w:color w:val="auto"/>
          <w:sz w:val="24"/>
          <w:szCs w:val="22"/>
        </w:rPr>
        <w:t>overall survival</w:t>
      </w:r>
      <w:r w:rsidRPr="00974D6D">
        <w:rPr>
          <w:rFonts w:ascii="Book Antiqua" w:eastAsia="宋体" w:hAnsi="Book Antiqua" w:cs="Times New Roman"/>
          <w:b/>
          <w:color w:val="auto"/>
          <w:sz w:val="24"/>
          <w:szCs w:val="22"/>
        </w:rPr>
        <w:t xml:space="preserve">-related clinicopathological features </w:t>
      </w:r>
    </w:p>
    <w:tbl>
      <w:tblPr>
        <w:tblStyle w:val="a9"/>
        <w:tblW w:w="10065"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529"/>
        <w:gridCol w:w="1156"/>
        <w:gridCol w:w="2410"/>
        <w:gridCol w:w="1701"/>
      </w:tblGrid>
      <w:tr w:rsidR="00974D6D" w:rsidRPr="00974D6D" w14:paraId="74D03BB7" w14:textId="77777777" w:rsidTr="00DC339E">
        <w:tc>
          <w:tcPr>
            <w:tcW w:w="2269" w:type="dxa"/>
          </w:tcPr>
          <w:p w14:paraId="2ADF5EA5" w14:textId="77777777" w:rsidR="00F474B9" w:rsidRPr="0033312F"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3312F">
              <w:rPr>
                <w:rFonts w:ascii="Book Antiqua" w:eastAsia="宋体" w:hAnsi="Book Antiqua" w:cs="Times New Roman"/>
                <w:b/>
                <w:color w:val="auto"/>
                <w:sz w:val="24"/>
                <w:szCs w:val="22"/>
              </w:rPr>
              <w:t xml:space="preserve">Parameter </w:t>
            </w:r>
          </w:p>
        </w:tc>
        <w:tc>
          <w:tcPr>
            <w:tcW w:w="3685" w:type="dxa"/>
            <w:gridSpan w:val="2"/>
            <w:tcBorders>
              <w:bottom w:val="single" w:sz="4" w:space="0" w:color="auto"/>
            </w:tcBorders>
          </w:tcPr>
          <w:p w14:paraId="563E9F2E" w14:textId="77777777" w:rsidR="00F474B9" w:rsidRPr="0033312F"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3312F">
              <w:rPr>
                <w:rFonts w:ascii="Book Antiqua" w:eastAsia="宋体" w:hAnsi="Book Antiqua" w:cs="Times New Roman"/>
                <w:b/>
                <w:color w:val="auto"/>
                <w:sz w:val="24"/>
                <w:szCs w:val="22"/>
              </w:rPr>
              <w:t>Univariate analysis</w:t>
            </w:r>
          </w:p>
        </w:tc>
        <w:tc>
          <w:tcPr>
            <w:tcW w:w="4111" w:type="dxa"/>
            <w:gridSpan w:val="2"/>
            <w:tcBorders>
              <w:bottom w:val="single" w:sz="4" w:space="0" w:color="auto"/>
            </w:tcBorders>
          </w:tcPr>
          <w:p w14:paraId="3B6D8D3D" w14:textId="77777777" w:rsidR="00F474B9" w:rsidRPr="0033312F"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3312F">
              <w:rPr>
                <w:rFonts w:ascii="Book Antiqua" w:eastAsia="宋体" w:hAnsi="Book Antiqua" w:cs="Times New Roman"/>
                <w:b/>
                <w:color w:val="auto"/>
                <w:sz w:val="24"/>
                <w:szCs w:val="22"/>
              </w:rPr>
              <w:t>Multivariate analysis</w:t>
            </w:r>
          </w:p>
        </w:tc>
      </w:tr>
      <w:tr w:rsidR="00974D6D" w:rsidRPr="00974D6D" w14:paraId="162A2250" w14:textId="77777777" w:rsidTr="00DC339E">
        <w:trPr>
          <w:trHeight w:val="264"/>
        </w:trPr>
        <w:tc>
          <w:tcPr>
            <w:tcW w:w="2269" w:type="dxa"/>
            <w:tcBorders>
              <w:bottom w:val="single" w:sz="4" w:space="0" w:color="auto"/>
            </w:tcBorders>
          </w:tcPr>
          <w:p w14:paraId="738FE486" w14:textId="77777777" w:rsidR="00F474B9" w:rsidRPr="0033312F" w:rsidRDefault="00F474B9" w:rsidP="00974D6D">
            <w:pPr>
              <w:framePr w:wrap="auto"/>
              <w:adjustRightInd w:val="0"/>
              <w:snapToGrid w:val="0"/>
              <w:spacing w:line="360" w:lineRule="auto"/>
              <w:rPr>
                <w:rFonts w:ascii="Book Antiqua" w:eastAsia="宋体" w:hAnsi="Book Antiqua" w:cs="Times New Roman"/>
                <w:b/>
                <w:color w:val="auto"/>
                <w:sz w:val="24"/>
                <w:szCs w:val="22"/>
              </w:rPr>
            </w:pPr>
          </w:p>
        </w:tc>
        <w:tc>
          <w:tcPr>
            <w:tcW w:w="2529" w:type="dxa"/>
            <w:tcBorders>
              <w:top w:val="single" w:sz="4" w:space="0" w:color="auto"/>
              <w:bottom w:val="single" w:sz="4" w:space="0" w:color="auto"/>
            </w:tcBorders>
          </w:tcPr>
          <w:p w14:paraId="723ECB0F" w14:textId="758FC0F5" w:rsidR="00F474B9" w:rsidRPr="0033312F"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3312F">
              <w:rPr>
                <w:rFonts w:ascii="Book Antiqua" w:eastAsia="宋体" w:hAnsi="Book Antiqua" w:cs="Times New Roman"/>
                <w:b/>
                <w:color w:val="auto"/>
                <w:sz w:val="24"/>
                <w:szCs w:val="22"/>
              </w:rPr>
              <w:t>HR (95%CI)</w:t>
            </w:r>
          </w:p>
        </w:tc>
        <w:tc>
          <w:tcPr>
            <w:tcW w:w="1156" w:type="dxa"/>
            <w:tcBorders>
              <w:top w:val="single" w:sz="4" w:space="0" w:color="auto"/>
              <w:bottom w:val="single" w:sz="4" w:space="0" w:color="auto"/>
            </w:tcBorders>
          </w:tcPr>
          <w:p w14:paraId="6E00EB51" w14:textId="06670337" w:rsidR="00F474B9" w:rsidRPr="0033312F" w:rsidRDefault="00392487">
            <w:pPr>
              <w:framePr w:wrap="auto"/>
              <w:adjustRightInd w:val="0"/>
              <w:snapToGrid w:val="0"/>
              <w:spacing w:line="360" w:lineRule="auto"/>
              <w:jc w:val="center"/>
              <w:rPr>
                <w:rFonts w:ascii="Book Antiqua" w:eastAsia="宋体" w:hAnsi="Book Antiqua" w:cs="Times New Roman"/>
                <w:b/>
                <w:color w:val="auto"/>
                <w:sz w:val="24"/>
                <w:szCs w:val="22"/>
              </w:rPr>
            </w:pPr>
            <w:r w:rsidRPr="0033312F">
              <w:rPr>
                <w:rFonts w:ascii="Book Antiqua" w:eastAsia="宋体" w:hAnsi="Book Antiqua" w:cs="Times New Roman"/>
                <w:b/>
                <w:i/>
                <w:color w:val="auto"/>
                <w:sz w:val="24"/>
                <w:szCs w:val="22"/>
              </w:rPr>
              <w:t>P</w:t>
            </w:r>
            <w:r>
              <w:rPr>
                <w:rFonts w:ascii="Book Antiqua" w:eastAsia="宋体" w:hAnsi="Book Antiqua" w:cs="Times New Roman"/>
                <w:b/>
                <w:color w:val="auto"/>
                <w:sz w:val="24"/>
                <w:szCs w:val="22"/>
              </w:rPr>
              <w:t>-</w:t>
            </w:r>
            <w:r w:rsidR="00F474B9" w:rsidRPr="0033312F">
              <w:rPr>
                <w:rFonts w:ascii="Book Antiqua" w:eastAsia="宋体" w:hAnsi="Book Antiqua" w:cs="Times New Roman"/>
                <w:b/>
                <w:color w:val="auto"/>
                <w:sz w:val="24"/>
                <w:szCs w:val="22"/>
              </w:rPr>
              <w:t>value</w:t>
            </w:r>
          </w:p>
        </w:tc>
        <w:tc>
          <w:tcPr>
            <w:tcW w:w="2410" w:type="dxa"/>
            <w:tcBorders>
              <w:top w:val="single" w:sz="4" w:space="0" w:color="auto"/>
              <w:bottom w:val="single" w:sz="4" w:space="0" w:color="auto"/>
            </w:tcBorders>
          </w:tcPr>
          <w:p w14:paraId="34507FC8" w14:textId="36EB224D" w:rsidR="00F474B9" w:rsidRPr="0033312F"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3312F">
              <w:rPr>
                <w:rFonts w:ascii="Book Antiqua" w:eastAsia="宋体" w:hAnsi="Book Antiqua" w:cs="Times New Roman"/>
                <w:b/>
                <w:color w:val="auto"/>
                <w:sz w:val="24"/>
                <w:szCs w:val="22"/>
              </w:rPr>
              <w:t>HR (95%CI)</w:t>
            </w:r>
          </w:p>
        </w:tc>
        <w:tc>
          <w:tcPr>
            <w:tcW w:w="1701" w:type="dxa"/>
            <w:tcBorders>
              <w:top w:val="single" w:sz="4" w:space="0" w:color="auto"/>
              <w:bottom w:val="single" w:sz="4" w:space="0" w:color="auto"/>
            </w:tcBorders>
          </w:tcPr>
          <w:p w14:paraId="0F42F127" w14:textId="5FAC35C2" w:rsidR="00F474B9" w:rsidRPr="0033312F" w:rsidRDefault="00392487">
            <w:pPr>
              <w:framePr w:wrap="auto"/>
              <w:adjustRightInd w:val="0"/>
              <w:snapToGrid w:val="0"/>
              <w:spacing w:line="360" w:lineRule="auto"/>
              <w:jc w:val="center"/>
              <w:rPr>
                <w:rFonts w:ascii="Book Antiqua" w:eastAsia="宋体" w:hAnsi="Book Antiqua" w:cs="Times New Roman"/>
                <w:b/>
                <w:color w:val="auto"/>
                <w:sz w:val="24"/>
                <w:szCs w:val="22"/>
              </w:rPr>
            </w:pPr>
            <w:r w:rsidRPr="0033312F">
              <w:rPr>
                <w:rFonts w:ascii="Book Antiqua" w:eastAsia="宋体" w:hAnsi="Book Antiqua" w:cs="Times New Roman"/>
                <w:b/>
                <w:i/>
                <w:color w:val="auto"/>
                <w:sz w:val="24"/>
                <w:szCs w:val="22"/>
              </w:rPr>
              <w:t>P</w:t>
            </w:r>
            <w:r>
              <w:rPr>
                <w:rFonts w:ascii="Book Antiqua" w:eastAsia="宋体" w:hAnsi="Book Antiqua" w:cs="Times New Roman"/>
                <w:b/>
                <w:i/>
                <w:color w:val="auto"/>
                <w:sz w:val="24"/>
                <w:szCs w:val="22"/>
              </w:rPr>
              <w:t>-</w:t>
            </w:r>
            <w:r w:rsidR="00F474B9" w:rsidRPr="0033312F">
              <w:rPr>
                <w:rFonts w:ascii="Book Antiqua" w:eastAsia="宋体" w:hAnsi="Book Antiqua" w:cs="Times New Roman"/>
                <w:b/>
                <w:color w:val="auto"/>
                <w:sz w:val="24"/>
                <w:szCs w:val="22"/>
              </w:rPr>
              <w:t>value</w:t>
            </w:r>
          </w:p>
        </w:tc>
      </w:tr>
      <w:tr w:rsidR="00974D6D" w:rsidRPr="00974D6D" w14:paraId="4769BE2D" w14:textId="77777777" w:rsidTr="00DC339E">
        <w:trPr>
          <w:trHeight w:val="233"/>
        </w:trPr>
        <w:tc>
          <w:tcPr>
            <w:tcW w:w="2269" w:type="dxa"/>
            <w:tcBorders>
              <w:top w:val="single" w:sz="4" w:space="0" w:color="auto"/>
            </w:tcBorders>
          </w:tcPr>
          <w:p w14:paraId="697312EE"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proofErr w:type="spellStart"/>
            <w:r w:rsidRPr="00974D6D">
              <w:rPr>
                <w:rFonts w:ascii="Book Antiqua" w:eastAsia="宋体" w:hAnsi="Book Antiqua" w:cs="Times New Roman"/>
                <w:color w:val="auto"/>
                <w:sz w:val="24"/>
                <w:szCs w:val="22"/>
              </w:rPr>
              <w:t>Risk_score</w:t>
            </w:r>
            <w:proofErr w:type="spellEnd"/>
          </w:p>
        </w:tc>
        <w:tc>
          <w:tcPr>
            <w:tcW w:w="2529" w:type="dxa"/>
            <w:tcBorders>
              <w:top w:val="single" w:sz="4" w:space="0" w:color="auto"/>
            </w:tcBorders>
          </w:tcPr>
          <w:p w14:paraId="7EAA1351"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2.010 (1.487-2.716)</w:t>
            </w:r>
          </w:p>
        </w:tc>
        <w:tc>
          <w:tcPr>
            <w:tcW w:w="1156" w:type="dxa"/>
            <w:tcBorders>
              <w:top w:val="single" w:sz="4" w:space="0" w:color="auto"/>
            </w:tcBorders>
          </w:tcPr>
          <w:p w14:paraId="5DB408FA" w14:textId="6C97473D" w:rsidR="00F474B9" w:rsidRPr="00770EE0" w:rsidRDefault="00F474B9" w:rsidP="0033312F">
            <w:pPr>
              <w:framePr w:wrap="auto"/>
              <w:adjustRightInd w:val="0"/>
              <w:snapToGrid w:val="0"/>
              <w:spacing w:line="360" w:lineRule="auto"/>
              <w:jc w:val="center"/>
              <w:rPr>
                <w:rFonts w:ascii="Book Antiqua" w:eastAsia="宋体" w:hAnsi="Book Antiqua" w:cs="Times New Roman"/>
                <w:bCs/>
                <w:color w:val="auto"/>
                <w:sz w:val="24"/>
                <w:szCs w:val="22"/>
              </w:rPr>
            </w:pPr>
            <w:r w:rsidRPr="00770EE0">
              <w:rPr>
                <w:rFonts w:ascii="Book Antiqua" w:eastAsia="宋体" w:hAnsi="Book Antiqua" w:cs="Times New Roman"/>
                <w:bCs/>
                <w:color w:val="auto"/>
                <w:sz w:val="24"/>
                <w:szCs w:val="22"/>
              </w:rPr>
              <w:t>&lt;0.001</w:t>
            </w:r>
          </w:p>
        </w:tc>
        <w:tc>
          <w:tcPr>
            <w:tcW w:w="2410" w:type="dxa"/>
            <w:tcBorders>
              <w:top w:val="single" w:sz="4" w:space="0" w:color="auto"/>
            </w:tcBorders>
          </w:tcPr>
          <w:p w14:paraId="5EC95714"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2.997 (1.737-5.170)</w:t>
            </w:r>
          </w:p>
        </w:tc>
        <w:tc>
          <w:tcPr>
            <w:tcW w:w="1701" w:type="dxa"/>
            <w:tcBorders>
              <w:top w:val="single" w:sz="4" w:space="0" w:color="auto"/>
            </w:tcBorders>
          </w:tcPr>
          <w:p w14:paraId="6D1E888F" w14:textId="0294E15B" w:rsidR="00F474B9" w:rsidRPr="00770EE0" w:rsidRDefault="00F474B9" w:rsidP="0033312F">
            <w:pPr>
              <w:framePr w:wrap="auto"/>
              <w:adjustRightInd w:val="0"/>
              <w:snapToGrid w:val="0"/>
              <w:spacing w:line="360" w:lineRule="auto"/>
              <w:jc w:val="center"/>
              <w:rPr>
                <w:rFonts w:ascii="Book Antiqua" w:eastAsia="宋体" w:hAnsi="Book Antiqua" w:cs="Times New Roman"/>
                <w:bCs/>
                <w:color w:val="auto"/>
                <w:sz w:val="24"/>
                <w:szCs w:val="22"/>
              </w:rPr>
            </w:pPr>
            <w:r w:rsidRPr="00770EE0">
              <w:rPr>
                <w:rFonts w:ascii="Book Antiqua" w:eastAsia="宋体" w:hAnsi="Book Antiqua" w:cs="Times New Roman"/>
                <w:bCs/>
                <w:color w:val="auto"/>
                <w:sz w:val="24"/>
                <w:szCs w:val="22"/>
              </w:rPr>
              <w:t>&lt;0.001</w:t>
            </w:r>
          </w:p>
        </w:tc>
      </w:tr>
      <w:tr w:rsidR="00974D6D" w:rsidRPr="00974D6D" w14:paraId="67E1B388" w14:textId="77777777" w:rsidTr="00DC339E">
        <w:tc>
          <w:tcPr>
            <w:tcW w:w="2269" w:type="dxa"/>
          </w:tcPr>
          <w:p w14:paraId="3EB1914D" w14:textId="77777777"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Age</w:t>
            </w:r>
          </w:p>
        </w:tc>
        <w:tc>
          <w:tcPr>
            <w:tcW w:w="2529" w:type="dxa"/>
          </w:tcPr>
          <w:p w14:paraId="3D1FFF5B"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1.022 (0.985-1.060)</w:t>
            </w:r>
          </w:p>
        </w:tc>
        <w:tc>
          <w:tcPr>
            <w:tcW w:w="1156" w:type="dxa"/>
          </w:tcPr>
          <w:p w14:paraId="0F940B5F"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0.255</w:t>
            </w:r>
          </w:p>
        </w:tc>
        <w:tc>
          <w:tcPr>
            <w:tcW w:w="2410" w:type="dxa"/>
          </w:tcPr>
          <w:p w14:paraId="3D84EFAA"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1.091 (1.024-1.162)</w:t>
            </w:r>
          </w:p>
        </w:tc>
        <w:tc>
          <w:tcPr>
            <w:tcW w:w="1701" w:type="dxa"/>
          </w:tcPr>
          <w:p w14:paraId="2FEB106B" w14:textId="77777777" w:rsidR="00F474B9" w:rsidRPr="00770EE0" w:rsidRDefault="00F474B9" w:rsidP="0033312F">
            <w:pPr>
              <w:framePr w:wrap="auto"/>
              <w:adjustRightInd w:val="0"/>
              <w:snapToGrid w:val="0"/>
              <w:spacing w:line="360" w:lineRule="auto"/>
              <w:jc w:val="center"/>
              <w:rPr>
                <w:rFonts w:ascii="Book Antiqua" w:eastAsia="宋体" w:hAnsi="Book Antiqua" w:cs="Times New Roman"/>
                <w:bCs/>
                <w:color w:val="auto"/>
                <w:sz w:val="24"/>
                <w:szCs w:val="22"/>
              </w:rPr>
            </w:pPr>
            <w:r w:rsidRPr="00770EE0">
              <w:rPr>
                <w:rFonts w:ascii="Book Antiqua" w:eastAsia="宋体" w:hAnsi="Book Antiqua" w:cs="Times New Roman"/>
                <w:bCs/>
                <w:color w:val="auto"/>
                <w:sz w:val="24"/>
                <w:szCs w:val="22"/>
              </w:rPr>
              <w:t>0.007</w:t>
            </w:r>
          </w:p>
        </w:tc>
      </w:tr>
      <w:tr w:rsidR="00974D6D" w:rsidRPr="00974D6D" w14:paraId="5C839DB7" w14:textId="77777777" w:rsidTr="00DC339E">
        <w:tc>
          <w:tcPr>
            <w:tcW w:w="2269" w:type="dxa"/>
          </w:tcPr>
          <w:p w14:paraId="58B1605E" w14:textId="2EAFD23C" w:rsidR="00F474B9" w:rsidRPr="00974D6D" w:rsidRDefault="00CF6118" w:rsidP="00974D6D">
            <w:pPr>
              <w:framePr w:wrap="auto"/>
              <w:adjustRightInd w:val="0"/>
              <w:snapToGrid w:val="0"/>
              <w:spacing w:line="360" w:lineRule="auto"/>
              <w:rPr>
                <w:rFonts w:ascii="Book Antiqua" w:eastAsia="宋体" w:hAnsi="Book Antiqua" w:cs="Times New Roman"/>
                <w:color w:val="auto"/>
                <w:sz w:val="24"/>
                <w:szCs w:val="22"/>
              </w:rPr>
            </w:pPr>
            <w:r>
              <w:rPr>
                <w:rFonts w:ascii="Book Antiqua" w:eastAsia="宋体" w:hAnsi="Book Antiqua" w:cs="Times New Roman"/>
                <w:color w:val="auto"/>
                <w:sz w:val="24"/>
                <w:szCs w:val="22"/>
              </w:rPr>
              <w:t>Gender (</w:t>
            </w:r>
            <w:r w:rsidRPr="00CF6118">
              <w:rPr>
                <w:rFonts w:ascii="Book Antiqua" w:eastAsia="宋体" w:hAnsi="Book Antiqua" w:cs="Times New Roman"/>
                <w:i/>
                <w:color w:val="auto"/>
                <w:sz w:val="24"/>
                <w:szCs w:val="22"/>
              </w:rPr>
              <w:t>vs</w:t>
            </w:r>
            <w:r w:rsidR="00F474B9" w:rsidRPr="00974D6D">
              <w:rPr>
                <w:rFonts w:ascii="Book Antiqua" w:eastAsia="宋体" w:hAnsi="Book Antiqua" w:cs="Times New Roman"/>
                <w:color w:val="auto"/>
                <w:sz w:val="24"/>
                <w:szCs w:val="22"/>
              </w:rPr>
              <w:t xml:space="preserve"> </w:t>
            </w:r>
            <w:r w:rsidR="003C0F16">
              <w:rPr>
                <w:rFonts w:ascii="Book Antiqua" w:eastAsia="宋体" w:hAnsi="Book Antiqua" w:cs="Times New Roman"/>
                <w:color w:val="auto"/>
                <w:sz w:val="24"/>
                <w:szCs w:val="22"/>
              </w:rPr>
              <w:t>m</w:t>
            </w:r>
            <w:r w:rsidR="00F474B9" w:rsidRPr="00974D6D">
              <w:rPr>
                <w:rFonts w:ascii="Book Antiqua" w:eastAsia="宋体" w:hAnsi="Book Antiqua" w:cs="Times New Roman"/>
                <w:color w:val="auto"/>
                <w:sz w:val="24"/>
                <w:szCs w:val="22"/>
              </w:rPr>
              <w:t>ale)</w:t>
            </w:r>
          </w:p>
        </w:tc>
        <w:tc>
          <w:tcPr>
            <w:tcW w:w="2529" w:type="dxa"/>
          </w:tcPr>
          <w:p w14:paraId="27CAC892"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1.001 (0.404-2.479)</w:t>
            </w:r>
          </w:p>
        </w:tc>
        <w:tc>
          <w:tcPr>
            <w:tcW w:w="1156" w:type="dxa"/>
          </w:tcPr>
          <w:p w14:paraId="297D5B63"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0.999</w:t>
            </w:r>
          </w:p>
        </w:tc>
        <w:tc>
          <w:tcPr>
            <w:tcW w:w="2410" w:type="dxa"/>
          </w:tcPr>
          <w:p w14:paraId="4927B058"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0.727 (0.215-2.459)</w:t>
            </w:r>
          </w:p>
        </w:tc>
        <w:tc>
          <w:tcPr>
            <w:tcW w:w="1701" w:type="dxa"/>
          </w:tcPr>
          <w:p w14:paraId="12A4EF79"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0.608</w:t>
            </w:r>
          </w:p>
        </w:tc>
      </w:tr>
      <w:tr w:rsidR="00974D6D" w:rsidRPr="00974D6D" w14:paraId="629C54FF" w14:textId="77777777" w:rsidTr="00DC339E">
        <w:tc>
          <w:tcPr>
            <w:tcW w:w="2269" w:type="dxa"/>
          </w:tcPr>
          <w:p w14:paraId="40466E7D" w14:textId="5367C3A5" w:rsidR="00F474B9" w:rsidRPr="00974D6D" w:rsidRDefault="00CF6118" w:rsidP="00974D6D">
            <w:pPr>
              <w:framePr w:wrap="auto"/>
              <w:adjustRightInd w:val="0"/>
              <w:snapToGrid w:val="0"/>
              <w:spacing w:line="360" w:lineRule="auto"/>
              <w:rPr>
                <w:rFonts w:ascii="Book Antiqua" w:eastAsia="宋体" w:hAnsi="Book Antiqua" w:cs="Times New Roman"/>
                <w:color w:val="auto"/>
                <w:sz w:val="24"/>
                <w:szCs w:val="22"/>
              </w:rPr>
            </w:pPr>
            <w:r>
              <w:rPr>
                <w:rFonts w:ascii="Book Antiqua" w:eastAsia="宋体" w:hAnsi="Book Antiqua" w:cs="Times New Roman"/>
                <w:color w:val="auto"/>
                <w:sz w:val="24"/>
                <w:szCs w:val="22"/>
              </w:rPr>
              <w:t>Race (</w:t>
            </w:r>
            <w:r w:rsidRPr="00CF6118">
              <w:rPr>
                <w:rFonts w:ascii="Book Antiqua" w:eastAsia="宋体" w:hAnsi="Book Antiqua" w:cs="Times New Roman"/>
                <w:i/>
                <w:color w:val="auto"/>
                <w:sz w:val="24"/>
                <w:szCs w:val="22"/>
              </w:rPr>
              <w:t>vs</w:t>
            </w:r>
            <w:r w:rsidR="00F474B9" w:rsidRPr="00974D6D">
              <w:rPr>
                <w:rFonts w:ascii="Book Antiqua" w:eastAsia="宋体" w:hAnsi="Book Antiqua" w:cs="Times New Roman"/>
                <w:color w:val="auto"/>
                <w:sz w:val="24"/>
                <w:szCs w:val="22"/>
              </w:rPr>
              <w:t xml:space="preserve"> </w:t>
            </w:r>
            <w:r w:rsidR="003C0F16">
              <w:rPr>
                <w:rFonts w:ascii="Book Antiqua" w:eastAsia="宋体" w:hAnsi="Book Antiqua" w:cs="Times New Roman"/>
                <w:color w:val="auto"/>
                <w:sz w:val="24"/>
                <w:szCs w:val="22"/>
              </w:rPr>
              <w:t>w</w:t>
            </w:r>
            <w:r w:rsidR="00F474B9" w:rsidRPr="00974D6D">
              <w:rPr>
                <w:rFonts w:ascii="Book Antiqua" w:eastAsia="宋体" w:hAnsi="Book Antiqua" w:cs="Times New Roman"/>
                <w:color w:val="auto"/>
                <w:sz w:val="24"/>
                <w:szCs w:val="22"/>
              </w:rPr>
              <w:t>hite)</w:t>
            </w:r>
          </w:p>
        </w:tc>
        <w:tc>
          <w:tcPr>
            <w:tcW w:w="2529" w:type="dxa"/>
          </w:tcPr>
          <w:p w14:paraId="690998A9"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1.369 (0.470-3.992)</w:t>
            </w:r>
          </w:p>
        </w:tc>
        <w:tc>
          <w:tcPr>
            <w:tcW w:w="1156" w:type="dxa"/>
          </w:tcPr>
          <w:p w14:paraId="303270C6"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0.565</w:t>
            </w:r>
          </w:p>
        </w:tc>
        <w:tc>
          <w:tcPr>
            <w:tcW w:w="2410" w:type="dxa"/>
          </w:tcPr>
          <w:p w14:paraId="1A1D2C8E"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0.905 (0.195-4.208)</w:t>
            </w:r>
          </w:p>
        </w:tc>
        <w:tc>
          <w:tcPr>
            <w:tcW w:w="1701" w:type="dxa"/>
          </w:tcPr>
          <w:p w14:paraId="6C430825"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0.899</w:t>
            </w:r>
          </w:p>
        </w:tc>
      </w:tr>
      <w:tr w:rsidR="00974D6D" w:rsidRPr="00974D6D" w14:paraId="686EE9FF" w14:textId="77777777" w:rsidTr="00DC339E">
        <w:tc>
          <w:tcPr>
            <w:tcW w:w="2269" w:type="dxa"/>
          </w:tcPr>
          <w:p w14:paraId="2275A7A9" w14:textId="75089C3A" w:rsidR="00F474B9" w:rsidRPr="00974D6D" w:rsidRDefault="00CF6118" w:rsidP="00974D6D">
            <w:pPr>
              <w:framePr w:wrap="auto"/>
              <w:adjustRightInd w:val="0"/>
              <w:snapToGrid w:val="0"/>
              <w:spacing w:line="360" w:lineRule="auto"/>
              <w:rPr>
                <w:rFonts w:ascii="Book Antiqua" w:eastAsia="宋体" w:hAnsi="Book Antiqua" w:cs="Times New Roman"/>
                <w:color w:val="auto"/>
                <w:sz w:val="24"/>
                <w:szCs w:val="22"/>
              </w:rPr>
            </w:pPr>
            <w:r>
              <w:rPr>
                <w:rFonts w:ascii="Book Antiqua" w:eastAsia="宋体" w:hAnsi="Book Antiqua" w:cs="Times New Roman"/>
                <w:color w:val="auto"/>
                <w:sz w:val="24"/>
                <w:szCs w:val="22"/>
              </w:rPr>
              <w:t>Grade (</w:t>
            </w:r>
            <w:r w:rsidRPr="00CF6118">
              <w:rPr>
                <w:rFonts w:ascii="Book Antiqua" w:eastAsia="宋体" w:hAnsi="Book Antiqua" w:cs="Times New Roman"/>
                <w:i/>
                <w:color w:val="auto"/>
                <w:sz w:val="24"/>
                <w:szCs w:val="22"/>
              </w:rPr>
              <w:t>vs</w:t>
            </w:r>
            <w:r w:rsidR="00F474B9" w:rsidRPr="00974D6D">
              <w:rPr>
                <w:rFonts w:ascii="Book Antiqua" w:eastAsia="宋体" w:hAnsi="Book Antiqua" w:cs="Times New Roman"/>
                <w:color w:val="auto"/>
                <w:sz w:val="24"/>
                <w:szCs w:val="22"/>
              </w:rPr>
              <w:t xml:space="preserve"> I/II)</w:t>
            </w:r>
          </w:p>
        </w:tc>
        <w:tc>
          <w:tcPr>
            <w:tcW w:w="2529" w:type="dxa"/>
          </w:tcPr>
          <w:p w14:paraId="16ADBCE3"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1.800 (0.743-4.359)</w:t>
            </w:r>
          </w:p>
        </w:tc>
        <w:tc>
          <w:tcPr>
            <w:tcW w:w="1156" w:type="dxa"/>
          </w:tcPr>
          <w:p w14:paraId="223416AD"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0.193</w:t>
            </w:r>
          </w:p>
        </w:tc>
        <w:tc>
          <w:tcPr>
            <w:tcW w:w="2410" w:type="dxa"/>
          </w:tcPr>
          <w:p w14:paraId="4356A5E4"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0.987 (0.327-2.975)</w:t>
            </w:r>
          </w:p>
        </w:tc>
        <w:tc>
          <w:tcPr>
            <w:tcW w:w="1701" w:type="dxa"/>
          </w:tcPr>
          <w:p w14:paraId="6E26FAC3"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0.981</w:t>
            </w:r>
          </w:p>
        </w:tc>
      </w:tr>
      <w:tr w:rsidR="00974D6D" w:rsidRPr="00974D6D" w14:paraId="60DC6A52" w14:textId="77777777" w:rsidTr="00DC339E">
        <w:tc>
          <w:tcPr>
            <w:tcW w:w="2269" w:type="dxa"/>
          </w:tcPr>
          <w:p w14:paraId="0213CFDB" w14:textId="665E4299" w:rsidR="00F474B9" w:rsidRPr="00974D6D"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Stage (</w:t>
            </w:r>
            <w:bookmarkStart w:id="157" w:name="OLE_LINK18"/>
            <w:bookmarkStart w:id="158" w:name="OLE_LINK19"/>
            <w:r w:rsidRPr="00CF6118">
              <w:rPr>
                <w:rFonts w:ascii="Book Antiqua" w:eastAsia="宋体" w:hAnsi="Book Antiqua" w:cs="Times New Roman"/>
                <w:i/>
                <w:color w:val="auto"/>
                <w:sz w:val="24"/>
                <w:szCs w:val="22"/>
              </w:rPr>
              <w:t>vs</w:t>
            </w:r>
            <w:bookmarkEnd w:id="157"/>
            <w:bookmarkEnd w:id="158"/>
            <w:r w:rsidRPr="00974D6D">
              <w:rPr>
                <w:rFonts w:ascii="Book Antiqua" w:eastAsia="宋体" w:hAnsi="Book Antiqua" w:cs="Times New Roman"/>
                <w:color w:val="auto"/>
                <w:sz w:val="24"/>
                <w:szCs w:val="22"/>
              </w:rPr>
              <w:t xml:space="preserve"> I/II)</w:t>
            </w:r>
          </w:p>
        </w:tc>
        <w:tc>
          <w:tcPr>
            <w:tcW w:w="2529" w:type="dxa"/>
          </w:tcPr>
          <w:p w14:paraId="4D19AD78" w14:textId="492DC63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2.161</w:t>
            </w:r>
            <w:r w:rsidR="00CF6118">
              <w:rPr>
                <w:rFonts w:ascii="Book Antiqua" w:eastAsia="宋体" w:hAnsi="Book Antiqua" w:cs="Times New Roman" w:hint="eastAsia"/>
                <w:color w:val="auto"/>
                <w:sz w:val="24"/>
                <w:szCs w:val="22"/>
              </w:rPr>
              <w:t xml:space="preserve"> </w:t>
            </w:r>
            <w:r w:rsidRPr="00974D6D">
              <w:rPr>
                <w:rFonts w:ascii="Book Antiqua" w:eastAsia="宋体" w:hAnsi="Book Antiqua" w:cs="Times New Roman"/>
                <w:color w:val="auto"/>
                <w:sz w:val="24"/>
                <w:szCs w:val="22"/>
              </w:rPr>
              <w:t>(0.865-5.400)</w:t>
            </w:r>
          </w:p>
        </w:tc>
        <w:tc>
          <w:tcPr>
            <w:tcW w:w="1156" w:type="dxa"/>
          </w:tcPr>
          <w:p w14:paraId="6D20B52D"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0.099</w:t>
            </w:r>
          </w:p>
        </w:tc>
        <w:tc>
          <w:tcPr>
            <w:tcW w:w="2410" w:type="dxa"/>
          </w:tcPr>
          <w:p w14:paraId="1AD3755D" w14:textId="77777777" w:rsidR="00F474B9" w:rsidRPr="00974D6D"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10.182 (2.251-46.058)</w:t>
            </w:r>
          </w:p>
        </w:tc>
        <w:tc>
          <w:tcPr>
            <w:tcW w:w="1701" w:type="dxa"/>
          </w:tcPr>
          <w:p w14:paraId="3D4A278F" w14:textId="77777777" w:rsidR="00F474B9" w:rsidRPr="00770EE0" w:rsidRDefault="00F474B9" w:rsidP="0033312F">
            <w:pPr>
              <w:framePr w:wrap="auto"/>
              <w:adjustRightInd w:val="0"/>
              <w:snapToGrid w:val="0"/>
              <w:spacing w:line="360" w:lineRule="auto"/>
              <w:jc w:val="center"/>
              <w:rPr>
                <w:rFonts w:ascii="Book Antiqua" w:eastAsia="宋体" w:hAnsi="Book Antiqua" w:cs="Times New Roman"/>
                <w:bCs/>
                <w:color w:val="auto"/>
                <w:sz w:val="24"/>
                <w:szCs w:val="22"/>
              </w:rPr>
            </w:pPr>
            <w:r w:rsidRPr="00770EE0">
              <w:rPr>
                <w:rFonts w:ascii="Book Antiqua" w:eastAsia="宋体" w:hAnsi="Book Antiqua" w:cs="Times New Roman"/>
                <w:bCs/>
                <w:color w:val="auto"/>
                <w:sz w:val="24"/>
                <w:szCs w:val="22"/>
              </w:rPr>
              <w:t>0.003</w:t>
            </w:r>
          </w:p>
        </w:tc>
      </w:tr>
    </w:tbl>
    <w:p w14:paraId="7772C2E6" w14:textId="0279CBD9" w:rsidR="00F474B9" w:rsidRPr="00974D6D" w:rsidRDefault="003C1430" w:rsidP="00974D6D">
      <w:pPr>
        <w:framePr w:wrap="auto"/>
        <w:adjustRightInd w:val="0"/>
        <w:snapToGrid w:val="0"/>
        <w:spacing w:line="360" w:lineRule="auto"/>
        <w:rPr>
          <w:rFonts w:ascii="Book Antiqua" w:eastAsia="宋体" w:hAnsi="Book Antiqua" w:cs="Times New Roman"/>
          <w:color w:val="auto"/>
          <w:sz w:val="24"/>
          <w:szCs w:val="22"/>
        </w:rPr>
      </w:pPr>
      <w:r w:rsidRPr="00974D6D">
        <w:rPr>
          <w:rFonts w:ascii="Book Antiqua" w:eastAsia="宋体" w:hAnsi="Book Antiqua" w:cs="Times New Roman"/>
          <w:color w:val="auto"/>
          <w:sz w:val="24"/>
          <w:szCs w:val="22"/>
        </w:rPr>
        <w:t>Gra</w:t>
      </w:r>
      <w:r w:rsidR="00CF6118">
        <w:rPr>
          <w:rFonts w:ascii="Book Antiqua" w:eastAsia="宋体" w:hAnsi="Book Antiqua" w:cs="Times New Roman"/>
          <w:color w:val="auto"/>
          <w:sz w:val="24"/>
          <w:szCs w:val="22"/>
        </w:rPr>
        <w:t>de</w:t>
      </w:r>
      <w:r w:rsidR="00CF6118">
        <w:rPr>
          <w:rFonts w:ascii="Book Antiqua" w:eastAsia="宋体" w:hAnsi="Book Antiqua" w:cs="Times New Roman" w:hint="eastAsia"/>
          <w:color w:val="auto"/>
          <w:sz w:val="24"/>
          <w:szCs w:val="22"/>
        </w:rPr>
        <w:t>:</w:t>
      </w:r>
      <w:r w:rsidRPr="00974D6D">
        <w:rPr>
          <w:rFonts w:ascii="Book Antiqua" w:eastAsia="宋体" w:hAnsi="Book Antiqua" w:cs="Times New Roman"/>
          <w:color w:val="auto"/>
          <w:sz w:val="24"/>
          <w:szCs w:val="22"/>
        </w:rPr>
        <w:t xml:space="preserve"> </w:t>
      </w:r>
      <w:r w:rsidR="007C50DA">
        <w:rPr>
          <w:rFonts w:ascii="Book Antiqua" w:eastAsia="宋体" w:hAnsi="Book Antiqua" w:cs="Times New Roman"/>
          <w:color w:val="auto"/>
          <w:sz w:val="24"/>
          <w:szCs w:val="22"/>
        </w:rPr>
        <w:t>N</w:t>
      </w:r>
      <w:r w:rsidR="00CF6118">
        <w:rPr>
          <w:rFonts w:ascii="Book Antiqua" w:eastAsia="宋体" w:hAnsi="Book Antiqua" w:cs="Times New Roman"/>
          <w:color w:val="auto"/>
          <w:sz w:val="24"/>
          <w:szCs w:val="22"/>
        </w:rPr>
        <w:t>eoplasm histologic grade; Stage</w:t>
      </w:r>
      <w:r w:rsidR="00CF6118">
        <w:rPr>
          <w:rFonts w:ascii="Book Antiqua" w:eastAsia="宋体" w:hAnsi="Book Antiqua" w:cs="Times New Roman" w:hint="eastAsia"/>
          <w:color w:val="auto"/>
          <w:sz w:val="24"/>
          <w:szCs w:val="22"/>
        </w:rPr>
        <w:t>:</w:t>
      </w:r>
      <w:r w:rsidRPr="00974D6D">
        <w:rPr>
          <w:rFonts w:ascii="Book Antiqua" w:eastAsia="宋体" w:hAnsi="Book Antiqua" w:cs="Times New Roman"/>
          <w:color w:val="auto"/>
          <w:sz w:val="24"/>
          <w:szCs w:val="22"/>
        </w:rPr>
        <w:t xml:space="preserve"> TNM stage</w:t>
      </w:r>
      <w:r w:rsidR="004B599B">
        <w:rPr>
          <w:rFonts w:ascii="Book Antiqua" w:eastAsia="宋体" w:hAnsi="Book Antiqua" w:cs="Times New Roman"/>
          <w:color w:val="auto"/>
          <w:sz w:val="24"/>
          <w:szCs w:val="22"/>
        </w:rPr>
        <w:t>; HR: Hazard ratio; CI: Confidence interval.</w:t>
      </w:r>
    </w:p>
    <w:sectPr w:rsidR="00F474B9" w:rsidRPr="00974D6D">
      <w:headerReference w:type="default" r:id="rId16"/>
      <w:footerReference w:type="default" r:id="rId17"/>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8264F" w14:textId="77777777" w:rsidR="00100D9E" w:rsidRDefault="00100D9E">
      <w:pPr>
        <w:framePr w:wrap="around"/>
      </w:pPr>
      <w:r>
        <w:separator/>
      </w:r>
    </w:p>
  </w:endnote>
  <w:endnote w:type="continuationSeparator" w:id="0">
    <w:p w14:paraId="61FD60C2" w14:textId="77777777" w:rsidR="00100D9E" w:rsidRDefault="00100D9E">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Neue">
    <w:altName w:val="Microsoft YaHei UI"/>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68136" w14:textId="2C3476E2" w:rsidR="00D66E7D" w:rsidRDefault="00D66E7D">
    <w:pPr>
      <w:pStyle w:val="a3"/>
      <w:framePr w:wrap="auto"/>
      <w:tabs>
        <w:tab w:val="clear" w:pos="8306"/>
        <w:tab w:val="right" w:pos="828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A1462" w14:textId="77777777" w:rsidR="00100D9E" w:rsidRDefault="00100D9E">
      <w:pPr>
        <w:framePr w:wrap="around"/>
      </w:pPr>
      <w:r>
        <w:separator/>
      </w:r>
    </w:p>
  </w:footnote>
  <w:footnote w:type="continuationSeparator" w:id="0">
    <w:p w14:paraId="176D0D11" w14:textId="77777777" w:rsidR="00100D9E" w:rsidRDefault="00100D9E">
      <w:pPr>
        <w:framePr w:wrap="around"/>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8BAA9" w14:textId="77777777" w:rsidR="00D66E7D" w:rsidRDefault="00D66E7D">
    <w:pPr>
      <w:pStyle w:val="HeaderFooter"/>
      <w:framePr w:wrap="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proofState w:spelling="clean" w:grammar="clean"/>
  <w:defaultTabStop w:val="420"/>
  <w:characterSpacingControl w:val="doNotCompress"/>
  <w:noLineBreaksAfter w:lang="zh-CN" w:val="([{«‘“⦅〈《「『【〔〖〘〝︵︷︹︻︽︿﹁﹃﹇﹙﹛﹝｢"/>
  <w:noLineBreaksBefore w:lang="zh-CN" w:va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yNjAyMjQ3MzYxNTBR0lEKTi0uzszPAykwqQUAiB42xywAAAA="/>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E03495"/>
    <w:rsid w:val="000164F5"/>
    <w:rsid w:val="0003646D"/>
    <w:rsid w:val="00045053"/>
    <w:rsid w:val="00046406"/>
    <w:rsid w:val="00047754"/>
    <w:rsid w:val="00052F01"/>
    <w:rsid w:val="00054CDB"/>
    <w:rsid w:val="00061425"/>
    <w:rsid w:val="000673BF"/>
    <w:rsid w:val="000A387E"/>
    <w:rsid w:val="000B4902"/>
    <w:rsid w:val="000B6686"/>
    <w:rsid w:val="000C7CCD"/>
    <w:rsid w:val="000F42D7"/>
    <w:rsid w:val="00100D9E"/>
    <w:rsid w:val="00130D0B"/>
    <w:rsid w:val="00137DB1"/>
    <w:rsid w:val="00147F19"/>
    <w:rsid w:val="00156604"/>
    <w:rsid w:val="001674B3"/>
    <w:rsid w:val="00167900"/>
    <w:rsid w:val="00173563"/>
    <w:rsid w:val="0018072F"/>
    <w:rsid w:val="00180981"/>
    <w:rsid w:val="001845C7"/>
    <w:rsid w:val="001A5E8E"/>
    <w:rsid w:val="001A75AE"/>
    <w:rsid w:val="001B3200"/>
    <w:rsid w:val="001C4126"/>
    <w:rsid w:val="001D0B0F"/>
    <w:rsid w:val="001E2754"/>
    <w:rsid w:val="001E28C3"/>
    <w:rsid w:val="001F1E9C"/>
    <w:rsid w:val="001F4DB8"/>
    <w:rsid w:val="002025D3"/>
    <w:rsid w:val="00210D18"/>
    <w:rsid w:val="00216621"/>
    <w:rsid w:val="00231BE9"/>
    <w:rsid w:val="002352E6"/>
    <w:rsid w:val="00237744"/>
    <w:rsid w:val="002535DB"/>
    <w:rsid w:val="002647E0"/>
    <w:rsid w:val="00265577"/>
    <w:rsid w:val="002804C8"/>
    <w:rsid w:val="00287D83"/>
    <w:rsid w:val="002A5D19"/>
    <w:rsid w:val="002B65B7"/>
    <w:rsid w:val="002D0EB0"/>
    <w:rsid w:val="002F0CDB"/>
    <w:rsid w:val="002F2294"/>
    <w:rsid w:val="002F2419"/>
    <w:rsid w:val="002F6CD4"/>
    <w:rsid w:val="00301EC2"/>
    <w:rsid w:val="00302472"/>
    <w:rsid w:val="00305C2B"/>
    <w:rsid w:val="0033312F"/>
    <w:rsid w:val="003359F0"/>
    <w:rsid w:val="0034705D"/>
    <w:rsid w:val="00381DC4"/>
    <w:rsid w:val="00392487"/>
    <w:rsid w:val="003936A7"/>
    <w:rsid w:val="003A263E"/>
    <w:rsid w:val="003A70DC"/>
    <w:rsid w:val="003A7DA1"/>
    <w:rsid w:val="003C0F16"/>
    <w:rsid w:val="003C1430"/>
    <w:rsid w:val="003C1714"/>
    <w:rsid w:val="003C7C09"/>
    <w:rsid w:val="003E51AF"/>
    <w:rsid w:val="003E54D1"/>
    <w:rsid w:val="003E6F32"/>
    <w:rsid w:val="00403E00"/>
    <w:rsid w:val="0041534A"/>
    <w:rsid w:val="00425733"/>
    <w:rsid w:val="004269D1"/>
    <w:rsid w:val="00460CBB"/>
    <w:rsid w:val="0047287D"/>
    <w:rsid w:val="00487209"/>
    <w:rsid w:val="004A568F"/>
    <w:rsid w:val="004A5977"/>
    <w:rsid w:val="004B3B3E"/>
    <w:rsid w:val="004B599B"/>
    <w:rsid w:val="004D01BC"/>
    <w:rsid w:val="004D30A4"/>
    <w:rsid w:val="004F527E"/>
    <w:rsid w:val="00516E84"/>
    <w:rsid w:val="005339A4"/>
    <w:rsid w:val="00576248"/>
    <w:rsid w:val="005A56BD"/>
    <w:rsid w:val="005C0776"/>
    <w:rsid w:val="006144A6"/>
    <w:rsid w:val="00625020"/>
    <w:rsid w:val="0063260E"/>
    <w:rsid w:val="00632E78"/>
    <w:rsid w:val="00670C28"/>
    <w:rsid w:val="00673C4B"/>
    <w:rsid w:val="00691DB9"/>
    <w:rsid w:val="0069697A"/>
    <w:rsid w:val="006974FA"/>
    <w:rsid w:val="006A68BC"/>
    <w:rsid w:val="006C17E1"/>
    <w:rsid w:val="006D44D7"/>
    <w:rsid w:val="006E5718"/>
    <w:rsid w:val="00720753"/>
    <w:rsid w:val="00725406"/>
    <w:rsid w:val="00766084"/>
    <w:rsid w:val="00770EE0"/>
    <w:rsid w:val="007844E7"/>
    <w:rsid w:val="00792D55"/>
    <w:rsid w:val="007B732B"/>
    <w:rsid w:val="007C2CAF"/>
    <w:rsid w:val="007C50DA"/>
    <w:rsid w:val="007C638F"/>
    <w:rsid w:val="007D4BFD"/>
    <w:rsid w:val="007F7406"/>
    <w:rsid w:val="00817745"/>
    <w:rsid w:val="008249E1"/>
    <w:rsid w:val="008379B4"/>
    <w:rsid w:val="008479FB"/>
    <w:rsid w:val="00860EC3"/>
    <w:rsid w:val="008970FB"/>
    <w:rsid w:val="008B0A8B"/>
    <w:rsid w:val="008B6233"/>
    <w:rsid w:val="0091584C"/>
    <w:rsid w:val="00951694"/>
    <w:rsid w:val="00961904"/>
    <w:rsid w:val="00974D6D"/>
    <w:rsid w:val="00996026"/>
    <w:rsid w:val="00996749"/>
    <w:rsid w:val="009A2B5E"/>
    <w:rsid w:val="009A3660"/>
    <w:rsid w:val="009D14E2"/>
    <w:rsid w:val="009D1A6E"/>
    <w:rsid w:val="009D2472"/>
    <w:rsid w:val="00A15214"/>
    <w:rsid w:val="00A3245A"/>
    <w:rsid w:val="00A43F10"/>
    <w:rsid w:val="00A5406A"/>
    <w:rsid w:val="00A57314"/>
    <w:rsid w:val="00A7173C"/>
    <w:rsid w:val="00A935C2"/>
    <w:rsid w:val="00AC167C"/>
    <w:rsid w:val="00AC3831"/>
    <w:rsid w:val="00AE42A6"/>
    <w:rsid w:val="00AE4B7C"/>
    <w:rsid w:val="00B03022"/>
    <w:rsid w:val="00B24131"/>
    <w:rsid w:val="00B3657A"/>
    <w:rsid w:val="00B73836"/>
    <w:rsid w:val="00B81DF9"/>
    <w:rsid w:val="00B85586"/>
    <w:rsid w:val="00B933F6"/>
    <w:rsid w:val="00B960C4"/>
    <w:rsid w:val="00BB3E37"/>
    <w:rsid w:val="00BB5827"/>
    <w:rsid w:val="00BC41A0"/>
    <w:rsid w:val="00C03AC4"/>
    <w:rsid w:val="00C045F4"/>
    <w:rsid w:val="00C27949"/>
    <w:rsid w:val="00C45783"/>
    <w:rsid w:val="00CB3452"/>
    <w:rsid w:val="00CB4BA6"/>
    <w:rsid w:val="00CC663F"/>
    <w:rsid w:val="00CD490A"/>
    <w:rsid w:val="00CD7229"/>
    <w:rsid w:val="00CE19FF"/>
    <w:rsid w:val="00CF2CA9"/>
    <w:rsid w:val="00CF491B"/>
    <w:rsid w:val="00CF6118"/>
    <w:rsid w:val="00CF64A5"/>
    <w:rsid w:val="00D1521A"/>
    <w:rsid w:val="00D25209"/>
    <w:rsid w:val="00D31BA1"/>
    <w:rsid w:val="00D51B76"/>
    <w:rsid w:val="00D5248F"/>
    <w:rsid w:val="00D52FD2"/>
    <w:rsid w:val="00D66E7D"/>
    <w:rsid w:val="00D72B75"/>
    <w:rsid w:val="00DA5FD0"/>
    <w:rsid w:val="00DB3653"/>
    <w:rsid w:val="00DB3B8E"/>
    <w:rsid w:val="00DC339E"/>
    <w:rsid w:val="00DD17CE"/>
    <w:rsid w:val="00E03495"/>
    <w:rsid w:val="00E32659"/>
    <w:rsid w:val="00E55051"/>
    <w:rsid w:val="00E658A1"/>
    <w:rsid w:val="00E7189C"/>
    <w:rsid w:val="00E920F0"/>
    <w:rsid w:val="00EA0232"/>
    <w:rsid w:val="00EE161A"/>
    <w:rsid w:val="00EE45B8"/>
    <w:rsid w:val="00F30A79"/>
    <w:rsid w:val="00F43EAC"/>
    <w:rsid w:val="00F474B9"/>
    <w:rsid w:val="00F94933"/>
    <w:rsid w:val="00F97288"/>
    <w:rsid w:val="00FB10F4"/>
    <w:rsid w:val="00FB6BD6"/>
    <w:rsid w:val="00FD1219"/>
    <w:rsid w:val="00FD1EED"/>
    <w:rsid w:val="00FD64EE"/>
    <w:rsid w:val="00FF2CBD"/>
    <w:rsid w:val="00FF4AFC"/>
    <w:rsid w:val="67EC2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A8731"/>
  <w15:docId w15:val="{B585FD1D-F701-4B03-ACED-948B812F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framePr w:wrap="around" w:hAnchor="text"/>
      <w:widowControl w:val="0"/>
      <w:jc w:val="both"/>
    </w:pPr>
    <w:rPr>
      <w:rFonts w:ascii="Calibri" w:eastAsia="Calibri" w:hAnsi="Calibri" w:cs="Calibri"/>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qFormat/>
    <w:pPr>
      <w:framePr w:wrap="around" w:hAnchor="text"/>
      <w:widowControl w:val="0"/>
      <w:tabs>
        <w:tab w:val="center" w:pos="4153"/>
        <w:tab w:val="right" w:pos="8306"/>
      </w:tabs>
    </w:pPr>
    <w:rPr>
      <w:rFonts w:ascii="Calibri" w:eastAsia="Calibri" w:hAnsi="Calibri" w:cs="Calibri"/>
      <w:color w:val="000000"/>
      <w:kern w:val="2"/>
      <w:sz w:val="18"/>
      <w:szCs w:val="18"/>
      <w:u w:color="000000"/>
    </w:rPr>
  </w:style>
  <w:style w:type="character" w:styleId="a4">
    <w:name w:val="Hyperlink"/>
    <w:qFormat/>
    <w:rPr>
      <w:u w:val="single"/>
    </w:rPr>
  </w:style>
  <w:style w:type="table" w:customStyle="1" w:styleId="TableNormal">
    <w:name w:val="Table Normal"/>
    <w:tblPr>
      <w:tblCellMar>
        <w:top w:w="0" w:type="dxa"/>
        <w:left w:w="0" w:type="dxa"/>
        <w:bottom w:w="0" w:type="dxa"/>
        <w:right w:w="0" w:type="dxa"/>
      </w:tblCellMar>
    </w:tblPr>
  </w:style>
  <w:style w:type="paragraph" w:customStyle="1" w:styleId="HeaderFooter">
    <w:name w:val="Header &amp; Footer"/>
    <w:qFormat/>
    <w:pPr>
      <w:framePr w:wrap="around" w:hAnchor="text"/>
      <w:tabs>
        <w:tab w:val="right" w:pos="9020"/>
      </w:tabs>
    </w:pPr>
    <w:rPr>
      <w:rFonts w:ascii="Helvetica Neue" w:hAnsi="Helvetica Neue" w:cs="Arial Unicode MS"/>
      <w:color w:val="000000"/>
      <w:sz w:val="24"/>
      <w:szCs w:val="24"/>
    </w:rPr>
  </w:style>
  <w:style w:type="character" w:customStyle="1" w:styleId="None">
    <w:name w:val="None"/>
  </w:style>
  <w:style w:type="character" w:customStyle="1" w:styleId="Hyperlink0">
    <w:name w:val="Hyperlink.0"/>
    <w:basedOn w:val="None"/>
    <w:qFormat/>
    <w:rPr>
      <w:rFonts w:ascii="Times New Roman" w:eastAsia="Times New Roman" w:hAnsi="Times New Roman" w:cs="Times New Roman"/>
      <w:sz w:val="24"/>
      <w:szCs w:val="24"/>
      <w:vertAlign w:val="superscript"/>
    </w:rPr>
  </w:style>
  <w:style w:type="paragraph" w:styleId="a5">
    <w:name w:val="header"/>
    <w:basedOn w:val="a"/>
    <w:link w:val="Char"/>
    <w:rsid w:val="007D4BFD"/>
    <w:pPr>
      <w:framePr w:wrap="around"/>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7D4BFD"/>
    <w:rPr>
      <w:rFonts w:ascii="Calibri" w:eastAsia="Calibri" w:hAnsi="Calibri" w:cs="Calibri"/>
      <w:color w:val="000000"/>
      <w:kern w:val="2"/>
      <w:sz w:val="18"/>
      <w:szCs w:val="18"/>
      <w:u w:color="000000"/>
    </w:rPr>
  </w:style>
  <w:style w:type="paragraph" w:styleId="a6">
    <w:name w:val="annotation text"/>
    <w:basedOn w:val="a"/>
    <w:link w:val="Char0"/>
    <w:rsid w:val="007D4BFD"/>
    <w:pPr>
      <w:framePr w:wrap="around"/>
      <w:jc w:val="left"/>
    </w:pPr>
  </w:style>
  <w:style w:type="character" w:customStyle="1" w:styleId="Char0">
    <w:name w:val="批注文字 Char"/>
    <w:basedOn w:val="a0"/>
    <w:link w:val="a6"/>
    <w:rsid w:val="007D4BFD"/>
    <w:rPr>
      <w:rFonts w:ascii="Calibri" w:eastAsia="Calibri" w:hAnsi="Calibri" w:cs="Calibri"/>
      <w:color w:val="000000"/>
      <w:kern w:val="2"/>
      <w:sz w:val="21"/>
      <w:szCs w:val="21"/>
      <w:u w:color="000000"/>
    </w:rPr>
  </w:style>
  <w:style w:type="character" w:styleId="a7">
    <w:name w:val="annotation reference"/>
    <w:uiPriority w:val="99"/>
    <w:unhideWhenUsed/>
    <w:rsid w:val="007D4BFD"/>
    <w:rPr>
      <w:sz w:val="21"/>
      <w:szCs w:val="21"/>
    </w:rPr>
  </w:style>
  <w:style w:type="paragraph" w:styleId="a8">
    <w:name w:val="Balloon Text"/>
    <w:basedOn w:val="a"/>
    <w:link w:val="Char1"/>
    <w:rsid w:val="007D4BFD"/>
    <w:pPr>
      <w:framePr w:wrap="around"/>
    </w:pPr>
    <w:rPr>
      <w:sz w:val="18"/>
      <w:szCs w:val="18"/>
    </w:rPr>
  </w:style>
  <w:style w:type="character" w:customStyle="1" w:styleId="Char1">
    <w:name w:val="批注框文本 Char"/>
    <w:basedOn w:val="a0"/>
    <w:link w:val="a8"/>
    <w:rsid w:val="007D4BFD"/>
    <w:rPr>
      <w:rFonts w:ascii="Calibri" w:eastAsia="Calibri" w:hAnsi="Calibri" w:cs="Calibri"/>
      <w:color w:val="000000"/>
      <w:kern w:val="2"/>
      <w:sz w:val="18"/>
      <w:szCs w:val="18"/>
      <w:u w:color="000000"/>
    </w:rPr>
  </w:style>
  <w:style w:type="table" w:styleId="a9">
    <w:name w:val="Table Grid"/>
    <w:basedOn w:val="a1"/>
    <w:uiPriority w:val="39"/>
    <w:qFormat/>
    <w:rsid w:val="00F474B9"/>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DD17CE"/>
    <w:pPr>
      <w:framePr w:wrap="auto"/>
      <w:widowControl/>
      <w:spacing w:before="100" w:beforeAutospacing="1" w:after="100" w:afterAutospacing="1"/>
      <w:jc w:val="left"/>
    </w:pPr>
    <w:rPr>
      <w:rFonts w:ascii="宋体" w:eastAsia="宋体" w:hAnsi="宋体" w:cs="宋体"/>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6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641A84-3B4F-4160-AF44-28EFBCC13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5738</Words>
  <Characters>32707</Characters>
  <Application>Microsoft Office Word</Application>
  <DocSecurity>0</DocSecurity>
  <Lines>272</Lines>
  <Paragraphs>76</Paragraphs>
  <ScaleCrop>false</ScaleCrop>
  <Company/>
  <LinksUpToDate>false</LinksUpToDate>
  <CharactersWithSpaces>38369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cong.zhang</dc:creator>
  <cp:lastModifiedBy>Wang Tianqi</cp:lastModifiedBy>
  <cp:revision>3</cp:revision>
  <dcterms:created xsi:type="dcterms:W3CDTF">2019-08-14T04:06:00Z</dcterms:created>
  <dcterms:modified xsi:type="dcterms:W3CDTF">2019-08-14T04:12:00Z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