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BC78" w14:textId="374E298E" w:rsidR="000B4FA4" w:rsidRPr="001D7DBE" w:rsidRDefault="000B4FA4" w:rsidP="001D7DBE">
      <w:pPr>
        <w:pStyle w:val="1"/>
        <w:snapToGrid w:val="0"/>
        <w:spacing w:line="360" w:lineRule="auto"/>
        <w:jc w:val="both"/>
        <w:rPr>
          <w:rFonts w:ascii="Book Antiqua" w:hAnsi="Book Antiqua" w:cs="Times New Roman"/>
          <w:bCs/>
          <w:i/>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bookmarkStart w:id="26" w:name="_GoBack"/>
      <w:r w:rsidRPr="001D7DBE">
        <w:rPr>
          <w:rFonts w:ascii="Book Antiqua" w:hAnsi="Book Antiqua" w:cs="Times New Roman"/>
          <w:b/>
          <w:color w:val="auto"/>
          <w:sz w:val="24"/>
          <w:szCs w:val="24"/>
          <w:highlight w:val="white"/>
          <w:lang w:val="en-US" w:eastAsia="zh-CN"/>
        </w:rPr>
        <w:t xml:space="preserve">Name of </w:t>
      </w:r>
      <w:r w:rsidRPr="001D7DBE">
        <w:rPr>
          <w:rFonts w:ascii="Book Antiqua" w:hAnsi="Book Antiqua" w:cs="Times New Roman"/>
          <w:b/>
          <w:caps/>
          <w:color w:val="auto"/>
          <w:sz w:val="24"/>
          <w:szCs w:val="24"/>
          <w:highlight w:val="white"/>
          <w:lang w:val="en-US" w:eastAsia="zh-CN"/>
        </w:rPr>
        <w:t>j</w:t>
      </w:r>
      <w:r w:rsidRPr="001D7DBE">
        <w:rPr>
          <w:rFonts w:ascii="Book Antiqua" w:hAnsi="Book Antiqua" w:cs="Times New Roman"/>
          <w:b/>
          <w:color w:val="auto"/>
          <w:sz w:val="24"/>
          <w:szCs w:val="24"/>
          <w:highlight w:val="white"/>
          <w:lang w:val="en-US" w:eastAsia="zh-CN"/>
        </w:rPr>
        <w:t xml:space="preserve">ournal: </w:t>
      </w:r>
      <w:bookmarkStart w:id="27" w:name="OLE_LINK718"/>
      <w:bookmarkStart w:id="28" w:name="OLE_LINK719"/>
      <w:r w:rsidRPr="001D7DBE">
        <w:rPr>
          <w:rFonts w:ascii="Book Antiqua" w:hAnsi="Book Antiqua" w:cs="Times New Roman"/>
          <w:bCs/>
          <w:i/>
          <w:color w:val="auto"/>
          <w:sz w:val="24"/>
          <w:szCs w:val="24"/>
          <w:highlight w:val="white"/>
          <w:lang w:val="en-US" w:eastAsia="zh-CN"/>
        </w:rPr>
        <w:t>World Journal of</w:t>
      </w:r>
      <w:r w:rsidR="00097568" w:rsidRPr="001D7DBE">
        <w:rPr>
          <w:rFonts w:ascii="Book Antiqua" w:hAnsi="Book Antiqua" w:cs="Times New Roman"/>
          <w:bCs/>
          <w:i/>
          <w:color w:val="auto"/>
          <w:sz w:val="24"/>
          <w:szCs w:val="24"/>
          <w:highlight w:val="white"/>
          <w:lang w:val="en-US" w:eastAsia="zh-CN"/>
        </w:rPr>
        <w:t xml:space="preserve"> Orthopedics</w:t>
      </w:r>
      <w:bookmarkEnd w:id="27"/>
      <w:bookmarkEnd w:id="28"/>
    </w:p>
    <w:p w14:paraId="70DC12BF" w14:textId="2072D3D5" w:rsidR="000B4FA4" w:rsidRPr="001D7DBE" w:rsidRDefault="000B4FA4" w:rsidP="001D7DBE">
      <w:pPr>
        <w:pStyle w:val="1"/>
        <w:snapToGrid w:val="0"/>
        <w:spacing w:line="360" w:lineRule="auto"/>
        <w:jc w:val="both"/>
        <w:rPr>
          <w:rFonts w:ascii="Book Antiqua" w:hAnsi="Book Antiqua" w:cs="Times New Roman"/>
          <w:b/>
          <w:i/>
          <w:color w:val="auto"/>
          <w:sz w:val="24"/>
          <w:szCs w:val="24"/>
          <w:highlight w:val="white"/>
          <w:lang w:val="en-US" w:eastAsia="zh-CN"/>
        </w:rPr>
      </w:pPr>
      <w:bookmarkStart w:id="29" w:name="OLE_LINK485"/>
      <w:bookmarkStart w:id="30" w:name="OLE_LINK486"/>
      <w:bookmarkStart w:id="31" w:name="OLE_LINK661"/>
      <w:bookmarkStart w:id="32" w:name="OLE_LINK768"/>
      <w:bookmarkStart w:id="33" w:name="OLE_LINK568"/>
      <w:bookmarkStart w:id="34" w:name="OLE_LINK499"/>
      <w:bookmarkStart w:id="35" w:name="OLE_LINK437"/>
      <w:bookmarkStart w:id="36" w:name="OLE_LINK514"/>
      <w:bookmarkStart w:id="37" w:name="OLE_LINK515"/>
      <w:bookmarkStart w:id="38" w:name="OLE_LINK13"/>
      <w:bookmarkStart w:id="39" w:name="OLE_LINK351"/>
      <w:bookmarkStart w:id="40" w:name="OLE_LINK425"/>
      <w:r w:rsidRPr="001D7DBE">
        <w:rPr>
          <w:rFonts w:ascii="Book Antiqua" w:hAnsi="Book Antiqua" w:cs="Times New Roman"/>
          <w:b/>
          <w:color w:val="auto"/>
          <w:sz w:val="24"/>
          <w:szCs w:val="24"/>
          <w:highlight w:val="white"/>
          <w:lang w:eastAsia="zh-CN"/>
        </w:rPr>
        <w:t>Manuscript NO:</w:t>
      </w:r>
      <w:bookmarkEnd w:id="29"/>
      <w:bookmarkEnd w:id="30"/>
      <w:bookmarkEnd w:id="31"/>
      <w:bookmarkEnd w:id="32"/>
      <w:bookmarkEnd w:id="33"/>
      <w:r w:rsidRPr="001D7DBE">
        <w:rPr>
          <w:rFonts w:ascii="Book Antiqua" w:hAnsi="Book Antiqua" w:cs="Times New Roman"/>
          <w:b/>
          <w:color w:val="auto"/>
          <w:sz w:val="24"/>
          <w:szCs w:val="24"/>
          <w:highlight w:val="white"/>
          <w:lang w:eastAsia="zh-CN"/>
        </w:rPr>
        <w:t xml:space="preserve"> </w:t>
      </w:r>
      <w:bookmarkEnd w:id="34"/>
      <w:bookmarkEnd w:id="35"/>
      <w:r w:rsidR="008C78F5" w:rsidRPr="001D7DBE">
        <w:rPr>
          <w:rFonts w:ascii="Book Antiqua" w:hAnsi="Book Antiqua" w:cs="Times New Roman"/>
          <w:bCs/>
          <w:color w:val="auto"/>
          <w:sz w:val="24"/>
          <w:szCs w:val="24"/>
          <w:highlight w:val="white"/>
          <w:lang w:eastAsia="zh-CN"/>
        </w:rPr>
        <w:t>49535</w:t>
      </w:r>
    </w:p>
    <w:p w14:paraId="45C80A58" w14:textId="19D9E2DB" w:rsidR="000B4FA4" w:rsidRPr="001D7DBE" w:rsidRDefault="000B4FA4" w:rsidP="001D7DBE">
      <w:pPr>
        <w:snapToGrid w:val="0"/>
        <w:spacing w:line="360" w:lineRule="auto"/>
        <w:jc w:val="both"/>
        <w:rPr>
          <w:rFonts w:ascii="Book Antiqua" w:hAnsi="Book Antiqua"/>
          <w:bCs/>
          <w:lang w:val="it-IT"/>
        </w:rPr>
      </w:pPr>
      <w:bookmarkStart w:id="41" w:name="OLE_LINK511"/>
      <w:bookmarkStart w:id="42" w:name="OLE_LINK512"/>
      <w:bookmarkEnd w:id="36"/>
      <w:bookmarkEnd w:id="37"/>
      <w:bookmarkEnd w:id="38"/>
      <w:bookmarkEnd w:id="39"/>
      <w:bookmarkEnd w:id="40"/>
      <w:r w:rsidRPr="001D7DBE">
        <w:rPr>
          <w:rFonts w:ascii="Book Antiqua" w:hAnsi="Book Antiqua"/>
          <w:b/>
          <w:highlight w:val="white"/>
          <w:lang w:val="it-IT"/>
        </w:rPr>
        <w:t xml:space="preserve">Manuscript </w:t>
      </w:r>
      <w:r w:rsidRPr="001D7DBE">
        <w:rPr>
          <w:rFonts w:ascii="Book Antiqua" w:hAnsi="Book Antiqua"/>
          <w:b/>
          <w:caps/>
          <w:highlight w:val="white"/>
        </w:rPr>
        <w:t>t</w:t>
      </w:r>
      <w:r w:rsidRPr="001D7DBE">
        <w:rPr>
          <w:rFonts w:ascii="Book Antiqua" w:hAnsi="Book Antiqua"/>
          <w:b/>
          <w:highlight w:val="white"/>
          <w:lang w:val="it-IT"/>
        </w:rPr>
        <w:t>ype</w:t>
      </w:r>
      <w:r w:rsidRPr="001D7DBE">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1D7DBE">
        <w:rPr>
          <w:rFonts w:ascii="Book Antiqua" w:hAnsi="Book Antiqua"/>
          <w:bCs/>
          <w:lang w:val="it-IT"/>
        </w:rPr>
        <w:t xml:space="preserve"> </w:t>
      </w:r>
      <w:r w:rsidR="00462BC2" w:rsidRPr="001D7DBE">
        <w:rPr>
          <w:rFonts w:ascii="Book Antiqua" w:hAnsi="Book Antiqua"/>
          <w:bCs/>
          <w:lang w:val="it-IT"/>
        </w:rPr>
        <w:t>ORIGINAL ARTICLE</w:t>
      </w:r>
    </w:p>
    <w:p w14:paraId="335150EC" w14:textId="77777777" w:rsidR="00462BC2" w:rsidRPr="001D7DBE" w:rsidRDefault="00462BC2" w:rsidP="001D7DBE">
      <w:pPr>
        <w:spacing w:line="360" w:lineRule="auto"/>
        <w:jc w:val="both"/>
        <w:rPr>
          <w:rFonts w:ascii="Book Antiqua" w:hAnsi="Book Antiqua"/>
          <w:bCs/>
          <w:lang w:val="it-IT"/>
        </w:rPr>
      </w:pPr>
      <w:bookmarkStart w:id="43" w:name="OLE_LINK41"/>
      <w:bookmarkStart w:id="44" w:name="OLE_LINK42"/>
      <w:bookmarkStart w:id="45" w:name="OLE_LINK941"/>
      <w:bookmarkStart w:id="46" w:name="OLE_LINK122"/>
      <w:bookmarkStart w:id="47" w:name="OLE_LINK123"/>
      <w:bookmarkStart w:id="48" w:name="OLE_LINK221"/>
      <w:bookmarkStart w:id="49" w:name="OLE_LINK230"/>
      <w:bookmarkStart w:id="50" w:name="OLE_LINK342"/>
      <w:bookmarkStart w:id="51" w:name="OLE_LINK401"/>
      <w:bookmarkStart w:id="52" w:name="OLE_LINK576"/>
      <w:bookmarkStart w:id="53" w:name="OLE_LINK605"/>
      <w:bookmarkStart w:id="54" w:name="OLE_LINK638"/>
      <w:bookmarkStart w:id="55" w:name="OLE_LINK732"/>
      <w:bookmarkStart w:id="56" w:name="OLE_LINK850"/>
      <w:bookmarkStart w:id="57" w:name="OLE_LINK868"/>
      <w:bookmarkStart w:id="58" w:name="OLE_LINK901"/>
      <w:bookmarkStart w:id="59" w:name="OLE_LINK931"/>
      <w:bookmarkStart w:id="60" w:name="OLE_LINK972"/>
      <w:bookmarkStart w:id="61" w:name="OLE_LINK1002"/>
      <w:bookmarkStart w:id="62" w:name="OLE_LINK1025"/>
      <w:bookmarkStart w:id="63" w:name="OLE_LINK1090"/>
      <w:bookmarkStart w:id="64" w:name="OLE_LINK10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1"/>
      <w:bookmarkEnd w:id="42"/>
    </w:p>
    <w:p w14:paraId="3AF7A021" w14:textId="6A57547E" w:rsidR="001A3EF3" w:rsidRPr="001D7DBE" w:rsidRDefault="00462BC2" w:rsidP="001D7DBE">
      <w:pPr>
        <w:spacing w:line="360" w:lineRule="auto"/>
        <w:jc w:val="both"/>
        <w:rPr>
          <w:rFonts w:ascii="Book Antiqua" w:hAnsi="Book Antiqua"/>
          <w:b/>
          <w:i/>
          <w:iCs/>
          <w:lang w:eastAsia="zh-CN"/>
        </w:rPr>
      </w:pPr>
      <w:r w:rsidRPr="001D7DBE">
        <w:rPr>
          <w:rFonts w:ascii="Book Antiqua" w:hAnsi="Book Antiqua"/>
          <w:b/>
          <w:i/>
          <w:iCs/>
          <w:lang w:val="it-IT"/>
        </w:rPr>
        <w:t>Case Control Study</w:t>
      </w:r>
    </w:p>
    <w:p w14:paraId="7C55B725" w14:textId="1650BDB2" w:rsidR="008C78F5" w:rsidRPr="001D7DBE" w:rsidRDefault="008C78F5" w:rsidP="001D7DBE">
      <w:pPr>
        <w:spacing w:line="360" w:lineRule="auto"/>
        <w:jc w:val="both"/>
        <w:rPr>
          <w:rFonts w:ascii="Book Antiqua" w:hAnsi="Book Antiqua"/>
          <w:b/>
          <w:bCs/>
        </w:rPr>
      </w:pPr>
      <w:bookmarkStart w:id="65" w:name="OLE_LINK43"/>
      <w:r w:rsidRPr="001D7DBE">
        <w:rPr>
          <w:rFonts w:ascii="Book Antiqua" w:hAnsi="Book Antiqua" w:cs="Tahoma"/>
          <w:b/>
          <w:bCs/>
          <w:shd w:val="clear" w:color="auto" w:fill="FFFFFF"/>
        </w:rPr>
        <w:t xml:space="preserve">National </w:t>
      </w:r>
      <w:r w:rsidR="00462BC2" w:rsidRPr="001D7DBE">
        <w:rPr>
          <w:rFonts w:ascii="Book Antiqua" w:hAnsi="Book Antiqua" w:cs="Tahoma"/>
          <w:b/>
          <w:bCs/>
          <w:shd w:val="clear" w:color="auto" w:fill="FFFFFF"/>
        </w:rPr>
        <w:t>trends in total hip arthroplasty for traumatic hip fractures</w:t>
      </w:r>
      <w:r w:rsidRPr="001D7DBE">
        <w:rPr>
          <w:rFonts w:ascii="Book Antiqua" w:hAnsi="Book Antiqua" w:cs="Tahoma"/>
          <w:b/>
          <w:bCs/>
          <w:shd w:val="clear" w:color="auto" w:fill="FFFFFF"/>
        </w:rPr>
        <w:t xml:space="preserve">: An </w:t>
      </w:r>
      <w:r w:rsidR="00462BC2" w:rsidRPr="001D7DBE">
        <w:rPr>
          <w:rFonts w:ascii="Book Antiqua" w:hAnsi="Book Antiqua" w:cs="Tahoma"/>
          <w:b/>
          <w:bCs/>
          <w:shd w:val="clear" w:color="auto" w:fill="FFFFFF"/>
        </w:rPr>
        <w:t>analysis of a nationwide all-payer database</w:t>
      </w:r>
    </w:p>
    <w:bookmarkEnd w:id="65"/>
    <w:p w14:paraId="75A891AD" w14:textId="716833A5"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5EE98CDC" w14:textId="4056F789" w:rsidR="000B4FA4" w:rsidRPr="001D7DBE" w:rsidRDefault="00462BC2" w:rsidP="001D7DBE">
      <w:pPr>
        <w:pStyle w:val="1"/>
        <w:snapToGrid w:val="0"/>
        <w:spacing w:line="360" w:lineRule="auto"/>
        <w:jc w:val="both"/>
        <w:rPr>
          <w:rFonts w:ascii="Book Antiqua" w:hAnsi="Book Antiqua" w:cs="Times New Roman"/>
          <w:bCs/>
          <w:color w:val="auto"/>
          <w:sz w:val="24"/>
          <w:szCs w:val="24"/>
          <w:highlight w:val="white"/>
          <w:lang w:val="en-US" w:eastAsia="zh-CN"/>
        </w:rPr>
      </w:pPr>
      <w:bookmarkStart w:id="66" w:name="OLE_LINK217"/>
      <w:bookmarkStart w:id="67" w:name="OLE_LINK266"/>
      <w:bookmarkStart w:id="68" w:name="OLE_LINK766"/>
      <w:bookmarkStart w:id="69" w:name="OLE_LINK791"/>
      <w:bookmarkStart w:id="70" w:name="OLE_LINK864"/>
      <w:bookmarkStart w:id="71" w:name="OLE_LINK68"/>
      <w:bookmarkStart w:id="72" w:name="OLE_LINK6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D7DBE">
        <w:rPr>
          <w:rFonts w:ascii="Book Antiqua" w:hAnsi="Book Antiqua" w:cs="Times New Roman"/>
          <w:bCs/>
          <w:color w:val="auto"/>
          <w:sz w:val="24"/>
          <w:szCs w:val="24"/>
          <w:lang w:val="en-US" w:eastAsia="zh-CN"/>
        </w:rPr>
        <w:t>Boniello</w:t>
      </w:r>
      <w:r w:rsidRPr="001D7DBE">
        <w:rPr>
          <w:rFonts w:ascii="Book Antiqua" w:hAnsi="Book Antiqua" w:cs="Times New Roman"/>
          <w:bCs/>
          <w:color w:val="auto"/>
          <w:sz w:val="24"/>
          <w:szCs w:val="24"/>
          <w:highlight w:val="white"/>
          <w:lang w:val="en-US" w:eastAsia="zh-CN"/>
        </w:rPr>
        <w:t xml:space="preserve"> AJ </w:t>
      </w:r>
      <w:r w:rsidRPr="001D7DBE">
        <w:rPr>
          <w:rFonts w:ascii="Book Antiqua" w:hAnsi="Book Antiqua" w:cs="Times New Roman"/>
          <w:bCs/>
          <w:i/>
          <w:iCs/>
          <w:color w:val="auto"/>
          <w:sz w:val="24"/>
          <w:szCs w:val="24"/>
          <w:highlight w:val="white"/>
          <w:lang w:val="en-US" w:eastAsia="zh-CN"/>
        </w:rPr>
        <w:t>et al</w:t>
      </w:r>
      <w:r w:rsidRPr="001D7DBE">
        <w:rPr>
          <w:rFonts w:ascii="Book Antiqua" w:hAnsi="Book Antiqua" w:cs="Times New Roman"/>
          <w:bCs/>
          <w:color w:val="auto"/>
          <w:sz w:val="24"/>
          <w:szCs w:val="24"/>
          <w:highlight w:val="white"/>
          <w:lang w:val="en-US" w:eastAsia="zh-CN"/>
        </w:rPr>
        <w:t xml:space="preserve">. </w:t>
      </w:r>
      <w:r w:rsidR="008C78F5" w:rsidRPr="001D7DBE">
        <w:rPr>
          <w:rFonts w:ascii="Book Antiqua" w:hAnsi="Book Antiqua" w:cs="Times New Roman"/>
          <w:bCs/>
          <w:color w:val="auto"/>
          <w:sz w:val="24"/>
          <w:szCs w:val="24"/>
          <w:highlight w:val="white"/>
          <w:lang w:val="en-US" w:eastAsia="zh-CN"/>
        </w:rPr>
        <w:t xml:space="preserve">Trends in </w:t>
      </w:r>
      <w:r w:rsidR="001A3EF3" w:rsidRPr="001D7DBE">
        <w:rPr>
          <w:rFonts w:ascii="Book Antiqua" w:hAnsi="Book Antiqua" w:cs="Times New Roman"/>
          <w:bCs/>
          <w:color w:val="auto"/>
          <w:sz w:val="24"/>
          <w:szCs w:val="24"/>
          <w:highlight w:val="white"/>
          <w:lang w:val="en-US" w:eastAsia="zh-CN"/>
        </w:rPr>
        <w:t>traumatic hip fracture treatment</w:t>
      </w:r>
    </w:p>
    <w:bookmarkEnd w:id="66"/>
    <w:bookmarkEnd w:id="67"/>
    <w:bookmarkEnd w:id="68"/>
    <w:bookmarkEnd w:id="69"/>
    <w:bookmarkEnd w:id="70"/>
    <w:p w14:paraId="40CDCD3B"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eastAsia="zh-CN"/>
        </w:rPr>
      </w:pPr>
    </w:p>
    <w:p w14:paraId="32472D32" w14:textId="20BCEC19" w:rsidR="000B4FA4" w:rsidRPr="001D7DBE" w:rsidRDefault="008C78F5" w:rsidP="001D7DBE">
      <w:pPr>
        <w:pStyle w:val="1"/>
        <w:snapToGrid w:val="0"/>
        <w:spacing w:line="360" w:lineRule="auto"/>
        <w:jc w:val="both"/>
        <w:rPr>
          <w:rFonts w:ascii="Book Antiqua" w:hAnsi="Book Antiqua" w:cs="Times New Roman"/>
          <w:bCs/>
          <w:color w:val="auto"/>
          <w:sz w:val="24"/>
          <w:szCs w:val="24"/>
          <w:highlight w:val="white"/>
          <w:lang w:eastAsia="zh-CN"/>
        </w:rPr>
      </w:pPr>
      <w:bookmarkStart w:id="73" w:name="OLE_LINK164"/>
      <w:bookmarkStart w:id="74" w:name="OLE_LINK166"/>
      <w:bookmarkStart w:id="75" w:name="OLE_LINK312"/>
      <w:bookmarkStart w:id="76" w:name="OLE_LINK314"/>
      <w:bookmarkStart w:id="77" w:name="OLE_LINK335"/>
      <w:bookmarkStart w:id="78" w:name="OLE_LINK93"/>
      <w:bookmarkStart w:id="79" w:name="OLE_LINK94"/>
      <w:r w:rsidRPr="001D7DBE">
        <w:rPr>
          <w:rFonts w:ascii="Book Antiqua" w:hAnsi="Book Antiqua" w:cs="Times New Roman"/>
          <w:bCs/>
          <w:color w:val="auto"/>
          <w:sz w:val="24"/>
          <w:szCs w:val="24"/>
          <w:highlight w:val="white"/>
          <w:lang w:eastAsia="zh-CN"/>
        </w:rPr>
        <w:t>Anthony J Boniello, Alexander M Lieber, Kevin Denehy, Priscilla Cavanaugh, Yehuda E Kerbel, Andrew Star</w:t>
      </w:r>
      <w:bookmarkStart w:id="80" w:name="OLE_LINK415"/>
      <w:bookmarkStart w:id="81" w:name="OLE_LINK418"/>
    </w:p>
    <w:p w14:paraId="542234F1" w14:textId="3F55E5CE" w:rsidR="008373FB" w:rsidRPr="001D7DBE" w:rsidRDefault="008373FB" w:rsidP="001D7DBE">
      <w:pPr>
        <w:pStyle w:val="1"/>
        <w:snapToGrid w:val="0"/>
        <w:spacing w:line="360" w:lineRule="auto"/>
        <w:jc w:val="both"/>
        <w:rPr>
          <w:rFonts w:ascii="Book Antiqua" w:hAnsi="Book Antiqua" w:cs="Times New Roman"/>
          <w:b/>
          <w:color w:val="auto"/>
          <w:sz w:val="24"/>
          <w:szCs w:val="24"/>
          <w:highlight w:val="white"/>
          <w:lang w:eastAsia="zh-CN"/>
        </w:rPr>
      </w:pPr>
    </w:p>
    <w:p w14:paraId="5D5DEB06" w14:textId="161ADA16"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Anthony J Boniello, Priscilla Cavanaugh</w:t>
      </w:r>
      <w:r w:rsidR="00462BC2" w:rsidRPr="001D7DBE">
        <w:rPr>
          <w:rFonts w:ascii="Book Antiqua" w:hAnsi="Book Antiqua" w:cs="Times New Roman"/>
          <w:b/>
          <w:color w:val="auto"/>
          <w:sz w:val="24"/>
          <w:szCs w:val="24"/>
          <w:highlight w:val="white"/>
          <w:lang w:eastAsia="zh-CN"/>
        </w:rPr>
        <w:t>,</w:t>
      </w:r>
      <w:r w:rsidRPr="001D7DBE">
        <w:rPr>
          <w:rFonts w:ascii="Book Antiqua" w:hAnsi="Book Antiqua" w:cs="Times New Roman"/>
          <w:b/>
          <w:color w:val="auto"/>
          <w:sz w:val="24"/>
          <w:szCs w:val="24"/>
          <w:highlight w:val="white"/>
          <w:lang w:eastAsia="zh-CN"/>
        </w:rPr>
        <w:t xml:space="preserve"> Andrew Star,</w:t>
      </w:r>
      <w:r w:rsidRPr="001D7DBE">
        <w:rPr>
          <w:rFonts w:ascii="Book Antiqua" w:hAnsi="Book Antiqua" w:cs="Times New Roman"/>
          <w:bCs/>
          <w:color w:val="auto"/>
          <w:sz w:val="24"/>
          <w:szCs w:val="24"/>
          <w:highlight w:val="white"/>
          <w:lang w:eastAsia="zh-CN"/>
        </w:rPr>
        <w:t xml:space="preserve"> Rothman</w:t>
      </w:r>
      <w:r w:rsidR="00D60C06" w:rsidRPr="001D7DBE">
        <w:rPr>
          <w:rFonts w:ascii="Book Antiqua" w:hAnsi="Book Antiqua" w:cs="Times New Roman"/>
          <w:bCs/>
          <w:color w:val="auto"/>
          <w:sz w:val="24"/>
          <w:szCs w:val="24"/>
          <w:highlight w:val="white"/>
          <w:lang w:eastAsia="zh-CN"/>
        </w:rPr>
        <w:t xml:space="preserve"> Orthopaedic</w:t>
      </w:r>
      <w:r w:rsidRPr="001D7DBE">
        <w:rPr>
          <w:rFonts w:ascii="Book Antiqua" w:hAnsi="Book Antiqua" w:cs="Times New Roman"/>
          <w:bCs/>
          <w:color w:val="auto"/>
          <w:sz w:val="24"/>
          <w:szCs w:val="24"/>
          <w:highlight w:val="white"/>
          <w:lang w:eastAsia="zh-CN"/>
        </w:rPr>
        <w:t xml:space="preserve"> Institute</w:t>
      </w:r>
      <w:r w:rsidR="00462BC2" w:rsidRPr="001D7DBE">
        <w:rPr>
          <w:rFonts w:ascii="Book Antiqua" w:hAnsi="Book Antiqua" w:cs="Times New Roman"/>
          <w:bCs/>
          <w:color w:val="auto"/>
          <w:sz w:val="24"/>
          <w:szCs w:val="24"/>
          <w:highlight w:val="white"/>
          <w:lang w:eastAsia="zh-CN"/>
        </w:rPr>
        <w:t>,</w:t>
      </w:r>
      <w:r w:rsidRPr="001D7DBE">
        <w:rPr>
          <w:rFonts w:ascii="Book Antiqua" w:hAnsi="Book Antiqua" w:cs="Times New Roman"/>
          <w:bCs/>
          <w:color w:val="auto"/>
          <w:sz w:val="24"/>
          <w:szCs w:val="24"/>
          <w:highlight w:val="white"/>
          <w:lang w:eastAsia="zh-CN"/>
        </w:rPr>
        <w:t xml:space="preserve"> Thomas Jefferson University, Philadelphia</w:t>
      </w:r>
      <w:r w:rsidR="00D60C06" w:rsidRPr="001D7DBE">
        <w:rPr>
          <w:rFonts w:ascii="Book Antiqua" w:hAnsi="Book Antiqua" w:cs="Times New Roman"/>
          <w:bCs/>
          <w:color w:val="auto"/>
          <w:sz w:val="24"/>
          <w:szCs w:val="24"/>
          <w:highlight w:val="white"/>
          <w:lang w:eastAsia="zh-CN"/>
        </w:rPr>
        <w:t xml:space="preserve">, </w:t>
      </w:r>
      <w:r w:rsidR="00462BC2" w:rsidRPr="001D7DBE">
        <w:rPr>
          <w:rFonts w:ascii="Book Antiqua" w:hAnsi="Book Antiqua" w:cs="Times New Roman"/>
          <w:bCs/>
          <w:color w:val="auto"/>
          <w:sz w:val="24"/>
          <w:szCs w:val="24"/>
          <w:highlight w:val="white"/>
          <w:lang w:eastAsia="zh-CN"/>
        </w:rPr>
        <w:t>PA</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19107</w:t>
      </w:r>
      <w:r w:rsidR="00462BC2" w:rsidRPr="001D7DBE">
        <w:rPr>
          <w:rFonts w:ascii="Book Antiqua" w:hAnsi="Book Antiqua" w:cs="Times New Roman"/>
          <w:bCs/>
          <w:color w:val="auto"/>
          <w:sz w:val="24"/>
          <w:szCs w:val="24"/>
          <w:highlight w:val="white"/>
          <w:lang w:eastAsia="zh-CN"/>
        </w:rPr>
        <w:t xml:space="preserve">, </w:t>
      </w:r>
      <w:r w:rsidR="00D60C06" w:rsidRPr="001D7DBE">
        <w:rPr>
          <w:rFonts w:ascii="Book Antiqua" w:hAnsi="Book Antiqua" w:cs="Times New Roman"/>
          <w:bCs/>
          <w:color w:val="auto"/>
          <w:sz w:val="24"/>
          <w:szCs w:val="24"/>
          <w:highlight w:val="white"/>
          <w:lang w:eastAsia="zh-CN"/>
        </w:rPr>
        <w:t xml:space="preserve">United </w:t>
      </w:r>
      <w:r w:rsidR="00D60C06" w:rsidRPr="00A23CC0">
        <w:rPr>
          <w:rFonts w:ascii="Book Antiqua" w:hAnsi="Book Antiqua" w:cs="Times New Roman"/>
          <w:bCs/>
          <w:color w:val="auto"/>
          <w:sz w:val="24"/>
          <w:szCs w:val="24"/>
          <w:highlight w:val="white"/>
          <w:lang w:val="en-US" w:eastAsia="zh-CN"/>
        </w:rPr>
        <w:t>States</w:t>
      </w:r>
      <w:r w:rsidR="00D60C06" w:rsidRPr="001D7DBE">
        <w:rPr>
          <w:rFonts w:ascii="Book Antiqua" w:hAnsi="Book Antiqua" w:cs="Times New Roman"/>
          <w:bCs/>
          <w:color w:val="auto"/>
          <w:sz w:val="24"/>
          <w:szCs w:val="24"/>
          <w:highlight w:val="white"/>
          <w:lang w:eastAsia="zh-CN"/>
        </w:rPr>
        <w:t xml:space="preserve"> </w:t>
      </w:r>
    </w:p>
    <w:p w14:paraId="6F824BE1" w14:textId="77777777" w:rsidR="00D60C06" w:rsidRPr="001D7DBE" w:rsidRDefault="00D60C06" w:rsidP="001D7DBE">
      <w:pPr>
        <w:pStyle w:val="1"/>
        <w:snapToGrid w:val="0"/>
        <w:spacing w:line="360" w:lineRule="auto"/>
        <w:jc w:val="both"/>
        <w:rPr>
          <w:rFonts w:ascii="Book Antiqua" w:hAnsi="Book Antiqua" w:cs="Times New Roman"/>
          <w:b/>
          <w:color w:val="auto"/>
          <w:sz w:val="24"/>
          <w:szCs w:val="24"/>
          <w:highlight w:val="white"/>
          <w:lang w:eastAsia="zh-CN"/>
        </w:rPr>
      </w:pPr>
    </w:p>
    <w:p w14:paraId="2BCEBD36" w14:textId="6BA02A46"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Alexander M Lieber</w:t>
      </w:r>
      <w:r w:rsidR="008D7386" w:rsidRPr="001D7DBE">
        <w:rPr>
          <w:rFonts w:ascii="Book Antiqua" w:hAnsi="Book Antiqua" w:cs="Times New Roman"/>
          <w:b/>
          <w:color w:val="auto"/>
          <w:sz w:val="24"/>
          <w:szCs w:val="24"/>
          <w:highlight w:val="white"/>
          <w:lang w:eastAsia="zh-CN"/>
        </w:rPr>
        <w:t>,</w:t>
      </w:r>
      <w:r w:rsidRPr="001D7DBE">
        <w:rPr>
          <w:rFonts w:ascii="Book Antiqua" w:hAnsi="Book Antiqua" w:cs="Times New Roman"/>
          <w:b/>
          <w:color w:val="auto"/>
          <w:sz w:val="24"/>
          <w:szCs w:val="24"/>
          <w:highlight w:val="white"/>
          <w:lang w:eastAsia="zh-CN"/>
        </w:rPr>
        <w:t xml:space="preserve"> </w:t>
      </w:r>
      <w:r w:rsidRPr="001D7DBE">
        <w:rPr>
          <w:rFonts w:ascii="Book Antiqua" w:hAnsi="Book Antiqua" w:cs="Times New Roman"/>
          <w:bCs/>
          <w:color w:val="auto"/>
          <w:sz w:val="24"/>
          <w:szCs w:val="24"/>
          <w:highlight w:val="white"/>
          <w:lang w:eastAsia="zh-CN"/>
        </w:rPr>
        <w:t xml:space="preserve">Drexel University College of Medicine, Philadelphia, </w:t>
      </w:r>
      <w:r w:rsidR="00462BC2" w:rsidRPr="001D7DBE">
        <w:rPr>
          <w:rFonts w:ascii="Book Antiqua" w:hAnsi="Book Antiqua" w:cs="Times New Roman"/>
          <w:bCs/>
          <w:color w:val="auto"/>
          <w:sz w:val="24"/>
          <w:szCs w:val="24"/>
          <w:highlight w:val="white"/>
          <w:lang w:eastAsia="zh-CN"/>
        </w:rPr>
        <w:t>PA</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19123</w:t>
      </w:r>
      <w:r w:rsidR="00462BC2" w:rsidRPr="001D7DBE">
        <w:rPr>
          <w:rFonts w:ascii="Book Antiqua" w:hAnsi="Book Antiqua" w:cs="Times New Roman"/>
          <w:bCs/>
          <w:color w:val="auto"/>
          <w:sz w:val="24"/>
          <w:szCs w:val="24"/>
          <w:highlight w:val="white"/>
          <w:lang w:eastAsia="zh-CN"/>
        </w:rPr>
        <w:t xml:space="preserve">, </w:t>
      </w:r>
      <w:r w:rsidRPr="001D7DBE">
        <w:rPr>
          <w:rFonts w:ascii="Book Antiqua" w:hAnsi="Book Antiqua" w:cs="Times New Roman"/>
          <w:bCs/>
          <w:color w:val="auto"/>
          <w:sz w:val="24"/>
          <w:szCs w:val="24"/>
          <w:highlight w:val="white"/>
          <w:lang w:eastAsia="zh-CN"/>
        </w:rPr>
        <w:t>United States</w:t>
      </w:r>
    </w:p>
    <w:p w14:paraId="1E51F19A" w14:textId="77777777" w:rsidR="00D60C06" w:rsidRPr="001D7DBE" w:rsidRDefault="00D60C06" w:rsidP="001D7DBE">
      <w:pPr>
        <w:pStyle w:val="1"/>
        <w:snapToGrid w:val="0"/>
        <w:spacing w:line="360" w:lineRule="auto"/>
        <w:jc w:val="both"/>
        <w:rPr>
          <w:rFonts w:ascii="Book Antiqua" w:hAnsi="Book Antiqua" w:cs="Times New Roman"/>
          <w:b/>
          <w:color w:val="auto"/>
          <w:sz w:val="24"/>
          <w:szCs w:val="24"/>
          <w:highlight w:val="white"/>
          <w:lang w:eastAsia="zh-CN"/>
        </w:rPr>
      </w:pPr>
    </w:p>
    <w:p w14:paraId="77064487" w14:textId="29CD66D4"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Kevin Denehy</w:t>
      </w:r>
      <w:r w:rsidR="00D60C06" w:rsidRPr="001D7DBE">
        <w:rPr>
          <w:rFonts w:ascii="Book Antiqua" w:hAnsi="Book Antiqua" w:cs="Times New Roman"/>
          <w:b/>
          <w:color w:val="auto"/>
          <w:sz w:val="24"/>
          <w:szCs w:val="24"/>
          <w:highlight w:val="white"/>
          <w:lang w:eastAsia="zh-CN"/>
        </w:rPr>
        <w:t xml:space="preserve">, </w:t>
      </w:r>
      <w:r w:rsidR="00D60C06" w:rsidRPr="001D7DBE">
        <w:rPr>
          <w:rFonts w:ascii="Book Antiqua" w:hAnsi="Book Antiqua" w:cs="Times New Roman"/>
          <w:bCs/>
          <w:color w:val="auto"/>
          <w:sz w:val="24"/>
          <w:szCs w:val="24"/>
          <w:highlight w:val="white"/>
          <w:lang w:eastAsia="zh-CN"/>
        </w:rPr>
        <w:t xml:space="preserve">Bluegrass Orthopaedics, </w:t>
      </w:r>
      <w:bookmarkStart w:id="82" w:name="OLE_LINK969"/>
      <w:bookmarkStart w:id="83" w:name="OLE_LINK971"/>
      <w:r w:rsidR="00D60C06" w:rsidRPr="001D7DBE">
        <w:rPr>
          <w:rFonts w:ascii="Book Antiqua" w:hAnsi="Book Antiqua" w:cs="Times New Roman"/>
          <w:bCs/>
          <w:color w:val="auto"/>
          <w:sz w:val="24"/>
          <w:szCs w:val="24"/>
          <w:highlight w:val="white"/>
          <w:lang w:eastAsia="zh-CN"/>
        </w:rPr>
        <w:t>Lexington</w:t>
      </w:r>
      <w:r w:rsidR="00D22757" w:rsidRPr="001D7DBE">
        <w:rPr>
          <w:rFonts w:ascii="Book Antiqua" w:hAnsi="Book Antiqua" w:cs="Times New Roman"/>
          <w:bCs/>
          <w:color w:val="auto"/>
          <w:sz w:val="24"/>
          <w:szCs w:val="24"/>
          <w:highlight w:val="white"/>
          <w:lang w:eastAsia="zh-CN"/>
        </w:rPr>
        <w:t xml:space="preserve">, </w:t>
      </w:r>
      <w:r w:rsidR="00462BC2" w:rsidRPr="001D7DBE">
        <w:rPr>
          <w:rFonts w:ascii="Book Antiqua" w:hAnsi="Book Antiqua" w:cs="Times New Roman"/>
          <w:bCs/>
          <w:color w:val="auto"/>
          <w:sz w:val="24"/>
          <w:szCs w:val="24"/>
          <w:highlight w:val="white"/>
          <w:lang w:eastAsia="zh-CN"/>
        </w:rPr>
        <w:t>KY</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40509</w:t>
      </w:r>
      <w:r w:rsidR="00462BC2" w:rsidRPr="001D7DBE">
        <w:rPr>
          <w:rFonts w:ascii="Book Antiqua" w:hAnsi="Book Antiqua" w:cs="Times New Roman"/>
          <w:bCs/>
          <w:color w:val="auto"/>
          <w:sz w:val="24"/>
          <w:szCs w:val="24"/>
          <w:highlight w:val="white"/>
          <w:lang w:eastAsia="zh-CN"/>
        </w:rPr>
        <w:t xml:space="preserve">, </w:t>
      </w:r>
      <w:r w:rsidR="00D22757" w:rsidRPr="001D7DBE">
        <w:rPr>
          <w:rFonts w:ascii="Book Antiqua" w:hAnsi="Book Antiqua" w:cs="Times New Roman"/>
          <w:bCs/>
          <w:color w:val="auto"/>
          <w:sz w:val="24"/>
          <w:szCs w:val="24"/>
          <w:highlight w:val="white"/>
          <w:lang w:eastAsia="zh-CN"/>
        </w:rPr>
        <w:t>United States</w:t>
      </w:r>
    </w:p>
    <w:bookmarkEnd w:id="82"/>
    <w:bookmarkEnd w:id="83"/>
    <w:p w14:paraId="145FFEB5" w14:textId="77777777" w:rsidR="00D22757" w:rsidRPr="001D7DBE" w:rsidRDefault="00D22757" w:rsidP="001D7DBE">
      <w:pPr>
        <w:pStyle w:val="1"/>
        <w:snapToGrid w:val="0"/>
        <w:spacing w:line="360" w:lineRule="auto"/>
        <w:jc w:val="both"/>
        <w:rPr>
          <w:rFonts w:ascii="Book Antiqua" w:hAnsi="Book Antiqua" w:cs="Times New Roman"/>
          <w:b/>
          <w:color w:val="auto"/>
          <w:sz w:val="24"/>
          <w:szCs w:val="24"/>
          <w:highlight w:val="white"/>
          <w:lang w:eastAsia="zh-CN"/>
        </w:rPr>
      </w:pPr>
    </w:p>
    <w:p w14:paraId="10A81004" w14:textId="2D3D90FD"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Yehuda</w:t>
      </w:r>
      <w:r w:rsidR="00D60C06" w:rsidRPr="001D7DBE">
        <w:rPr>
          <w:rFonts w:ascii="Book Antiqua" w:hAnsi="Book Antiqua" w:cs="Times New Roman"/>
          <w:b/>
          <w:color w:val="auto"/>
          <w:sz w:val="24"/>
          <w:szCs w:val="24"/>
          <w:highlight w:val="white"/>
          <w:lang w:eastAsia="zh-CN"/>
        </w:rPr>
        <w:t xml:space="preserve"> E </w:t>
      </w:r>
      <w:r w:rsidRPr="001D7DBE">
        <w:rPr>
          <w:rFonts w:ascii="Book Antiqua" w:hAnsi="Book Antiqua" w:cs="Times New Roman"/>
          <w:b/>
          <w:color w:val="auto"/>
          <w:sz w:val="24"/>
          <w:szCs w:val="24"/>
          <w:highlight w:val="white"/>
          <w:lang w:eastAsia="zh-CN"/>
        </w:rPr>
        <w:t>Kerbel</w:t>
      </w:r>
      <w:r w:rsidR="00D22757" w:rsidRPr="001D7DBE">
        <w:rPr>
          <w:rFonts w:ascii="Book Antiqua" w:hAnsi="Book Antiqua" w:cs="Times New Roman"/>
          <w:b/>
          <w:color w:val="auto"/>
          <w:sz w:val="24"/>
          <w:szCs w:val="24"/>
          <w:highlight w:val="white"/>
          <w:lang w:eastAsia="zh-CN"/>
        </w:rPr>
        <w:t xml:space="preserve">, </w:t>
      </w:r>
      <w:r w:rsidR="00D22757" w:rsidRPr="001D7DBE">
        <w:rPr>
          <w:rFonts w:ascii="Book Antiqua" w:hAnsi="Book Antiqua" w:cs="Times New Roman"/>
          <w:bCs/>
          <w:color w:val="auto"/>
          <w:sz w:val="24"/>
          <w:szCs w:val="24"/>
          <w:highlight w:val="white"/>
          <w:lang w:eastAsia="zh-CN"/>
        </w:rPr>
        <w:t xml:space="preserve">Deparment of Orthopaedics, Hospital of University of Pennsylvania, Philadelphia, </w:t>
      </w:r>
      <w:r w:rsidR="00462BC2" w:rsidRPr="001D7DBE">
        <w:rPr>
          <w:rFonts w:ascii="Book Antiqua" w:hAnsi="Book Antiqua" w:cs="Times New Roman"/>
          <w:bCs/>
          <w:color w:val="auto"/>
          <w:sz w:val="24"/>
          <w:szCs w:val="24"/>
          <w:highlight w:val="white"/>
          <w:lang w:eastAsia="zh-CN"/>
        </w:rPr>
        <w:t>PA</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19104</w:t>
      </w:r>
      <w:r w:rsidR="00462BC2" w:rsidRPr="001D7DBE">
        <w:rPr>
          <w:rFonts w:ascii="Book Antiqua" w:hAnsi="Book Antiqua" w:cs="Times New Roman"/>
          <w:bCs/>
          <w:color w:val="auto"/>
          <w:sz w:val="24"/>
          <w:szCs w:val="24"/>
          <w:highlight w:val="white"/>
          <w:lang w:eastAsia="zh-CN"/>
        </w:rPr>
        <w:t xml:space="preserve">, </w:t>
      </w:r>
      <w:r w:rsidR="00D22757" w:rsidRPr="001D7DBE">
        <w:rPr>
          <w:rFonts w:ascii="Book Antiqua" w:hAnsi="Book Antiqua" w:cs="Times New Roman"/>
          <w:bCs/>
          <w:color w:val="auto"/>
          <w:sz w:val="24"/>
          <w:szCs w:val="24"/>
          <w:highlight w:val="white"/>
          <w:lang w:eastAsia="zh-CN"/>
        </w:rPr>
        <w:t>United States</w:t>
      </w:r>
    </w:p>
    <w:bookmarkEnd w:id="64"/>
    <w:bookmarkEnd w:id="73"/>
    <w:bookmarkEnd w:id="74"/>
    <w:bookmarkEnd w:id="75"/>
    <w:bookmarkEnd w:id="76"/>
    <w:bookmarkEnd w:id="77"/>
    <w:bookmarkEnd w:id="78"/>
    <w:bookmarkEnd w:id="79"/>
    <w:bookmarkEnd w:id="80"/>
    <w:bookmarkEnd w:id="81"/>
    <w:p w14:paraId="4CB0CB3D"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1F7DD954" w14:textId="282DC0DC" w:rsidR="005E0A23" w:rsidRPr="001D7DBE" w:rsidRDefault="000B4FA4" w:rsidP="001D7DBE">
      <w:pPr>
        <w:spacing w:line="360" w:lineRule="auto"/>
        <w:jc w:val="both"/>
        <w:rPr>
          <w:rFonts w:ascii="Book Antiqua" w:hAnsi="Book Antiqua"/>
          <w:bCs/>
        </w:rPr>
      </w:pPr>
      <w:bookmarkStart w:id="84" w:name="OLE_LINK167"/>
      <w:bookmarkStart w:id="85" w:name="OLE_LINK170"/>
      <w:bookmarkStart w:id="86" w:name="OLE_LINK219"/>
      <w:bookmarkStart w:id="87" w:name="OLE_LINK487"/>
      <w:bookmarkStart w:id="88" w:name="OLE_LINK121"/>
      <w:bookmarkStart w:id="89" w:name="OLE_LINK269"/>
      <w:bookmarkStart w:id="90" w:name="OLE_LINK585"/>
      <w:bookmarkStart w:id="91" w:name="OLE_LINK874"/>
      <w:bookmarkStart w:id="92" w:name="OLE_LINK875"/>
      <w:r w:rsidRPr="001D7DBE">
        <w:rPr>
          <w:rFonts w:ascii="Book Antiqua" w:hAnsi="Book Antiqua"/>
          <w:b/>
        </w:rPr>
        <w:t>ORCID number:</w:t>
      </w:r>
      <w:r w:rsidRPr="001D7DBE">
        <w:rPr>
          <w:rFonts w:ascii="Book Antiqua" w:hAnsi="Book Antiqua"/>
          <w:b/>
          <w:lang w:eastAsia="zh-CN"/>
        </w:rPr>
        <w:t xml:space="preserve"> </w:t>
      </w:r>
      <w:bookmarkEnd w:id="84"/>
      <w:bookmarkEnd w:id="85"/>
      <w:bookmarkEnd w:id="86"/>
      <w:r w:rsidR="005E0A23" w:rsidRPr="001D7DBE">
        <w:rPr>
          <w:rFonts w:ascii="Book Antiqua" w:hAnsi="Book Antiqua"/>
          <w:bCs/>
          <w:highlight w:val="white"/>
          <w:lang w:eastAsia="zh-CN"/>
        </w:rPr>
        <w:t>Anthony J Boniello (</w:t>
      </w:r>
      <w:r w:rsidR="005E0A23" w:rsidRPr="001D7DBE">
        <w:rPr>
          <w:rFonts w:ascii="Book Antiqua" w:hAnsi="Book Antiqua" w:cs="Noto Sans"/>
          <w:bCs/>
          <w:shd w:val="clear" w:color="auto" w:fill="FFFFFF"/>
        </w:rPr>
        <w:t>0000-0003-1269-6351)</w:t>
      </w:r>
      <w:r w:rsidR="00462BC2"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Alexander M Lieber (</w:t>
      </w:r>
      <w:r w:rsidR="005E0A23" w:rsidRPr="001D7DBE">
        <w:rPr>
          <w:rFonts w:ascii="Book Antiqua" w:hAnsi="Book Antiqua" w:cs="Noto Sans"/>
          <w:bCs/>
          <w:shd w:val="clear" w:color="auto" w:fill="FFFFFF"/>
        </w:rPr>
        <w:t>0000-0001-6517-4472)</w:t>
      </w:r>
      <w:r w:rsidR="00462BC2"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Kevin Denehy (</w:t>
      </w:r>
      <w:r w:rsidR="005E0A23" w:rsidRPr="001D7DBE">
        <w:rPr>
          <w:rFonts w:ascii="Book Antiqua" w:hAnsi="Book Antiqua" w:cs="Noto Sans"/>
          <w:bCs/>
          <w:shd w:val="clear" w:color="auto" w:fill="FFFFFF"/>
        </w:rPr>
        <w:t>0000-0001-8034-1988</w:t>
      </w:r>
      <w:r w:rsidR="005E0A23" w:rsidRPr="001D7DBE">
        <w:rPr>
          <w:rFonts w:ascii="Book Antiqua" w:hAnsi="Book Antiqua"/>
          <w:bCs/>
          <w:highlight w:val="white"/>
          <w:lang w:eastAsia="zh-CN"/>
        </w:rPr>
        <w:t>)</w:t>
      </w:r>
      <w:r w:rsidR="00462BC2"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Priscilla Cavanaugh (</w:t>
      </w:r>
      <w:r w:rsidR="005E0A23" w:rsidRPr="001D7DBE">
        <w:rPr>
          <w:rFonts w:ascii="Book Antiqua" w:hAnsi="Book Antiqua" w:cs="Noto Sans"/>
          <w:bCs/>
          <w:shd w:val="clear" w:color="auto" w:fill="FFFFFF"/>
        </w:rPr>
        <w:t>0000-0001-6808-3437</w:t>
      </w:r>
      <w:r w:rsidR="005E0A23" w:rsidRPr="001D7DBE">
        <w:rPr>
          <w:rFonts w:ascii="Book Antiqua" w:hAnsi="Book Antiqua"/>
          <w:bCs/>
          <w:highlight w:val="white"/>
          <w:lang w:eastAsia="zh-CN"/>
        </w:rPr>
        <w:t>)</w:t>
      </w:r>
      <w:r w:rsidR="008352D0"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Yehuda E Kerbel (</w:t>
      </w:r>
      <w:r w:rsidR="005E0A23" w:rsidRPr="001D7DBE">
        <w:rPr>
          <w:rFonts w:ascii="Book Antiqua" w:hAnsi="Book Antiqua" w:cs="Noto Sans"/>
          <w:bCs/>
          <w:shd w:val="clear" w:color="auto" w:fill="FFFFFF"/>
        </w:rPr>
        <w:t>0000-0001-6517-4472)</w:t>
      </w:r>
      <w:r w:rsidR="008D7386" w:rsidRPr="001D7DBE">
        <w:rPr>
          <w:rFonts w:ascii="Book Antiqua" w:hAnsi="Book Antiqua"/>
          <w:bCs/>
          <w:highlight w:val="white"/>
          <w:lang w:eastAsia="zh-CN"/>
        </w:rPr>
        <w:t xml:space="preserve">; </w:t>
      </w:r>
      <w:r w:rsidR="005E0A23" w:rsidRPr="001D7DBE">
        <w:rPr>
          <w:rFonts w:ascii="Book Antiqua" w:hAnsi="Book Antiqua"/>
          <w:bCs/>
          <w:highlight w:val="white"/>
          <w:lang w:eastAsia="zh-CN"/>
        </w:rPr>
        <w:t>Andrew Star</w:t>
      </w:r>
      <w:r w:rsidR="005E0A23" w:rsidRPr="001D7DBE">
        <w:rPr>
          <w:rFonts w:ascii="Book Antiqua" w:hAnsi="Book Antiqua"/>
          <w:bCs/>
          <w:lang w:eastAsia="zh-CN"/>
        </w:rPr>
        <w:t xml:space="preserve"> (</w:t>
      </w:r>
      <w:r w:rsidR="005E0A23" w:rsidRPr="001D7DBE">
        <w:rPr>
          <w:rFonts w:ascii="Book Antiqua" w:hAnsi="Book Antiqua" w:cs="Noto Sans"/>
          <w:bCs/>
          <w:shd w:val="clear" w:color="auto" w:fill="FFFFFF"/>
        </w:rPr>
        <w:t>0000-0001-6109-9778</w:t>
      </w:r>
      <w:r w:rsidR="005E0A23" w:rsidRPr="001D7DBE">
        <w:rPr>
          <w:rFonts w:ascii="Book Antiqua" w:hAnsi="Book Antiqua"/>
          <w:bCs/>
        </w:rPr>
        <w:t>)</w:t>
      </w:r>
      <w:r w:rsidR="008D7386" w:rsidRPr="001D7DBE">
        <w:rPr>
          <w:rFonts w:ascii="Book Antiqua" w:hAnsi="Book Antiqua"/>
          <w:bCs/>
        </w:rPr>
        <w:t>.</w:t>
      </w:r>
    </w:p>
    <w:p w14:paraId="3571B129" w14:textId="3682981D" w:rsidR="000B4FA4" w:rsidRPr="001D7DBE" w:rsidRDefault="000B4FA4" w:rsidP="001D7DBE">
      <w:pPr>
        <w:pStyle w:val="1"/>
        <w:snapToGrid w:val="0"/>
        <w:spacing w:line="360" w:lineRule="auto"/>
        <w:jc w:val="both"/>
        <w:rPr>
          <w:rFonts w:ascii="Book Antiqua" w:hAnsi="Book Antiqua"/>
          <w:b/>
          <w:color w:val="auto"/>
          <w:sz w:val="24"/>
          <w:szCs w:val="24"/>
          <w:lang w:eastAsia="zh-CN"/>
        </w:rPr>
      </w:pPr>
      <w:r w:rsidRPr="001D7DBE">
        <w:rPr>
          <w:rFonts w:ascii="Book Antiqua" w:hAnsi="Book Antiqua"/>
          <w:b/>
          <w:color w:val="auto"/>
          <w:sz w:val="24"/>
          <w:szCs w:val="24"/>
          <w:lang w:eastAsia="zh-CN"/>
        </w:rPr>
        <w:t xml:space="preserve"> </w:t>
      </w:r>
    </w:p>
    <w:bookmarkEnd w:id="87"/>
    <w:p w14:paraId="65A64F1A"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6A7F41D7" w14:textId="5DFF406B" w:rsidR="00804D33" w:rsidRPr="001D7DBE" w:rsidRDefault="000B4FA4" w:rsidP="001D7DBE">
      <w:pPr>
        <w:pStyle w:val="1"/>
        <w:snapToGrid w:val="0"/>
        <w:spacing w:line="360" w:lineRule="auto"/>
        <w:jc w:val="both"/>
        <w:rPr>
          <w:rFonts w:ascii="Book Antiqua" w:hAnsi="Book Antiqua" w:cs="Times New Roman"/>
          <w:bCs/>
          <w:color w:val="auto"/>
          <w:sz w:val="24"/>
          <w:szCs w:val="24"/>
          <w:highlight w:val="white"/>
          <w:lang w:val="en-US" w:eastAsia="zh-CN"/>
        </w:rPr>
      </w:pPr>
      <w:bookmarkStart w:id="93" w:name="OLE_LINK188"/>
      <w:bookmarkStart w:id="94" w:name="OLE_LINK189"/>
      <w:bookmarkStart w:id="95" w:name="OLE_LINK806"/>
      <w:bookmarkStart w:id="96" w:name="OLE_LINK106"/>
      <w:bookmarkStart w:id="97" w:name="OLE_LINK107"/>
      <w:bookmarkStart w:id="98" w:name="OLE_LINK187"/>
      <w:bookmarkStart w:id="99" w:name="OLE_LINK402"/>
      <w:bookmarkStart w:id="100" w:name="OLE_LINK174"/>
      <w:r w:rsidRPr="001D7DBE">
        <w:rPr>
          <w:rFonts w:ascii="Book Antiqua" w:hAnsi="Book Antiqua" w:cs="Times New Roman"/>
          <w:b/>
          <w:color w:val="auto"/>
          <w:sz w:val="24"/>
          <w:szCs w:val="24"/>
          <w:highlight w:val="white"/>
          <w:lang w:val="en-US" w:eastAsia="zh-CN"/>
        </w:rPr>
        <w:lastRenderedPageBreak/>
        <w:t xml:space="preserve">Author contributions: </w:t>
      </w:r>
      <w:r w:rsidR="00804D33" w:rsidRPr="001D7DBE">
        <w:rPr>
          <w:rFonts w:ascii="Book Antiqua" w:hAnsi="Book Antiqua" w:cs="Times New Roman"/>
          <w:bCs/>
          <w:color w:val="auto"/>
          <w:sz w:val="24"/>
          <w:szCs w:val="24"/>
          <w:highlight w:val="white"/>
          <w:lang w:val="en-US" w:eastAsia="zh-CN"/>
        </w:rPr>
        <w:t>Boniello AJ con</w:t>
      </w:r>
      <w:r w:rsidR="003D1A56">
        <w:rPr>
          <w:rFonts w:ascii="Book Antiqua" w:hAnsi="Book Antiqua" w:cs="Times New Roman"/>
          <w:bCs/>
          <w:color w:val="auto"/>
          <w:sz w:val="24"/>
          <w:szCs w:val="24"/>
          <w:highlight w:val="white"/>
          <w:lang w:val="en-US" w:eastAsia="zh-CN"/>
        </w:rPr>
        <w:t>ce</w:t>
      </w:r>
      <w:r w:rsidR="00804D33" w:rsidRPr="001D7DBE">
        <w:rPr>
          <w:rFonts w:ascii="Book Antiqua" w:hAnsi="Book Antiqua" w:cs="Times New Roman"/>
          <w:bCs/>
          <w:color w:val="auto"/>
          <w:sz w:val="24"/>
          <w:szCs w:val="24"/>
          <w:highlight w:val="white"/>
          <w:lang w:val="en-US" w:eastAsia="zh-CN"/>
        </w:rPr>
        <w:t>ived the study concept and designed the research with Lieber AM, Denehy K</w:t>
      </w:r>
      <w:r w:rsidR="00CE08B2">
        <w:rPr>
          <w:rFonts w:ascii="Book Antiqua" w:hAnsi="Book Antiqua" w:cs="Times New Roman"/>
          <w:bCs/>
          <w:color w:val="auto"/>
          <w:sz w:val="24"/>
          <w:szCs w:val="24"/>
          <w:highlight w:val="white"/>
          <w:lang w:val="en-US" w:eastAsia="zh-CN"/>
        </w:rPr>
        <w:t xml:space="preserve"> </w:t>
      </w:r>
      <w:r w:rsidR="00804D33" w:rsidRPr="001D7DBE">
        <w:rPr>
          <w:rFonts w:ascii="Book Antiqua" w:hAnsi="Book Antiqua" w:cs="Times New Roman"/>
          <w:bCs/>
          <w:color w:val="auto"/>
          <w:sz w:val="24"/>
          <w:szCs w:val="24"/>
          <w:highlight w:val="white"/>
          <w:lang w:val="en-US" w:eastAsia="zh-CN"/>
        </w:rPr>
        <w:t>and Star A</w:t>
      </w:r>
      <w:r w:rsidR="008352D0" w:rsidRPr="001D7DBE">
        <w:rPr>
          <w:rFonts w:ascii="Book Antiqua" w:hAnsi="Book Antiqua" w:cs="Times New Roman"/>
          <w:bCs/>
          <w:color w:val="auto"/>
          <w:sz w:val="24"/>
          <w:szCs w:val="24"/>
          <w:highlight w:val="white"/>
          <w:lang w:val="en-US" w:eastAsia="zh-CN"/>
        </w:rPr>
        <w:t xml:space="preserve">, </w:t>
      </w:r>
      <w:r w:rsidR="00804D33" w:rsidRPr="001D7DBE">
        <w:rPr>
          <w:rFonts w:ascii="Book Antiqua" w:hAnsi="Book Antiqua" w:cs="Times New Roman"/>
          <w:bCs/>
          <w:color w:val="auto"/>
          <w:sz w:val="24"/>
          <w:szCs w:val="24"/>
          <w:highlight w:val="white"/>
          <w:lang w:val="en-US" w:eastAsia="zh-CN"/>
        </w:rPr>
        <w:t>Lieber AM and Cavanaugh P performed data collection</w:t>
      </w:r>
      <w:r w:rsidR="00BA5678" w:rsidRPr="001D7DBE">
        <w:rPr>
          <w:rFonts w:ascii="Book Antiqua" w:hAnsi="Book Antiqua" w:cs="Times New Roman"/>
          <w:bCs/>
          <w:color w:val="auto"/>
          <w:sz w:val="24"/>
          <w:szCs w:val="24"/>
          <w:highlight w:val="white"/>
          <w:lang w:val="en-US" w:eastAsia="zh-CN"/>
        </w:rPr>
        <w:t>;</w:t>
      </w:r>
      <w:r w:rsidR="00804D33" w:rsidRPr="001D7DBE">
        <w:rPr>
          <w:rFonts w:ascii="Book Antiqua" w:hAnsi="Book Antiqua" w:cs="Times New Roman"/>
          <w:bCs/>
          <w:color w:val="auto"/>
          <w:sz w:val="24"/>
          <w:szCs w:val="24"/>
          <w:highlight w:val="white"/>
          <w:lang w:val="en-US" w:eastAsia="zh-CN"/>
        </w:rPr>
        <w:t xml:space="preserve"> Lieber AM and Kerbel YE performed statistical analysis</w:t>
      </w:r>
      <w:r w:rsidR="00BA5678" w:rsidRPr="001D7DBE">
        <w:rPr>
          <w:rFonts w:ascii="Book Antiqua" w:hAnsi="Book Antiqua" w:cs="Times New Roman"/>
          <w:bCs/>
          <w:color w:val="auto"/>
          <w:sz w:val="24"/>
          <w:szCs w:val="24"/>
          <w:highlight w:val="white"/>
          <w:lang w:val="en-US" w:eastAsia="zh-CN"/>
        </w:rPr>
        <w:t>;</w:t>
      </w:r>
      <w:r w:rsidR="008352D0" w:rsidRPr="001D7DBE">
        <w:rPr>
          <w:rFonts w:ascii="Book Antiqua" w:hAnsi="Book Antiqua" w:cs="Times New Roman"/>
          <w:bCs/>
          <w:color w:val="auto"/>
          <w:sz w:val="24"/>
          <w:szCs w:val="24"/>
          <w:highlight w:val="white"/>
          <w:lang w:val="en-US" w:eastAsia="zh-CN"/>
        </w:rPr>
        <w:t xml:space="preserve"> </w:t>
      </w:r>
      <w:r w:rsidR="00804D33" w:rsidRPr="001D7DBE">
        <w:rPr>
          <w:rFonts w:ascii="Book Antiqua" w:hAnsi="Book Antiqua" w:cs="Times New Roman"/>
          <w:bCs/>
          <w:color w:val="auto"/>
          <w:sz w:val="24"/>
          <w:szCs w:val="24"/>
          <w:highlight w:val="white"/>
          <w:lang w:val="en-US" w:eastAsia="zh-CN"/>
        </w:rPr>
        <w:t>Boniello AJ, Lieber AM, Kerbel YE and Star A edited and revised the manuscript.</w:t>
      </w:r>
    </w:p>
    <w:p w14:paraId="12D84215" w14:textId="77777777" w:rsidR="000B4FA4" w:rsidRPr="001D7DBE" w:rsidRDefault="000B4FA4" w:rsidP="001D7DBE">
      <w:pPr>
        <w:pStyle w:val="1"/>
        <w:snapToGrid w:val="0"/>
        <w:spacing w:line="360" w:lineRule="auto"/>
        <w:jc w:val="both"/>
        <w:rPr>
          <w:rFonts w:ascii="Book Antiqua" w:hAnsi="Book Antiqua" w:cs="Times New Roman"/>
          <w:b/>
          <w:bCs/>
          <w:color w:val="auto"/>
          <w:sz w:val="24"/>
          <w:szCs w:val="24"/>
          <w:highlight w:val="white"/>
          <w:lang w:val="en-US" w:eastAsia="zh-CN"/>
        </w:rPr>
      </w:pPr>
      <w:bookmarkStart w:id="101" w:name="OLE_LINK361"/>
      <w:bookmarkStart w:id="102" w:name="OLE_LINK362"/>
      <w:bookmarkEnd w:id="71"/>
      <w:bookmarkEnd w:id="72"/>
      <w:bookmarkEnd w:id="88"/>
      <w:bookmarkEnd w:id="89"/>
      <w:bookmarkEnd w:id="90"/>
      <w:bookmarkEnd w:id="93"/>
      <w:bookmarkEnd w:id="94"/>
      <w:bookmarkEnd w:id="95"/>
      <w:bookmarkEnd w:id="96"/>
      <w:bookmarkEnd w:id="97"/>
      <w:bookmarkEnd w:id="98"/>
      <w:bookmarkEnd w:id="99"/>
      <w:bookmarkEnd w:id="100"/>
    </w:p>
    <w:p w14:paraId="0D6BE384" w14:textId="4DB4BEA6" w:rsidR="000B4FA4" w:rsidRPr="001D7DBE" w:rsidRDefault="000B4FA4" w:rsidP="001D7DBE">
      <w:pPr>
        <w:pStyle w:val="1"/>
        <w:snapToGrid w:val="0"/>
        <w:spacing w:line="360" w:lineRule="auto"/>
        <w:jc w:val="both"/>
        <w:rPr>
          <w:rFonts w:ascii="Book Antiqua" w:hAnsi="Book Antiqua" w:cs="Times New Roman"/>
          <w:iCs/>
          <w:color w:val="auto"/>
          <w:sz w:val="24"/>
          <w:szCs w:val="24"/>
          <w:highlight w:val="white"/>
          <w:lang w:val="en-US" w:eastAsia="zh-CN"/>
        </w:rPr>
      </w:pPr>
      <w:bookmarkStart w:id="103" w:name="OLE_LINK815"/>
      <w:bookmarkStart w:id="104" w:name="OLE_LINK863"/>
      <w:bookmarkStart w:id="105" w:name="OLE_LINK960"/>
      <w:bookmarkStart w:id="106" w:name="OLE_LINK657"/>
      <w:bookmarkStart w:id="107" w:name="OLE_LINK433"/>
      <w:bookmarkStart w:id="108" w:name="OLE_LINK434"/>
      <w:bookmarkStart w:id="109" w:name="OLE_LINK1104"/>
      <w:bookmarkStart w:id="110" w:name="OLE_LINK270"/>
      <w:r w:rsidRPr="001D7DBE">
        <w:rPr>
          <w:rFonts w:ascii="Book Antiqua" w:hAnsi="Book Antiqua" w:cs="Times New Roman"/>
          <w:b/>
          <w:bCs/>
          <w:iCs/>
          <w:color w:val="auto"/>
          <w:sz w:val="24"/>
          <w:szCs w:val="24"/>
          <w:highlight w:val="white"/>
          <w:lang w:val="en-US" w:eastAsia="zh-CN"/>
        </w:rPr>
        <w:t>Institutional review board statement:</w:t>
      </w:r>
      <w:bookmarkEnd w:id="103"/>
      <w:bookmarkEnd w:id="104"/>
      <w:bookmarkEnd w:id="105"/>
      <w:r w:rsidRPr="001D7DBE">
        <w:rPr>
          <w:rFonts w:ascii="Book Antiqua" w:hAnsi="Book Antiqua" w:cs="Times New Roman"/>
          <w:b/>
          <w:bCs/>
          <w:iCs/>
          <w:color w:val="auto"/>
          <w:sz w:val="24"/>
          <w:szCs w:val="24"/>
          <w:highlight w:val="white"/>
          <w:lang w:val="en-US" w:eastAsia="zh-CN"/>
        </w:rPr>
        <w:t xml:space="preserve"> </w:t>
      </w:r>
      <w:bookmarkEnd w:id="101"/>
      <w:bookmarkEnd w:id="102"/>
      <w:bookmarkEnd w:id="106"/>
      <w:bookmarkEnd w:id="107"/>
      <w:bookmarkEnd w:id="108"/>
      <w:r w:rsidR="00804D33" w:rsidRPr="001D7DBE">
        <w:rPr>
          <w:rFonts w:ascii="Book Antiqua" w:hAnsi="Book Antiqua" w:cs="Times New Roman"/>
          <w:iCs/>
          <w:color w:val="auto"/>
          <w:sz w:val="24"/>
          <w:szCs w:val="24"/>
          <w:highlight w:val="white"/>
          <w:lang w:val="en-US" w:eastAsia="zh-CN"/>
        </w:rPr>
        <w:t xml:space="preserve">HCUP databases such as the National Inpatient Sample (NIS) are considered limited data sets and therefore do not require IRB approval under HIPAA. </w:t>
      </w:r>
      <w:r w:rsidR="006748E7" w:rsidRPr="001D7DBE">
        <w:rPr>
          <w:rFonts w:ascii="Book Antiqua" w:hAnsi="Book Antiqua" w:cs="Times New Roman"/>
          <w:iCs/>
          <w:color w:val="auto"/>
          <w:sz w:val="24"/>
          <w:szCs w:val="24"/>
          <w:highlight w:val="white"/>
          <w:lang w:val="en-US" w:eastAsia="zh-CN"/>
        </w:rPr>
        <w:t>See attached document of exemption.</w:t>
      </w:r>
    </w:p>
    <w:bookmarkEnd w:id="91"/>
    <w:bookmarkEnd w:id="92"/>
    <w:bookmarkEnd w:id="109"/>
    <w:bookmarkEnd w:id="110"/>
    <w:p w14:paraId="62FE3E5B" w14:textId="77777777" w:rsidR="008352D0" w:rsidRPr="001D7DBE" w:rsidRDefault="008352D0" w:rsidP="001D7DBE">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3C6A4A33" w14:textId="60F1D83B" w:rsidR="000B4FA4" w:rsidRPr="001D7DBE" w:rsidRDefault="000B4FA4" w:rsidP="001D7DBE">
      <w:pPr>
        <w:pStyle w:val="1"/>
        <w:snapToGrid w:val="0"/>
        <w:spacing w:line="360" w:lineRule="auto"/>
        <w:jc w:val="both"/>
        <w:rPr>
          <w:rFonts w:ascii="Book Antiqua" w:hAnsi="Book Antiqua" w:cs="Times New Roman"/>
          <w:iCs/>
          <w:color w:val="auto"/>
          <w:sz w:val="24"/>
          <w:szCs w:val="24"/>
          <w:highlight w:val="white"/>
          <w:lang w:val="en-US" w:eastAsia="zh-CN"/>
        </w:rPr>
      </w:pPr>
      <w:bookmarkStart w:id="111" w:name="OLE_LINK339"/>
      <w:bookmarkStart w:id="112" w:name="OLE_LINK340"/>
      <w:bookmarkStart w:id="113" w:name="OLE_LINK352"/>
      <w:bookmarkStart w:id="114" w:name="OLE_LINK365"/>
      <w:bookmarkStart w:id="115" w:name="OLE_LINK398"/>
      <w:bookmarkStart w:id="116" w:name="OLE_LINK464"/>
      <w:r w:rsidRPr="001D7DBE">
        <w:rPr>
          <w:rFonts w:ascii="Book Antiqua" w:hAnsi="Book Antiqua" w:cs="Times New Roman"/>
          <w:b/>
          <w:bCs/>
          <w:iCs/>
          <w:color w:val="auto"/>
          <w:sz w:val="24"/>
          <w:szCs w:val="24"/>
          <w:highlight w:val="white"/>
          <w:lang w:val="en-US" w:eastAsia="zh-CN"/>
        </w:rPr>
        <w:t>Informed consent statement:</w:t>
      </w:r>
      <w:bookmarkEnd w:id="111"/>
      <w:bookmarkEnd w:id="112"/>
      <w:bookmarkEnd w:id="113"/>
      <w:bookmarkEnd w:id="114"/>
      <w:bookmarkEnd w:id="115"/>
      <w:r w:rsidR="00804D33" w:rsidRPr="001D7DBE">
        <w:rPr>
          <w:rFonts w:ascii="Book Antiqua" w:hAnsi="Book Antiqua" w:cs="Times New Roman"/>
          <w:b/>
          <w:bCs/>
          <w:iCs/>
          <w:color w:val="auto"/>
          <w:sz w:val="24"/>
          <w:szCs w:val="24"/>
          <w:highlight w:val="white"/>
          <w:lang w:val="en-US" w:eastAsia="zh-CN"/>
        </w:rPr>
        <w:t xml:space="preserve"> </w:t>
      </w:r>
      <w:r w:rsidR="00804D33" w:rsidRPr="001D7DBE">
        <w:rPr>
          <w:rFonts w:ascii="Book Antiqua" w:hAnsi="Book Antiqua" w:cs="Times New Roman"/>
          <w:iCs/>
          <w:color w:val="auto"/>
          <w:sz w:val="24"/>
          <w:szCs w:val="24"/>
          <w:highlight w:val="white"/>
          <w:lang w:val="en-US" w:eastAsia="zh-CN"/>
        </w:rPr>
        <w:t>HCUP databases such as the National Inpatient Sample (NIS) are considered limited data sets and therefore an informed consent statement is not relevant in this context.</w:t>
      </w:r>
    </w:p>
    <w:bookmarkEnd w:id="116"/>
    <w:p w14:paraId="7C2392F7" w14:textId="77777777" w:rsidR="008352D0" w:rsidRPr="001D7DBE" w:rsidRDefault="008352D0" w:rsidP="001D7DBE">
      <w:pPr>
        <w:snapToGrid w:val="0"/>
        <w:spacing w:line="360" w:lineRule="auto"/>
        <w:jc w:val="both"/>
        <w:rPr>
          <w:rFonts w:ascii="Book Antiqua" w:hAnsi="Book Antiqua"/>
          <w:b/>
          <w:bCs/>
          <w:color w:val="000000" w:themeColor="text1"/>
        </w:rPr>
      </w:pPr>
    </w:p>
    <w:p w14:paraId="441FE938" w14:textId="1742E3A3" w:rsidR="008352D0" w:rsidRPr="001D7DBE" w:rsidRDefault="008352D0" w:rsidP="001D7DBE">
      <w:pPr>
        <w:snapToGrid w:val="0"/>
        <w:spacing w:line="360" w:lineRule="auto"/>
        <w:jc w:val="both"/>
        <w:rPr>
          <w:rFonts w:ascii="Book Antiqua" w:hAnsi="Book Antiqua"/>
          <w:color w:val="000000" w:themeColor="text1"/>
        </w:rPr>
      </w:pPr>
      <w:r w:rsidRPr="001D7DBE">
        <w:rPr>
          <w:rFonts w:ascii="Book Antiqua" w:hAnsi="Book Antiqua"/>
          <w:b/>
          <w:bCs/>
          <w:color w:val="000000" w:themeColor="text1"/>
        </w:rPr>
        <w:t xml:space="preserve">Conflict-of-interest statement: </w:t>
      </w:r>
      <w:r w:rsidRPr="001D7DBE">
        <w:rPr>
          <w:rFonts w:ascii="Book Antiqua" w:hAnsi="Book Antiqua"/>
          <w:color w:val="000000" w:themeColor="text1"/>
        </w:rPr>
        <w:t>The authors report no relevant conflicts of interest.</w:t>
      </w:r>
    </w:p>
    <w:p w14:paraId="658DEAFF" w14:textId="147F9D3B" w:rsidR="000B4FA4" w:rsidRPr="001D7DBE" w:rsidRDefault="000B4FA4" w:rsidP="001D7DBE">
      <w:pPr>
        <w:spacing w:line="360" w:lineRule="auto"/>
        <w:jc w:val="both"/>
        <w:rPr>
          <w:rFonts w:ascii="Book Antiqua" w:hAnsi="Book Antiqua"/>
          <w:b/>
        </w:rPr>
      </w:pPr>
    </w:p>
    <w:p w14:paraId="196BA2DC" w14:textId="77777777" w:rsidR="008352D0" w:rsidRPr="001D7DBE" w:rsidRDefault="008352D0" w:rsidP="001D7DBE">
      <w:pPr>
        <w:spacing w:line="360" w:lineRule="auto"/>
        <w:jc w:val="both"/>
        <w:rPr>
          <w:rFonts w:ascii="Book Antiqua" w:hAnsi="Book Antiqua"/>
        </w:rPr>
      </w:pPr>
      <w:bookmarkStart w:id="117" w:name="OLE_LINK824"/>
      <w:bookmarkStart w:id="118" w:name="OLE_LINK825"/>
      <w:bookmarkStart w:id="119" w:name="OLE_LINK2"/>
      <w:bookmarkStart w:id="120" w:name="OLE_LINK5"/>
      <w:r w:rsidRPr="001D7DBE">
        <w:rPr>
          <w:rFonts w:ascii="Book Antiqua" w:hAnsi="Book Antiqua"/>
          <w:b/>
          <w:bCs/>
          <w:iCs/>
          <w:highlight w:val="white"/>
          <w:lang w:eastAsia="zh-CN"/>
        </w:rPr>
        <w:t>Data sharing statement:</w:t>
      </w:r>
      <w:bookmarkEnd w:id="117"/>
      <w:bookmarkEnd w:id="118"/>
      <w:r w:rsidRPr="001D7DBE">
        <w:rPr>
          <w:rFonts w:ascii="Book Antiqua" w:hAnsi="Book Antiqua"/>
          <w:b/>
          <w:bCs/>
          <w:iCs/>
          <w:highlight w:val="white"/>
          <w:lang w:eastAsia="zh-CN"/>
        </w:rPr>
        <w:t xml:space="preserve"> </w:t>
      </w:r>
      <w:bookmarkEnd w:id="119"/>
      <w:bookmarkEnd w:id="120"/>
      <w:r w:rsidRPr="001D7DBE">
        <w:rPr>
          <w:rFonts w:ascii="Book Antiqua" w:hAnsi="Book Antiqua"/>
        </w:rPr>
        <w:t>Statistical code available by contacting the corresponding author.</w:t>
      </w:r>
    </w:p>
    <w:p w14:paraId="7EBFA6B6" w14:textId="0C59A9EB" w:rsidR="008352D0" w:rsidRPr="001D7DBE" w:rsidRDefault="008352D0" w:rsidP="001D7DBE">
      <w:pPr>
        <w:spacing w:line="360" w:lineRule="auto"/>
        <w:jc w:val="both"/>
        <w:rPr>
          <w:rFonts w:ascii="Book Antiqua" w:hAnsi="Book Antiqua"/>
          <w:b/>
        </w:rPr>
      </w:pPr>
    </w:p>
    <w:p w14:paraId="04910521" w14:textId="77777777" w:rsidR="008352D0" w:rsidRPr="001D7DBE" w:rsidRDefault="008352D0" w:rsidP="001D7DBE">
      <w:pPr>
        <w:adjustRightInd w:val="0"/>
        <w:snapToGrid w:val="0"/>
        <w:spacing w:line="360" w:lineRule="auto"/>
        <w:jc w:val="both"/>
        <w:rPr>
          <w:rFonts w:ascii="Book Antiqua" w:hAnsi="Book Antiqua"/>
          <w:b/>
        </w:rPr>
      </w:pPr>
      <w:bookmarkStart w:id="121" w:name="OLE_LINK877"/>
      <w:bookmarkStart w:id="122" w:name="OLE_LINK882"/>
      <w:bookmarkStart w:id="123" w:name="OLE_LINK621"/>
      <w:r w:rsidRPr="001D7DBE">
        <w:rPr>
          <w:rFonts w:ascii="Book Antiqua" w:hAnsi="Book Antiqua"/>
          <w:b/>
        </w:rPr>
        <w:t xml:space="preserve">STROBE statement: </w:t>
      </w:r>
      <w:r w:rsidRPr="001D7DBE">
        <w:rPr>
          <w:rFonts w:ascii="Book Antiqua" w:hAnsi="Book Antiqua"/>
          <w:bCs/>
        </w:rPr>
        <w:t>Strobe checklist for the present study is available online.</w:t>
      </w:r>
    </w:p>
    <w:bookmarkEnd w:id="121"/>
    <w:bookmarkEnd w:id="122"/>
    <w:bookmarkEnd w:id="123"/>
    <w:p w14:paraId="3CC687F4" w14:textId="77777777" w:rsidR="008352D0" w:rsidRPr="001D7DBE" w:rsidRDefault="008352D0" w:rsidP="001D7DBE">
      <w:pPr>
        <w:spacing w:line="360" w:lineRule="auto"/>
        <w:jc w:val="both"/>
        <w:rPr>
          <w:rFonts w:ascii="Book Antiqua" w:hAnsi="Book Antiqua"/>
          <w:b/>
        </w:rPr>
      </w:pPr>
    </w:p>
    <w:p w14:paraId="226DA96D" w14:textId="532E297C" w:rsidR="008352D0" w:rsidRPr="001D7DBE" w:rsidRDefault="008352D0" w:rsidP="001D7DBE">
      <w:pPr>
        <w:spacing w:line="360" w:lineRule="auto"/>
        <w:jc w:val="both"/>
        <w:rPr>
          <w:rFonts w:ascii="Book Antiqua" w:hAnsi="Book Antiqua"/>
          <w:lang w:eastAsia="zh-CN"/>
        </w:rPr>
      </w:pPr>
      <w:r w:rsidRPr="001D7DBE">
        <w:rPr>
          <w:rFonts w:ascii="Book Antiqua" w:hAnsi="Book Antiqua"/>
          <w:b/>
        </w:rPr>
        <w:t xml:space="preserve">Open-Access: </w:t>
      </w:r>
      <w:bookmarkStart w:id="124" w:name="OLE_LINK44"/>
      <w:r w:rsidRPr="001D7DB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928C6">
        <w:rPr>
          <w:rFonts w:ascii="Book Antiqua" w:hAnsi="Book Antiqua"/>
        </w:rPr>
        <w:t>http://creativecommons.org/licenses/by-nc/4.0/</w:t>
      </w:r>
    </w:p>
    <w:bookmarkEnd w:id="124"/>
    <w:p w14:paraId="1BAA4ABF" w14:textId="6004919F" w:rsidR="008352D0" w:rsidRPr="001D7DBE" w:rsidRDefault="008352D0" w:rsidP="001D7DBE">
      <w:pPr>
        <w:spacing w:line="360" w:lineRule="auto"/>
        <w:jc w:val="both"/>
        <w:rPr>
          <w:rFonts w:ascii="Book Antiqua" w:hAnsi="Book Antiqua"/>
          <w:b/>
        </w:rPr>
      </w:pPr>
    </w:p>
    <w:p w14:paraId="2A535DE6" w14:textId="68687FC2" w:rsidR="008352D0" w:rsidRPr="001D7DBE" w:rsidRDefault="008352D0" w:rsidP="001D7DBE">
      <w:pPr>
        <w:spacing w:line="360" w:lineRule="auto"/>
        <w:jc w:val="both"/>
        <w:rPr>
          <w:rFonts w:ascii="Book Antiqua" w:hAnsi="Book Antiqua"/>
          <w:bCs/>
        </w:rPr>
      </w:pPr>
      <w:r w:rsidRPr="001D7DBE">
        <w:rPr>
          <w:rFonts w:ascii="Book Antiqua" w:hAnsi="Book Antiqua"/>
          <w:b/>
        </w:rPr>
        <w:t xml:space="preserve">Manuscript source: </w:t>
      </w:r>
      <w:r w:rsidRPr="001D7DBE">
        <w:rPr>
          <w:rFonts w:ascii="Book Antiqua" w:hAnsi="Book Antiqua"/>
          <w:bCs/>
        </w:rPr>
        <w:t>Unsolicited manuscript</w:t>
      </w:r>
    </w:p>
    <w:p w14:paraId="0B53694F" w14:textId="40DA0B35" w:rsidR="000B4FA4" w:rsidRPr="001D7DBE" w:rsidRDefault="000B4FA4" w:rsidP="001D7DBE">
      <w:pPr>
        <w:spacing w:line="360" w:lineRule="auto"/>
        <w:jc w:val="both"/>
        <w:rPr>
          <w:rFonts w:ascii="Book Antiqua" w:hAnsi="Book Antiqua"/>
          <w:b/>
        </w:rPr>
      </w:pPr>
    </w:p>
    <w:p w14:paraId="4ECD9244" w14:textId="645656B6" w:rsidR="00C55A22" w:rsidRPr="001D7DBE" w:rsidRDefault="000B4FA4" w:rsidP="001D7DBE">
      <w:pPr>
        <w:spacing w:line="360" w:lineRule="auto"/>
        <w:jc w:val="both"/>
        <w:rPr>
          <w:rFonts w:ascii="Book Antiqua" w:hAnsi="Book Antiqua"/>
          <w:u w:val="single"/>
        </w:rPr>
      </w:pPr>
      <w:bookmarkStart w:id="125" w:name="OLE_LINK294"/>
      <w:bookmarkStart w:id="126" w:name="OLE_LINK295"/>
      <w:bookmarkStart w:id="127" w:name="OLE_LINK15"/>
      <w:bookmarkStart w:id="128" w:name="OLE_LINK16"/>
      <w:bookmarkStart w:id="129" w:name="OLE_LINK56"/>
      <w:bookmarkStart w:id="130" w:name="OLE_LINK816"/>
      <w:bookmarkStart w:id="131" w:name="OLE_LINK683"/>
      <w:bookmarkStart w:id="132" w:name="OLE_LINK152"/>
      <w:bookmarkStart w:id="133" w:name="OLE_LINK153"/>
      <w:bookmarkStart w:id="134" w:name="OLE_LINK516"/>
      <w:bookmarkStart w:id="135" w:name="OLE_LINK522"/>
      <w:bookmarkStart w:id="136" w:name="OLE_LINK651"/>
      <w:bookmarkStart w:id="137" w:name="OLE_LINK652"/>
      <w:bookmarkStart w:id="138" w:name="OLE_LINK772"/>
      <w:bookmarkStart w:id="139" w:name="OLE_LINK773"/>
      <w:bookmarkStart w:id="140" w:name="OLE_LINK204"/>
      <w:bookmarkStart w:id="141" w:name="OLE_LINK71"/>
      <w:bookmarkStart w:id="142" w:name="OLE_LINK336"/>
      <w:bookmarkStart w:id="143" w:name="OLE_LINK551"/>
      <w:bookmarkStart w:id="144" w:name="OLE_LINK659"/>
      <w:bookmarkStart w:id="145" w:name="OLE_LINK691"/>
      <w:r w:rsidRPr="001D7DBE">
        <w:rPr>
          <w:rFonts w:ascii="Book Antiqua" w:hAnsi="Book Antiqua"/>
          <w:b/>
          <w:bCs/>
          <w:highlight w:val="white"/>
          <w:lang w:eastAsia="zh-CN"/>
        </w:rPr>
        <w:t>Corresponding author:</w:t>
      </w:r>
      <w:bookmarkEnd w:id="125"/>
      <w:bookmarkEnd w:id="126"/>
      <w:bookmarkEnd w:id="127"/>
      <w:bookmarkEnd w:id="128"/>
      <w:bookmarkEnd w:id="129"/>
      <w:bookmarkEnd w:id="130"/>
      <w:bookmarkEnd w:id="131"/>
      <w:r w:rsidRPr="001D7DBE">
        <w:rPr>
          <w:rFonts w:ascii="Book Antiqua" w:hAnsi="Book Antiqua"/>
          <w:b/>
          <w:bCs/>
          <w:highlight w:val="white"/>
          <w:lang w:eastAsia="zh-CN"/>
        </w:rPr>
        <w:t xml:space="preserve"> </w:t>
      </w:r>
      <w:bookmarkEnd w:id="132"/>
      <w:bookmarkEnd w:id="133"/>
      <w:r w:rsidR="008352D0" w:rsidRPr="001D7DBE">
        <w:rPr>
          <w:rFonts w:ascii="Book Antiqua" w:hAnsi="Book Antiqua"/>
          <w:b/>
          <w:bCs/>
          <w:lang w:eastAsia="zh-CN"/>
        </w:rPr>
        <w:t>Alexander M Lieber</w:t>
      </w:r>
      <w:r w:rsidR="00C55A22" w:rsidRPr="001D7DBE">
        <w:rPr>
          <w:rFonts w:ascii="Book Antiqua" w:hAnsi="Book Antiqua"/>
          <w:b/>
          <w:bCs/>
          <w:highlight w:val="white"/>
          <w:lang w:eastAsia="zh-CN"/>
        </w:rPr>
        <w:t xml:space="preserve">, </w:t>
      </w:r>
      <w:r w:rsidR="008352D0" w:rsidRPr="001D7DBE">
        <w:rPr>
          <w:rFonts w:ascii="Book Antiqua" w:hAnsi="Book Antiqua"/>
          <w:b/>
          <w:bCs/>
          <w:lang w:eastAsia="zh-CN"/>
        </w:rPr>
        <w:t>BSc, Research Fellow</w:t>
      </w:r>
      <w:r w:rsidR="00C55A22" w:rsidRPr="001D7DBE">
        <w:rPr>
          <w:rFonts w:ascii="Book Antiqua" w:hAnsi="Book Antiqua"/>
          <w:b/>
          <w:bCs/>
          <w:highlight w:val="white"/>
          <w:lang w:eastAsia="zh-CN"/>
        </w:rPr>
        <w:t xml:space="preserve">, </w:t>
      </w:r>
      <w:bookmarkStart w:id="146" w:name="OLE_LINK17"/>
      <w:bookmarkStart w:id="147" w:name="OLE_LINK18"/>
      <w:r w:rsidR="00C55A22" w:rsidRPr="001D7DBE">
        <w:rPr>
          <w:rFonts w:ascii="Book Antiqua" w:hAnsi="Book Antiqua"/>
          <w:highlight w:val="white"/>
          <w:lang w:eastAsia="zh-CN"/>
        </w:rPr>
        <w:t>Department of Orthopedics</w:t>
      </w:r>
      <w:bookmarkEnd w:id="146"/>
      <w:bookmarkEnd w:id="147"/>
      <w:r w:rsidR="00C55A22" w:rsidRPr="001D7DBE">
        <w:rPr>
          <w:rFonts w:ascii="Book Antiqua" w:hAnsi="Book Antiqua"/>
          <w:highlight w:val="white"/>
          <w:lang w:eastAsia="zh-CN"/>
        </w:rPr>
        <w:t xml:space="preserve">, </w:t>
      </w:r>
      <w:bookmarkStart w:id="148" w:name="OLE_LINK19"/>
      <w:bookmarkStart w:id="149" w:name="OLE_LINK20"/>
      <w:r w:rsidR="00C55A22" w:rsidRPr="001D7DBE">
        <w:rPr>
          <w:rFonts w:ascii="Book Antiqua" w:hAnsi="Book Antiqua"/>
          <w:highlight w:val="white"/>
          <w:lang w:eastAsia="zh-CN"/>
        </w:rPr>
        <w:t>Jefferson University Hospital</w:t>
      </w:r>
      <w:bookmarkEnd w:id="148"/>
      <w:bookmarkEnd w:id="149"/>
      <w:r w:rsidR="00C55A22" w:rsidRPr="001D7DBE">
        <w:rPr>
          <w:rFonts w:ascii="Book Antiqua" w:hAnsi="Book Antiqua"/>
          <w:highlight w:val="white"/>
          <w:lang w:eastAsia="zh-CN"/>
        </w:rPr>
        <w:t xml:space="preserve">, </w:t>
      </w:r>
      <w:bookmarkStart w:id="150" w:name="OLE_LINK21"/>
      <w:bookmarkStart w:id="151" w:name="OLE_LINK22"/>
      <w:r w:rsidR="00C55A22" w:rsidRPr="001D7DBE">
        <w:rPr>
          <w:rFonts w:ascii="Book Antiqua" w:hAnsi="Book Antiqua"/>
          <w:shd w:val="clear" w:color="auto" w:fill="FFFFFF"/>
        </w:rPr>
        <w:t>1025 Walnut Street</w:t>
      </w:r>
      <w:r w:rsidR="00C55A22" w:rsidRPr="001D7DBE">
        <w:rPr>
          <w:rFonts w:ascii="Book Antiqua" w:hAnsi="Book Antiqua"/>
        </w:rPr>
        <w:t xml:space="preserve">, </w:t>
      </w:r>
      <w:r w:rsidR="00C55A22" w:rsidRPr="001D7DBE">
        <w:rPr>
          <w:rFonts w:ascii="Book Antiqua" w:hAnsi="Book Antiqua"/>
          <w:shd w:val="clear" w:color="auto" w:fill="FFFFFF"/>
        </w:rPr>
        <w:t>College Building, Suite 516</w:t>
      </w:r>
      <w:bookmarkEnd w:id="150"/>
      <w:bookmarkEnd w:id="151"/>
      <w:r w:rsidR="00C978CF" w:rsidRPr="001D7DBE">
        <w:rPr>
          <w:rFonts w:ascii="Book Antiqua" w:hAnsi="Book Antiqua"/>
        </w:rPr>
        <w:t xml:space="preserve">, </w:t>
      </w:r>
      <w:bookmarkStart w:id="152" w:name="OLE_LINK25"/>
      <w:r w:rsidR="00C55A22" w:rsidRPr="001D7DBE">
        <w:rPr>
          <w:rFonts w:ascii="Book Antiqua" w:hAnsi="Book Antiqua"/>
          <w:shd w:val="clear" w:color="auto" w:fill="FFFFFF"/>
        </w:rPr>
        <w:t>Philadelphia</w:t>
      </w:r>
      <w:bookmarkEnd w:id="152"/>
      <w:r w:rsidR="00C55A22" w:rsidRPr="001D7DBE">
        <w:rPr>
          <w:rFonts w:ascii="Book Antiqua" w:hAnsi="Book Antiqua"/>
          <w:shd w:val="clear" w:color="auto" w:fill="FFFFFF"/>
        </w:rPr>
        <w:t xml:space="preserve">, </w:t>
      </w:r>
      <w:bookmarkStart w:id="153" w:name="OLE_LINK27"/>
      <w:bookmarkStart w:id="154" w:name="OLE_LINK28"/>
      <w:r w:rsidR="00C55A22" w:rsidRPr="001D7DBE">
        <w:rPr>
          <w:rFonts w:ascii="Book Antiqua" w:hAnsi="Book Antiqua"/>
          <w:shd w:val="clear" w:color="auto" w:fill="FFFFFF"/>
        </w:rPr>
        <w:t>PA</w:t>
      </w:r>
      <w:bookmarkEnd w:id="153"/>
      <w:bookmarkEnd w:id="154"/>
      <w:r w:rsidR="00B37BA7">
        <w:rPr>
          <w:rFonts w:ascii="Book Antiqua" w:hAnsi="Book Antiqua"/>
          <w:shd w:val="clear" w:color="auto" w:fill="FFFFFF"/>
        </w:rPr>
        <w:t xml:space="preserve"> </w:t>
      </w:r>
      <w:bookmarkStart w:id="155" w:name="OLE_LINK26"/>
      <w:r w:rsidR="00B37BA7" w:rsidRPr="001D7DBE">
        <w:rPr>
          <w:rFonts w:ascii="Book Antiqua" w:hAnsi="Book Antiqua"/>
          <w:shd w:val="clear" w:color="auto" w:fill="FFFFFF"/>
        </w:rPr>
        <w:t>19107</w:t>
      </w:r>
      <w:bookmarkEnd w:id="155"/>
      <w:r w:rsidR="00C55A22" w:rsidRPr="001D7DBE">
        <w:rPr>
          <w:rFonts w:ascii="Book Antiqua" w:hAnsi="Book Antiqua"/>
          <w:shd w:val="clear" w:color="auto" w:fill="FFFFFF"/>
        </w:rPr>
        <w:t>, United States</w:t>
      </w:r>
      <w:r w:rsidR="00C978CF" w:rsidRPr="001D7DBE">
        <w:rPr>
          <w:rFonts w:ascii="Book Antiqua" w:hAnsi="Book Antiqua"/>
          <w:shd w:val="clear" w:color="auto" w:fill="FFFFFF"/>
        </w:rPr>
        <w:t>.</w:t>
      </w:r>
      <w:r w:rsidR="00C978CF" w:rsidRPr="001D7DBE">
        <w:rPr>
          <w:rFonts w:ascii="Book Antiqua" w:hAnsi="Book Antiqua"/>
        </w:rPr>
        <w:t xml:space="preserve"> </w:t>
      </w:r>
      <w:r w:rsidR="00C978CF" w:rsidRPr="001D7DBE">
        <w:rPr>
          <w:rFonts w:ascii="Book Antiqua" w:hAnsi="Book Antiqua"/>
          <w:u w:val="single"/>
          <w:shd w:val="clear" w:color="auto" w:fill="FFFFFF"/>
        </w:rPr>
        <w:t>alex.m.lieber@gmail.com</w:t>
      </w:r>
    </w:p>
    <w:bookmarkEnd w:id="134"/>
    <w:bookmarkEnd w:id="135"/>
    <w:bookmarkEnd w:id="136"/>
    <w:bookmarkEnd w:id="137"/>
    <w:bookmarkEnd w:id="138"/>
    <w:bookmarkEnd w:id="139"/>
    <w:bookmarkEnd w:id="140"/>
    <w:bookmarkEnd w:id="141"/>
    <w:bookmarkEnd w:id="142"/>
    <w:bookmarkEnd w:id="143"/>
    <w:bookmarkEnd w:id="144"/>
    <w:bookmarkEnd w:id="145"/>
    <w:p w14:paraId="07ECB6FD" w14:textId="6987AC3E" w:rsidR="000B4FA4" w:rsidRPr="001D7DBE" w:rsidRDefault="000B4FA4" w:rsidP="001D7DBE">
      <w:pPr>
        <w:spacing w:line="360" w:lineRule="auto"/>
        <w:jc w:val="both"/>
        <w:rPr>
          <w:rFonts w:ascii="Book Antiqua" w:hAnsi="Book Antiqua"/>
          <w:b/>
        </w:rPr>
      </w:pPr>
    </w:p>
    <w:p w14:paraId="5D576535" w14:textId="40BF3279"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Received:</w:t>
      </w:r>
      <w:r w:rsidRPr="001D7DBE">
        <w:rPr>
          <w:rFonts w:ascii="Book Antiqua" w:hAnsi="Book Antiqua"/>
          <w:b/>
          <w:lang w:eastAsia="zh-CN"/>
        </w:rPr>
        <w:t xml:space="preserve"> </w:t>
      </w:r>
      <w:r w:rsidRPr="001D7DBE">
        <w:rPr>
          <w:rFonts w:ascii="Book Antiqua" w:hAnsi="Book Antiqua"/>
          <w:lang w:eastAsia="zh-CN"/>
        </w:rPr>
        <w:t>June 1, 2019</w:t>
      </w:r>
    </w:p>
    <w:p w14:paraId="7CD2951E" w14:textId="578399A3"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Peer-review started:</w:t>
      </w:r>
      <w:r w:rsidRPr="001D7DBE">
        <w:rPr>
          <w:rFonts w:ascii="Book Antiqua" w:hAnsi="Book Antiqua"/>
          <w:b/>
          <w:lang w:eastAsia="zh-CN"/>
        </w:rPr>
        <w:t xml:space="preserve"> </w:t>
      </w:r>
      <w:r w:rsidRPr="001D7DBE">
        <w:rPr>
          <w:rFonts w:ascii="Book Antiqua" w:hAnsi="Book Antiqua"/>
          <w:lang w:eastAsia="zh-CN"/>
        </w:rPr>
        <w:t>June 4, 2019</w:t>
      </w:r>
    </w:p>
    <w:p w14:paraId="35AF8B32" w14:textId="08E425CE"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First decision:</w:t>
      </w:r>
      <w:r w:rsidRPr="001D7DBE">
        <w:rPr>
          <w:rFonts w:ascii="Book Antiqua" w:hAnsi="Book Antiqua"/>
          <w:b/>
          <w:lang w:eastAsia="zh-CN"/>
        </w:rPr>
        <w:t xml:space="preserve"> </w:t>
      </w:r>
      <w:r w:rsidRPr="001D7DBE">
        <w:rPr>
          <w:rFonts w:ascii="Book Antiqua" w:hAnsi="Book Antiqua"/>
          <w:lang w:eastAsia="zh-CN"/>
        </w:rPr>
        <w:t>September 21, 2019</w:t>
      </w:r>
    </w:p>
    <w:p w14:paraId="2A7BDB33" w14:textId="748702B3"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Revised:</w:t>
      </w:r>
      <w:r w:rsidRPr="001D7DBE">
        <w:rPr>
          <w:rFonts w:ascii="Book Antiqua" w:hAnsi="Book Antiqua"/>
          <w:b/>
          <w:lang w:eastAsia="zh-CN"/>
        </w:rPr>
        <w:t xml:space="preserve"> </w:t>
      </w:r>
      <w:r w:rsidRPr="001D7DBE">
        <w:rPr>
          <w:rFonts w:ascii="Book Antiqua" w:hAnsi="Book Antiqua"/>
          <w:lang w:eastAsia="zh-CN"/>
        </w:rPr>
        <w:t>September 25, 2019</w:t>
      </w:r>
    </w:p>
    <w:p w14:paraId="6C950BCA" w14:textId="0E6E1A9C" w:rsidR="003E40A9" w:rsidRPr="001D7DBE" w:rsidRDefault="003E40A9" w:rsidP="001D7DBE">
      <w:pPr>
        <w:spacing w:line="360" w:lineRule="auto"/>
        <w:jc w:val="both"/>
        <w:rPr>
          <w:rFonts w:ascii="Book Antiqua" w:hAnsi="Book Antiqua"/>
          <w:color w:val="000000"/>
        </w:rPr>
      </w:pPr>
      <w:r w:rsidRPr="001D7DBE">
        <w:rPr>
          <w:rFonts w:ascii="Book Antiqua" w:hAnsi="Book Antiqua"/>
          <w:b/>
        </w:rPr>
        <w:t xml:space="preserve">Accepted: </w:t>
      </w:r>
      <w:r w:rsidR="003D1A56" w:rsidRPr="003D1A56">
        <w:rPr>
          <w:rFonts w:ascii="Book Antiqua" w:hAnsi="Book Antiqua"/>
        </w:rPr>
        <w:t>November 7, 2019</w:t>
      </w:r>
    </w:p>
    <w:p w14:paraId="2CF2438A" w14:textId="20A30F21" w:rsidR="003E40A9" w:rsidRPr="00AE748B" w:rsidRDefault="003E40A9" w:rsidP="001D7DBE">
      <w:pPr>
        <w:spacing w:line="360" w:lineRule="auto"/>
        <w:jc w:val="both"/>
        <w:rPr>
          <w:rFonts w:ascii="Book Antiqua" w:eastAsia="等线" w:hAnsi="Book Antiqua"/>
          <w:color w:val="000000"/>
          <w:lang w:eastAsia="zh-CN"/>
        </w:rPr>
      </w:pPr>
      <w:r w:rsidRPr="001D7DBE">
        <w:rPr>
          <w:rFonts w:ascii="Book Antiqua" w:hAnsi="Book Antiqua"/>
          <w:b/>
        </w:rPr>
        <w:t>Article in press:</w:t>
      </w:r>
      <w:r w:rsidR="00AE748B">
        <w:rPr>
          <w:rFonts w:ascii="Book Antiqua" w:eastAsia="等线" w:hAnsi="Book Antiqua" w:hint="eastAsia"/>
          <w:b/>
          <w:lang w:eastAsia="zh-CN"/>
        </w:rPr>
        <w:t xml:space="preserve"> </w:t>
      </w:r>
      <w:r w:rsidR="00AE748B" w:rsidRPr="003D1A56">
        <w:rPr>
          <w:rFonts w:ascii="Book Antiqua" w:hAnsi="Book Antiqua"/>
        </w:rPr>
        <w:t>November 7, 2019</w:t>
      </w:r>
    </w:p>
    <w:p w14:paraId="6515C20C" w14:textId="67B18CF8" w:rsidR="003E40A9" w:rsidRPr="00AE748B" w:rsidRDefault="003E40A9" w:rsidP="001D7DBE">
      <w:pPr>
        <w:spacing w:line="360" w:lineRule="auto"/>
        <w:jc w:val="both"/>
        <w:rPr>
          <w:rFonts w:ascii="Book Antiqua" w:eastAsia="等线" w:hAnsi="Book Antiqua"/>
          <w:b/>
          <w:lang w:eastAsia="zh-CN"/>
        </w:rPr>
      </w:pPr>
      <w:r w:rsidRPr="001D7DBE">
        <w:rPr>
          <w:rFonts w:ascii="Book Antiqua" w:hAnsi="Book Antiqua"/>
          <w:b/>
        </w:rPr>
        <w:t>Published online:</w:t>
      </w:r>
      <w:r w:rsidR="00AE748B">
        <w:rPr>
          <w:rFonts w:ascii="Book Antiqua" w:eastAsia="等线" w:hAnsi="Book Antiqua" w:hint="eastAsia"/>
          <w:b/>
          <w:lang w:eastAsia="zh-CN"/>
        </w:rPr>
        <w:t xml:space="preserve"> </w:t>
      </w:r>
      <w:r w:rsidR="00AE748B" w:rsidRPr="00AE748B">
        <w:rPr>
          <w:rFonts w:ascii="Book Antiqua" w:eastAsia="等线" w:hAnsi="Book Antiqua"/>
          <w:lang w:eastAsia="zh-CN"/>
        </w:rPr>
        <w:t>January 18, 2020</w:t>
      </w:r>
    </w:p>
    <w:p w14:paraId="14E7A2EA" w14:textId="7A7F8F2D" w:rsidR="003E40A9" w:rsidRPr="001D7DBE" w:rsidRDefault="003E40A9" w:rsidP="001D7DBE">
      <w:pPr>
        <w:spacing w:line="360" w:lineRule="auto"/>
        <w:jc w:val="both"/>
        <w:rPr>
          <w:rFonts w:ascii="Book Antiqua" w:hAnsi="Book Antiqua"/>
          <w:b/>
        </w:rPr>
      </w:pPr>
      <w:r w:rsidRPr="001D7DBE">
        <w:rPr>
          <w:rFonts w:ascii="Book Antiqua" w:hAnsi="Book Antiqua"/>
          <w:b/>
        </w:rPr>
        <w:br w:type="page"/>
      </w:r>
    </w:p>
    <w:p w14:paraId="0B572ABF" w14:textId="77777777" w:rsidR="000B4FA4" w:rsidRPr="001D7DBE" w:rsidRDefault="000B4FA4" w:rsidP="001D7DBE">
      <w:pPr>
        <w:adjustRightInd w:val="0"/>
        <w:snapToGrid w:val="0"/>
        <w:spacing w:line="360" w:lineRule="auto"/>
        <w:jc w:val="both"/>
        <w:rPr>
          <w:rFonts w:ascii="Book Antiqua" w:hAnsi="Book Antiqua"/>
          <w:b/>
        </w:rPr>
      </w:pPr>
      <w:bookmarkStart w:id="156" w:name="OLE_LINK945"/>
      <w:bookmarkStart w:id="157" w:name="OLE_LINK357"/>
      <w:bookmarkStart w:id="158" w:name="OLE_LINK358"/>
      <w:bookmarkStart w:id="159" w:name="OLE_LINK345"/>
      <w:bookmarkStart w:id="160" w:name="OLE_LINK347"/>
      <w:bookmarkStart w:id="161" w:name="OLE_LINK229"/>
      <w:r w:rsidRPr="001D7DBE">
        <w:rPr>
          <w:rFonts w:ascii="Book Antiqua" w:hAnsi="Book Antiqua"/>
          <w:b/>
        </w:rPr>
        <w:lastRenderedPageBreak/>
        <w:t xml:space="preserve">Abstract </w:t>
      </w:r>
    </w:p>
    <w:p w14:paraId="4E92FBC4" w14:textId="77777777" w:rsidR="003E40A9" w:rsidRPr="001D7DBE" w:rsidRDefault="000B4FA4" w:rsidP="001D7DBE">
      <w:pPr>
        <w:pStyle w:val="a5"/>
        <w:spacing w:line="360" w:lineRule="auto"/>
        <w:jc w:val="both"/>
        <w:rPr>
          <w:rFonts w:ascii="Book Antiqua" w:hAnsi="Book Antiqua"/>
        </w:rPr>
      </w:pPr>
      <w:bookmarkStart w:id="162" w:name="OLE_LINK318"/>
      <w:bookmarkStart w:id="163" w:name="OLE_LINK386"/>
      <w:bookmarkStart w:id="164" w:name="OLE_LINK390"/>
      <w:bookmarkStart w:id="165" w:name="OLE_LINK447"/>
      <w:bookmarkStart w:id="166" w:name="OLE_LINK374"/>
      <w:bookmarkStart w:id="167" w:name="OLE_LINK565"/>
      <w:bookmarkStart w:id="168" w:name="OLE_LINK566"/>
      <w:bookmarkEnd w:id="156"/>
      <w:bookmarkEnd w:id="157"/>
      <w:bookmarkEnd w:id="158"/>
      <w:bookmarkEnd w:id="159"/>
      <w:bookmarkEnd w:id="160"/>
      <w:r w:rsidRPr="001D7DBE">
        <w:rPr>
          <w:rFonts w:ascii="Book Antiqua" w:hAnsi="Book Antiqua"/>
          <w:b/>
          <w:i/>
        </w:rPr>
        <w:t>BACKGROUND</w:t>
      </w:r>
    </w:p>
    <w:p w14:paraId="3C7D2074" w14:textId="5F11F28D" w:rsidR="006748E7" w:rsidRPr="001D7DBE" w:rsidRDefault="006748E7" w:rsidP="001D7DBE">
      <w:pPr>
        <w:pStyle w:val="a5"/>
        <w:spacing w:line="360" w:lineRule="auto"/>
        <w:jc w:val="both"/>
        <w:rPr>
          <w:rFonts w:ascii="Book Antiqua" w:hAnsi="Book Antiqua"/>
        </w:rPr>
      </w:pPr>
      <w:r w:rsidRPr="001D7DBE">
        <w:rPr>
          <w:rFonts w:ascii="Book Antiqua" w:hAnsi="Book Antiqua"/>
        </w:rPr>
        <w:t>Hemiarthroplasty (HA) has traditionally been the treatment of choice for elderly patients with displaced femoral neck fractures. Ideal treatment for younger, ambulatory patients is not as clear. Total hip arthroplasty (THA) has been increasingly utilized in this population however the factors associated with undergoing HA or THA have not been fully elucidated.</w:t>
      </w:r>
    </w:p>
    <w:p w14:paraId="012D5CCB" w14:textId="77777777" w:rsidR="006748E7" w:rsidRPr="001D7DBE" w:rsidRDefault="006748E7" w:rsidP="001D7DBE">
      <w:pPr>
        <w:pStyle w:val="a5"/>
        <w:spacing w:line="360" w:lineRule="auto"/>
        <w:jc w:val="both"/>
        <w:rPr>
          <w:rFonts w:ascii="Book Antiqua" w:hAnsi="Book Antiqua"/>
        </w:rPr>
      </w:pPr>
    </w:p>
    <w:p w14:paraId="4238C84C" w14:textId="77777777" w:rsidR="003E40A9" w:rsidRPr="001D7DBE" w:rsidRDefault="000B4FA4" w:rsidP="001D7DBE">
      <w:pPr>
        <w:spacing w:line="360" w:lineRule="auto"/>
        <w:jc w:val="both"/>
        <w:rPr>
          <w:rFonts w:ascii="Book Antiqua" w:hAnsi="Book Antiqua"/>
          <w:b/>
          <w:i/>
          <w:iCs/>
        </w:rPr>
      </w:pPr>
      <w:bookmarkStart w:id="169" w:name="OLE_LINK827"/>
      <w:bookmarkStart w:id="170" w:name="OLE_LINK828"/>
      <w:bookmarkStart w:id="171" w:name="OLE_LINK274"/>
      <w:bookmarkStart w:id="172" w:name="OLE_LINK367"/>
      <w:bookmarkStart w:id="173" w:name="OLE_LINK173"/>
      <w:bookmarkStart w:id="174" w:name="OLE_LINK175"/>
      <w:bookmarkStart w:id="175" w:name="OLE_LINK296"/>
      <w:bookmarkStart w:id="176" w:name="OLE_LINK527"/>
      <w:bookmarkStart w:id="177" w:name="OLE_LINK588"/>
      <w:bookmarkStart w:id="178" w:name="OLE_LINK843"/>
      <w:bookmarkStart w:id="179" w:name="OLE_LINK852"/>
      <w:bookmarkStart w:id="180" w:name="OLE_LINK848"/>
      <w:bookmarkStart w:id="181" w:name="OLE_LINK976"/>
      <w:bookmarkStart w:id="182" w:name="OLE_LINK1093"/>
      <w:bookmarkStart w:id="183" w:name="OLE_LINK125"/>
      <w:bookmarkStart w:id="184" w:name="OLE_LINK1078"/>
      <w:bookmarkStart w:id="185" w:name="OLE_LINK1079"/>
      <w:bookmarkStart w:id="186" w:name="OLE_LINK545"/>
      <w:bookmarkStart w:id="187" w:name="OLE_LINK1010"/>
      <w:bookmarkEnd w:id="162"/>
      <w:bookmarkEnd w:id="163"/>
      <w:bookmarkEnd w:id="164"/>
      <w:bookmarkEnd w:id="165"/>
      <w:bookmarkEnd w:id="166"/>
      <w:r w:rsidRPr="001D7DBE">
        <w:rPr>
          <w:rFonts w:ascii="Book Antiqua" w:hAnsi="Book Antiqua"/>
          <w:b/>
          <w:i/>
          <w:iCs/>
        </w:rPr>
        <w:t>AIM</w:t>
      </w:r>
      <w:bookmarkStart w:id="188" w:name="OLE_LINK298"/>
      <w:bookmarkStart w:id="189" w:name="OLE_LINK299"/>
    </w:p>
    <w:p w14:paraId="7E840465" w14:textId="3C7727A5" w:rsidR="006748E7" w:rsidRPr="001D7DBE" w:rsidRDefault="006748E7" w:rsidP="001D7DBE">
      <w:pPr>
        <w:spacing w:line="360" w:lineRule="auto"/>
        <w:jc w:val="both"/>
        <w:rPr>
          <w:rFonts w:ascii="Book Antiqua" w:hAnsi="Book Antiqua"/>
        </w:rPr>
      </w:pPr>
      <w:r w:rsidRPr="001D7DBE">
        <w:rPr>
          <w:rFonts w:ascii="Book Antiqua" w:hAnsi="Book Antiqua"/>
        </w:rPr>
        <w:t>To examine what patient characteristics are associated with undergoing THA or HA. To determine if outcomes differ between the groups.</w:t>
      </w:r>
    </w:p>
    <w:p w14:paraId="2D628805" w14:textId="77777777" w:rsidR="003E40A9" w:rsidRPr="001D7DBE" w:rsidRDefault="003E40A9" w:rsidP="001D7DBE">
      <w:pPr>
        <w:pStyle w:val="a5"/>
        <w:spacing w:line="360" w:lineRule="auto"/>
        <w:jc w:val="both"/>
        <w:rPr>
          <w:rFonts w:ascii="Book Antiqua" w:hAnsi="Book Antiqua"/>
          <w:b/>
        </w:rPr>
      </w:pPr>
      <w:bookmarkStart w:id="190" w:name="OLE_LINK726"/>
      <w:bookmarkStart w:id="191" w:name="OLE_LINK727"/>
      <w:bookmarkStart w:id="192" w:name="OLE_LINK829"/>
      <w:bookmarkStart w:id="193" w:name="OLE_LINK853"/>
      <w:bookmarkStart w:id="194" w:name="OLE_LINK988"/>
      <w:bookmarkStart w:id="195" w:name="OLE_LINK275"/>
      <w:bookmarkStart w:id="196" w:name="OLE_LINK176"/>
      <w:bookmarkStart w:id="197" w:name="OLE_LINK177"/>
      <w:bookmarkStart w:id="198" w:name="OLE_LINK297"/>
      <w:bookmarkStart w:id="199" w:name="OLE_LINK528"/>
      <w:bookmarkStart w:id="200" w:name="OLE_LINK590"/>
      <w:bookmarkStart w:id="201" w:name="OLE_LINK809"/>
      <w:bookmarkStart w:id="202" w:name="OLE_LINK859"/>
      <w:bookmarkStart w:id="203" w:name="OLE_LINK933"/>
      <w:bookmarkStart w:id="204" w:name="OLE_LINK977"/>
      <w:bookmarkStart w:id="205" w:name="OLE_LINK1017"/>
      <w:bookmarkStart w:id="206" w:name="OLE_LINK1067"/>
      <w:bookmarkStart w:id="207" w:name="OLE_LINK109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8"/>
      <w:bookmarkEnd w:id="189"/>
    </w:p>
    <w:p w14:paraId="4B937D64" w14:textId="77777777" w:rsidR="003E40A9" w:rsidRPr="001D7DBE" w:rsidRDefault="000B4FA4" w:rsidP="001D7DBE">
      <w:pPr>
        <w:pStyle w:val="a5"/>
        <w:spacing w:line="360" w:lineRule="auto"/>
        <w:jc w:val="both"/>
        <w:rPr>
          <w:rFonts w:ascii="Book Antiqua" w:hAnsi="Book Antiqua"/>
          <w:b/>
          <w:i/>
          <w:iCs/>
        </w:rPr>
      </w:pPr>
      <w:r w:rsidRPr="001D7DBE">
        <w:rPr>
          <w:rFonts w:ascii="Book Antiqua" w:hAnsi="Book Antiqua"/>
          <w:b/>
          <w:i/>
          <w:iCs/>
        </w:rPr>
        <w:t>METHODS</w:t>
      </w:r>
      <w:bookmarkStart w:id="208" w:name="OLE_LINK83"/>
      <w:bookmarkStart w:id="209" w:name="OLE_LINK171"/>
      <w:bookmarkStart w:id="210" w:name="OLE_LINK172"/>
      <w:bookmarkStart w:id="211" w:name="OLE_LINK451"/>
      <w:bookmarkStart w:id="212" w:name="OLE_LINK463"/>
      <w:bookmarkStart w:id="213" w:name="OLE_LINK77"/>
    </w:p>
    <w:p w14:paraId="696DBFF5" w14:textId="7E4C718A" w:rsidR="006748E7" w:rsidRPr="001D7DBE" w:rsidRDefault="006748E7" w:rsidP="001D7DBE">
      <w:pPr>
        <w:pStyle w:val="a5"/>
        <w:spacing w:line="360" w:lineRule="auto"/>
        <w:jc w:val="both"/>
        <w:rPr>
          <w:rFonts w:ascii="Book Antiqua" w:hAnsi="Book Antiqua"/>
        </w:rPr>
      </w:pPr>
      <w:r w:rsidRPr="001D7DBE">
        <w:rPr>
          <w:rFonts w:ascii="Book Antiqua" w:hAnsi="Book Antiqua"/>
        </w:rPr>
        <w:t>We queried the Nationwide Inpatient Sample (NIS) for patients that underwent HA or THA for a femoral neck fracture between 2005 and 2014. The NIS comprises a large representative sample of inpatient hospitalizations in the United States. International Classifications of Disease, Ninth Edition (ICD-9) codes were used to identify patients in our sample.</w:t>
      </w:r>
      <w:r w:rsidR="003E40A9" w:rsidRPr="001D7DBE">
        <w:rPr>
          <w:rFonts w:ascii="Book Antiqua" w:hAnsi="Book Antiqua"/>
        </w:rPr>
        <w:t xml:space="preserve"> </w:t>
      </w:r>
      <w:r w:rsidRPr="001D7DBE">
        <w:rPr>
          <w:rFonts w:ascii="Book Antiqua" w:hAnsi="Book Antiqua"/>
        </w:rPr>
        <w:t>Demographic variables, hospital characteristics, payer status, medical comorbidities and mortality rates were compared between the two procedures. Multivariate logistic regression analysis was then performed to identify independent risk factors of treatment utilized.</w:t>
      </w:r>
    </w:p>
    <w:p w14:paraId="326A017B" w14:textId="77777777" w:rsidR="006748E7" w:rsidRPr="001D7DBE" w:rsidRDefault="006748E7" w:rsidP="001D7DBE">
      <w:pPr>
        <w:pStyle w:val="a5"/>
        <w:spacing w:line="360" w:lineRule="auto"/>
        <w:jc w:val="both"/>
        <w:rPr>
          <w:rFonts w:ascii="Book Antiqua" w:hAnsi="Book Antiqua"/>
        </w:rPr>
      </w:pPr>
    </w:p>
    <w:p w14:paraId="386EF5CD" w14:textId="77777777" w:rsidR="003E40A9" w:rsidRPr="001D7DBE" w:rsidRDefault="000B4FA4" w:rsidP="001D7DBE">
      <w:pPr>
        <w:pStyle w:val="a5"/>
        <w:spacing w:line="360" w:lineRule="auto"/>
        <w:jc w:val="both"/>
        <w:rPr>
          <w:rFonts w:ascii="Book Antiqua" w:hAnsi="Book Antiqua"/>
          <w:b/>
          <w:i/>
          <w:iCs/>
        </w:rPr>
      </w:pPr>
      <w:bookmarkStart w:id="214" w:name="OLE_LINK830"/>
      <w:bookmarkStart w:id="215" w:name="OLE_LINK831"/>
      <w:bookmarkStart w:id="216" w:name="OLE_LINK844"/>
      <w:bookmarkStart w:id="217" w:name="OLE_LINK854"/>
      <w:bookmarkStart w:id="218" w:name="OLE_LINK860"/>
      <w:bookmarkStart w:id="219" w:name="OLE_LINK934"/>
      <w:bookmarkStart w:id="220" w:name="OLE_LINK276"/>
      <w:bookmarkStart w:id="221" w:name="OLE_LINK368"/>
      <w:bookmarkStart w:id="222" w:name="OLE_LINK178"/>
      <w:bookmarkStart w:id="223" w:name="OLE_LINK179"/>
      <w:bookmarkStart w:id="224" w:name="OLE_LINK392"/>
      <w:bookmarkStart w:id="225" w:name="OLE_LINK393"/>
      <w:bookmarkStart w:id="226" w:name="OLE_LINK529"/>
      <w:bookmarkStart w:id="227" w:name="OLE_LINK978"/>
      <w:bookmarkStart w:id="228" w:name="OLE_LINK1095"/>
      <w:bookmarkStart w:id="229" w:name="OLE_LINK32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1D7DBE">
        <w:rPr>
          <w:rFonts w:ascii="Book Antiqua" w:hAnsi="Book Antiqua"/>
          <w:b/>
          <w:i/>
          <w:iCs/>
        </w:rPr>
        <w:t>RESULTS</w:t>
      </w:r>
      <w:bookmarkStart w:id="230" w:name="OLE_LINK58"/>
      <w:bookmarkStart w:id="231" w:name="OLE_LINK62"/>
      <w:bookmarkStart w:id="232" w:name="OLE_LINK84"/>
      <w:bookmarkStart w:id="233" w:name="OLE_LINK126"/>
      <w:bookmarkStart w:id="234" w:name="OLE_LINK517"/>
      <w:bookmarkStart w:id="235" w:name="OLE_LINK300"/>
      <w:bookmarkStart w:id="236" w:name="OLE_LINK301"/>
    </w:p>
    <w:p w14:paraId="76542864" w14:textId="0D329DF5" w:rsidR="006748E7" w:rsidRPr="001D7DBE" w:rsidRDefault="006748E7" w:rsidP="001D7DBE">
      <w:pPr>
        <w:pStyle w:val="a5"/>
        <w:spacing w:line="360" w:lineRule="auto"/>
        <w:jc w:val="both"/>
        <w:rPr>
          <w:rFonts w:ascii="Book Antiqua" w:hAnsi="Book Antiqua"/>
        </w:rPr>
      </w:pPr>
      <w:r w:rsidRPr="001D7DBE">
        <w:rPr>
          <w:rFonts w:ascii="Book Antiqua" w:hAnsi="Book Antiqua"/>
        </w:rPr>
        <w:t>Of the total 502060 patients who were treated for femoral neck fracture, 51568 (10.3%) underwent THA and the incidence of THA rose from 8.3</w:t>
      </w:r>
      <w:r w:rsidR="003E40A9" w:rsidRPr="001D7DBE">
        <w:rPr>
          <w:rFonts w:ascii="Book Antiqua" w:hAnsi="Book Antiqua"/>
        </w:rPr>
        <w:t>%</w:t>
      </w:r>
      <w:r w:rsidRPr="001D7DBE">
        <w:rPr>
          <w:rFonts w:ascii="Book Antiqua" w:hAnsi="Book Antiqua"/>
        </w:rPr>
        <w:t xml:space="preserve"> to 13.7%. Private insurance accounted for a higher percentage of THA than hemiarthroplasty. THA increased most in urban teaching hospitals relative to urban non-teaching hospitals. Mean length of stay (LOS) was longer for HA. The mean charges were less for HA, however charges decreased steadily for both groups. HA had a higher mortality rate, however, after </w:t>
      </w:r>
      <w:r w:rsidRPr="001D7DBE">
        <w:rPr>
          <w:rFonts w:ascii="Book Antiqua" w:hAnsi="Book Antiqua"/>
        </w:rPr>
        <w:lastRenderedPageBreak/>
        <w:t>adjusting for age and comorbidities HA was not an independent risk factor for mortality. Interestingly, private insurance was an independent predictor for treatment with THA.</w:t>
      </w:r>
    </w:p>
    <w:p w14:paraId="29F384C9" w14:textId="77777777" w:rsidR="003E40A9" w:rsidRPr="001D7DBE" w:rsidRDefault="003E40A9" w:rsidP="001D7DBE">
      <w:pPr>
        <w:pStyle w:val="a5"/>
        <w:spacing w:line="360" w:lineRule="auto"/>
        <w:jc w:val="both"/>
        <w:rPr>
          <w:rFonts w:ascii="Book Antiqua" w:hAnsi="Book Antiqua"/>
          <w:b/>
        </w:rPr>
      </w:pPr>
      <w:bookmarkStart w:id="237" w:name="OLE_LINK810"/>
      <w:bookmarkStart w:id="238" w:name="OLE_LINK935"/>
      <w:bookmarkStart w:id="239" w:name="OLE_LINK277"/>
      <w:bookmarkStart w:id="240" w:name="OLE_LINK370"/>
      <w:bookmarkStart w:id="241" w:name="OLE_LINK180"/>
      <w:bookmarkStart w:id="242" w:name="OLE_LINK181"/>
      <w:bookmarkStart w:id="243" w:name="OLE_LINK163"/>
      <w:bookmarkStart w:id="244" w:name="OLE_LINK99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781EA4F" w14:textId="77777777" w:rsidR="003E40A9" w:rsidRPr="001D7DBE" w:rsidRDefault="000B4FA4" w:rsidP="001D7DBE">
      <w:pPr>
        <w:pStyle w:val="a5"/>
        <w:spacing w:line="360" w:lineRule="auto"/>
        <w:jc w:val="both"/>
        <w:rPr>
          <w:rFonts w:ascii="Book Antiqua" w:hAnsi="Book Antiqua"/>
          <w:b/>
          <w:i/>
          <w:iCs/>
        </w:rPr>
      </w:pPr>
      <w:r w:rsidRPr="001D7DBE">
        <w:rPr>
          <w:rFonts w:ascii="Book Antiqua" w:hAnsi="Book Antiqua"/>
          <w:b/>
          <w:i/>
          <w:iCs/>
        </w:rPr>
        <w:t>CONLUSION</w:t>
      </w:r>
      <w:bookmarkStart w:id="245" w:name="OLE_LINK78"/>
      <w:bookmarkStart w:id="246" w:name="OLE_LINK79"/>
      <w:bookmarkStart w:id="247" w:name="OLE_LINK127"/>
      <w:bookmarkStart w:id="248" w:name="OLE_LINK453"/>
      <w:bookmarkStart w:id="249" w:name="OLE_LINK302"/>
      <w:bookmarkStart w:id="250" w:name="OLE_LINK305"/>
    </w:p>
    <w:p w14:paraId="63754D77" w14:textId="25EFB1BA" w:rsidR="004A2F94" w:rsidRPr="001D7DBE" w:rsidRDefault="004A2F94" w:rsidP="001D7DBE">
      <w:pPr>
        <w:pStyle w:val="a5"/>
        <w:spacing w:line="360" w:lineRule="auto"/>
        <w:jc w:val="both"/>
        <w:rPr>
          <w:rFonts w:ascii="Book Antiqua" w:hAnsi="Book Antiqua"/>
        </w:rPr>
      </w:pPr>
      <w:r w:rsidRPr="001D7DBE">
        <w:rPr>
          <w:rFonts w:ascii="Book Antiqua" w:hAnsi="Book Antiqua"/>
        </w:rPr>
        <w:t xml:space="preserve">There has been an increase in the use of THA for the treatment of femoral neck fractures in the United States, most notably in urban hospitals. HA and THA are decreasing in total charges and LOS. </w:t>
      </w:r>
    </w:p>
    <w:bookmarkEnd w:id="167"/>
    <w:bookmarkEnd w:id="168"/>
    <w:bookmarkEnd w:id="184"/>
    <w:bookmarkEnd w:id="185"/>
    <w:bookmarkEnd w:id="237"/>
    <w:bookmarkEnd w:id="238"/>
    <w:bookmarkEnd w:id="239"/>
    <w:bookmarkEnd w:id="240"/>
    <w:bookmarkEnd w:id="245"/>
    <w:bookmarkEnd w:id="246"/>
    <w:bookmarkEnd w:id="247"/>
    <w:bookmarkEnd w:id="248"/>
    <w:bookmarkEnd w:id="249"/>
    <w:bookmarkEnd w:id="250"/>
    <w:p w14:paraId="20C5E356" w14:textId="3A90EBF8" w:rsidR="000B4FA4" w:rsidRPr="001D7DBE" w:rsidRDefault="000B4FA4" w:rsidP="001D7DBE">
      <w:pPr>
        <w:spacing w:line="360" w:lineRule="auto"/>
        <w:jc w:val="both"/>
        <w:rPr>
          <w:rFonts w:ascii="Book Antiqua" w:hAnsi="Book Antiqua"/>
          <w:b/>
        </w:rPr>
      </w:pPr>
    </w:p>
    <w:p w14:paraId="71495688" w14:textId="2A614DD8" w:rsidR="000B4FA4" w:rsidRPr="001D7DBE" w:rsidRDefault="000B4FA4" w:rsidP="001D7DBE">
      <w:pPr>
        <w:adjustRightInd w:val="0"/>
        <w:snapToGrid w:val="0"/>
        <w:spacing w:line="360" w:lineRule="auto"/>
        <w:jc w:val="both"/>
        <w:rPr>
          <w:rFonts w:ascii="Book Antiqua" w:hAnsi="Book Antiqua"/>
          <w:bCs/>
        </w:rPr>
      </w:pPr>
      <w:bookmarkStart w:id="251" w:name="OLE_LINK278"/>
      <w:bookmarkStart w:id="252" w:name="OLE_LINK279"/>
      <w:bookmarkStart w:id="253" w:name="OLE_LINK883"/>
      <w:bookmarkStart w:id="254" w:name="OLE_LINK884"/>
      <w:bookmarkStart w:id="255" w:name="OLE_LINK947"/>
      <w:bookmarkStart w:id="256" w:name="OLE_LINK348"/>
      <w:bookmarkStart w:id="257" w:name="OLE_LINK349"/>
      <w:bookmarkStart w:id="258" w:name="OLE_LINK360"/>
      <w:bookmarkStart w:id="259" w:name="OLE_LINK394"/>
      <w:bookmarkStart w:id="260" w:name="OLE_LINK407"/>
      <w:bookmarkStart w:id="261" w:name="OLE_LINK408"/>
      <w:bookmarkStart w:id="262" w:name="OLE_LINK645"/>
      <w:bookmarkStart w:id="263" w:name="OLE_LINK646"/>
      <w:bookmarkStart w:id="264" w:name="OLE_LINK890"/>
      <w:bookmarkStart w:id="265" w:name="OLE_LINK896"/>
      <w:bookmarkStart w:id="266" w:name="OLE_LINK629"/>
      <w:bookmarkEnd w:id="161"/>
      <w:bookmarkEnd w:id="186"/>
      <w:bookmarkEnd w:id="187"/>
      <w:bookmarkEnd w:id="241"/>
      <w:bookmarkEnd w:id="242"/>
      <w:bookmarkEnd w:id="243"/>
      <w:bookmarkEnd w:id="244"/>
      <w:r w:rsidRPr="001D7DBE">
        <w:rPr>
          <w:rFonts w:ascii="Book Antiqua" w:hAnsi="Book Antiqua"/>
          <w:b/>
        </w:rPr>
        <w:t>Key words:</w:t>
      </w:r>
      <w:bookmarkStart w:id="267" w:name="OLE_LINK1029"/>
      <w:bookmarkStart w:id="268" w:name="OLE_LINK1031"/>
      <w:bookmarkStart w:id="269" w:name="OLE_LINK111"/>
      <w:bookmarkStart w:id="270" w:name="OLE_LINK113"/>
      <w:bookmarkStart w:id="271" w:name="OLE_LINK817"/>
      <w:bookmarkStart w:id="272" w:name="OLE_LINK797"/>
      <w:bookmarkStart w:id="273" w:name="OLE_LINK798"/>
      <w:r w:rsidRPr="001D7DBE">
        <w:rPr>
          <w:rFonts w:ascii="Book Antiqua" w:hAnsi="Book Antiqua"/>
          <w:b/>
        </w:rPr>
        <w:t xml:space="preserve"> </w:t>
      </w:r>
      <w:bookmarkStart w:id="274" w:name="OLE_LINK45"/>
      <w:bookmarkStart w:id="275" w:name="OLE_LINK46"/>
      <w:bookmarkStart w:id="276" w:name="OLE_LINK241"/>
      <w:r w:rsidR="00F627F5" w:rsidRPr="001D7DBE">
        <w:rPr>
          <w:rFonts w:ascii="Book Antiqua" w:hAnsi="Book Antiqua"/>
          <w:bCs/>
        </w:rPr>
        <w:t xml:space="preserve">Hip </w:t>
      </w:r>
      <w:r w:rsidR="003E40A9" w:rsidRPr="001D7DBE">
        <w:rPr>
          <w:rFonts w:ascii="Book Antiqua" w:hAnsi="Book Antiqua"/>
          <w:bCs/>
        </w:rPr>
        <w:t>fracture</w:t>
      </w:r>
      <w:bookmarkEnd w:id="274"/>
      <w:bookmarkEnd w:id="275"/>
      <w:r w:rsidR="003E40A9" w:rsidRPr="001D7DBE">
        <w:rPr>
          <w:rFonts w:ascii="Book Antiqua" w:hAnsi="Book Antiqua"/>
          <w:bCs/>
        </w:rPr>
        <w:t>;</w:t>
      </w:r>
      <w:r w:rsidR="00F627F5" w:rsidRPr="001D7DBE">
        <w:rPr>
          <w:rFonts w:ascii="Book Antiqua" w:hAnsi="Book Antiqua"/>
          <w:bCs/>
        </w:rPr>
        <w:t xml:space="preserve"> </w:t>
      </w:r>
      <w:bookmarkStart w:id="277" w:name="OLE_LINK47"/>
      <w:bookmarkStart w:id="278" w:name="OLE_LINK48"/>
      <w:r w:rsidR="00F627F5" w:rsidRPr="001D7DBE">
        <w:rPr>
          <w:rFonts w:ascii="Book Antiqua" w:hAnsi="Book Antiqua"/>
          <w:bCs/>
        </w:rPr>
        <w:t xml:space="preserve">Total </w:t>
      </w:r>
      <w:r w:rsidR="003E40A9" w:rsidRPr="001D7DBE">
        <w:rPr>
          <w:rFonts w:ascii="Book Antiqua" w:hAnsi="Book Antiqua"/>
          <w:bCs/>
        </w:rPr>
        <w:t>hip arthroplasty</w:t>
      </w:r>
      <w:bookmarkEnd w:id="277"/>
      <w:bookmarkEnd w:id="278"/>
      <w:r w:rsidR="003E40A9" w:rsidRPr="001D7DBE">
        <w:rPr>
          <w:rFonts w:ascii="Book Antiqua" w:hAnsi="Book Antiqua"/>
          <w:bCs/>
        </w:rPr>
        <w:t>;</w:t>
      </w:r>
      <w:r w:rsidR="00F627F5" w:rsidRPr="001D7DBE">
        <w:rPr>
          <w:rFonts w:ascii="Book Antiqua" w:hAnsi="Book Antiqua"/>
          <w:bCs/>
        </w:rPr>
        <w:t xml:space="preserve"> </w:t>
      </w:r>
      <w:bookmarkStart w:id="279" w:name="OLE_LINK49"/>
      <w:bookmarkStart w:id="280" w:name="OLE_LINK50"/>
      <w:r w:rsidR="00F627F5" w:rsidRPr="001D7DBE">
        <w:rPr>
          <w:rFonts w:ascii="Book Antiqua" w:hAnsi="Book Antiqua"/>
          <w:bCs/>
        </w:rPr>
        <w:t>Hemiarthroplasty</w:t>
      </w:r>
      <w:bookmarkEnd w:id="279"/>
      <w:bookmarkEnd w:id="280"/>
      <w:r w:rsidR="003E40A9" w:rsidRPr="001D7DBE">
        <w:rPr>
          <w:rFonts w:ascii="Book Antiqua" w:hAnsi="Book Antiqua"/>
          <w:bCs/>
        </w:rPr>
        <w:t>;</w:t>
      </w:r>
      <w:r w:rsidR="00F627F5" w:rsidRPr="001D7DBE">
        <w:rPr>
          <w:rFonts w:ascii="Book Antiqua" w:hAnsi="Book Antiqua"/>
          <w:bCs/>
        </w:rPr>
        <w:t xml:space="preserve"> </w:t>
      </w:r>
      <w:bookmarkStart w:id="281" w:name="OLE_LINK51"/>
      <w:bookmarkStart w:id="282" w:name="OLE_LINK52"/>
      <w:r w:rsidR="00F627F5" w:rsidRPr="001D7DBE">
        <w:rPr>
          <w:rFonts w:ascii="Book Antiqua" w:hAnsi="Book Antiqua"/>
          <w:bCs/>
        </w:rPr>
        <w:t>Cost</w:t>
      </w:r>
      <w:bookmarkEnd w:id="281"/>
      <w:bookmarkEnd w:id="282"/>
      <w:r w:rsidR="003E40A9" w:rsidRPr="001D7DBE">
        <w:rPr>
          <w:rFonts w:ascii="Book Antiqua" w:hAnsi="Book Antiqua"/>
          <w:bCs/>
        </w:rPr>
        <w:t>;</w:t>
      </w:r>
      <w:r w:rsidR="00F627F5" w:rsidRPr="001D7DBE">
        <w:rPr>
          <w:rFonts w:ascii="Book Antiqua" w:hAnsi="Book Antiqua"/>
          <w:bCs/>
        </w:rPr>
        <w:t xml:space="preserve"> </w:t>
      </w:r>
      <w:bookmarkStart w:id="283" w:name="OLE_LINK53"/>
      <w:bookmarkStart w:id="284" w:name="OLE_LINK54"/>
      <w:r w:rsidR="00F627F5" w:rsidRPr="001D7DBE">
        <w:rPr>
          <w:rFonts w:ascii="Book Antiqua" w:hAnsi="Book Antiqua"/>
          <w:bCs/>
        </w:rPr>
        <w:t xml:space="preserve">Length of </w:t>
      </w:r>
      <w:r w:rsidR="003E40A9" w:rsidRPr="001D7DBE">
        <w:rPr>
          <w:rFonts w:ascii="Book Antiqua" w:hAnsi="Book Antiqua"/>
          <w:bCs/>
        </w:rPr>
        <w:t>stay</w:t>
      </w:r>
      <w:bookmarkEnd w:id="283"/>
      <w:bookmarkEnd w:id="284"/>
      <w:r w:rsidR="003E40A9" w:rsidRPr="001D7DBE">
        <w:rPr>
          <w:rFonts w:ascii="Book Antiqua" w:hAnsi="Book Antiqua"/>
          <w:bCs/>
        </w:rPr>
        <w:t>;</w:t>
      </w:r>
      <w:r w:rsidR="00F627F5" w:rsidRPr="001D7DBE">
        <w:rPr>
          <w:rFonts w:ascii="Book Antiqua" w:hAnsi="Book Antiqua"/>
          <w:bCs/>
        </w:rPr>
        <w:t xml:space="preserve"> </w:t>
      </w:r>
      <w:bookmarkStart w:id="285" w:name="OLE_LINK55"/>
      <w:r w:rsidR="00F627F5" w:rsidRPr="001D7DBE">
        <w:rPr>
          <w:rFonts w:ascii="Book Antiqua" w:hAnsi="Book Antiqua"/>
          <w:bCs/>
        </w:rPr>
        <w:t xml:space="preserve">National </w:t>
      </w:r>
      <w:r w:rsidR="003E40A9" w:rsidRPr="001D7DBE">
        <w:rPr>
          <w:rFonts w:ascii="Book Antiqua" w:hAnsi="Book Antiqua"/>
          <w:bCs/>
        </w:rPr>
        <w:t>I</w:t>
      </w:r>
      <w:r w:rsidR="00CC46B9">
        <w:rPr>
          <w:rFonts w:ascii="Book Antiqua" w:hAnsi="Book Antiqua"/>
          <w:bCs/>
        </w:rPr>
        <w:t>n</w:t>
      </w:r>
      <w:r w:rsidR="003E40A9" w:rsidRPr="001D7DBE">
        <w:rPr>
          <w:rFonts w:ascii="Book Antiqua" w:hAnsi="Book Antiqua"/>
          <w:bCs/>
        </w:rPr>
        <w:t>patient Sample</w:t>
      </w:r>
      <w:bookmarkEnd w:id="267"/>
      <w:bookmarkEnd w:id="268"/>
      <w:bookmarkEnd w:id="269"/>
      <w:bookmarkEnd w:id="270"/>
      <w:bookmarkEnd w:id="271"/>
      <w:bookmarkEnd w:id="272"/>
      <w:bookmarkEnd w:id="273"/>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76"/>
    <w:bookmarkEnd w:id="285"/>
    <w:p w14:paraId="25898071"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27112B38" w14:textId="4E8055D5" w:rsidR="000B4FA4" w:rsidRPr="001D7DBE" w:rsidRDefault="008A3A3E" w:rsidP="001D7DBE">
      <w:pPr>
        <w:adjustRightInd w:val="0"/>
        <w:snapToGrid w:val="0"/>
        <w:spacing w:line="360" w:lineRule="auto"/>
        <w:jc w:val="both"/>
        <w:rPr>
          <w:rFonts w:ascii="Book Antiqua" w:hAnsi="Book Antiqua"/>
        </w:rPr>
      </w:pPr>
      <w:bookmarkStart w:id="286" w:name="OLE_LINK363"/>
      <w:bookmarkStart w:id="287" w:name="OLE_LINK364"/>
      <w:bookmarkStart w:id="288" w:name="OLE_LINK359"/>
      <w:bookmarkStart w:id="289" w:name="OLE_LINK1037"/>
      <w:bookmarkStart w:id="290" w:name="OLE_LINK1195"/>
      <w:bookmarkStart w:id="291" w:name="OLE_LINK1140"/>
      <w:bookmarkStart w:id="292" w:name="OLE_LINK1062"/>
      <w:bookmarkStart w:id="293" w:name="OLE_LINK500"/>
      <w:bookmarkStart w:id="294" w:name="OLE_LINK916"/>
      <w:bookmarkStart w:id="295" w:name="OLE_LINK956"/>
      <w:bookmarkStart w:id="296" w:name="OLE_LINK994"/>
      <w:bookmarkStart w:id="297" w:name="OLE_LINK284"/>
      <w:bookmarkStart w:id="298" w:name="OLE_LINK285"/>
      <w:r>
        <w:rPr>
          <w:rFonts w:ascii="Book Antiqua" w:hAnsi="Book Antiqua"/>
          <w:b/>
        </w:rPr>
        <w:t>© The Author(s) 2020</w:t>
      </w:r>
      <w:r w:rsidR="000B4FA4" w:rsidRPr="001D7DBE">
        <w:rPr>
          <w:rFonts w:ascii="Book Antiqua" w:hAnsi="Book Antiqua"/>
          <w:b/>
        </w:rPr>
        <w:t>.</w:t>
      </w:r>
      <w:r w:rsidR="000B4FA4" w:rsidRPr="001D7DBE">
        <w:rPr>
          <w:rFonts w:ascii="Book Antiqua" w:hAnsi="Book Antiqua"/>
        </w:rPr>
        <w:t xml:space="preserve"> Published by Baishideng Publishing Group Inc. All rights reserved.</w:t>
      </w:r>
    </w:p>
    <w:bookmarkEnd w:id="286"/>
    <w:bookmarkEnd w:id="287"/>
    <w:bookmarkEnd w:id="288"/>
    <w:bookmarkEnd w:id="289"/>
    <w:bookmarkEnd w:id="290"/>
    <w:bookmarkEnd w:id="291"/>
    <w:bookmarkEnd w:id="292"/>
    <w:bookmarkEnd w:id="293"/>
    <w:bookmarkEnd w:id="294"/>
    <w:bookmarkEnd w:id="295"/>
    <w:bookmarkEnd w:id="296"/>
    <w:p w14:paraId="58B3D7B6"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06674F31" w14:textId="6ED89F02" w:rsidR="000B4FA4" w:rsidRPr="001D7DBE" w:rsidRDefault="000B4FA4" w:rsidP="001D7DBE">
      <w:pPr>
        <w:pStyle w:val="1"/>
        <w:snapToGrid w:val="0"/>
        <w:spacing w:line="360" w:lineRule="auto"/>
        <w:jc w:val="both"/>
        <w:rPr>
          <w:rFonts w:ascii="Book Antiqua" w:hAnsi="Book Antiqua" w:cs="Times New Roman"/>
          <w:color w:val="auto"/>
          <w:sz w:val="24"/>
          <w:szCs w:val="24"/>
          <w:highlight w:val="white"/>
          <w:lang w:val="en-US" w:eastAsia="zh-CN"/>
        </w:rPr>
      </w:pPr>
      <w:bookmarkStart w:id="299" w:name="OLE_LINK1196"/>
      <w:bookmarkStart w:id="300" w:name="OLE_LINK1154"/>
      <w:bookmarkStart w:id="301" w:name="OLE_LINK1155"/>
      <w:bookmarkStart w:id="302" w:name="OLE_LINK1322"/>
      <w:bookmarkStart w:id="303" w:name="OLE_LINK1044"/>
      <w:bookmarkStart w:id="304" w:name="OLE_LINK1224"/>
      <w:bookmarkStart w:id="305" w:name="OLE_LINK1225"/>
      <w:bookmarkStart w:id="306" w:name="OLE_LINK1634"/>
      <w:bookmarkStart w:id="307" w:name="OLE_LINK1635"/>
      <w:bookmarkStart w:id="308" w:name="OLE_LINK1762"/>
      <w:bookmarkStart w:id="309" w:name="OLE_LINK1763"/>
      <w:bookmarkStart w:id="310" w:name="OLE_LINK1764"/>
      <w:bookmarkStart w:id="311" w:name="OLE_LINK1939"/>
      <w:bookmarkStart w:id="312" w:name="OLE_LINK2194"/>
      <w:bookmarkStart w:id="313" w:name="OLE_LINK2878"/>
      <w:bookmarkStart w:id="314" w:name="OLE_LINK531"/>
      <w:bookmarkStart w:id="315" w:name="OLE_LINK533"/>
      <w:bookmarkStart w:id="316" w:name="OLE_LINK711"/>
      <w:bookmarkStart w:id="317" w:name="OLE_LINK742"/>
      <w:bookmarkStart w:id="318" w:name="OLE_LINK905"/>
      <w:bookmarkStart w:id="319" w:name="OLE_LINK948"/>
      <w:bookmarkStart w:id="320" w:name="OLE_LINK949"/>
      <w:bookmarkStart w:id="321" w:name="OLE_LINK607"/>
      <w:bookmarkStart w:id="322" w:name="OLE_LINK609"/>
      <w:bookmarkStart w:id="323" w:name="OLE_LINK63"/>
      <w:bookmarkStart w:id="324" w:name="OLE_LINK602"/>
      <w:r w:rsidRPr="001D7DBE">
        <w:rPr>
          <w:rFonts w:ascii="Book Antiqua" w:hAnsi="Book Antiqua" w:cs="Times New Roman"/>
          <w:b/>
          <w:color w:val="auto"/>
          <w:sz w:val="24"/>
          <w:szCs w:val="24"/>
          <w:highlight w:val="white"/>
          <w:lang w:val="en-US" w:eastAsia="zh-CN"/>
        </w:rPr>
        <w:t>Core tip:</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1D7DBE">
        <w:rPr>
          <w:rFonts w:ascii="Book Antiqua" w:hAnsi="Book Antiqua" w:cs="Times New Roman"/>
          <w:b/>
          <w:color w:val="auto"/>
          <w:sz w:val="24"/>
          <w:szCs w:val="24"/>
          <w:highlight w:val="white"/>
          <w:lang w:val="en-US" w:eastAsia="zh-CN"/>
        </w:rPr>
        <w:t xml:space="preserve"> </w:t>
      </w:r>
      <w:bookmarkStart w:id="325" w:name="OLE_LINK57"/>
      <w:r w:rsidR="00A45ABB" w:rsidRPr="001D7DBE">
        <w:rPr>
          <w:rFonts w:ascii="Book Antiqua" w:hAnsi="Book Antiqua" w:cs="Times New Roman"/>
          <w:color w:val="auto"/>
          <w:sz w:val="24"/>
          <w:szCs w:val="24"/>
          <w:highlight w:val="white"/>
          <w:lang w:val="en-US" w:eastAsia="zh-CN"/>
        </w:rPr>
        <w:t>Total hip arthroplasty (THA) is increasingly being utilized as an alternative to hemiarthroplasty</w:t>
      </w:r>
      <w:r w:rsidR="00D106E1" w:rsidRPr="001D7DBE">
        <w:rPr>
          <w:rFonts w:ascii="Book Antiqua" w:hAnsi="Book Antiqua" w:cs="Times New Roman"/>
          <w:color w:val="auto"/>
          <w:sz w:val="24"/>
          <w:szCs w:val="24"/>
          <w:highlight w:val="white"/>
          <w:lang w:val="en-US" w:eastAsia="zh-CN"/>
        </w:rPr>
        <w:t xml:space="preserve"> for the treatment of displaced femoral neck fractures</w:t>
      </w:r>
      <w:r w:rsidR="006748E7" w:rsidRPr="001D7DBE">
        <w:rPr>
          <w:rFonts w:ascii="Book Antiqua" w:hAnsi="Book Antiqua" w:cs="Times New Roman"/>
          <w:color w:val="auto"/>
          <w:sz w:val="24"/>
          <w:szCs w:val="24"/>
          <w:highlight w:val="white"/>
          <w:lang w:val="en-US" w:eastAsia="zh-CN"/>
        </w:rPr>
        <w:t xml:space="preserve"> especially in younger ambulatory patients. In a</w:t>
      </w:r>
      <w:r w:rsidR="003E40A9" w:rsidRPr="001D7DBE">
        <w:rPr>
          <w:rFonts w:ascii="Book Antiqua" w:hAnsi="Book Antiqua" w:cs="Times New Roman"/>
          <w:color w:val="auto"/>
          <w:sz w:val="24"/>
          <w:szCs w:val="24"/>
          <w:highlight w:val="white"/>
          <w:lang w:val="en-US" w:eastAsia="zh-CN"/>
        </w:rPr>
        <w:t>n</w:t>
      </w:r>
      <w:r w:rsidR="006748E7" w:rsidRPr="001D7DBE">
        <w:rPr>
          <w:rFonts w:ascii="Book Antiqua" w:hAnsi="Book Antiqua" w:cs="Times New Roman"/>
          <w:color w:val="auto"/>
          <w:sz w:val="24"/>
          <w:szCs w:val="24"/>
          <w:highlight w:val="white"/>
          <w:lang w:val="en-US" w:eastAsia="zh-CN"/>
        </w:rPr>
        <w:t xml:space="preserve"> analysis of the National I</w:t>
      </w:r>
      <w:r w:rsidR="00CC46B9">
        <w:rPr>
          <w:rFonts w:ascii="Book Antiqua" w:hAnsi="Book Antiqua" w:cs="Times New Roman"/>
          <w:color w:val="auto"/>
          <w:sz w:val="24"/>
          <w:szCs w:val="24"/>
          <w:highlight w:val="white"/>
          <w:lang w:val="en-US" w:eastAsia="zh-CN"/>
        </w:rPr>
        <w:t>n</w:t>
      </w:r>
      <w:r w:rsidR="006748E7" w:rsidRPr="001D7DBE">
        <w:rPr>
          <w:rFonts w:ascii="Book Antiqua" w:hAnsi="Book Antiqua" w:cs="Times New Roman"/>
          <w:color w:val="auto"/>
          <w:sz w:val="24"/>
          <w:szCs w:val="24"/>
          <w:highlight w:val="white"/>
          <w:lang w:val="en-US" w:eastAsia="zh-CN"/>
        </w:rPr>
        <w:t xml:space="preserve">patient Sample we found that </w:t>
      </w:r>
      <w:r w:rsidR="004A2F94" w:rsidRPr="001D7DBE">
        <w:rPr>
          <w:rFonts w:ascii="Book Antiqua" w:hAnsi="Book Antiqua" w:cs="Times New Roman"/>
          <w:color w:val="auto"/>
          <w:sz w:val="24"/>
          <w:szCs w:val="24"/>
          <w:highlight w:val="white"/>
          <w:lang w:val="en-US" w:eastAsia="zh-CN"/>
        </w:rPr>
        <w:t xml:space="preserve">the incidence of THA in the United States is increasing, </w:t>
      </w:r>
      <w:r w:rsidR="00C4111D" w:rsidRPr="001D7DBE">
        <w:rPr>
          <w:rFonts w:ascii="Book Antiqua" w:hAnsi="Book Antiqua" w:cs="Times New Roman"/>
          <w:color w:val="auto"/>
          <w:sz w:val="24"/>
          <w:szCs w:val="24"/>
          <w:highlight w:val="white"/>
          <w:lang w:val="en-US" w:eastAsia="zh-CN"/>
        </w:rPr>
        <w:t>particularly</w:t>
      </w:r>
      <w:r w:rsidR="004A2F94" w:rsidRPr="001D7DBE">
        <w:rPr>
          <w:rFonts w:ascii="Book Antiqua" w:hAnsi="Book Antiqua" w:cs="Times New Roman"/>
          <w:color w:val="auto"/>
          <w:sz w:val="24"/>
          <w:szCs w:val="24"/>
          <w:highlight w:val="white"/>
          <w:lang w:val="en-US" w:eastAsia="zh-CN"/>
        </w:rPr>
        <w:t xml:space="preserve"> in urban areas. Furthermore</w:t>
      </w:r>
      <w:r w:rsidR="00D106E1" w:rsidRPr="001D7DBE">
        <w:rPr>
          <w:rFonts w:ascii="Book Antiqua" w:hAnsi="Book Antiqua" w:cs="Times New Roman"/>
          <w:color w:val="auto"/>
          <w:sz w:val="24"/>
          <w:szCs w:val="24"/>
          <w:highlight w:val="white"/>
          <w:lang w:val="en-US" w:eastAsia="zh-CN"/>
        </w:rPr>
        <w:t xml:space="preserve">, </w:t>
      </w:r>
      <w:r w:rsidR="004A2F94" w:rsidRPr="001D7DBE">
        <w:rPr>
          <w:rFonts w:ascii="Book Antiqua" w:hAnsi="Book Antiqua" w:cs="Times New Roman"/>
          <w:color w:val="auto"/>
          <w:sz w:val="24"/>
          <w:szCs w:val="24"/>
          <w:highlight w:val="white"/>
          <w:lang w:val="en-US" w:eastAsia="zh-CN"/>
        </w:rPr>
        <w:t>we found that THA was associated with increased hospital charges but shorter length of stay.</w:t>
      </w:r>
    </w:p>
    <w:bookmarkEnd w:id="297"/>
    <w:bookmarkEnd w:id="298"/>
    <w:bookmarkEnd w:id="314"/>
    <w:bookmarkEnd w:id="315"/>
    <w:bookmarkEnd w:id="316"/>
    <w:bookmarkEnd w:id="317"/>
    <w:bookmarkEnd w:id="318"/>
    <w:bookmarkEnd w:id="325"/>
    <w:p w14:paraId="4455B7C2" w14:textId="77777777" w:rsidR="000B4FA4" w:rsidRPr="001D7DBE" w:rsidRDefault="000B4FA4" w:rsidP="001D7DBE">
      <w:pPr>
        <w:snapToGrid w:val="0"/>
        <w:spacing w:line="360" w:lineRule="auto"/>
        <w:jc w:val="both"/>
        <w:rPr>
          <w:rFonts w:ascii="Book Antiqua" w:hAnsi="Book Antiqua"/>
        </w:rPr>
      </w:pPr>
    </w:p>
    <w:bookmarkEnd w:id="319"/>
    <w:bookmarkEnd w:id="320"/>
    <w:p w14:paraId="7BE24971" w14:textId="77777777" w:rsidR="00747210" w:rsidRDefault="00BA5678" w:rsidP="001D7DBE">
      <w:pPr>
        <w:spacing w:line="360" w:lineRule="auto"/>
        <w:jc w:val="both"/>
        <w:rPr>
          <w:rFonts w:ascii="Book Antiqua" w:eastAsia="等线" w:hAnsi="Book Antiqua" w:hint="eastAsia"/>
          <w:lang w:eastAsia="zh-CN"/>
        </w:rPr>
      </w:pPr>
      <w:r w:rsidRPr="001D7DBE">
        <w:rPr>
          <w:rFonts w:ascii="Book Antiqua" w:hAnsi="Book Antiqua"/>
          <w:bCs/>
          <w:highlight w:val="white"/>
          <w:lang w:eastAsia="zh-CN"/>
        </w:rPr>
        <w:t>Boniello AJ, Lieber AM, Denehy K, Cavanaugh P, Kerbel YE, Star A.</w:t>
      </w:r>
      <w:r w:rsidRPr="001D7DBE">
        <w:rPr>
          <w:rFonts w:ascii="Book Antiqua" w:hAnsi="Book Antiqua" w:cs="Tahoma"/>
          <w:b/>
          <w:bCs/>
          <w:shd w:val="clear" w:color="auto" w:fill="FFFFFF"/>
        </w:rPr>
        <w:t xml:space="preserve"> </w:t>
      </w:r>
      <w:r w:rsidRPr="001D7DBE">
        <w:rPr>
          <w:rFonts w:ascii="Book Antiqua" w:hAnsi="Book Antiqua" w:cs="Tahoma"/>
          <w:shd w:val="clear" w:color="auto" w:fill="FFFFFF"/>
        </w:rPr>
        <w:t>National trends in total hip arthroplasty for traumatic hip fractures: An analysis of a nationwide all-payer database.</w:t>
      </w:r>
      <w:r w:rsidR="00D72391" w:rsidRPr="001D7DBE">
        <w:rPr>
          <w:rFonts w:ascii="Book Antiqua" w:hAnsi="Book Antiqua"/>
        </w:rPr>
        <w:t xml:space="preserve"> </w:t>
      </w:r>
      <w:r w:rsidR="00D72391" w:rsidRPr="001D7DBE">
        <w:rPr>
          <w:rFonts w:ascii="Book Antiqua" w:hAnsi="Book Antiqua" w:cs="Tahoma"/>
          <w:i/>
          <w:iCs/>
          <w:shd w:val="clear" w:color="auto" w:fill="FFFFFF"/>
        </w:rPr>
        <w:t xml:space="preserve">World J Orthop </w:t>
      </w:r>
      <w:r w:rsidR="008A3A3E">
        <w:rPr>
          <w:rFonts w:ascii="Book Antiqua" w:hAnsi="Book Antiqua"/>
        </w:rPr>
        <w:t xml:space="preserve">2020; 11(1): </w:t>
      </w:r>
      <w:r w:rsidR="008A3A3E">
        <w:rPr>
          <w:rFonts w:ascii="Book Antiqua" w:eastAsia="等线" w:hAnsi="Book Antiqua" w:hint="eastAsia"/>
          <w:lang w:eastAsia="zh-CN"/>
        </w:rPr>
        <w:t>18</w:t>
      </w:r>
      <w:r w:rsidR="008A3A3E">
        <w:rPr>
          <w:rFonts w:ascii="Book Antiqua" w:hAnsi="Book Antiqua"/>
        </w:rPr>
        <w:t>-</w:t>
      </w:r>
      <w:r w:rsidR="008A3A3E">
        <w:rPr>
          <w:rFonts w:ascii="Book Antiqua" w:eastAsia="等线" w:hAnsi="Book Antiqua" w:hint="eastAsia"/>
          <w:lang w:eastAsia="zh-CN"/>
        </w:rPr>
        <w:t>26</w:t>
      </w:r>
    </w:p>
    <w:p w14:paraId="7BE973CC" w14:textId="302D13B8" w:rsidR="00747210" w:rsidRDefault="00AE748B" w:rsidP="001D7DBE">
      <w:pPr>
        <w:spacing w:line="360" w:lineRule="auto"/>
        <w:jc w:val="both"/>
        <w:rPr>
          <w:rFonts w:ascii="Book Antiqua" w:eastAsia="等线" w:hAnsi="Book Antiqua" w:hint="eastAsia"/>
          <w:lang w:eastAsia="zh-CN"/>
        </w:rPr>
      </w:pPr>
      <w:r w:rsidRPr="00AE748B">
        <w:rPr>
          <w:rFonts w:ascii="Book Antiqua" w:hAnsi="Book Antiqua"/>
        </w:rPr>
        <w:t xml:space="preserve">URL: </w:t>
      </w:r>
      <w:r w:rsidR="00747210" w:rsidRPr="00747210">
        <w:rPr>
          <w:rFonts w:ascii="Book Antiqua" w:hAnsi="Book Antiqua"/>
        </w:rPr>
        <w:t>https://www.wjgnet.com/2218-5836/full/v11/i1/</w:t>
      </w:r>
      <w:r w:rsidR="00747210" w:rsidRPr="00747210">
        <w:rPr>
          <w:rFonts w:ascii="Book Antiqua" w:eastAsia="等线" w:hAnsi="Book Antiqua" w:hint="eastAsia"/>
          <w:lang w:eastAsia="zh-CN"/>
        </w:rPr>
        <w:t>18</w:t>
      </w:r>
      <w:r w:rsidR="00747210" w:rsidRPr="00747210">
        <w:rPr>
          <w:rFonts w:ascii="Book Antiqua" w:hAnsi="Book Antiqua"/>
        </w:rPr>
        <w:t>.htm</w:t>
      </w:r>
    </w:p>
    <w:p w14:paraId="0E4B8ED9" w14:textId="460C568A" w:rsidR="00D72391" w:rsidRPr="001D7DBE" w:rsidRDefault="00AE748B" w:rsidP="001D7DBE">
      <w:pPr>
        <w:spacing w:line="360" w:lineRule="auto"/>
        <w:jc w:val="both"/>
        <w:rPr>
          <w:rFonts w:ascii="Book Antiqua" w:hAnsi="Book Antiqua"/>
          <w:i/>
          <w:iCs/>
        </w:rPr>
      </w:pPr>
      <w:r w:rsidRPr="00AE748B">
        <w:rPr>
          <w:rFonts w:ascii="Book Antiqua" w:hAnsi="Book Antiqua"/>
        </w:rPr>
        <w:t>DOI: https://dx.doi.org/10.5312/wjo.v11.i1.</w:t>
      </w:r>
      <w:r w:rsidR="008A3A3E">
        <w:rPr>
          <w:rFonts w:ascii="Book Antiqua" w:eastAsia="等线" w:hAnsi="Book Antiqua" w:hint="eastAsia"/>
          <w:lang w:eastAsia="zh-CN"/>
        </w:rPr>
        <w:t>18</w:t>
      </w:r>
      <w:r w:rsidR="00D72391" w:rsidRPr="001D7DBE">
        <w:rPr>
          <w:rFonts w:ascii="Book Antiqua" w:hAnsi="Book Antiqua"/>
          <w:i/>
          <w:iCs/>
        </w:rPr>
        <w:br w:type="page"/>
      </w:r>
    </w:p>
    <w:bookmarkEnd w:id="264"/>
    <w:bookmarkEnd w:id="265"/>
    <w:bookmarkEnd w:id="266"/>
    <w:bookmarkEnd w:id="321"/>
    <w:bookmarkEnd w:id="322"/>
    <w:bookmarkEnd w:id="323"/>
    <w:bookmarkEnd w:id="324"/>
    <w:p w14:paraId="01387254" w14:textId="5B26F740" w:rsidR="00DE1237" w:rsidRPr="001D7DBE" w:rsidRDefault="00DE1237" w:rsidP="001D7DBE">
      <w:pPr>
        <w:spacing w:line="360" w:lineRule="auto"/>
        <w:jc w:val="both"/>
        <w:rPr>
          <w:rFonts w:ascii="Book Antiqua" w:hAnsi="Book Antiqua"/>
          <w:b/>
        </w:rPr>
      </w:pPr>
      <w:r w:rsidRPr="001D7DBE">
        <w:rPr>
          <w:rFonts w:ascii="Book Antiqua" w:hAnsi="Book Antiqua"/>
          <w:b/>
        </w:rPr>
        <w:lastRenderedPageBreak/>
        <w:t>I</w:t>
      </w:r>
      <w:r w:rsidR="00F627F5" w:rsidRPr="001D7DBE">
        <w:rPr>
          <w:rFonts w:ascii="Book Antiqua" w:hAnsi="Book Antiqua"/>
          <w:b/>
        </w:rPr>
        <w:t>NTRODUCTION</w:t>
      </w:r>
    </w:p>
    <w:p w14:paraId="6D86C1A0" w14:textId="342059A8" w:rsidR="00DE1237" w:rsidRPr="001D7DBE" w:rsidRDefault="00DE1237" w:rsidP="001D7DBE">
      <w:pPr>
        <w:spacing w:line="360" w:lineRule="auto"/>
        <w:jc w:val="both"/>
        <w:rPr>
          <w:rFonts w:ascii="Book Antiqua" w:hAnsi="Book Antiqua"/>
        </w:rPr>
      </w:pPr>
      <w:r w:rsidRPr="001D7DBE">
        <w:rPr>
          <w:rFonts w:ascii="Book Antiqua" w:hAnsi="Book Antiqua"/>
        </w:rPr>
        <w:t xml:space="preserve">Femoral neck fractures represent a large </w:t>
      </w:r>
      <w:r w:rsidR="0003088D" w:rsidRPr="001D7DBE">
        <w:rPr>
          <w:rFonts w:ascii="Book Antiqua" w:hAnsi="Book Antiqua"/>
        </w:rPr>
        <w:t>pro</w:t>
      </w:r>
      <w:r w:rsidRPr="001D7DBE">
        <w:rPr>
          <w:rFonts w:ascii="Book Antiqua" w:hAnsi="Book Antiqua"/>
        </w:rPr>
        <w:t>portion of orthopedic injuries requiring surgical intervention. It is estimated that by 2050, there will be over 700000 cases annually in North America</w:t>
      </w:r>
      <w:r w:rsidR="00C55A22" w:rsidRPr="001D7DBE">
        <w:rPr>
          <w:rFonts w:ascii="Book Antiqua" w:hAnsi="Book Antiqua"/>
          <w:vertAlign w:val="superscript"/>
        </w:rPr>
        <w:t>[</w:t>
      </w:r>
      <w:r w:rsidR="00955C7F" w:rsidRPr="001D7DBE">
        <w:rPr>
          <w:rFonts w:ascii="Book Antiqua" w:hAnsi="Book Antiqua"/>
          <w:noProof/>
          <w:vertAlign w:val="superscript"/>
        </w:rPr>
        <w:t>1</w:t>
      </w:r>
      <w:r w:rsidR="00C55A22" w:rsidRPr="001D7DBE">
        <w:rPr>
          <w:rFonts w:ascii="Book Antiqua" w:hAnsi="Book Antiqua"/>
          <w:vertAlign w:val="superscript"/>
        </w:rPr>
        <w:t>]</w:t>
      </w:r>
      <w:r w:rsidRPr="001D7DBE">
        <w:rPr>
          <w:rFonts w:ascii="Book Antiqua" w:hAnsi="Book Antiqua"/>
        </w:rPr>
        <w:t>. Hemiarthroplasty (HA) has become the most common treatment modality for displaced femoral neck fractures</w:t>
      </w:r>
      <w:r w:rsidR="00F627F5" w:rsidRPr="001D7DBE">
        <w:rPr>
          <w:rFonts w:ascii="Book Antiqua" w:hAnsi="Book Antiqua"/>
          <w:vertAlign w:val="superscript"/>
        </w:rPr>
        <w:t>[</w:t>
      </w:r>
      <w:r w:rsidR="00955C7F" w:rsidRPr="001D7DBE">
        <w:rPr>
          <w:rFonts w:ascii="Book Antiqua" w:hAnsi="Book Antiqua"/>
          <w:noProof/>
          <w:vertAlign w:val="superscript"/>
        </w:rPr>
        <w:t>2,3</w:t>
      </w:r>
      <w:r w:rsidR="00F627F5" w:rsidRPr="001D7DBE">
        <w:rPr>
          <w:rFonts w:ascii="Book Antiqua" w:hAnsi="Book Antiqua"/>
          <w:vertAlign w:val="superscript"/>
        </w:rPr>
        <w:t>]</w:t>
      </w:r>
      <w:r w:rsidRPr="001D7DBE">
        <w:rPr>
          <w:rFonts w:ascii="Book Antiqua" w:hAnsi="Book Antiqua"/>
        </w:rPr>
        <w:t>. Recently, total hip arthroplasty (THA) has gained popularity</w:t>
      </w:r>
      <w:r w:rsidR="007D667E" w:rsidRPr="001D7DBE">
        <w:rPr>
          <w:rFonts w:ascii="Book Antiqua" w:hAnsi="Book Antiqua"/>
        </w:rPr>
        <w:t xml:space="preserve"> for treating displaced femoral neck fractures</w:t>
      </w:r>
      <w:r w:rsidRPr="001D7DBE">
        <w:rPr>
          <w:rFonts w:ascii="Book Antiqua" w:hAnsi="Book Antiqua"/>
        </w:rPr>
        <w:t>, particularly with active, healthy patients</w:t>
      </w:r>
      <w:r w:rsidR="00F627F5" w:rsidRPr="001D7DBE">
        <w:rPr>
          <w:rFonts w:ascii="Book Antiqua" w:hAnsi="Book Antiqua"/>
          <w:vertAlign w:val="superscript"/>
        </w:rPr>
        <w:t>[</w:t>
      </w:r>
      <w:r w:rsidR="00955C7F" w:rsidRPr="001D7DBE">
        <w:rPr>
          <w:rFonts w:ascii="Book Antiqua" w:hAnsi="Book Antiqua"/>
          <w:noProof/>
          <w:vertAlign w:val="superscript"/>
        </w:rPr>
        <w:t>4</w:t>
      </w:r>
      <w:r w:rsidR="00F627F5" w:rsidRPr="001D7DBE">
        <w:rPr>
          <w:rFonts w:ascii="Book Antiqua" w:hAnsi="Book Antiqua"/>
          <w:vertAlign w:val="superscript"/>
        </w:rPr>
        <w:t>]</w:t>
      </w:r>
      <w:r w:rsidRPr="001D7DBE">
        <w:rPr>
          <w:rFonts w:ascii="Book Antiqua" w:hAnsi="Book Antiqua"/>
        </w:rPr>
        <w:t>. Over the last 15-20 years, THA as treatment for displaced femoral neck fractures has increased</w:t>
      </w:r>
      <w:r w:rsidR="00F627F5" w:rsidRPr="001D7DBE">
        <w:rPr>
          <w:rFonts w:ascii="Book Antiqua" w:hAnsi="Book Antiqua"/>
          <w:vertAlign w:val="superscript"/>
        </w:rPr>
        <w:t>[</w:t>
      </w:r>
      <w:r w:rsidR="00955C7F" w:rsidRPr="001D7DBE">
        <w:rPr>
          <w:rFonts w:ascii="Book Antiqua" w:hAnsi="Book Antiqua"/>
          <w:noProof/>
          <w:vertAlign w:val="superscript"/>
        </w:rPr>
        <w:t>5</w:t>
      </w:r>
      <w:r w:rsidR="00F627F5" w:rsidRPr="001D7DBE">
        <w:rPr>
          <w:rFonts w:ascii="Book Antiqua" w:hAnsi="Book Antiqua"/>
          <w:vertAlign w:val="superscript"/>
        </w:rPr>
        <w:t>]</w:t>
      </w:r>
      <w:r w:rsidRPr="001D7DBE">
        <w:rPr>
          <w:rFonts w:ascii="Book Antiqua" w:hAnsi="Book Antiqua"/>
        </w:rPr>
        <w:t>.</w:t>
      </w:r>
    </w:p>
    <w:p w14:paraId="6E0BB8F1" w14:textId="22EF3B1D"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Independent, ambulatory patients have poor functional results following HA compared to THA, particularly continued hip pain and a higher revision rate</w:t>
      </w:r>
      <w:r w:rsidR="00F627F5" w:rsidRPr="001D7DBE">
        <w:rPr>
          <w:rFonts w:ascii="Book Antiqua" w:hAnsi="Book Antiqua"/>
          <w:vertAlign w:val="superscript"/>
        </w:rPr>
        <w:t>[</w:t>
      </w:r>
      <w:r w:rsidR="00955C7F" w:rsidRPr="001D7DBE">
        <w:rPr>
          <w:rFonts w:ascii="Book Antiqua" w:hAnsi="Book Antiqua"/>
          <w:noProof/>
          <w:vertAlign w:val="superscript"/>
        </w:rPr>
        <w:t>6,7</w:t>
      </w:r>
      <w:r w:rsidR="00F627F5" w:rsidRPr="001D7DBE">
        <w:rPr>
          <w:rFonts w:ascii="Book Antiqua" w:hAnsi="Book Antiqua"/>
          <w:vertAlign w:val="superscript"/>
        </w:rPr>
        <w:t>]</w:t>
      </w:r>
      <w:r w:rsidRPr="001D7DBE">
        <w:rPr>
          <w:rFonts w:ascii="Book Antiqua" w:hAnsi="Book Antiqua"/>
        </w:rPr>
        <w:t xml:space="preserve">. Several investigators have used large administrative database analyses to track trends in the treatment of femoral neck fractures, with conflicting reports in the arthroplasty and trauma literature. While some studies report no significant change in the utilization of THA </w:t>
      </w:r>
      <w:r w:rsidR="00A873C3" w:rsidRPr="001D7DBE">
        <w:rPr>
          <w:rFonts w:ascii="Book Antiqua" w:hAnsi="Book Antiqua"/>
          <w:i/>
          <w:iCs/>
        </w:rPr>
        <w:t>vs</w:t>
      </w:r>
      <w:r w:rsidRPr="001D7DBE">
        <w:rPr>
          <w:rFonts w:ascii="Book Antiqua" w:hAnsi="Book Antiqua"/>
        </w:rPr>
        <w:t xml:space="preserve"> HA</w:t>
      </w:r>
      <w:r w:rsidR="00F627F5" w:rsidRPr="001D7DBE">
        <w:rPr>
          <w:rFonts w:ascii="Book Antiqua" w:hAnsi="Book Antiqua"/>
          <w:vertAlign w:val="superscript"/>
        </w:rPr>
        <w:t>[</w:t>
      </w:r>
      <w:r w:rsidR="00955C7F" w:rsidRPr="001D7DBE">
        <w:rPr>
          <w:rFonts w:ascii="Book Antiqua" w:hAnsi="Book Antiqua"/>
          <w:noProof/>
          <w:vertAlign w:val="superscript"/>
        </w:rPr>
        <w:t>5,8,9</w:t>
      </w:r>
      <w:r w:rsidR="00F627F5" w:rsidRPr="001D7DBE">
        <w:rPr>
          <w:rFonts w:ascii="Book Antiqua" w:hAnsi="Book Antiqua"/>
          <w:vertAlign w:val="superscript"/>
        </w:rPr>
        <w:t>]</w:t>
      </w:r>
      <w:r w:rsidRPr="001D7DBE">
        <w:rPr>
          <w:rFonts w:ascii="Book Antiqua" w:hAnsi="Book Antiqua"/>
        </w:rPr>
        <w:t>, others report a recent increase in THA usage</w:t>
      </w:r>
      <w:r w:rsidR="00F627F5" w:rsidRPr="001D7DBE">
        <w:rPr>
          <w:rFonts w:ascii="Book Antiqua" w:hAnsi="Book Antiqua"/>
          <w:vertAlign w:val="superscript"/>
        </w:rPr>
        <w:t>[</w:t>
      </w:r>
      <w:r w:rsidR="00955C7F" w:rsidRPr="001D7DBE">
        <w:rPr>
          <w:rFonts w:ascii="Book Antiqua" w:hAnsi="Book Antiqua"/>
          <w:noProof/>
          <w:vertAlign w:val="superscript"/>
        </w:rPr>
        <w:t>10,11</w:t>
      </w:r>
      <w:r w:rsidR="00F627F5" w:rsidRPr="001D7DBE">
        <w:rPr>
          <w:rFonts w:ascii="Book Antiqua" w:hAnsi="Book Antiqua"/>
          <w:vertAlign w:val="superscript"/>
        </w:rPr>
        <w:t>]</w:t>
      </w:r>
      <w:r w:rsidRPr="001D7DBE">
        <w:rPr>
          <w:rFonts w:ascii="Book Antiqua" w:hAnsi="Book Antiqua"/>
        </w:rPr>
        <w:t>.</w:t>
      </w:r>
    </w:p>
    <w:p w14:paraId="192D4363" w14:textId="5F5D9106"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Our study utilizes the </w:t>
      </w:r>
      <w:r w:rsidR="00D72391" w:rsidRPr="001D7DBE">
        <w:rPr>
          <w:rFonts w:ascii="Book Antiqua" w:hAnsi="Book Antiqua"/>
        </w:rPr>
        <w:t>Nationwide Inpatient Sample (NIS)</w:t>
      </w:r>
      <w:r w:rsidRPr="001D7DBE">
        <w:rPr>
          <w:rFonts w:ascii="Book Antiqua" w:hAnsi="Book Antiqua"/>
        </w:rPr>
        <w:t xml:space="preserve"> database from 200</w:t>
      </w:r>
      <w:r w:rsidR="008879F7" w:rsidRPr="001D7DBE">
        <w:rPr>
          <w:rFonts w:ascii="Book Antiqua" w:hAnsi="Book Antiqua"/>
        </w:rPr>
        <w:t>5</w:t>
      </w:r>
      <w:r w:rsidRPr="001D7DBE">
        <w:rPr>
          <w:rFonts w:ascii="Book Antiqua" w:hAnsi="Book Antiqua"/>
        </w:rPr>
        <w:t>-201</w:t>
      </w:r>
      <w:r w:rsidR="008879F7" w:rsidRPr="001D7DBE">
        <w:rPr>
          <w:rFonts w:ascii="Book Antiqua" w:hAnsi="Book Antiqua"/>
        </w:rPr>
        <w:t>4</w:t>
      </w:r>
      <w:r w:rsidRPr="001D7DBE">
        <w:rPr>
          <w:rFonts w:ascii="Book Antiqua" w:hAnsi="Book Antiqua"/>
        </w:rPr>
        <w:t xml:space="preserve"> to see trends in THA </w:t>
      </w:r>
      <w:r w:rsidR="00A873C3" w:rsidRPr="001D7DBE">
        <w:rPr>
          <w:rFonts w:ascii="Book Antiqua" w:hAnsi="Book Antiqua"/>
          <w:i/>
          <w:iCs/>
        </w:rPr>
        <w:t>vs</w:t>
      </w:r>
      <w:r w:rsidRPr="001D7DBE">
        <w:rPr>
          <w:rFonts w:ascii="Book Antiqua" w:hAnsi="Book Antiqua"/>
        </w:rPr>
        <w:t xml:space="preserve"> HA for femoral neck fractures. Our goal was not only to calculate the general trend over the past 10 years, but also determine what other factors influence treatment decisions.</w:t>
      </w:r>
    </w:p>
    <w:p w14:paraId="787EEF59" w14:textId="77777777" w:rsidR="00DE1237" w:rsidRPr="001D7DBE" w:rsidRDefault="00DE1237" w:rsidP="001D7DBE">
      <w:pPr>
        <w:spacing w:line="360" w:lineRule="auto"/>
        <w:jc w:val="both"/>
        <w:rPr>
          <w:rFonts w:ascii="Book Antiqua" w:hAnsi="Book Antiqua"/>
        </w:rPr>
      </w:pPr>
    </w:p>
    <w:p w14:paraId="12C15C89" w14:textId="77777777" w:rsidR="00D72391" w:rsidRPr="001D7DBE" w:rsidRDefault="00D72391" w:rsidP="001D7DBE">
      <w:pPr>
        <w:spacing w:line="360" w:lineRule="auto"/>
        <w:jc w:val="both"/>
        <w:rPr>
          <w:rFonts w:ascii="Book Antiqua" w:hAnsi="Book Antiqua"/>
          <w:b/>
        </w:rPr>
      </w:pPr>
      <w:bookmarkStart w:id="326" w:name="OLE_LINK337"/>
      <w:bookmarkStart w:id="327" w:name="OLE_LINK338"/>
      <w:bookmarkStart w:id="328" w:name="OLE_LINK378"/>
      <w:bookmarkStart w:id="329" w:name="OLE_LINK388"/>
      <w:r w:rsidRPr="001D7DBE">
        <w:rPr>
          <w:rFonts w:ascii="Book Antiqua" w:hAnsi="Book Antiqua"/>
          <w:b/>
        </w:rPr>
        <w:t>MATERIALS AND METHODS</w:t>
      </w:r>
    </w:p>
    <w:bookmarkEnd w:id="326"/>
    <w:bookmarkEnd w:id="327"/>
    <w:bookmarkEnd w:id="328"/>
    <w:bookmarkEnd w:id="329"/>
    <w:p w14:paraId="203D0C34" w14:textId="31602318" w:rsidR="00DE1237" w:rsidRPr="001D7DBE" w:rsidRDefault="00DE1237" w:rsidP="001D7DBE">
      <w:pPr>
        <w:spacing w:line="360" w:lineRule="auto"/>
        <w:jc w:val="both"/>
        <w:rPr>
          <w:rFonts w:ascii="Book Antiqua" w:hAnsi="Book Antiqua"/>
        </w:rPr>
      </w:pPr>
      <w:r w:rsidRPr="001D7DBE">
        <w:rPr>
          <w:rFonts w:ascii="Book Antiqua" w:hAnsi="Book Antiqua"/>
        </w:rPr>
        <w:t xml:space="preserve">NIS data from 2005 to 2014 was used. The NIS is </w:t>
      </w:r>
      <w:r w:rsidR="007D667E" w:rsidRPr="001D7DBE">
        <w:rPr>
          <w:rFonts w:ascii="Book Antiqua" w:hAnsi="Book Antiqua"/>
        </w:rPr>
        <w:t xml:space="preserve">a </w:t>
      </w:r>
      <w:r w:rsidRPr="001D7DBE">
        <w:rPr>
          <w:rFonts w:ascii="Book Antiqua" w:hAnsi="Book Antiqua"/>
        </w:rPr>
        <w:t>larg</w:t>
      </w:r>
      <w:r w:rsidR="007D667E" w:rsidRPr="001D7DBE">
        <w:rPr>
          <w:rFonts w:ascii="Book Antiqua" w:hAnsi="Book Antiqua"/>
        </w:rPr>
        <w:t>e</w:t>
      </w:r>
      <w:r w:rsidRPr="001D7DBE">
        <w:rPr>
          <w:rFonts w:ascii="Book Antiqua" w:hAnsi="Book Antiqua"/>
        </w:rPr>
        <w:t xml:space="preserve"> all-payer database </w:t>
      </w:r>
      <w:r w:rsidR="007D667E" w:rsidRPr="001D7DBE">
        <w:rPr>
          <w:rFonts w:ascii="Book Antiqua" w:hAnsi="Book Antiqua"/>
        </w:rPr>
        <w:t>of datat from the United States</w:t>
      </w:r>
      <w:r w:rsidRPr="001D7DBE">
        <w:rPr>
          <w:rFonts w:ascii="Book Antiqua" w:hAnsi="Book Antiqua"/>
        </w:rPr>
        <w:t xml:space="preserve"> developed as part of the Healthcare Cost and Utilization Project by the Agency for Healthcare Research and Quality. Each NIS file comprises de-identified information from approximately eight million hospital</w:t>
      </w:r>
      <w:r w:rsidR="007D667E" w:rsidRPr="001D7DBE">
        <w:rPr>
          <w:rFonts w:ascii="Book Antiqua" w:hAnsi="Book Antiqua"/>
        </w:rPr>
        <w:t xml:space="preserve"> records </w:t>
      </w:r>
      <w:r w:rsidRPr="001D7DBE">
        <w:rPr>
          <w:rFonts w:ascii="Book Antiqua" w:hAnsi="Book Antiqua"/>
        </w:rPr>
        <w:t>from about 1000 hospitals in 46 states, representing an approximate 20% sample of hospitals</w:t>
      </w:r>
      <w:r w:rsidR="00D72391" w:rsidRPr="001D7DBE">
        <w:rPr>
          <w:rFonts w:ascii="Book Antiqua" w:hAnsi="Book Antiqua"/>
          <w:vertAlign w:val="superscript"/>
        </w:rPr>
        <w:t>[</w:t>
      </w:r>
      <w:r w:rsidR="00955C7F" w:rsidRPr="001D7DBE">
        <w:rPr>
          <w:rFonts w:ascii="Book Antiqua" w:hAnsi="Book Antiqua"/>
          <w:noProof/>
          <w:vertAlign w:val="superscript"/>
        </w:rPr>
        <w:t>12</w:t>
      </w:r>
      <w:r w:rsidR="00D72391" w:rsidRPr="001D7DBE">
        <w:rPr>
          <w:rFonts w:ascii="Book Antiqua" w:hAnsi="Book Antiqua"/>
          <w:vertAlign w:val="superscript"/>
        </w:rPr>
        <w:t>]</w:t>
      </w:r>
      <w:r w:rsidRPr="001D7DBE">
        <w:rPr>
          <w:rFonts w:ascii="Book Antiqua" w:hAnsi="Book Antiqua"/>
        </w:rPr>
        <w:t xml:space="preserve">. </w:t>
      </w:r>
      <w:r w:rsidR="007D667E" w:rsidRPr="001D7DBE">
        <w:rPr>
          <w:rFonts w:ascii="Book Antiqua" w:hAnsi="Book Antiqua"/>
        </w:rPr>
        <w:t xml:space="preserve">National estimates </w:t>
      </w:r>
      <w:r w:rsidR="0055213A" w:rsidRPr="001D7DBE">
        <w:rPr>
          <w:rFonts w:ascii="Book Antiqua" w:hAnsi="Book Antiqua"/>
        </w:rPr>
        <w:t>may be calculated from the data using available weighting factors</w:t>
      </w:r>
      <w:r w:rsidRPr="001D7DBE">
        <w:rPr>
          <w:rFonts w:ascii="Book Antiqua" w:hAnsi="Book Antiqua"/>
        </w:rPr>
        <w:t xml:space="preserve">. For each </w:t>
      </w:r>
      <w:r w:rsidR="0055213A" w:rsidRPr="001D7DBE">
        <w:rPr>
          <w:rFonts w:ascii="Book Antiqua" w:hAnsi="Book Antiqua"/>
        </w:rPr>
        <w:t>patient record</w:t>
      </w:r>
      <w:r w:rsidRPr="001D7DBE">
        <w:rPr>
          <w:rFonts w:ascii="Book Antiqua" w:hAnsi="Book Antiqua"/>
        </w:rPr>
        <w:t xml:space="preserve">, 100 clinical and nonclinical data elements are available including admission and discharge status, patient demographics, </w:t>
      </w:r>
      <w:r w:rsidR="0055213A" w:rsidRPr="001D7DBE">
        <w:rPr>
          <w:rFonts w:ascii="Book Antiqua" w:hAnsi="Book Antiqua"/>
        </w:rPr>
        <w:t>insurance type</w:t>
      </w:r>
      <w:r w:rsidRPr="001D7DBE">
        <w:rPr>
          <w:rFonts w:ascii="Book Antiqua" w:hAnsi="Book Antiqua"/>
        </w:rPr>
        <w:t xml:space="preserve">, </w:t>
      </w:r>
      <w:r w:rsidR="0055213A" w:rsidRPr="001D7DBE">
        <w:rPr>
          <w:rFonts w:ascii="Book Antiqua" w:hAnsi="Book Antiqua"/>
        </w:rPr>
        <w:t xml:space="preserve">hospital </w:t>
      </w:r>
      <w:r w:rsidRPr="001D7DBE">
        <w:rPr>
          <w:rFonts w:ascii="Book Antiqua" w:hAnsi="Book Antiqua"/>
        </w:rPr>
        <w:t xml:space="preserve">charges, length of stay (LOS), and hospital </w:t>
      </w:r>
      <w:r w:rsidR="0055213A" w:rsidRPr="001D7DBE">
        <w:rPr>
          <w:rFonts w:ascii="Book Antiqua" w:hAnsi="Book Antiqua"/>
        </w:rPr>
        <w:t>type in addition to</w:t>
      </w:r>
      <w:r w:rsidRPr="001D7DBE">
        <w:rPr>
          <w:rFonts w:ascii="Book Antiqua" w:hAnsi="Book Antiqua"/>
        </w:rPr>
        <w:t xml:space="preserve"> diagnosis and procedural codes in </w:t>
      </w:r>
      <w:r w:rsidRPr="001D7DBE">
        <w:rPr>
          <w:rFonts w:ascii="Book Antiqua" w:hAnsi="Book Antiqua"/>
        </w:rPr>
        <w:lastRenderedPageBreak/>
        <w:t>International Classification of Disease-9</w:t>
      </w:r>
      <w:r w:rsidRPr="001D7DBE">
        <w:rPr>
          <w:rFonts w:ascii="Book Antiqua" w:hAnsi="Book Antiqua"/>
          <w:vertAlign w:val="superscript"/>
        </w:rPr>
        <w:t>th</w:t>
      </w:r>
      <w:r w:rsidRPr="001D7DBE">
        <w:rPr>
          <w:rFonts w:ascii="Book Antiqua" w:hAnsi="Book Antiqua"/>
        </w:rPr>
        <w:t xml:space="preserve"> Revision-Clinical Modification (ICD-9-CM)</w:t>
      </w:r>
      <w:r w:rsidR="00F627F5" w:rsidRPr="001D7DBE">
        <w:rPr>
          <w:rFonts w:ascii="Book Antiqua" w:hAnsi="Book Antiqua"/>
          <w:vertAlign w:val="superscript"/>
        </w:rPr>
        <w:t>[</w:t>
      </w:r>
      <w:r w:rsidR="00955C7F" w:rsidRPr="001D7DBE">
        <w:rPr>
          <w:rFonts w:ascii="Book Antiqua" w:hAnsi="Book Antiqua"/>
          <w:noProof/>
          <w:vertAlign w:val="superscript"/>
        </w:rPr>
        <w:t>13</w:t>
      </w:r>
      <w:r w:rsidR="00F627F5" w:rsidRPr="001D7DBE">
        <w:rPr>
          <w:rFonts w:ascii="Book Antiqua" w:hAnsi="Book Antiqua"/>
          <w:vertAlign w:val="superscript"/>
        </w:rPr>
        <w:t>]</w:t>
      </w:r>
      <w:r w:rsidRPr="001D7DBE">
        <w:rPr>
          <w:rFonts w:ascii="Book Antiqua" w:hAnsi="Book Antiqua"/>
        </w:rPr>
        <w:t xml:space="preserve">. </w:t>
      </w:r>
      <w:r w:rsidR="0055213A" w:rsidRPr="001D7DBE">
        <w:rPr>
          <w:rFonts w:ascii="Book Antiqua" w:hAnsi="Book Antiqua"/>
        </w:rPr>
        <w:t>Recorded p</w:t>
      </w:r>
      <w:r w:rsidRPr="001D7DBE">
        <w:rPr>
          <w:rFonts w:ascii="Book Antiqua" w:hAnsi="Book Antiqua"/>
        </w:rPr>
        <w:t>atient characteristics include gender, race, comorbidities and age. Given that the NIS database is sufficiently deidentified, this study was not subject to institutional review board review.</w:t>
      </w:r>
    </w:p>
    <w:p w14:paraId="56B132AA" w14:textId="730D50C5"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For our </w:t>
      </w:r>
      <w:r w:rsidR="0055213A" w:rsidRPr="001D7DBE">
        <w:rPr>
          <w:rFonts w:ascii="Book Antiqua" w:hAnsi="Book Antiqua"/>
        </w:rPr>
        <w:t>study</w:t>
      </w:r>
      <w:r w:rsidRPr="001D7DBE">
        <w:rPr>
          <w:rFonts w:ascii="Book Antiqua" w:hAnsi="Book Antiqua"/>
        </w:rPr>
        <w:t xml:space="preserve">, we </w:t>
      </w:r>
      <w:r w:rsidR="0055213A" w:rsidRPr="001D7DBE">
        <w:rPr>
          <w:rFonts w:ascii="Book Antiqua" w:hAnsi="Book Antiqua"/>
        </w:rPr>
        <w:t xml:space="preserve">identified record of patients who had </w:t>
      </w:r>
      <w:r w:rsidRPr="001D7DBE">
        <w:rPr>
          <w:rFonts w:ascii="Book Antiqua" w:hAnsi="Book Antiqua"/>
        </w:rPr>
        <w:t xml:space="preserve">transcervical femoral neck fractures (ICD-9-CM 820.0). We </w:t>
      </w:r>
      <w:r w:rsidR="0055213A" w:rsidRPr="001D7DBE">
        <w:rPr>
          <w:rFonts w:ascii="Book Antiqua" w:hAnsi="Book Antiqua"/>
        </w:rPr>
        <w:t>used ICD-9 codes to exclusively look at patients</w:t>
      </w:r>
      <w:r w:rsidRPr="001D7DBE">
        <w:rPr>
          <w:rFonts w:ascii="Book Antiqua" w:hAnsi="Book Antiqua"/>
        </w:rPr>
        <w:t xml:space="preserve"> treated with THA (81.51) and HA (81.52). We excluded pathologic fractures due to oncologic etiology.</w:t>
      </w:r>
      <w:r w:rsidR="0055213A" w:rsidRPr="001D7DBE">
        <w:rPr>
          <w:rFonts w:ascii="Book Antiqua" w:hAnsi="Book Antiqua"/>
        </w:rPr>
        <w:t xml:space="preserve"> Recorded</w:t>
      </w:r>
      <w:r w:rsidRPr="001D7DBE">
        <w:rPr>
          <w:rFonts w:ascii="Book Antiqua" w:hAnsi="Book Antiqua"/>
        </w:rPr>
        <w:t xml:space="preserve"> Hospital characteristics </w:t>
      </w:r>
      <w:r w:rsidR="0055213A" w:rsidRPr="001D7DBE">
        <w:rPr>
          <w:rFonts w:ascii="Book Antiqua" w:hAnsi="Book Antiqua"/>
        </w:rPr>
        <w:t xml:space="preserve">were </w:t>
      </w:r>
      <w:r w:rsidRPr="001D7DBE">
        <w:rPr>
          <w:rFonts w:ascii="Book Antiqua" w:hAnsi="Book Antiqua"/>
        </w:rPr>
        <w:t xml:space="preserve">ownership (public, not-for-profit, or private investor-owned), teaching status, </w:t>
      </w:r>
      <w:r w:rsidR="0055213A" w:rsidRPr="001D7DBE">
        <w:rPr>
          <w:rFonts w:ascii="Book Antiqua" w:hAnsi="Book Antiqua"/>
        </w:rPr>
        <w:t>Urban or rural Location</w:t>
      </w:r>
      <w:r w:rsidRPr="001D7DBE">
        <w:rPr>
          <w:rFonts w:ascii="Book Antiqua" w:hAnsi="Book Antiqua"/>
        </w:rPr>
        <w:t>, and</w:t>
      </w:r>
      <w:r w:rsidR="00002E74" w:rsidRPr="001D7DBE">
        <w:rPr>
          <w:rFonts w:ascii="Book Antiqua" w:hAnsi="Book Antiqua"/>
        </w:rPr>
        <w:t xml:space="preserve"> </w:t>
      </w:r>
      <w:r w:rsidRPr="001D7DBE">
        <w:rPr>
          <w:rFonts w:ascii="Book Antiqua" w:hAnsi="Book Antiqua"/>
        </w:rPr>
        <w:t xml:space="preserve">region (Northeast, Midwest, South, or West). </w:t>
      </w:r>
      <w:r w:rsidR="0055213A" w:rsidRPr="001D7DBE">
        <w:rPr>
          <w:rFonts w:ascii="Book Antiqua" w:hAnsi="Book Antiqua"/>
        </w:rPr>
        <w:t xml:space="preserve">We analyzed patient insurance type </w:t>
      </w:r>
      <w:r w:rsidRPr="001D7DBE">
        <w:rPr>
          <w:rFonts w:ascii="Book Antiqua" w:hAnsi="Book Antiqua"/>
        </w:rPr>
        <w:t>(Medicare, Medicaid, private, or self-pay), and charges during the stay.</w:t>
      </w:r>
    </w:p>
    <w:p w14:paraId="66F18C95" w14:textId="77777777" w:rsidR="00DE1237" w:rsidRPr="001D7DBE" w:rsidRDefault="00DE1237" w:rsidP="001D7DBE">
      <w:pPr>
        <w:spacing w:line="360" w:lineRule="auto"/>
        <w:jc w:val="both"/>
        <w:rPr>
          <w:rFonts w:ascii="Book Antiqua" w:hAnsi="Book Antiqua"/>
        </w:rPr>
      </w:pPr>
    </w:p>
    <w:p w14:paraId="5BAB0E63" w14:textId="60E08CC7" w:rsidR="00DE1237" w:rsidRPr="001D7DBE" w:rsidRDefault="00DE1237" w:rsidP="001D7DBE">
      <w:pPr>
        <w:spacing w:line="360" w:lineRule="auto"/>
        <w:jc w:val="both"/>
        <w:rPr>
          <w:rFonts w:ascii="Book Antiqua" w:hAnsi="Book Antiqua"/>
          <w:b/>
          <w:bCs/>
          <w:i/>
        </w:rPr>
      </w:pPr>
      <w:r w:rsidRPr="001D7DBE">
        <w:rPr>
          <w:rFonts w:ascii="Book Antiqua" w:hAnsi="Book Antiqua"/>
          <w:b/>
          <w:bCs/>
          <w:i/>
        </w:rPr>
        <w:t>Statistical analysis</w:t>
      </w:r>
    </w:p>
    <w:p w14:paraId="4C53D923" w14:textId="51D25163" w:rsidR="00DE1237" w:rsidRPr="001D7DBE" w:rsidDel="00754495" w:rsidRDefault="00DE1237" w:rsidP="001D7DBE">
      <w:pPr>
        <w:spacing w:line="360" w:lineRule="auto"/>
        <w:jc w:val="both"/>
        <w:rPr>
          <w:rFonts w:ascii="Book Antiqua" w:hAnsi="Book Antiqua"/>
        </w:rPr>
      </w:pPr>
      <w:r w:rsidRPr="001D7DBE">
        <w:rPr>
          <w:rFonts w:ascii="Book Antiqua" w:hAnsi="Book Antiqua"/>
        </w:rPr>
        <w:t xml:space="preserve">Statistical analysis was performed using SPSS version 23 (IBM Corporation, Armonk, </w:t>
      </w:r>
      <w:r w:rsidR="00D72391" w:rsidRPr="001D7DBE">
        <w:rPr>
          <w:rFonts w:ascii="Book Antiqua" w:hAnsi="Book Antiqua"/>
        </w:rPr>
        <w:t>New York</w:t>
      </w:r>
      <w:r w:rsidRPr="001D7DBE">
        <w:rPr>
          <w:rFonts w:ascii="Book Antiqua" w:hAnsi="Book Antiqua"/>
        </w:rPr>
        <w:t xml:space="preserve">), specifically SPSS complex samples procedure to model the strata, clustering (hospitals), and weighting of the NIS sample design. Chi-square tests were </w:t>
      </w:r>
      <w:r w:rsidR="00C32F73" w:rsidRPr="001D7DBE">
        <w:rPr>
          <w:rFonts w:ascii="Book Antiqua" w:hAnsi="Book Antiqua"/>
        </w:rPr>
        <w:t>utilized for</w:t>
      </w:r>
      <w:r w:rsidRPr="001D7DBE">
        <w:rPr>
          <w:rFonts w:ascii="Book Antiqua" w:hAnsi="Book Antiqua"/>
        </w:rPr>
        <w:t xml:space="preserve"> categorical variables and </w:t>
      </w:r>
      <w:r w:rsidRPr="001D7DBE">
        <w:rPr>
          <w:rFonts w:ascii="Book Antiqua" w:hAnsi="Book Antiqua"/>
          <w:i/>
          <w:iCs/>
        </w:rPr>
        <w:t>t</w:t>
      </w:r>
      <w:r w:rsidRPr="001D7DBE">
        <w:rPr>
          <w:rFonts w:ascii="Book Antiqua" w:hAnsi="Book Antiqua"/>
        </w:rPr>
        <w:t xml:space="preserve"> tests </w:t>
      </w:r>
      <w:r w:rsidR="00C32F73" w:rsidRPr="001D7DBE">
        <w:rPr>
          <w:rFonts w:ascii="Book Antiqua" w:hAnsi="Book Antiqua"/>
        </w:rPr>
        <w:t xml:space="preserve">were employed for </w:t>
      </w:r>
      <w:r w:rsidRPr="001D7DBE">
        <w:rPr>
          <w:rFonts w:ascii="Book Antiqua" w:hAnsi="Book Antiqua"/>
        </w:rPr>
        <w:t xml:space="preserve">continuous variables. Categorical variables are presented as percentages and continuous variables as means. Yearly trends were analyzed using linear regression modeling. </w:t>
      </w:r>
      <w:r w:rsidRPr="001D7DBE">
        <w:rPr>
          <w:rFonts w:ascii="Book Antiqua" w:hAnsi="Book Antiqua"/>
          <w:i/>
          <w:iCs/>
        </w:rPr>
        <w:t>P</w:t>
      </w:r>
      <w:r w:rsidRPr="001D7DBE">
        <w:rPr>
          <w:rFonts w:ascii="Book Antiqua" w:hAnsi="Book Antiqua"/>
        </w:rPr>
        <w:t>-values</w:t>
      </w:r>
      <w:r w:rsidR="00F5214A" w:rsidRPr="001D7DBE">
        <w:rPr>
          <w:rFonts w:ascii="Book Antiqua" w:hAnsi="Book Antiqua"/>
        </w:rPr>
        <w:t xml:space="preserve"> of</w:t>
      </w:r>
      <w:r w:rsidRPr="001D7DBE">
        <w:rPr>
          <w:rFonts w:ascii="Book Antiqua" w:hAnsi="Book Antiqua"/>
        </w:rPr>
        <w:t xml:space="preserve"> less than 0.05 were </w:t>
      </w:r>
      <w:r w:rsidR="00F5214A" w:rsidRPr="001D7DBE">
        <w:rPr>
          <w:rFonts w:ascii="Book Antiqua" w:hAnsi="Book Antiqua"/>
        </w:rPr>
        <w:t xml:space="preserve">interpreted as </w:t>
      </w:r>
      <w:r w:rsidRPr="001D7DBE">
        <w:rPr>
          <w:rFonts w:ascii="Book Antiqua" w:hAnsi="Book Antiqua"/>
        </w:rPr>
        <w:t>statistically significant.</w:t>
      </w:r>
    </w:p>
    <w:p w14:paraId="47BDE024" w14:textId="77777777" w:rsidR="00DE1237" w:rsidRPr="001D7DBE" w:rsidRDefault="00DE1237" w:rsidP="001D7DBE">
      <w:pPr>
        <w:spacing w:line="360" w:lineRule="auto"/>
        <w:jc w:val="both"/>
        <w:rPr>
          <w:rFonts w:ascii="Book Antiqua" w:hAnsi="Book Antiqua"/>
          <w:b/>
        </w:rPr>
      </w:pPr>
    </w:p>
    <w:p w14:paraId="5A4CA968" w14:textId="77777777" w:rsidR="00DE1237" w:rsidRPr="001D7DBE" w:rsidRDefault="00DE1237" w:rsidP="001D7DBE">
      <w:pPr>
        <w:spacing w:line="360" w:lineRule="auto"/>
        <w:jc w:val="both"/>
        <w:rPr>
          <w:rFonts w:ascii="Book Antiqua" w:eastAsia="Cambria" w:hAnsi="Book Antiqua"/>
          <w:b/>
          <w:caps/>
        </w:rPr>
      </w:pPr>
      <w:r w:rsidRPr="001D7DBE">
        <w:rPr>
          <w:rFonts w:ascii="Book Antiqua" w:eastAsia="Cambria" w:hAnsi="Book Antiqua"/>
          <w:b/>
          <w:caps/>
        </w:rPr>
        <w:t>Results</w:t>
      </w:r>
    </w:p>
    <w:p w14:paraId="4A0BDCF0" w14:textId="6EA390F1" w:rsidR="00DE1237" w:rsidRPr="001D7DBE" w:rsidRDefault="00DE1237" w:rsidP="001D7DBE">
      <w:pPr>
        <w:spacing w:line="360" w:lineRule="auto"/>
        <w:jc w:val="both"/>
        <w:rPr>
          <w:rFonts w:ascii="Book Antiqua" w:eastAsia="Cambria" w:hAnsi="Book Antiqua"/>
        </w:rPr>
      </w:pPr>
      <w:r w:rsidRPr="001D7DBE">
        <w:rPr>
          <w:rFonts w:ascii="Book Antiqua" w:eastAsia="Cambria" w:hAnsi="Book Antiqua"/>
        </w:rPr>
        <w:t xml:space="preserve">Of the total 502060 patients who underwent arthroplasty for a femoral neck fracture, 51568 (10.3%) were THA. Between 2005 and 2014, </w:t>
      </w:r>
      <w:r w:rsidR="000D4B39" w:rsidRPr="001D7DBE">
        <w:rPr>
          <w:rFonts w:ascii="Book Antiqua" w:eastAsia="Cambria" w:hAnsi="Book Antiqua"/>
        </w:rPr>
        <w:t xml:space="preserve">the percentage of femoral neck fractures treated with </w:t>
      </w:r>
      <w:r w:rsidRPr="001D7DBE">
        <w:rPr>
          <w:rFonts w:ascii="Book Antiqua" w:eastAsia="Cambria" w:hAnsi="Book Antiqua"/>
        </w:rPr>
        <w:t>THA rose from 8.3</w:t>
      </w:r>
      <w:r w:rsidR="00D72391" w:rsidRPr="001D7DBE">
        <w:rPr>
          <w:rFonts w:ascii="Book Antiqua" w:eastAsia="Cambria" w:hAnsi="Book Antiqua"/>
        </w:rPr>
        <w:t>%</w:t>
      </w:r>
      <w:r w:rsidRPr="001D7DBE">
        <w:rPr>
          <w:rFonts w:ascii="Book Antiqua" w:eastAsia="Cambria" w:hAnsi="Book Antiqua"/>
        </w:rPr>
        <w:t xml:space="preserve"> to 13.7% (</w:t>
      </w:r>
      <w:r w:rsidR="00D72391" w:rsidRPr="001D7DBE">
        <w:rPr>
          <w:rFonts w:ascii="Book Antiqua" w:eastAsia="Cambria" w:hAnsi="Book Antiqua"/>
          <w:iCs/>
        </w:rPr>
        <w:t xml:space="preserve">Figure </w:t>
      </w:r>
      <w:r w:rsidRPr="001D7DBE">
        <w:rPr>
          <w:rFonts w:ascii="Book Antiqua" w:eastAsia="Cambria" w:hAnsi="Book Antiqua"/>
          <w:iCs/>
        </w:rPr>
        <w:t>1</w:t>
      </w:r>
      <w:r w:rsidRPr="001D7DBE">
        <w:rPr>
          <w:rFonts w:ascii="Book Antiqua" w:eastAsia="Cambria" w:hAnsi="Book Antiqua"/>
        </w:rPr>
        <w:t>). The HA group was generally less healthy, with higher rates of congestive heart failure (16.8</w:t>
      </w:r>
      <w:r w:rsidR="00D72391"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11.0%, </w:t>
      </w:r>
      <w:r w:rsidRPr="001D7DBE">
        <w:rPr>
          <w:rFonts w:ascii="Book Antiqua" w:eastAsia="Cambria" w:hAnsi="Book Antiqua"/>
          <w:i/>
          <w:iCs/>
          <w:caps/>
        </w:rPr>
        <w:t>p</w:t>
      </w:r>
      <w:r w:rsidR="00D72391" w:rsidRPr="001D7DBE">
        <w:rPr>
          <w:rFonts w:ascii="Book Antiqua" w:eastAsia="Cambria" w:hAnsi="Book Antiqua"/>
        </w:rPr>
        <w:t xml:space="preserve"> </w:t>
      </w:r>
      <w:r w:rsidRPr="001D7DBE">
        <w:rPr>
          <w:rFonts w:ascii="Book Antiqua" w:eastAsia="Cambria" w:hAnsi="Book Antiqua"/>
        </w:rPr>
        <w:t>&lt;</w:t>
      </w:r>
      <w:r w:rsidR="00D72391" w:rsidRPr="001D7DBE">
        <w:rPr>
          <w:rFonts w:ascii="Book Antiqua" w:eastAsia="Cambria" w:hAnsi="Book Antiqua"/>
        </w:rPr>
        <w:t xml:space="preserve"> </w:t>
      </w:r>
      <w:r w:rsidRPr="001D7DBE">
        <w:rPr>
          <w:rFonts w:ascii="Book Antiqua" w:eastAsia="Cambria" w:hAnsi="Book Antiqua"/>
        </w:rPr>
        <w:t>0.001), chronic lung disease (21.6</w:t>
      </w:r>
      <w:r w:rsidR="00D72391"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20.3%, </w:t>
      </w:r>
      <w:r w:rsidRPr="001D7DBE">
        <w:rPr>
          <w:rFonts w:ascii="Book Antiqua" w:eastAsia="Cambria" w:hAnsi="Book Antiqua"/>
          <w:i/>
          <w:iCs/>
          <w:caps/>
        </w:rPr>
        <w:t>p</w:t>
      </w:r>
      <w:r w:rsidR="00D72391" w:rsidRPr="001D7DBE">
        <w:rPr>
          <w:rFonts w:ascii="Book Antiqua" w:eastAsia="Cambria" w:hAnsi="Book Antiqua"/>
        </w:rPr>
        <w:t xml:space="preserve"> </w:t>
      </w:r>
      <w:r w:rsidRPr="001D7DBE">
        <w:rPr>
          <w:rFonts w:ascii="Book Antiqua" w:eastAsia="Cambria" w:hAnsi="Book Antiqua"/>
        </w:rPr>
        <w:t>=</w:t>
      </w:r>
      <w:r w:rsidR="00D72391" w:rsidRPr="001D7DBE">
        <w:rPr>
          <w:rFonts w:ascii="Book Antiqua" w:eastAsia="Cambria" w:hAnsi="Book Antiqua"/>
        </w:rPr>
        <w:t xml:space="preserve"> </w:t>
      </w:r>
      <w:r w:rsidRPr="001D7DBE">
        <w:rPr>
          <w:rFonts w:ascii="Book Antiqua" w:eastAsia="Cambria" w:hAnsi="Book Antiqua"/>
        </w:rPr>
        <w:t>0.004), diabetes (17.0</w:t>
      </w:r>
      <w:r w:rsidR="00D72391"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15.3%,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hypertension (69.0</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62.2%,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and renal failure (13.4</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9.6%,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w:t>
      </w:r>
      <w:r w:rsidR="00A873C3" w:rsidRPr="001D7DBE">
        <w:rPr>
          <w:rFonts w:ascii="Book Antiqua" w:eastAsia="Cambria" w:hAnsi="Book Antiqua"/>
          <w:iCs/>
        </w:rPr>
        <w:t xml:space="preserve">Table </w:t>
      </w:r>
      <w:r w:rsidRPr="001D7DBE">
        <w:rPr>
          <w:rFonts w:ascii="Book Antiqua" w:eastAsia="Cambria" w:hAnsi="Book Antiqua"/>
          <w:iCs/>
        </w:rPr>
        <w:t>1</w:t>
      </w:r>
      <w:r w:rsidRPr="001D7DBE">
        <w:rPr>
          <w:rFonts w:ascii="Book Antiqua" w:eastAsia="Cambria" w:hAnsi="Book Antiqua"/>
        </w:rPr>
        <w:t xml:space="preserve">) Hemiarthroplasty patients were on average older (81.1 </w:t>
      </w:r>
      <w:r w:rsidR="00B37BA7">
        <w:rPr>
          <w:rFonts w:ascii="Book Antiqua" w:eastAsia="Cambria" w:hAnsi="Book Antiqua"/>
        </w:rPr>
        <w:t xml:space="preserve">years </w:t>
      </w:r>
      <w:r w:rsidRPr="001D7DBE">
        <w:rPr>
          <w:rFonts w:ascii="Book Antiqua" w:eastAsia="Cambria" w:hAnsi="Book Antiqua"/>
          <w:i/>
          <w:iCs/>
        </w:rPr>
        <w:t>vs</w:t>
      </w:r>
      <w:r w:rsidRPr="001D7DBE">
        <w:rPr>
          <w:rFonts w:ascii="Book Antiqua" w:eastAsia="Cambria" w:hAnsi="Book Antiqua"/>
        </w:rPr>
        <w:t xml:space="preserve"> 74.5 </w:t>
      </w:r>
      <w:r w:rsidRPr="001D7DBE">
        <w:rPr>
          <w:rFonts w:ascii="Book Antiqua" w:eastAsia="Cambria" w:hAnsi="Book Antiqua"/>
        </w:rPr>
        <w:lastRenderedPageBreak/>
        <w:t xml:space="preserve">years,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w:t>
      </w:r>
      <w:r w:rsidR="00A873C3" w:rsidRPr="001D7DBE">
        <w:rPr>
          <w:rFonts w:ascii="Book Antiqua" w:eastAsia="Cambria" w:hAnsi="Book Antiqua"/>
          <w:iCs/>
        </w:rPr>
        <w:t>Figure</w:t>
      </w:r>
      <w:r w:rsidR="00A873C3" w:rsidRPr="001D7DBE">
        <w:rPr>
          <w:rFonts w:ascii="Book Antiqua" w:eastAsia="Cambria" w:hAnsi="Book Antiqua"/>
          <w:i/>
        </w:rPr>
        <w:t xml:space="preserve"> </w:t>
      </w:r>
      <w:r w:rsidRPr="001D7DBE">
        <w:rPr>
          <w:rFonts w:ascii="Book Antiqua" w:eastAsia="Cambria" w:hAnsi="Book Antiqua"/>
          <w:iCs/>
        </w:rPr>
        <w:t>2)</w:t>
      </w:r>
      <w:r w:rsidR="00935AF9">
        <w:rPr>
          <w:rFonts w:ascii="Book Antiqua" w:eastAsia="Cambria" w:hAnsi="Book Antiqua"/>
          <w:iCs/>
        </w:rPr>
        <w:t>.</w:t>
      </w:r>
      <w:r w:rsidRPr="001D7DBE">
        <w:rPr>
          <w:rFonts w:ascii="Book Antiqua" w:eastAsia="Cambria" w:hAnsi="Book Antiqua"/>
        </w:rPr>
        <w:t xml:space="preserve"> Private insurance accounted for a higher percentage of THA than HA (17.3</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 xml:space="preserve">vs </w:t>
      </w:r>
      <w:r w:rsidRPr="001D7DBE">
        <w:rPr>
          <w:rFonts w:ascii="Book Antiqua" w:eastAsia="Cambria" w:hAnsi="Book Antiqua"/>
        </w:rPr>
        <w:t xml:space="preserve">7.4%,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w:t>
      </w:r>
      <w:r w:rsidR="00A873C3" w:rsidRPr="001D7DBE">
        <w:rPr>
          <w:rFonts w:ascii="Book Antiqua" w:eastAsia="Cambria" w:hAnsi="Book Antiqua"/>
          <w:iCs/>
        </w:rPr>
        <w:t>Table</w:t>
      </w:r>
      <w:r w:rsidRPr="001D7DBE">
        <w:rPr>
          <w:rFonts w:ascii="Book Antiqua" w:eastAsia="Cambria" w:hAnsi="Book Antiqua"/>
          <w:iCs/>
        </w:rPr>
        <w:t xml:space="preserve"> 2</w:t>
      </w:r>
      <w:r w:rsidRPr="001D7DBE">
        <w:rPr>
          <w:rFonts w:ascii="Book Antiqua" w:eastAsia="Cambria" w:hAnsi="Book Antiqua"/>
        </w:rPr>
        <w:t xml:space="preserve">). </w:t>
      </w:r>
      <w:bookmarkStart w:id="330" w:name="_Hlk528853940"/>
      <w:r w:rsidRPr="001D7DBE">
        <w:rPr>
          <w:rFonts w:ascii="Book Antiqua" w:eastAsia="Cambria" w:hAnsi="Book Antiqua"/>
        </w:rPr>
        <w:t>THA has increased most in urban teaching hospitals (7.9% to 14.7%) relative to urban non-teaching (mean 11.1</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10.0%, OR</w:t>
      </w:r>
      <w:r w:rsidR="00A873C3" w:rsidRPr="001D7DBE">
        <w:rPr>
          <w:rFonts w:ascii="Book Antiqua" w:eastAsia="Cambria" w:hAnsi="Book Antiqua"/>
        </w:rPr>
        <w:t xml:space="preserve"> </w:t>
      </w:r>
      <w:r w:rsidRPr="001D7DBE">
        <w:rPr>
          <w:rFonts w:ascii="Book Antiqua" w:eastAsia="Cambria" w:hAnsi="Book Antiqua"/>
        </w:rPr>
        <w:t>=</w:t>
      </w:r>
      <w:r w:rsidR="00A873C3" w:rsidRPr="001D7DBE">
        <w:rPr>
          <w:rFonts w:ascii="Book Antiqua" w:eastAsia="Cambria" w:hAnsi="Book Antiqua"/>
        </w:rPr>
        <w:t xml:space="preserve"> </w:t>
      </w:r>
      <w:r w:rsidRPr="001D7DBE">
        <w:rPr>
          <w:rFonts w:ascii="Book Antiqua" w:eastAsia="Cambria" w:hAnsi="Book Antiqua"/>
        </w:rPr>
        <w:t xml:space="preserve">1.05,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w:t>
      </w:r>
      <w:r w:rsidR="00A873C3" w:rsidRPr="001D7DBE">
        <w:rPr>
          <w:rFonts w:ascii="Book Antiqua" w:eastAsia="Cambria" w:hAnsi="Book Antiqua"/>
        </w:rPr>
        <w:t xml:space="preserve"> 0</w:t>
      </w:r>
      <w:r w:rsidRPr="001D7DBE">
        <w:rPr>
          <w:rFonts w:ascii="Book Antiqua" w:eastAsia="Cambria" w:hAnsi="Book Antiqua"/>
        </w:rPr>
        <w:t xml:space="preserve">.002) over the ten-year study period </w:t>
      </w:r>
      <w:bookmarkEnd w:id="330"/>
      <w:r w:rsidR="00A873C3" w:rsidRPr="001D7DBE">
        <w:rPr>
          <w:rFonts w:ascii="Book Antiqua" w:eastAsia="Cambria" w:hAnsi="Book Antiqua"/>
        </w:rPr>
        <w:t>(Figure 3</w:t>
      </w:r>
      <w:r w:rsidRPr="001D7DBE">
        <w:rPr>
          <w:rFonts w:ascii="Book Antiqua" w:eastAsia="Cambria" w:hAnsi="Book Antiqua"/>
        </w:rPr>
        <w:t>)</w:t>
      </w:r>
      <w:r w:rsidR="00935AF9">
        <w:rPr>
          <w:rFonts w:ascii="Book Antiqua" w:eastAsia="Cambria" w:hAnsi="Book Antiqua"/>
        </w:rPr>
        <w:t>.</w:t>
      </w:r>
      <w:r w:rsidRPr="001D7DBE">
        <w:rPr>
          <w:rFonts w:ascii="Book Antiqua" w:eastAsia="Cambria" w:hAnsi="Book Antiqua"/>
        </w:rPr>
        <w:t xml:space="preserve"> The mean LOS was statistically different but clinically similar for HA (5.6 </w:t>
      </w:r>
      <w:r w:rsidR="00B37BA7">
        <w:rPr>
          <w:rFonts w:ascii="Book Antiqua" w:eastAsia="Cambria" w:hAnsi="Book Antiqua"/>
        </w:rPr>
        <w:t xml:space="preserve">d </w:t>
      </w:r>
      <w:r w:rsidRPr="001D7DBE">
        <w:rPr>
          <w:rFonts w:ascii="Book Antiqua" w:eastAsia="Cambria" w:hAnsi="Book Antiqua"/>
          <w:i/>
          <w:iCs/>
        </w:rPr>
        <w:t>vs</w:t>
      </w:r>
      <w:r w:rsidRPr="001D7DBE">
        <w:rPr>
          <w:rFonts w:ascii="Book Antiqua" w:eastAsia="Cambria" w:hAnsi="Book Antiqua"/>
        </w:rPr>
        <w:t xml:space="preserve"> 5.5 d,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 xml:space="preserve">0.001). While the mean LOS decreased over time for both groups, the rate of decline was significantly greater for the THA cases (decrease of 1.1 </w:t>
      </w:r>
      <w:r w:rsidRPr="001D7DBE">
        <w:rPr>
          <w:rFonts w:ascii="Book Antiqua" w:eastAsia="Cambria" w:hAnsi="Book Antiqua"/>
          <w:i/>
          <w:iCs/>
        </w:rPr>
        <w:t>vs</w:t>
      </w:r>
      <w:r w:rsidRPr="001D7DBE">
        <w:rPr>
          <w:rFonts w:ascii="Book Antiqua" w:eastAsia="Cambria" w:hAnsi="Book Antiqua"/>
        </w:rPr>
        <w:t xml:space="preserve"> 0.7 d,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0</w:t>
      </w:r>
      <w:r w:rsidRPr="001D7DBE">
        <w:rPr>
          <w:rFonts w:ascii="Book Antiqua" w:eastAsia="Cambria" w:hAnsi="Book Antiqua"/>
        </w:rPr>
        <w:t>.0001) (</w:t>
      </w:r>
      <w:r w:rsidR="00A873C3" w:rsidRPr="001D7DBE">
        <w:rPr>
          <w:rFonts w:ascii="Book Antiqua" w:eastAsia="Cambria" w:hAnsi="Book Antiqua"/>
        </w:rPr>
        <w:t>Figure 4)</w:t>
      </w:r>
      <w:r w:rsidR="00935AF9">
        <w:rPr>
          <w:rFonts w:ascii="Book Antiqua" w:eastAsia="Cambria" w:hAnsi="Book Antiqua"/>
        </w:rPr>
        <w:t>.</w:t>
      </w:r>
      <w:r w:rsidRPr="001D7DBE">
        <w:rPr>
          <w:rFonts w:ascii="Book Antiqua" w:eastAsia="Cambria" w:hAnsi="Book Antiqua"/>
        </w:rPr>
        <w:t xml:space="preserve"> The mean charges (adjusted to 2014 dollars) w</w:t>
      </w:r>
      <w:r w:rsidR="0003088D" w:rsidRPr="001D7DBE">
        <w:rPr>
          <w:rFonts w:ascii="Book Antiqua" w:eastAsia="Cambria" w:hAnsi="Book Antiqua"/>
        </w:rPr>
        <w:t>ere</w:t>
      </w:r>
      <w:r w:rsidRPr="001D7DBE">
        <w:rPr>
          <w:rFonts w:ascii="Book Antiqua" w:eastAsia="Cambria" w:hAnsi="Book Antiqua"/>
        </w:rPr>
        <w:t xml:space="preserve"> less for HA ($49866 </w:t>
      </w:r>
      <w:r w:rsidRPr="001D7DBE">
        <w:rPr>
          <w:rFonts w:ascii="Book Antiqua" w:eastAsia="Cambria" w:hAnsi="Book Antiqua"/>
          <w:i/>
          <w:iCs/>
        </w:rPr>
        <w:t>vs</w:t>
      </w:r>
      <w:r w:rsidRPr="001D7DBE">
        <w:rPr>
          <w:rFonts w:ascii="Book Antiqua" w:eastAsia="Cambria" w:hAnsi="Book Antiqua"/>
        </w:rPr>
        <w:t xml:space="preserve"> $59826,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0</w:t>
      </w:r>
      <w:r w:rsidRPr="001D7DBE">
        <w:rPr>
          <w:rFonts w:ascii="Book Antiqua" w:eastAsia="Cambria" w:hAnsi="Book Antiqua"/>
        </w:rPr>
        <w:t xml:space="preserve">.0001), however </w:t>
      </w:r>
      <w:r w:rsidR="0003088D" w:rsidRPr="001D7DBE">
        <w:rPr>
          <w:rFonts w:ascii="Book Antiqua" w:eastAsia="Cambria" w:hAnsi="Book Antiqua"/>
        </w:rPr>
        <w:t xml:space="preserve">they </w:t>
      </w:r>
      <w:r w:rsidRPr="001D7DBE">
        <w:rPr>
          <w:rFonts w:ascii="Book Antiqua" w:eastAsia="Cambria" w:hAnsi="Book Antiqua"/>
        </w:rPr>
        <w:t>increased steadily for both groups (</w:t>
      </w:r>
      <w:r w:rsidR="00A873C3" w:rsidRPr="001D7DBE">
        <w:rPr>
          <w:rFonts w:ascii="Book Antiqua" w:eastAsia="Cambria" w:hAnsi="Book Antiqua"/>
          <w:iCs/>
        </w:rPr>
        <w:t>Figure 5</w:t>
      </w:r>
      <w:r w:rsidRPr="001D7DBE">
        <w:rPr>
          <w:rFonts w:ascii="Book Antiqua" w:eastAsia="Cambria" w:hAnsi="Book Antiqua"/>
        </w:rPr>
        <w:t>)</w:t>
      </w:r>
      <w:r w:rsidR="00935AF9">
        <w:rPr>
          <w:rFonts w:ascii="Book Antiqua" w:eastAsia="Cambria" w:hAnsi="Book Antiqua"/>
        </w:rPr>
        <w:t>.</w:t>
      </w:r>
      <w:r w:rsidRPr="001D7DBE">
        <w:rPr>
          <w:rFonts w:ascii="Book Antiqua" w:eastAsia="Cambria" w:hAnsi="Book Antiqua"/>
        </w:rPr>
        <w:t xml:space="preserve"> Overall, HA had a higher </w:t>
      </w:r>
      <w:r w:rsidR="00795E66" w:rsidRPr="001D7DBE">
        <w:rPr>
          <w:rFonts w:ascii="Book Antiqua" w:eastAsia="Cambria" w:hAnsi="Book Antiqua"/>
        </w:rPr>
        <w:t xml:space="preserve">in-hospital </w:t>
      </w:r>
      <w:r w:rsidRPr="001D7DBE">
        <w:rPr>
          <w:rFonts w:ascii="Book Antiqua" w:eastAsia="Cambria" w:hAnsi="Book Antiqua"/>
        </w:rPr>
        <w:t>mortality rate (2.3</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1.4%, </w:t>
      </w:r>
      <w:r w:rsidRPr="001D7DBE">
        <w:rPr>
          <w:rFonts w:ascii="Book Antiqua" w:eastAsia="Cambria" w:hAnsi="Book Antiqua"/>
          <w:i/>
          <w:iCs/>
          <w:caps/>
        </w:rPr>
        <w:t>p</w:t>
      </w:r>
      <w:r w:rsidR="00A873C3" w:rsidRPr="001D7DBE">
        <w:rPr>
          <w:rFonts w:ascii="Book Antiqua" w:eastAsia="Cambria" w:hAnsi="Book Antiqua"/>
          <w:i/>
          <w:iCs/>
          <w:caps/>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however, after adjusting for age and comorbidities HA was not an independent risk factor for</w:t>
      </w:r>
      <w:r w:rsidR="00795E66" w:rsidRPr="001D7DBE">
        <w:rPr>
          <w:rFonts w:ascii="Book Antiqua" w:eastAsia="Cambria" w:hAnsi="Book Antiqua"/>
        </w:rPr>
        <w:t xml:space="preserve"> in-hospital</w:t>
      </w:r>
      <w:r w:rsidRPr="001D7DBE">
        <w:rPr>
          <w:rFonts w:ascii="Book Antiqua" w:eastAsia="Cambria" w:hAnsi="Book Antiqua"/>
        </w:rPr>
        <w:t xml:space="preserve"> mortality (OR </w:t>
      </w:r>
      <w:r w:rsidR="00A873C3" w:rsidRPr="001D7DBE">
        <w:rPr>
          <w:rFonts w:ascii="Book Antiqua" w:eastAsia="Cambria" w:hAnsi="Book Antiqua"/>
        </w:rPr>
        <w:t xml:space="preserve">= </w:t>
      </w:r>
      <w:r w:rsidRPr="001D7DBE">
        <w:rPr>
          <w:rFonts w:ascii="Book Antiqua" w:eastAsia="Cambria" w:hAnsi="Book Antiqua"/>
        </w:rPr>
        <w:t xml:space="preserve">0.998,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w:t>
      </w:r>
      <w:r w:rsidR="00A873C3" w:rsidRPr="001D7DBE">
        <w:rPr>
          <w:rFonts w:ascii="Book Antiqua" w:eastAsia="Cambria" w:hAnsi="Book Antiqua"/>
        </w:rPr>
        <w:t xml:space="preserve"> </w:t>
      </w:r>
      <w:r w:rsidRPr="001D7DBE">
        <w:rPr>
          <w:rFonts w:ascii="Book Antiqua" w:eastAsia="Cambria" w:hAnsi="Book Antiqua"/>
        </w:rPr>
        <w:t>0.94). Multivariate analysis adjusting for demographics, comorbidities and age found private insurance (</w:t>
      </w:r>
      <w:r w:rsidRPr="001D7DBE">
        <w:rPr>
          <w:rFonts w:ascii="Book Antiqua" w:eastAsia="Cambria" w:hAnsi="Book Antiqua"/>
          <w:i/>
          <w:iCs/>
        </w:rPr>
        <w:t>vs</w:t>
      </w:r>
      <w:r w:rsidRPr="001D7DBE">
        <w:rPr>
          <w:rFonts w:ascii="Book Antiqua" w:eastAsia="Cambria" w:hAnsi="Book Antiqua"/>
        </w:rPr>
        <w:t xml:space="preserve"> medicare) to be an independent predictor of being treated with THA (OR </w:t>
      </w:r>
      <w:r w:rsidR="00A873C3" w:rsidRPr="001D7DBE">
        <w:rPr>
          <w:rFonts w:ascii="Book Antiqua" w:eastAsia="Cambria" w:hAnsi="Book Antiqua"/>
        </w:rPr>
        <w:t xml:space="preserve">= </w:t>
      </w:r>
      <w:r w:rsidRPr="001D7DBE">
        <w:rPr>
          <w:rFonts w:ascii="Book Antiqua" w:eastAsia="Cambria" w:hAnsi="Book Antiqua"/>
        </w:rPr>
        <w:t xml:space="preserve">1.46,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0</w:t>
      </w:r>
      <w:r w:rsidRPr="001D7DBE">
        <w:rPr>
          <w:rFonts w:ascii="Book Antiqua" w:eastAsia="Cambria" w:hAnsi="Book Antiqua"/>
        </w:rPr>
        <w:t>.0001).</w:t>
      </w:r>
    </w:p>
    <w:p w14:paraId="4427BB14" w14:textId="77777777" w:rsidR="00DE1237" w:rsidRPr="001D7DBE" w:rsidRDefault="00DE1237" w:rsidP="001D7DBE">
      <w:pPr>
        <w:spacing w:line="360" w:lineRule="auto"/>
        <w:jc w:val="both"/>
        <w:rPr>
          <w:rFonts w:ascii="Book Antiqua" w:eastAsia="Cambria" w:hAnsi="Book Antiqua"/>
        </w:rPr>
      </w:pPr>
    </w:p>
    <w:p w14:paraId="4340CA94" w14:textId="77777777" w:rsidR="00DE1237" w:rsidRPr="001D7DBE" w:rsidRDefault="00DE1237" w:rsidP="001D7DBE">
      <w:pPr>
        <w:spacing w:line="360" w:lineRule="auto"/>
        <w:jc w:val="both"/>
        <w:rPr>
          <w:rFonts w:ascii="Book Antiqua" w:hAnsi="Book Antiqua"/>
          <w:b/>
          <w:caps/>
        </w:rPr>
      </w:pPr>
      <w:r w:rsidRPr="001D7DBE">
        <w:rPr>
          <w:rFonts w:ascii="Book Antiqua" w:hAnsi="Book Antiqua"/>
          <w:b/>
          <w:caps/>
        </w:rPr>
        <w:t>Discussion</w:t>
      </w:r>
    </w:p>
    <w:p w14:paraId="01A63F78" w14:textId="1205D426" w:rsidR="00DE1237" w:rsidRPr="001D7DBE" w:rsidRDefault="00DE1237" w:rsidP="001D7DBE">
      <w:pPr>
        <w:spacing w:line="360" w:lineRule="auto"/>
        <w:jc w:val="both"/>
        <w:rPr>
          <w:rFonts w:ascii="Book Antiqua" w:hAnsi="Book Antiqua"/>
        </w:rPr>
      </w:pPr>
      <w:r w:rsidRPr="001D7DBE">
        <w:rPr>
          <w:rFonts w:ascii="Book Antiqua" w:hAnsi="Book Antiqua"/>
        </w:rPr>
        <w:t xml:space="preserve">In recent years, the incidence of femoral neck fractures has continued to decline, however the </w:t>
      </w:r>
      <w:r w:rsidR="0003088D" w:rsidRPr="001D7DBE">
        <w:rPr>
          <w:rFonts w:ascii="Book Antiqua" w:hAnsi="Book Antiqua"/>
        </w:rPr>
        <w:t xml:space="preserve">associated </w:t>
      </w:r>
      <w:r w:rsidRPr="001D7DBE">
        <w:rPr>
          <w:rFonts w:ascii="Book Antiqua" w:hAnsi="Book Antiqua"/>
        </w:rPr>
        <w:t>economic burden remains enormous</w:t>
      </w:r>
      <w:r w:rsidR="00045F1B" w:rsidRPr="001D7DBE">
        <w:rPr>
          <w:rFonts w:ascii="Book Antiqua" w:hAnsi="Book Antiqua"/>
          <w:vertAlign w:val="superscript"/>
        </w:rPr>
        <w:t>[</w:t>
      </w:r>
      <w:r w:rsidR="00955C7F" w:rsidRPr="001D7DBE">
        <w:rPr>
          <w:rFonts w:ascii="Book Antiqua" w:hAnsi="Book Antiqua"/>
          <w:noProof/>
          <w:vertAlign w:val="superscript"/>
        </w:rPr>
        <w:t>14–17</w:t>
      </w:r>
      <w:r w:rsidR="00045F1B" w:rsidRPr="001D7DBE">
        <w:rPr>
          <w:rFonts w:ascii="Book Antiqua" w:hAnsi="Book Antiqua"/>
          <w:vertAlign w:val="superscript"/>
        </w:rPr>
        <w:t>]</w:t>
      </w:r>
      <w:r w:rsidRPr="001D7DBE">
        <w:rPr>
          <w:rFonts w:ascii="Book Antiqua" w:hAnsi="Book Antiqua"/>
        </w:rPr>
        <w:t>. These fractures can be devastating to the patient and to the health care system because of the associated morbidity, mortality and cost</w:t>
      </w:r>
      <w:r w:rsidR="00045F1B" w:rsidRPr="001D7DBE">
        <w:rPr>
          <w:rFonts w:ascii="Book Antiqua" w:hAnsi="Book Antiqua"/>
          <w:vertAlign w:val="superscript"/>
        </w:rPr>
        <w:t>[</w:t>
      </w:r>
      <w:r w:rsidR="00955C7F" w:rsidRPr="001D7DBE">
        <w:rPr>
          <w:rFonts w:ascii="Book Antiqua" w:hAnsi="Book Antiqua"/>
          <w:noProof/>
          <w:vertAlign w:val="superscript"/>
        </w:rPr>
        <w:t>18</w:t>
      </w:r>
      <w:r w:rsidR="00045F1B" w:rsidRPr="001D7DBE">
        <w:rPr>
          <w:rFonts w:ascii="Book Antiqua" w:hAnsi="Book Antiqua"/>
          <w:vertAlign w:val="superscript"/>
        </w:rPr>
        <w:t>]</w:t>
      </w:r>
      <w:r w:rsidRPr="001D7DBE">
        <w:rPr>
          <w:rFonts w:ascii="Book Antiqua" w:hAnsi="Book Antiqua"/>
        </w:rPr>
        <w:t>. Displaced femoral neck fractures in the elderly are commonly treated with HA. However, recent studies have demonstrated that THA may have superior post-operative function, pain relief and lower re-operation rates when compared to HA in the setting of displaced femoral neck fractures</w:t>
      </w:r>
      <w:r w:rsidR="00045F1B" w:rsidRPr="001D7DBE">
        <w:rPr>
          <w:rFonts w:ascii="Book Antiqua" w:hAnsi="Book Antiqua"/>
          <w:vertAlign w:val="superscript"/>
        </w:rPr>
        <w:t>[</w:t>
      </w:r>
      <w:r w:rsidR="00955C7F" w:rsidRPr="001D7DBE">
        <w:rPr>
          <w:rFonts w:ascii="Book Antiqua" w:hAnsi="Book Antiqua"/>
          <w:noProof/>
          <w:vertAlign w:val="superscript"/>
        </w:rPr>
        <w:t>6,7,19</w:t>
      </w:r>
      <w:r w:rsidR="00045F1B" w:rsidRPr="001D7DBE">
        <w:rPr>
          <w:rFonts w:ascii="Book Antiqua" w:hAnsi="Book Antiqua"/>
          <w:vertAlign w:val="superscript"/>
        </w:rPr>
        <w:t>]</w:t>
      </w:r>
      <w:r w:rsidR="00A873C3" w:rsidRPr="001D7DBE">
        <w:rPr>
          <w:rFonts w:ascii="Book Antiqua" w:hAnsi="Book Antiqua"/>
        </w:rPr>
        <w:t>.</w:t>
      </w:r>
      <w:r w:rsidRPr="001D7DBE">
        <w:rPr>
          <w:rFonts w:ascii="Book Antiqua" w:hAnsi="Book Antiqua"/>
        </w:rPr>
        <w:t xml:space="preserve"> Despite these benefits, concerns for THA include longer operative time, increased surgical complexity, risk of postoperative dislocation, and higher initial cost</w:t>
      </w:r>
      <w:r w:rsidR="00045F1B" w:rsidRPr="001D7DBE">
        <w:rPr>
          <w:rFonts w:ascii="Book Antiqua" w:hAnsi="Book Antiqua"/>
          <w:vertAlign w:val="superscript"/>
        </w:rPr>
        <w:t>[</w:t>
      </w:r>
      <w:r w:rsidR="00955C7F" w:rsidRPr="001D7DBE">
        <w:rPr>
          <w:rFonts w:ascii="Book Antiqua" w:hAnsi="Book Antiqua"/>
          <w:noProof/>
          <w:vertAlign w:val="superscript"/>
        </w:rPr>
        <w:t>18</w:t>
      </w:r>
      <w:r w:rsidR="00045F1B" w:rsidRPr="001D7DBE">
        <w:rPr>
          <w:rFonts w:ascii="Book Antiqua" w:hAnsi="Book Antiqua"/>
          <w:vertAlign w:val="superscript"/>
        </w:rPr>
        <w:t>]</w:t>
      </w:r>
      <w:r w:rsidR="00045F1B" w:rsidRPr="001D7DBE">
        <w:rPr>
          <w:rFonts w:ascii="Book Antiqua" w:hAnsi="Book Antiqua"/>
        </w:rPr>
        <w:t>.</w:t>
      </w:r>
      <w:r w:rsidRPr="001D7DBE">
        <w:rPr>
          <w:rFonts w:ascii="Book Antiqua" w:hAnsi="Book Antiqua"/>
        </w:rPr>
        <w:t xml:space="preserve"> THA has become the preferred treatment for the healthier, higher demand elderly patient, meanwhile, HA is reserved for low-demand patients with significant comorbidities. Interestingly, despite increasing evidence in support of THA for geriatric femoral neck fractures, only recently has the literature demonstrated an increasing use of THA over HA</w:t>
      </w:r>
      <w:r w:rsidR="00045F1B" w:rsidRPr="001D7DBE">
        <w:rPr>
          <w:rFonts w:ascii="Book Antiqua" w:hAnsi="Book Antiqua"/>
          <w:vertAlign w:val="superscript"/>
        </w:rPr>
        <w:t>[</w:t>
      </w:r>
      <w:r w:rsidR="00955C7F" w:rsidRPr="001D7DBE">
        <w:rPr>
          <w:rFonts w:ascii="Book Antiqua" w:hAnsi="Book Antiqua"/>
          <w:noProof/>
          <w:vertAlign w:val="superscript"/>
        </w:rPr>
        <w:t>6,7</w:t>
      </w:r>
      <w:r w:rsidR="00045F1B" w:rsidRPr="001D7DBE">
        <w:rPr>
          <w:rFonts w:ascii="Book Antiqua" w:hAnsi="Book Antiqua"/>
          <w:vertAlign w:val="superscript"/>
        </w:rPr>
        <w:t>]</w:t>
      </w:r>
      <w:r w:rsidRPr="001D7DBE">
        <w:rPr>
          <w:rFonts w:ascii="Book Antiqua" w:hAnsi="Book Antiqua"/>
        </w:rPr>
        <w:t>.</w:t>
      </w:r>
    </w:p>
    <w:p w14:paraId="61DD92D1" w14:textId="64BD181E"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lastRenderedPageBreak/>
        <w:t>The present study found a</w:t>
      </w:r>
      <w:r w:rsidR="0003088D" w:rsidRPr="001D7DBE">
        <w:rPr>
          <w:rFonts w:ascii="Book Antiqua" w:hAnsi="Book Antiqua"/>
        </w:rPr>
        <w:t xml:space="preserve"> statistically significant</w:t>
      </w:r>
      <w:r w:rsidRPr="001D7DBE">
        <w:rPr>
          <w:rFonts w:ascii="Book Antiqua" w:hAnsi="Book Antiqua"/>
        </w:rPr>
        <w:t xml:space="preserve"> increas</w:t>
      </w:r>
      <w:r w:rsidR="000D4B39" w:rsidRPr="001D7DBE">
        <w:rPr>
          <w:rFonts w:ascii="Book Antiqua" w:hAnsi="Book Antiqua"/>
        </w:rPr>
        <w:t>e</w:t>
      </w:r>
      <w:r w:rsidR="0003088D" w:rsidRPr="001D7DBE">
        <w:rPr>
          <w:rFonts w:ascii="Book Antiqua" w:hAnsi="Book Antiqua"/>
        </w:rPr>
        <w:t xml:space="preserve"> in</w:t>
      </w:r>
      <w:r w:rsidR="000D4B39" w:rsidRPr="001D7DBE">
        <w:rPr>
          <w:rFonts w:ascii="Book Antiqua" w:hAnsi="Book Antiqua"/>
        </w:rPr>
        <w:t xml:space="preserve"> the percentage of femoral neck fractures treated with </w:t>
      </w:r>
      <w:r w:rsidRPr="001D7DBE">
        <w:rPr>
          <w:rFonts w:ascii="Book Antiqua" w:hAnsi="Book Antiqua"/>
        </w:rPr>
        <w:t>THA in the United States between 2005 and 2014. These findings support recent registry-based studies from the United States</w:t>
      </w:r>
      <w:r w:rsidR="00045F1B" w:rsidRPr="001D7DBE">
        <w:rPr>
          <w:rFonts w:ascii="Book Antiqua" w:hAnsi="Book Antiqua"/>
          <w:vertAlign w:val="superscript"/>
        </w:rPr>
        <w:t>[</w:t>
      </w:r>
      <w:r w:rsidR="00955C7F" w:rsidRPr="001D7DBE">
        <w:rPr>
          <w:rFonts w:ascii="Book Antiqua" w:hAnsi="Book Antiqua"/>
          <w:noProof/>
          <w:vertAlign w:val="superscript"/>
        </w:rPr>
        <w:t>19,20</w:t>
      </w:r>
      <w:r w:rsidR="00045F1B" w:rsidRPr="001D7DBE">
        <w:rPr>
          <w:rFonts w:ascii="Book Antiqua" w:hAnsi="Book Antiqua"/>
          <w:vertAlign w:val="superscript"/>
        </w:rPr>
        <w:t>]</w:t>
      </w:r>
      <w:r w:rsidRPr="001D7DBE">
        <w:rPr>
          <w:rFonts w:ascii="Book Antiqua" w:hAnsi="Book Antiqua"/>
        </w:rPr>
        <w:t>, Europe and Asia</w:t>
      </w:r>
      <w:r w:rsidR="00045F1B" w:rsidRPr="001D7DBE">
        <w:rPr>
          <w:rFonts w:ascii="Book Antiqua" w:hAnsi="Book Antiqua"/>
          <w:vertAlign w:val="superscript"/>
        </w:rPr>
        <w:t>[</w:t>
      </w:r>
      <w:r w:rsidR="00955C7F" w:rsidRPr="001D7DBE">
        <w:rPr>
          <w:rFonts w:ascii="Book Antiqua" w:hAnsi="Book Antiqua"/>
          <w:noProof/>
          <w:vertAlign w:val="superscript"/>
        </w:rPr>
        <w:t>11,19,21</w:t>
      </w:r>
      <w:r w:rsidR="00045F1B" w:rsidRPr="001D7DBE">
        <w:rPr>
          <w:rFonts w:ascii="Book Antiqua" w:hAnsi="Book Antiqua"/>
          <w:vertAlign w:val="superscript"/>
        </w:rPr>
        <w:t>]</w:t>
      </w:r>
      <w:r w:rsidRPr="001D7DBE">
        <w:rPr>
          <w:rFonts w:ascii="Book Antiqua" w:hAnsi="Book Antiqua"/>
        </w:rPr>
        <w:t xml:space="preserve">. </w:t>
      </w:r>
      <w:r w:rsidR="000B74D1" w:rsidRPr="001D7DBE">
        <w:rPr>
          <w:rFonts w:ascii="Book Antiqua" w:hAnsi="Book Antiqua"/>
        </w:rPr>
        <w:t>W</w:t>
      </w:r>
      <w:r w:rsidRPr="001D7DBE">
        <w:rPr>
          <w:rFonts w:ascii="Book Antiqua" w:hAnsi="Book Antiqua"/>
        </w:rPr>
        <w:t xml:space="preserve">e found that patients treated with HA had more comorbidities and were on average older than patients that underwent THA. The greater complexity and longer operative time associated with THA are some of the main reasons why HA is often preferred for sicker patients that may not be able to tolerate THA. Additionally, dislocation risk has been noted as a significant factor influencing the selection of HA </w:t>
      </w:r>
      <w:r w:rsidRPr="001D7DBE">
        <w:rPr>
          <w:rFonts w:ascii="Book Antiqua" w:hAnsi="Book Antiqua"/>
          <w:i/>
          <w:iCs/>
        </w:rPr>
        <w:t>vs</w:t>
      </w:r>
      <w:r w:rsidRPr="001D7DBE">
        <w:rPr>
          <w:rFonts w:ascii="Book Antiqua" w:hAnsi="Book Antiqua"/>
        </w:rPr>
        <w:t xml:space="preserve"> THA in the elderly. Bekerom</w:t>
      </w:r>
      <w:r w:rsidRPr="001D7DBE">
        <w:rPr>
          <w:rFonts w:ascii="Book Antiqua" w:hAnsi="Book Antiqua"/>
          <w:i/>
          <w:iCs/>
        </w:rPr>
        <w:t xml:space="preserve"> et al</w:t>
      </w:r>
      <w:r w:rsidR="00A873C3" w:rsidRPr="001D7DBE">
        <w:rPr>
          <w:rFonts w:ascii="Book Antiqua" w:hAnsi="Book Antiqua"/>
          <w:vertAlign w:val="superscript"/>
        </w:rPr>
        <w:t>[22]</w:t>
      </w:r>
      <w:r w:rsidRPr="001D7DBE">
        <w:rPr>
          <w:rFonts w:ascii="Book Antiqua" w:hAnsi="Book Antiqua"/>
        </w:rPr>
        <w:t xml:space="preserve"> conducted a randomized control trial comparing patients aged 70 years and older that underwent HA </w:t>
      </w:r>
      <w:r w:rsidR="00A873C3" w:rsidRPr="001D7DBE">
        <w:rPr>
          <w:rFonts w:ascii="Book Antiqua" w:hAnsi="Book Antiqua"/>
          <w:i/>
          <w:iCs/>
        </w:rPr>
        <w:t>vs</w:t>
      </w:r>
      <w:r w:rsidRPr="001D7DBE">
        <w:rPr>
          <w:rFonts w:ascii="Book Antiqua" w:hAnsi="Book Antiqua"/>
        </w:rPr>
        <w:t xml:space="preserve"> THA for the treatment of femoral neck fractures and found a higher number of early and late dislocations in the THA group</w:t>
      </w:r>
      <w:r w:rsidR="00045F1B" w:rsidRPr="001D7DBE">
        <w:rPr>
          <w:rFonts w:ascii="Book Antiqua" w:hAnsi="Book Antiqua"/>
          <w:vertAlign w:val="superscript"/>
        </w:rPr>
        <w:t>[</w:t>
      </w:r>
      <w:r w:rsidR="00955C7F" w:rsidRPr="001D7DBE">
        <w:rPr>
          <w:rFonts w:ascii="Book Antiqua" w:hAnsi="Book Antiqua"/>
          <w:noProof/>
          <w:vertAlign w:val="superscript"/>
        </w:rPr>
        <w:t>22</w:t>
      </w:r>
      <w:r w:rsidR="00045F1B" w:rsidRPr="001D7DBE">
        <w:rPr>
          <w:rFonts w:ascii="Book Antiqua" w:hAnsi="Book Antiqua"/>
          <w:vertAlign w:val="superscript"/>
        </w:rPr>
        <w:t>]</w:t>
      </w:r>
      <w:r w:rsidRPr="001D7DBE">
        <w:rPr>
          <w:rFonts w:ascii="Book Antiqua" w:hAnsi="Book Antiqua"/>
        </w:rPr>
        <w:t>.</w:t>
      </w:r>
      <w:r w:rsidR="00A873C3" w:rsidRPr="001D7DBE">
        <w:rPr>
          <w:rFonts w:ascii="Book Antiqua" w:hAnsi="Book Antiqua"/>
        </w:rPr>
        <w:t xml:space="preserve"> </w:t>
      </w:r>
      <w:r w:rsidRPr="001D7DBE">
        <w:rPr>
          <w:rFonts w:ascii="Book Antiqua" w:hAnsi="Book Antiqua"/>
        </w:rPr>
        <w:t>Overall, with patients above 70 years, the decision to treat with HA is multifactorial and includes severity of comorbidities, surgeon experience and pre-operative level of activity. Unfortunately, these clinical variables cannot be studied using current national databases, thus warranting further investigation.</w:t>
      </w:r>
    </w:p>
    <w:p w14:paraId="39281431" w14:textId="4E89F6C0" w:rsidR="00DE1237" w:rsidRPr="00B37BA7" w:rsidRDefault="00DE1237" w:rsidP="00B37BA7">
      <w:pPr>
        <w:spacing w:line="360" w:lineRule="auto"/>
        <w:ind w:firstLineChars="100" w:firstLine="240"/>
        <w:jc w:val="both"/>
        <w:rPr>
          <w:rFonts w:ascii="Book Antiqua" w:hAnsi="Book Antiqua"/>
          <w:vertAlign w:val="superscript"/>
        </w:rPr>
      </w:pPr>
      <w:r w:rsidRPr="001D7DBE">
        <w:rPr>
          <w:rFonts w:ascii="Book Antiqua" w:hAnsi="Book Antiqua"/>
        </w:rPr>
        <w:t>Interestingly, patients with private insurance were more likely to undergo THA than patients with Medicare even after adjusting for differences in patient demographics and comorbidities. THA may yield better functional results and lower reoperation rates compared to HA</w:t>
      </w:r>
      <w:r w:rsidR="00045F1B" w:rsidRPr="001D7DBE">
        <w:rPr>
          <w:rFonts w:ascii="Book Antiqua" w:hAnsi="Book Antiqua"/>
          <w:vertAlign w:val="superscript"/>
        </w:rPr>
        <w:t>[</w:t>
      </w:r>
      <w:r w:rsidR="00955C7F" w:rsidRPr="001D7DBE">
        <w:rPr>
          <w:rFonts w:ascii="Book Antiqua" w:hAnsi="Book Antiqua"/>
          <w:noProof/>
          <w:vertAlign w:val="superscript"/>
        </w:rPr>
        <w:t>6,7,19</w:t>
      </w:r>
      <w:r w:rsidR="00045F1B" w:rsidRPr="001D7DBE">
        <w:rPr>
          <w:rFonts w:ascii="Book Antiqua" w:hAnsi="Book Antiqua"/>
          <w:vertAlign w:val="superscript"/>
        </w:rPr>
        <w:t>]</w:t>
      </w:r>
      <w:r w:rsidRPr="001D7DBE">
        <w:rPr>
          <w:rFonts w:ascii="Book Antiqua" w:hAnsi="Book Antiqua"/>
        </w:rPr>
        <w:t xml:space="preserve">. However, given that THA incurs greater hospital costs than HA, the reasons for disparities between femoral neck fracture treatment options should be carefully examined. Notably, Schairer </w:t>
      </w:r>
      <w:r w:rsidRPr="001D7DBE">
        <w:rPr>
          <w:rFonts w:ascii="Book Antiqua" w:hAnsi="Book Antiqua"/>
          <w:i/>
          <w:iCs/>
        </w:rPr>
        <w:t>et al</w:t>
      </w:r>
      <w:r w:rsidR="00045F1B" w:rsidRPr="001D7DBE">
        <w:rPr>
          <w:rFonts w:ascii="Book Antiqua" w:hAnsi="Book Antiqua"/>
          <w:vertAlign w:val="superscript"/>
        </w:rPr>
        <w:t>[</w:t>
      </w:r>
      <w:r w:rsidR="00955C7F" w:rsidRPr="001D7DBE">
        <w:rPr>
          <w:rFonts w:ascii="Book Antiqua" w:hAnsi="Book Antiqua"/>
          <w:noProof/>
          <w:vertAlign w:val="superscript"/>
        </w:rPr>
        <w:t>23</w:t>
      </w:r>
      <w:r w:rsidR="00045F1B" w:rsidRPr="001D7DBE">
        <w:rPr>
          <w:rFonts w:ascii="Book Antiqua" w:hAnsi="Book Antiqua"/>
          <w:vertAlign w:val="superscript"/>
        </w:rPr>
        <w:t>]</w:t>
      </w:r>
      <w:r w:rsidRPr="001D7DBE">
        <w:rPr>
          <w:rFonts w:ascii="Book Antiqua" w:hAnsi="Book Antiqua"/>
        </w:rPr>
        <w:t xml:space="preserve"> found that patients with private insurance or worker’s compensation were more likely to undergo surgical management of isolated meniscal tears compared to payments with public or no insurance. However, these results contrast the findings of McGlaston </w:t>
      </w:r>
      <w:r w:rsidRPr="001D7DBE">
        <w:rPr>
          <w:rFonts w:ascii="Book Antiqua" w:hAnsi="Book Antiqua"/>
          <w:i/>
          <w:iCs/>
        </w:rPr>
        <w:t>et al</w:t>
      </w:r>
      <w:r w:rsidR="00045F1B" w:rsidRPr="001D7DBE">
        <w:rPr>
          <w:rFonts w:ascii="Book Antiqua" w:hAnsi="Book Antiqua"/>
          <w:vertAlign w:val="superscript"/>
        </w:rPr>
        <w:t>[</w:t>
      </w:r>
      <w:r w:rsidR="00955C7F" w:rsidRPr="001D7DBE">
        <w:rPr>
          <w:rFonts w:ascii="Book Antiqua" w:hAnsi="Book Antiqua"/>
          <w:noProof/>
          <w:vertAlign w:val="superscript"/>
        </w:rPr>
        <w:t>24</w:t>
      </w:r>
      <w:r w:rsidR="00045F1B" w:rsidRPr="001D7DBE">
        <w:rPr>
          <w:rFonts w:ascii="Book Antiqua" w:hAnsi="Book Antiqua"/>
          <w:vertAlign w:val="superscript"/>
        </w:rPr>
        <w:t>]</w:t>
      </w:r>
      <w:r w:rsidRPr="001D7DBE">
        <w:rPr>
          <w:rFonts w:ascii="Book Antiqua" w:hAnsi="Book Antiqua"/>
        </w:rPr>
        <w:t xml:space="preserve"> who found that rates of surgery of the upper extremity did not differ based on private </w:t>
      </w:r>
      <w:r w:rsidR="00A873C3" w:rsidRPr="001D7DBE">
        <w:rPr>
          <w:rFonts w:ascii="Book Antiqua" w:hAnsi="Book Antiqua"/>
          <w:i/>
          <w:iCs/>
        </w:rPr>
        <w:t>vs</w:t>
      </w:r>
      <w:r w:rsidRPr="001D7DBE">
        <w:rPr>
          <w:rFonts w:ascii="Book Antiqua" w:hAnsi="Book Antiqua"/>
        </w:rPr>
        <w:t xml:space="preserve"> public insurance. Further research should more clearly define the impact if any of patient insurance type on treatment choice for orthopedic procedures.</w:t>
      </w:r>
    </w:p>
    <w:p w14:paraId="519B805B" w14:textId="5DBBEBDC"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lastRenderedPageBreak/>
        <w:t xml:space="preserve">With regards to hospital type, the use of THA for femoral neck fractures </w:t>
      </w:r>
      <w:r w:rsidR="0003088D" w:rsidRPr="001D7DBE">
        <w:rPr>
          <w:rFonts w:ascii="Book Antiqua" w:hAnsi="Book Antiqua"/>
        </w:rPr>
        <w:t xml:space="preserve">significantly </w:t>
      </w:r>
      <w:r w:rsidRPr="001D7DBE">
        <w:rPr>
          <w:rFonts w:ascii="Book Antiqua" w:hAnsi="Book Antiqua"/>
        </w:rPr>
        <w:t>increased in urban teaching and non-teaching hospitals. The sharpest increase was noted in urban teaching hospitals; meanwhile, rural hospitals showed a more modest increase in THA utilization during the study period. These results may reflect both a higher number of new surgeons willing to change traditional management of elderly femoral neck fractures and an increased exposure to recent literature favoring THA in academic settings. It is plausible that surgeons in academic settings are more</w:t>
      </w:r>
      <w:r w:rsidR="0003088D" w:rsidRPr="001D7DBE">
        <w:rPr>
          <w:rFonts w:ascii="Book Antiqua" w:hAnsi="Book Antiqua"/>
        </w:rPr>
        <w:t xml:space="preserve"> familiar with </w:t>
      </w:r>
      <w:r w:rsidRPr="001D7DBE">
        <w:rPr>
          <w:rFonts w:ascii="Book Antiqua" w:hAnsi="Book Antiqua"/>
        </w:rPr>
        <w:t>the most current orthopedic research</w:t>
      </w:r>
      <w:r w:rsidR="0003088D" w:rsidRPr="001D7DBE">
        <w:rPr>
          <w:rFonts w:ascii="Book Antiqua" w:hAnsi="Book Antiqua"/>
        </w:rPr>
        <w:t>.</w:t>
      </w:r>
      <w:r w:rsidRPr="001D7DBE">
        <w:rPr>
          <w:rFonts w:ascii="Book Antiqua" w:hAnsi="Book Antiqua"/>
        </w:rPr>
        <w:t xml:space="preserve"> However, this is not likely to fully explain differences between teaching and non-teaching centers, so further research is warranted. Notably, previous research has indicated that patients undergoing orthopedic procedures at teaching hospitals experience higher hospital costs, rates of complications, mortality, and longer LOS compared to non-teaching hospitals</w:t>
      </w:r>
      <w:r w:rsidR="00045F1B" w:rsidRPr="001D7DBE">
        <w:rPr>
          <w:rFonts w:ascii="Book Antiqua" w:hAnsi="Book Antiqua"/>
          <w:vertAlign w:val="superscript"/>
        </w:rPr>
        <w:t>[</w:t>
      </w:r>
      <w:r w:rsidR="00955C7F" w:rsidRPr="001D7DBE">
        <w:rPr>
          <w:rFonts w:ascii="Book Antiqua" w:hAnsi="Book Antiqua"/>
          <w:noProof/>
          <w:vertAlign w:val="superscript"/>
        </w:rPr>
        <w:t>25,26</w:t>
      </w:r>
      <w:r w:rsidR="00045F1B" w:rsidRPr="001D7DBE">
        <w:rPr>
          <w:rFonts w:ascii="Book Antiqua" w:hAnsi="Book Antiqua"/>
          <w:vertAlign w:val="superscript"/>
        </w:rPr>
        <w:t>]</w:t>
      </w:r>
      <w:r w:rsidRPr="001D7DBE">
        <w:rPr>
          <w:rFonts w:ascii="Book Antiqua" w:hAnsi="Book Antiqua"/>
        </w:rPr>
        <w:t xml:space="preserve">. However, Silber </w:t>
      </w:r>
      <w:r w:rsidRPr="001D7DBE">
        <w:rPr>
          <w:rFonts w:ascii="Book Antiqua" w:hAnsi="Book Antiqua"/>
          <w:i/>
          <w:iCs/>
        </w:rPr>
        <w:t>et al</w:t>
      </w:r>
      <w:r w:rsidR="0080734B" w:rsidRPr="001D7DBE">
        <w:rPr>
          <w:rFonts w:ascii="Book Antiqua" w:hAnsi="Book Antiqua"/>
          <w:vertAlign w:val="superscript"/>
        </w:rPr>
        <w:t>[27]</w:t>
      </w:r>
      <w:r w:rsidRPr="001D7DBE">
        <w:rPr>
          <w:rFonts w:ascii="Book Antiqua" w:hAnsi="Book Antiqua"/>
        </w:rPr>
        <w:t xml:space="preserve"> found that undergoing orthopedic surgery at a teaching hospital was protective for preventing in-hospital mortality.</w:t>
      </w:r>
    </w:p>
    <w:p w14:paraId="416F2501" w14:textId="61E75514"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Length of hospital stay was shorter for the traumatic THA patients compared to HA patients. However, this difference was very small and may not be clinically significant. These findings may be consistent with a study of 82951 patients with femoral neck fractures treated with either THA or HA that found no significant difference in LOS between the two groups</w:t>
      </w:r>
      <w:r w:rsidR="00045F1B" w:rsidRPr="001D7DBE">
        <w:rPr>
          <w:rFonts w:ascii="Book Antiqua" w:hAnsi="Book Antiqua"/>
          <w:vertAlign w:val="superscript"/>
        </w:rPr>
        <w:t>[</w:t>
      </w:r>
      <w:r w:rsidR="00955C7F" w:rsidRPr="001D7DBE">
        <w:rPr>
          <w:rFonts w:ascii="Book Antiqua" w:hAnsi="Book Antiqua"/>
          <w:noProof/>
          <w:vertAlign w:val="superscript"/>
        </w:rPr>
        <w:t>28</w:t>
      </w:r>
      <w:r w:rsidR="00045F1B" w:rsidRPr="001D7DBE">
        <w:rPr>
          <w:rFonts w:ascii="Book Antiqua" w:hAnsi="Book Antiqua"/>
          <w:vertAlign w:val="superscript"/>
        </w:rPr>
        <w:t>]</w:t>
      </w:r>
      <w:r w:rsidRPr="001D7DBE">
        <w:rPr>
          <w:rFonts w:ascii="Book Antiqua" w:hAnsi="Book Antiqua"/>
        </w:rPr>
        <w:t>.</w:t>
      </w:r>
    </w:p>
    <w:p w14:paraId="66ECA35A" w14:textId="5CC718FE"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There is a paucity of literature evaluating the inpatient cost associated with treatment of displaced femoral neck fractures in the United States. Our study is unique in that it uses a large nationally representative database to compare total inpatient charges of femoral neck fractures in patients treated with either THA </w:t>
      </w:r>
      <w:r w:rsidR="00A873C3" w:rsidRPr="001D7DBE">
        <w:rPr>
          <w:rFonts w:ascii="Book Antiqua" w:hAnsi="Book Antiqua"/>
          <w:i/>
          <w:iCs/>
        </w:rPr>
        <w:t>vs</w:t>
      </w:r>
      <w:r w:rsidRPr="001D7DBE">
        <w:rPr>
          <w:rFonts w:ascii="Book Antiqua" w:hAnsi="Book Antiqua"/>
        </w:rPr>
        <w:t xml:space="preserve"> HA over a ten-year period. We found that both THA and HA in the setting of femoral neck fractures have </w:t>
      </w:r>
      <w:r w:rsidR="0003088D" w:rsidRPr="001D7DBE">
        <w:rPr>
          <w:rFonts w:ascii="Book Antiqua" w:hAnsi="Book Antiqua"/>
        </w:rPr>
        <w:t xml:space="preserve">been associated with </w:t>
      </w:r>
      <w:r w:rsidRPr="001D7DBE">
        <w:rPr>
          <w:rFonts w:ascii="Book Antiqua" w:hAnsi="Book Antiqua"/>
        </w:rPr>
        <w:t>gradually increas</w:t>
      </w:r>
      <w:r w:rsidR="0003088D" w:rsidRPr="001D7DBE">
        <w:rPr>
          <w:rFonts w:ascii="Book Antiqua" w:hAnsi="Book Antiqua"/>
        </w:rPr>
        <w:t>ing</w:t>
      </w:r>
      <w:r w:rsidRPr="001D7DBE">
        <w:rPr>
          <w:rFonts w:ascii="Book Antiqua" w:hAnsi="Book Antiqua"/>
        </w:rPr>
        <w:t xml:space="preserve"> charges. This is an interesting finding, as there has been a decrease in cost for elective THA noted</w:t>
      </w:r>
      <w:r w:rsidR="0003088D" w:rsidRPr="001D7DBE">
        <w:rPr>
          <w:rFonts w:ascii="Book Antiqua" w:hAnsi="Book Antiqua"/>
        </w:rPr>
        <w:t xml:space="preserve"> durin</w:t>
      </w:r>
      <w:r w:rsidR="002E0628" w:rsidRPr="001D7DBE">
        <w:rPr>
          <w:rFonts w:ascii="Book Antiqua" w:hAnsi="Book Antiqua"/>
        </w:rPr>
        <w:t>g the same time period</w:t>
      </w:r>
      <w:r w:rsidRPr="001D7DBE">
        <w:rPr>
          <w:rFonts w:ascii="Book Antiqua" w:hAnsi="Book Antiqua"/>
        </w:rPr>
        <w:t>. The rise in the</w:t>
      </w:r>
      <w:r w:rsidR="0003088D" w:rsidRPr="001D7DBE">
        <w:rPr>
          <w:rFonts w:ascii="Book Antiqua" w:hAnsi="Book Antiqua"/>
        </w:rPr>
        <w:t xml:space="preserve"> charges for</w:t>
      </w:r>
      <w:r w:rsidRPr="001D7DBE">
        <w:rPr>
          <w:rFonts w:ascii="Book Antiqua" w:hAnsi="Book Antiqua"/>
        </w:rPr>
        <w:t xml:space="preserve"> traumatic THA may be secondary to an increase in implant costs and most importantly the inability to preoperatively prepare patients prior to surgery as compared to elective THA patients. </w:t>
      </w:r>
      <w:r w:rsidR="0003088D" w:rsidRPr="001D7DBE">
        <w:rPr>
          <w:rFonts w:ascii="Book Antiqua" w:hAnsi="Book Antiqua"/>
        </w:rPr>
        <w:t>Unfortunately</w:t>
      </w:r>
      <w:r w:rsidR="00F823FF" w:rsidRPr="001D7DBE">
        <w:rPr>
          <w:rFonts w:ascii="Book Antiqua" w:hAnsi="Book Antiqua"/>
        </w:rPr>
        <w:t>,</w:t>
      </w:r>
      <w:r w:rsidR="0003088D" w:rsidRPr="001D7DBE">
        <w:rPr>
          <w:rFonts w:ascii="Book Antiqua" w:hAnsi="Book Antiqua"/>
        </w:rPr>
        <w:t xml:space="preserve"> the database does not provide </w:t>
      </w:r>
      <w:r w:rsidR="0003088D" w:rsidRPr="001D7DBE">
        <w:rPr>
          <w:rFonts w:ascii="Book Antiqua" w:hAnsi="Book Antiqua"/>
        </w:rPr>
        <w:lastRenderedPageBreak/>
        <w:t xml:space="preserve">information regarding </w:t>
      </w:r>
      <w:r w:rsidR="00F11185" w:rsidRPr="001D7DBE">
        <w:rPr>
          <w:rFonts w:ascii="Book Antiqua" w:hAnsi="Book Antiqua"/>
        </w:rPr>
        <w:t>payments,</w:t>
      </w:r>
      <w:r w:rsidR="0003088D" w:rsidRPr="001D7DBE">
        <w:rPr>
          <w:rFonts w:ascii="Book Antiqua" w:hAnsi="Book Antiqua"/>
        </w:rPr>
        <w:t xml:space="preserve"> so we are unable to make statements regarding the actual costs of care. </w:t>
      </w:r>
      <w:r w:rsidRPr="001D7DBE">
        <w:rPr>
          <w:rFonts w:ascii="Book Antiqua" w:hAnsi="Book Antiqua"/>
        </w:rPr>
        <w:t xml:space="preserve">Driving factors that explain the differences in traumatic THA </w:t>
      </w:r>
      <w:r w:rsidR="00A873C3" w:rsidRPr="001D7DBE">
        <w:rPr>
          <w:rFonts w:ascii="Book Antiqua" w:hAnsi="Book Antiqua"/>
          <w:i/>
          <w:iCs/>
        </w:rPr>
        <w:t>vs</w:t>
      </w:r>
      <w:r w:rsidRPr="001D7DBE">
        <w:rPr>
          <w:rFonts w:ascii="Book Antiqua" w:hAnsi="Book Antiqua"/>
        </w:rPr>
        <w:t xml:space="preserve"> elective THA costs warrants further investigation.</w:t>
      </w:r>
    </w:p>
    <w:p w14:paraId="02621B5A" w14:textId="35E2B019" w:rsidR="00DE1237" w:rsidRPr="001D7DBE" w:rsidRDefault="00795E66" w:rsidP="001D7DBE">
      <w:pPr>
        <w:spacing w:line="360" w:lineRule="auto"/>
        <w:ind w:firstLineChars="100" w:firstLine="240"/>
        <w:jc w:val="both"/>
        <w:rPr>
          <w:rFonts w:ascii="Book Antiqua" w:hAnsi="Book Antiqua"/>
        </w:rPr>
      </w:pPr>
      <w:r w:rsidRPr="001D7DBE">
        <w:rPr>
          <w:rFonts w:ascii="Book Antiqua" w:hAnsi="Book Antiqua"/>
        </w:rPr>
        <w:t>In-hospital m</w:t>
      </w:r>
      <w:r w:rsidR="00DE1237" w:rsidRPr="001D7DBE">
        <w:rPr>
          <w:rFonts w:ascii="Book Antiqua" w:hAnsi="Book Antiqua"/>
        </w:rPr>
        <w:t>ortality was not significantly higher in patients treated with a HA compared to THA when adjusted for comorbidities. These findings agree with a review article by Guyen</w:t>
      </w:r>
      <w:r w:rsidR="0080734B" w:rsidRPr="001D7DBE">
        <w:rPr>
          <w:rFonts w:ascii="Book Antiqua" w:hAnsi="Book Antiqua"/>
          <w:vertAlign w:val="superscript"/>
        </w:rPr>
        <w:t>[29]</w:t>
      </w:r>
      <w:r w:rsidR="002E0628" w:rsidRPr="001D7DBE">
        <w:rPr>
          <w:rFonts w:ascii="Book Antiqua" w:hAnsi="Book Antiqua"/>
        </w:rPr>
        <w:t xml:space="preserve"> that</w:t>
      </w:r>
      <w:r w:rsidR="00DE1237" w:rsidRPr="001D7DBE">
        <w:rPr>
          <w:rFonts w:ascii="Book Antiqua" w:hAnsi="Book Antiqua"/>
        </w:rPr>
        <w:t xml:space="preserve"> found mortality rates </w:t>
      </w:r>
      <w:r w:rsidR="0024586C" w:rsidRPr="001D7DBE">
        <w:rPr>
          <w:rFonts w:ascii="Book Antiqua" w:hAnsi="Book Antiqua"/>
        </w:rPr>
        <w:t>were</w:t>
      </w:r>
      <w:r w:rsidR="00DE1237" w:rsidRPr="001D7DBE">
        <w:rPr>
          <w:rFonts w:ascii="Book Antiqua" w:hAnsi="Book Antiqua"/>
        </w:rPr>
        <w:t xml:space="preserve"> similar</w:t>
      </w:r>
      <w:r w:rsidR="0024586C" w:rsidRPr="001D7DBE">
        <w:rPr>
          <w:rFonts w:ascii="Book Antiqua" w:hAnsi="Book Antiqua"/>
        </w:rPr>
        <w:t xml:space="preserve"> when comparing </w:t>
      </w:r>
      <w:r w:rsidR="00DE1237" w:rsidRPr="001D7DBE">
        <w:rPr>
          <w:rFonts w:ascii="Book Antiqua" w:hAnsi="Book Antiqua"/>
        </w:rPr>
        <w:t xml:space="preserve">THA </w:t>
      </w:r>
      <w:r w:rsidR="0024586C" w:rsidRPr="001D7DBE">
        <w:rPr>
          <w:rFonts w:ascii="Book Antiqua" w:hAnsi="Book Antiqua"/>
        </w:rPr>
        <w:t>with</w:t>
      </w:r>
      <w:r w:rsidR="00DE1237" w:rsidRPr="001D7DBE">
        <w:rPr>
          <w:rFonts w:ascii="Book Antiqua" w:hAnsi="Book Antiqua"/>
        </w:rPr>
        <w:t xml:space="preserve"> HA for the treatment of femoral neck fractures. Instead of type of implant, patient comorbidities likely play a much more significant role in mortality risk. The significance of comorbidities in this femoral neck fracture population was highlighted by Macaulay</w:t>
      </w:r>
      <w:r w:rsidR="0080734B" w:rsidRPr="001D7DBE">
        <w:rPr>
          <w:rFonts w:ascii="Book Antiqua" w:hAnsi="Book Antiqua"/>
        </w:rPr>
        <w:t xml:space="preserve"> </w:t>
      </w:r>
      <w:r w:rsidR="00DE1237" w:rsidRPr="001D7DBE">
        <w:rPr>
          <w:rFonts w:ascii="Book Antiqua" w:hAnsi="Book Antiqua"/>
          <w:i/>
          <w:iCs/>
        </w:rPr>
        <w:t>et al</w:t>
      </w:r>
      <w:r w:rsidR="00045F1B" w:rsidRPr="001D7DBE">
        <w:rPr>
          <w:rFonts w:ascii="Book Antiqua" w:hAnsi="Book Antiqua"/>
          <w:vertAlign w:val="superscript"/>
        </w:rPr>
        <w:t>[</w:t>
      </w:r>
      <w:r w:rsidR="00955C7F" w:rsidRPr="001D7DBE">
        <w:rPr>
          <w:rFonts w:ascii="Book Antiqua" w:hAnsi="Book Antiqua"/>
          <w:noProof/>
          <w:vertAlign w:val="superscript"/>
        </w:rPr>
        <w:t>30</w:t>
      </w:r>
      <w:r w:rsidR="00045F1B" w:rsidRPr="001D7DBE">
        <w:rPr>
          <w:rFonts w:ascii="Book Antiqua" w:hAnsi="Book Antiqua"/>
          <w:vertAlign w:val="superscript"/>
        </w:rPr>
        <w:t>]</w:t>
      </w:r>
      <w:r w:rsidR="00DE1237" w:rsidRPr="001D7DBE">
        <w:rPr>
          <w:rFonts w:ascii="Book Antiqua" w:hAnsi="Book Antiqua"/>
        </w:rPr>
        <w:t xml:space="preserve"> that found a 2.4 fold increase in risk of death for each additional comorbid condition. Furthermore, although the incidence of both HA and THA have steadily increased</w:t>
      </w:r>
      <w:r w:rsidRPr="001D7DBE">
        <w:rPr>
          <w:rFonts w:ascii="Book Antiqua" w:hAnsi="Book Antiqua"/>
        </w:rPr>
        <w:t>,</w:t>
      </w:r>
      <w:r w:rsidR="00DE1237" w:rsidRPr="001D7DBE">
        <w:rPr>
          <w:rFonts w:ascii="Book Antiqua" w:hAnsi="Book Antiqua"/>
        </w:rPr>
        <w:t xml:space="preserve"> mortality has not. This may suggest surgeons are successfully risk stratifying these patients, with THA being appropriately reserved for the healthier, lower risk patients. </w:t>
      </w:r>
    </w:p>
    <w:p w14:paraId="49FA7DA8" w14:textId="7B131517"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There were limitations to our study that are inherent to database studies. The NIS is a database that relies on codes intended for billing; therefore, we were unable to obtain data on the severity of comorbidities, prior functional status or extent of fracture displacement. This data as these factors likely play a significant role in a surgeon’s surgical preference independent of age or sex so the findings of our study should be interpreted with caution. Furthermore, the NIS database evaluates a single hospital admission during the index THA or HA surgeries so long-term follow up for complications</w:t>
      </w:r>
      <w:r w:rsidR="00C274AD" w:rsidRPr="001D7DBE">
        <w:rPr>
          <w:rFonts w:ascii="Book Antiqua" w:hAnsi="Book Antiqua"/>
        </w:rPr>
        <w:t xml:space="preserve">, </w:t>
      </w:r>
      <w:r w:rsidRPr="001D7DBE">
        <w:rPr>
          <w:rFonts w:ascii="Book Antiqua" w:hAnsi="Book Antiqua"/>
        </w:rPr>
        <w:t>mortality</w:t>
      </w:r>
      <w:r w:rsidR="00C274AD" w:rsidRPr="001D7DBE">
        <w:rPr>
          <w:rFonts w:ascii="Book Antiqua" w:hAnsi="Book Antiqua"/>
        </w:rPr>
        <w:t>, or conversion of THA to HA</w:t>
      </w:r>
      <w:r w:rsidRPr="001D7DBE">
        <w:rPr>
          <w:rFonts w:ascii="Book Antiqua" w:hAnsi="Book Antiqua"/>
        </w:rPr>
        <w:t xml:space="preserve"> was not captured. </w:t>
      </w:r>
      <w:r w:rsidR="00C274AD" w:rsidRPr="001D7DBE">
        <w:rPr>
          <w:rFonts w:ascii="Book Antiqua" w:hAnsi="Book Antiqua"/>
        </w:rPr>
        <w:t>Additionally, the NIS does not allow us to examine solely patients who underwent THA with the minimally invasive approach. Therefore</w:t>
      </w:r>
      <w:r w:rsidR="00F11185" w:rsidRPr="001D7DBE">
        <w:rPr>
          <w:rFonts w:ascii="Book Antiqua" w:hAnsi="Book Antiqua"/>
        </w:rPr>
        <w:t>,</w:t>
      </w:r>
      <w:r w:rsidR="00C274AD" w:rsidRPr="001D7DBE">
        <w:rPr>
          <w:rFonts w:ascii="Book Antiqua" w:hAnsi="Book Antiqua"/>
        </w:rPr>
        <w:t xml:space="preserve"> our patient population likely represents a more heterogeneous group. </w:t>
      </w:r>
    </w:p>
    <w:p w14:paraId="64920B43" w14:textId="7F0FB8C2"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Despite these limitations, our study </w:t>
      </w:r>
      <w:r w:rsidR="00D65E99" w:rsidRPr="001D7DBE">
        <w:rPr>
          <w:rFonts w:ascii="Book Antiqua" w:hAnsi="Book Antiqua"/>
        </w:rPr>
        <w:t>indicated that</w:t>
      </w:r>
      <w:r w:rsidRPr="001D7DBE">
        <w:rPr>
          <w:rFonts w:ascii="Book Antiqua" w:hAnsi="Book Antiqua"/>
        </w:rPr>
        <w:t xml:space="preserve"> THA</w:t>
      </w:r>
      <w:r w:rsidR="00D65E99" w:rsidRPr="001D7DBE">
        <w:rPr>
          <w:rFonts w:ascii="Book Antiqua" w:hAnsi="Book Antiqua"/>
        </w:rPr>
        <w:t xml:space="preserve"> is increasing being utilized</w:t>
      </w:r>
      <w:r w:rsidRPr="001D7DBE">
        <w:rPr>
          <w:rFonts w:ascii="Book Antiqua" w:hAnsi="Book Antiqua"/>
        </w:rPr>
        <w:t xml:space="preserve"> </w:t>
      </w:r>
      <w:r w:rsidR="00D65E99" w:rsidRPr="001D7DBE">
        <w:rPr>
          <w:rFonts w:ascii="Book Antiqua" w:hAnsi="Book Antiqua"/>
        </w:rPr>
        <w:t>in</w:t>
      </w:r>
      <w:r w:rsidRPr="001D7DBE">
        <w:rPr>
          <w:rFonts w:ascii="Book Antiqua" w:hAnsi="Book Antiqua"/>
        </w:rPr>
        <w:t xml:space="preserve"> the treatment of</w:t>
      </w:r>
      <w:r w:rsidR="00D65E99" w:rsidRPr="001D7DBE">
        <w:rPr>
          <w:rFonts w:ascii="Book Antiqua" w:hAnsi="Book Antiqua"/>
        </w:rPr>
        <w:t xml:space="preserve"> displaced</w:t>
      </w:r>
      <w:r w:rsidRPr="001D7DBE">
        <w:rPr>
          <w:rFonts w:ascii="Book Antiqua" w:hAnsi="Book Antiqua"/>
        </w:rPr>
        <w:t xml:space="preserve"> femoral neck fractures in the United States. We found that traumatic THA is increasing most notably in urban hospitals, is increasing in charges, </w:t>
      </w:r>
      <w:r w:rsidRPr="001D7DBE">
        <w:rPr>
          <w:rFonts w:ascii="Book Antiqua" w:hAnsi="Book Antiqua"/>
        </w:rPr>
        <w:lastRenderedPageBreak/>
        <w:t>and is associated with a shorter LOS.</w:t>
      </w:r>
      <w:r w:rsidR="008A24D2" w:rsidRPr="001D7DBE">
        <w:rPr>
          <w:rFonts w:ascii="Book Antiqua" w:hAnsi="Book Antiqua"/>
        </w:rPr>
        <w:t xml:space="preserve"> Hemiarthroplasty is associated with older patients with significant comorbidities.</w:t>
      </w:r>
    </w:p>
    <w:p w14:paraId="51C707AB" w14:textId="51B2E0CE" w:rsidR="00DE1237" w:rsidRPr="001D7DBE" w:rsidRDefault="00DE1237" w:rsidP="001D7DBE">
      <w:pPr>
        <w:spacing w:line="360" w:lineRule="auto"/>
        <w:jc w:val="both"/>
        <w:rPr>
          <w:rFonts w:ascii="Book Antiqua" w:hAnsi="Book Antiqua"/>
        </w:rPr>
      </w:pPr>
    </w:p>
    <w:p w14:paraId="05257667" w14:textId="77777777" w:rsidR="0080734B" w:rsidRPr="001D7DBE" w:rsidRDefault="0080734B" w:rsidP="001D7DBE">
      <w:pPr>
        <w:adjustRightInd w:val="0"/>
        <w:snapToGrid w:val="0"/>
        <w:spacing w:line="360" w:lineRule="auto"/>
        <w:jc w:val="both"/>
        <w:rPr>
          <w:rFonts w:ascii="Book Antiqua" w:hAnsi="Book Antiqua"/>
          <w:b/>
          <w:color w:val="000000"/>
        </w:rPr>
      </w:pPr>
      <w:bookmarkStart w:id="331" w:name="OLE_LINK151"/>
      <w:bookmarkStart w:id="332" w:name="OLE_LINK259"/>
      <w:bookmarkStart w:id="333" w:name="OLE_LINK158"/>
      <w:bookmarkStart w:id="334" w:name="OLE_LINK159"/>
      <w:bookmarkStart w:id="335" w:name="OLE_LINK205"/>
      <w:bookmarkStart w:id="336" w:name="OLE_LINK206"/>
      <w:bookmarkStart w:id="337" w:name="OLE_LINK244"/>
      <w:bookmarkStart w:id="338" w:name="OLE_LINK245"/>
      <w:bookmarkStart w:id="339" w:name="OLE_LINK11"/>
      <w:bookmarkStart w:id="340" w:name="OLE_LINK12"/>
      <w:bookmarkStart w:id="341" w:name="OLE_LINK23"/>
      <w:bookmarkStart w:id="342" w:name="OLE_LINK24"/>
      <w:bookmarkStart w:id="343" w:name="OLE_LINK316"/>
      <w:bookmarkStart w:id="344" w:name="OLE_LINK332"/>
      <w:bookmarkStart w:id="345" w:name="OLE_LINK521"/>
      <w:bookmarkStart w:id="346" w:name="OLE_LINK403"/>
      <w:bookmarkStart w:id="347" w:name="OLE_LINK560"/>
      <w:bookmarkStart w:id="348" w:name="OLE_LINK839"/>
      <w:bookmarkStart w:id="349" w:name="OLE_LINK625"/>
      <w:r w:rsidRPr="001D7DBE">
        <w:rPr>
          <w:rFonts w:ascii="Book Antiqua" w:hAnsi="Book Antiqua"/>
          <w:b/>
          <w:color w:val="000000"/>
        </w:rPr>
        <w:t xml:space="preserve">ARTICLE HIGHLIGHTS </w:t>
      </w:r>
    </w:p>
    <w:p w14:paraId="70607447"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background</w:t>
      </w:r>
    </w:p>
    <w:p w14:paraId="3F59C107" w14:textId="01787EC5" w:rsidR="000B4FA4" w:rsidRPr="001D7DBE" w:rsidRDefault="00EC36A0" w:rsidP="001D7DBE">
      <w:pPr>
        <w:snapToGrid w:val="0"/>
        <w:spacing w:line="360" w:lineRule="auto"/>
        <w:jc w:val="both"/>
        <w:rPr>
          <w:rFonts w:ascii="Book Antiqua" w:eastAsiaTheme="minorEastAsia" w:hAnsi="Book Antiqua"/>
        </w:rPr>
      </w:pPr>
      <w:r w:rsidRPr="001D7DBE">
        <w:rPr>
          <w:rFonts w:ascii="Book Antiqua" w:hAnsi="Book Antiqua"/>
        </w:rPr>
        <w:t>Femoral neck fractures despite decreasing steadily in incidence still represent a tremendous economic burden world</w:t>
      </w:r>
      <w:r w:rsidR="0080734B" w:rsidRPr="001D7DBE">
        <w:rPr>
          <w:rFonts w:ascii="Book Antiqua" w:hAnsi="Book Antiqua"/>
        </w:rPr>
        <w:t>-</w:t>
      </w:r>
      <w:r w:rsidRPr="001D7DBE">
        <w:rPr>
          <w:rFonts w:ascii="Book Antiqua" w:hAnsi="Book Antiqua"/>
        </w:rPr>
        <w:t xml:space="preserve">wide. </w:t>
      </w:r>
      <w:r w:rsidR="00045F1B" w:rsidRPr="001D7DBE">
        <w:rPr>
          <w:rFonts w:ascii="Book Antiqua" w:hAnsi="Book Antiqua"/>
        </w:rPr>
        <w:t xml:space="preserve">Total </w:t>
      </w:r>
      <w:r w:rsidR="0080734B" w:rsidRPr="001D7DBE">
        <w:rPr>
          <w:rFonts w:ascii="Book Antiqua" w:hAnsi="Book Antiqua"/>
        </w:rPr>
        <w:t>hip arthroplasty (THA)</w:t>
      </w:r>
      <w:r w:rsidR="00045F1B" w:rsidRPr="001D7DBE">
        <w:rPr>
          <w:rFonts w:ascii="Book Antiqua" w:hAnsi="Book Antiqua"/>
        </w:rPr>
        <w:t xml:space="preserve"> is an increasingly utilized treatment for</w:t>
      </w:r>
      <w:r w:rsidRPr="001D7DBE">
        <w:rPr>
          <w:rFonts w:ascii="Book Antiqua" w:hAnsi="Book Antiqua"/>
        </w:rPr>
        <w:t xml:space="preserve"> displaced femoral neck fractures especially for younger, healthier, ambulatory patients. Notably, multiple studies have demonstrated that </w:t>
      </w:r>
      <w:r w:rsidR="0080734B" w:rsidRPr="001D7DBE">
        <w:rPr>
          <w:rFonts w:ascii="Book Antiqua" w:hAnsi="Book Antiqua"/>
        </w:rPr>
        <w:t xml:space="preserve">THA </w:t>
      </w:r>
      <w:r w:rsidRPr="001D7DBE">
        <w:rPr>
          <w:rFonts w:ascii="Book Antiqua" w:hAnsi="Book Antiqua"/>
        </w:rPr>
        <w:t xml:space="preserve">has superior functional outcomes and results in less pain postoperative compared to </w:t>
      </w:r>
      <w:r w:rsidR="0080734B" w:rsidRPr="001D7DBE">
        <w:rPr>
          <w:rFonts w:ascii="Book Antiqua" w:hAnsi="Book Antiqua"/>
        </w:rPr>
        <w:t>hemiarthroplasty (</w:t>
      </w:r>
      <w:r w:rsidRPr="001D7DBE">
        <w:rPr>
          <w:rFonts w:ascii="Book Antiqua" w:hAnsi="Book Antiqua"/>
        </w:rPr>
        <w:t>HA</w:t>
      </w:r>
      <w:r w:rsidR="0080734B" w:rsidRPr="001D7DBE">
        <w:rPr>
          <w:rFonts w:ascii="Book Antiqua" w:hAnsi="Book Antiqua"/>
        </w:rPr>
        <w:t>)</w:t>
      </w:r>
      <w:r w:rsidRPr="001D7DBE">
        <w:rPr>
          <w:rFonts w:ascii="Book Antiqua" w:hAnsi="Book Antiqua"/>
        </w:rPr>
        <w:t>.</w:t>
      </w:r>
    </w:p>
    <w:p w14:paraId="714EFF7C" w14:textId="77777777" w:rsidR="000B4FA4" w:rsidRPr="001D7DBE" w:rsidRDefault="000B4FA4" w:rsidP="001D7DBE">
      <w:pPr>
        <w:snapToGrid w:val="0"/>
        <w:spacing w:line="360" w:lineRule="auto"/>
        <w:jc w:val="both"/>
        <w:rPr>
          <w:rFonts w:ascii="Book Antiqua" w:eastAsiaTheme="minorEastAsia" w:hAnsi="Book Antiqua"/>
        </w:rPr>
      </w:pPr>
    </w:p>
    <w:p w14:paraId="7EAC1EFF"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motivation</w:t>
      </w:r>
    </w:p>
    <w:p w14:paraId="2C2E0CA8" w14:textId="35BE725A" w:rsidR="000B4FA4" w:rsidRPr="001D7DBE" w:rsidRDefault="008743A3" w:rsidP="001D7DBE">
      <w:pPr>
        <w:snapToGrid w:val="0"/>
        <w:spacing w:line="360" w:lineRule="auto"/>
        <w:jc w:val="both"/>
        <w:rPr>
          <w:rFonts w:ascii="Book Antiqua" w:eastAsiaTheme="minorEastAsia" w:hAnsi="Book Antiqua"/>
        </w:rPr>
      </w:pPr>
      <w:r w:rsidRPr="001D7DBE">
        <w:rPr>
          <w:rFonts w:ascii="Book Antiqua" w:hAnsi="Book Antiqua"/>
        </w:rPr>
        <w:t xml:space="preserve">The motivation for this research study was to further characterize factors associated with patients undergoing THA or </w:t>
      </w:r>
      <w:r w:rsidR="0080734B" w:rsidRPr="001D7DBE">
        <w:rPr>
          <w:rFonts w:ascii="Book Antiqua" w:hAnsi="Book Antiqua"/>
        </w:rPr>
        <w:t>HA</w:t>
      </w:r>
      <w:r w:rsidRPr="001D7DBE">
        <w:rPr>
          <w:rFonts w:ascii="Book Antiqua" w:hAnsi="Book Antiqua"/>
        </w:rPr>
        <w:t xml:space="preserve"> following displaced femoral neck fracture. </w:t>
      </w:r>
      <w:r w:rsidR="008A3077" w:rsidRPr="001D7DBE">
        <w:rPr>
          <w:rFonts w:ascii="Book Antiqua" w:hAnsi="Book Antiqua"/>
        </w:rPr>
        <w:t>This was done in the hopes of better understanding which patients are more likely to undergo THA and what factors may predict adverse in this patient population.</w:t>
      </w:r>
    </w:p>
    <w:p w14:paraId="7DA851C8" w14:textId="77777777" w:rsidR="000B4FA4" w:rsidRPr="001D7DBE" w:rsidRDefault="000B4FA4" w:rsidP="001D7DBE">
      <w:pPr>
        <w:snapToGrid w:val="0"/>
        <w:spacing w:line="360" w:lineRule="auto"/>
        <w:jc w:val="both"/>
        <w:rPr>
          <w:rFonts w:ascii="Book Antiqua" w:eastAsiaTheme="minorEastAsia" w:hAnsi="Book Antiqua"/>
          <w:b/>
        </w:rPr>
      </w:pPr>
    </w:p>
    <w:p w14:paraId="3D56742C"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objectives</w:t>
      </w:r>
    </w:p>
    <w:p w14:paraId="38B3820B" w14:textId="7000231B" w:rsidR="000B4FA4" w:rsidRPr="001D7DBE" w:rsidRDefault="000B4FA4" w:rsidP="001D7DBE">
      <w:pPr>
        <w:snapToGrid w:val="0"/>
        <w:spacing w:line="360" w:lineRule="auto"/>
        <w:jc w:val="both"/>
        <w:rPr>
          <w:rFonts w:ascii="Book Antiqua" w:hAnsi="Book Antiqua"/>
          <w:b/>
        </w:rPr>
      </w:pPr>
      <w:r w:rsidRPr="001D7DBE">
        <w:rPr>
          <w:rFonts w:ascii="Book Antiqua" w:hAnsi="Book Antiqua"/>
        </w:rPr>
        <w:t>T</w:t>
      </w:r>
      <w:r w:rsidR="008A3077" w:rsidRPr="001D7DBE">
        <w:rPr>
          <w:rFonts w:ascii="Book Antiqua" w:hAnsi="Book Antiqua"/>
        </w:rPr>
        <w:t>he research objectives in this study was to assess the incidence of patients undergoing THA and HA after displaced femoral neck fracture in the United States. Furthermore</w:t>
      </w:r>
      <w:r w:rsidR="00B37BA7">
        <w:rPr>
          <w:rFonts w:ascii="Book Antiqua" w:hAnsi="Book Antiqua"/>
        </w:rPr>
        <w:t>,</w:t>
      </w:r>
      <w:r w:rsidR="008A3077" w:rsidRPr="001D7DBE">
        <w:rPr>
          <w:rFonts w:ascii="Book Antiqua" w:hAnsi="Book Antiqua"/>
        </w:rPr>
        <w:t xml:space="preserve"> we </w:t>
      </w:r>
      <w:r w:rsidR="00FB4164" w:rsidRPr="001D7DBE">
        <w:rPr>
          <w:rFonts w:ascii="Book Antiqua" w:hAnsi="Book Antiqua"/>
        </w:rPr>
        <w:t xml:space="preserve">explored whether hospital </w:t>
      </w:r>
      <w:r w:rsidR="0080734B" w:rsidRPr="001D7DBE">
        <w:rPr>
          <w:rFonts w:ascii="Book Antiqua" w:hAnsi="Book Antiqua"/>
        </w:rPr>
        <w:t>length of stay (LOS)</w:t>
      </w:r>
      <w:r w:rsidR="00FB4164" w:rsidRPr="001D7DBE">
        <w:rPr>
          <w:rFonts w:ascii="Book Antiqua" w:hAnsi="Book Antiqua"/>
        </w:rPr>
        <w:t>, discharge disposition, and cost differed between patients undergoing THA or HA.</w:t>
      </w:r>
    </w:p>
    <w:p w14:paraId="5990B377" w14:textId="77777777" w:rsidR="000B4FA4" w:rsidRPr="001D7DBE" w:rsidRDefault="000B4FA4" w:rsidP="001D7DBE">
      <w:pPr>
        <w:snapToGrid w:val="0"/>
        <w:spacing w:line="360" w:lineRule="auto"/>
        <w:jc w:val="both"/>
        <w:rPr>
          <w:rFonts w:ascii="Book Antiqua" w:eastAsiaTheme="minorEastAsia" w:hAnsi="Book Antiqua"/>
          <w:b/>
        </w:rPr>
      </w:pPr>
    </w:p>
    <w:p w14:paraId="1F41C369"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methods</w:t>
      </w:r>
    </w:p>
    <w:p w14:paraId="16F4F8A8" w14:textId="5330C8AD" w:rsidR="00FB4164" w:rsidRPr="001D7DBE" w:rsidDel="00754495" w:rsidRDefault="00FB4164" w:rsidP="001D7DBE">
      <w:pPr>
        <w:spacing w:line="360" w:lineRule="auto"/>
        <w:jc w:val="both"/>
        <w:rPr>
          <w:rFonts w:ascii="Book Antiqua" w:hAnsi="Book Antiqua"/>
        </w:rPr>
      </w:pPr>
      <w:r w:rsidRPr="001D7DBE">
        <w:rPr>
          <w:rFonts w:ascii="Book Antiqua" w:hAnsi="Book Antiqua"/>
        </w:rPr>
        <w:t xml:space="preserve">This was a retrospective study which utilized the </w:t>
      </w:r>
      <w:r w:rsidR="0080734B" w:rsidRPr="001D7DBE">
        <w:rPr>
          <w:rFonts w:ascii="Book Antiqua" w:hAnsi="Book Antiqua"/>
        </w:rPr>
        <w:t xml:space="preserve">Nationwide Inpatient Sample </w:t>
      </w:r>
      <w:r w:rsidRPr="001D7DBE">
        <w:rPr>
          <w:rFonts w:ascii="Book Antiqua" w:hAnsi="Book Antiqua"/>
        </w:rPr>
        <w:t xml:space="preserve">between 2010 and 2014. We identified patients undergoing THA and HA for femoral neck fractures using </w:t>
      </w:r>
      <w:r w:rsidR="001F0046" w:rsidRPr="001D7DBE">
        <w:rPr>
          <w:rFonts w:ascii="Book Antiqua" w:hAnsi="Book Antiqua"/>
        </w:rPr>
        <w:t xml:space="preserve">Ninth Edition </w:t>
      </w:r>
      <w:r w:rsidRPr="001D7DBE">
        <w:rPr>
          <w:rFonts w:ascii="Book Antiqua" w:hAnsi="Book Antiqua"/>
        </w:rPr>
        <w:t xml:space="preserve">diagnosis and procedure codes. Chi-square tests were used to compare categorical variables and </w:t>
      </w:r>
      <w:r w:rsidRPr="001D7DBE">
        <w:rPr>
          <w:rFonts w:ascii="Book Antiqua" w:hAnsi="Book Antiqua"/>
          <w:i/>
          <w:iCs/>
        </w:rPr>
        <w:t>t</w:t>
      </w:r>
      <w:r w:rsidRPr="001D7DBE">
        <w:rPr>
          <w:rFonts w:ascii="Book Antiqua" w:hAnsi="Book Antiqua"/>
        </w:rPr>
        <w:t xml:space="preserve"> tests for continuous variables. Yearly </w:t>
      </w:r>
      <w:r w:rsidRPr="001D7DBE">
        <w:rPr>
          <w:rFonts w:ascii="Book Antiqua" w:hAnsi="Book Antiqua"/>
        </w:rPr>
        <w:lastRenderedPageBreak/>
        <w:t xml:space="preserve">trends were analyzed using linear regression modeling. </w:t>
      </w:r>
      <w:r w:rsidRPr="001D7DBE">
        <w:rPr>
          <w:rFonts w:ascii="Book Antiqua" w:hAnsi="Book Antiqua"/>
          <w:i/>
          <w:iCs/>
        </w:rPr>
        <w:t>P</w:t>
      </w:r>
      <w:r w:rsidRPr="001D7DBE">
        <w:rPr>
          <w:rFonts w:ascii="Book Antiqua" w:hAnsi="Book Antiqua"/>
        </w:rPr>
        <w:t>-values less than 0.05 were considered statistically significant.</w:t>
      </w:r>
    </w:p>
    <w:p w14:paraId="423B6B8B" w14:textId="77777777" w:rsidR="000B4FA4" w:rsidRPr="001D7DBE" w:rsidRDefault="000B4FA4" w:rsidP="001D7DBE">
      <w:pPr>
        <w:snapToGrid w:val="0"/>
        <w:spacing w:line="360" w:lineRule="auto"/>
        <w:jc w:val="both"/>
        <w:rPr>
          <w:rFonts w:ascii="Book Antiqua" w:eastAsiaTheme="minorEastAsia" w:hAnsi="Book Antiqua"/>
          <w:b/>
        </w:rPr>
      </w:pPr>
    </w:p>
    <w:p w14:paraId="7C999E0A"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results</w:t>
      </w:r>
    </w:p>
    <w:p w14:paraId="383D4117" w14:textId="5672C103" w:rsidR="000B4FA4" w:rsidRPr="001D7DBE" w:rsidRDefault="00FB4164" w:rsidP="001D7DBE">
      <w:pPr>
        <w:snapToGrid w:val="0"/>
        <w:spacing w:line="360" w:lineRule="auto"/>
        <w:jc w:val="both"/>
        <w:rPr>
          <w:rFonts w:ascii="Book Antiqua" w:eastAsiaTheme="minorEastAsia" w:hAnsi="Book Antiqua" w:cs="Segoe UI"/>
          <w:shd w:val="clear" w:color="auto" w:fill="FFFFFF"/>
        </w:rPr>
      </w:pPr>
      <w:r w:rsidRPr="001D7DBE">
        <w:rPr>
          <w:rFonts w:ascii="Book Antiqua" w:hAnsi="Book Antiqua"/>
        </w:rPr>
        <w:t>Of the total 502060 patients who were treated for femoral neck fracture in our study, 51568 (10.3%) underwent THA and the incidence of THA rose from 8.3</w:t>
      </w:r>
      <w:r w:rsidR="001F0046" w:rsidRPr="001D7DBE">
        <w:rPr>
          <w:rFonts w:ascii="Book Antiqua" w:hAnsi="Book Antiqua"/>
        </w:rPr>
        <w:t>%</w:t>
      </w:r>
      <w:r w:rsidRPr="001D7DBE">
        <w:rPr>
          <w:rFonts w:ascii="Book Antiqua" w:hAnsi="Book Antiqua"/>
        </w:rPr>
        <w:t xml:space="preserve"> to 13.7%. Private insurance accounted for a higher percentage of THA than hemiarthroplasty. THA increased most in urban teaching hospitals relative to urban non-teaching hospitals. Mean LOS was longer for HA. The mean charges were less for HA, however charges decreased steadily for both groups. HA had a higher mortality rate, however, after adjusting for age and comorbidities HA was not an independent risk factor for mortality. </w:t>
      </w:r>
    </w:p>
    <w:p w14:paraId="7EC9EDCE" w14:textId="77777777" w:rsidR="001F0046" w:rsidRPr="001D7DBE" w:rsidRDefault="001F0046" w:rsidP="001D7DBE">
      <w:pPr>
        <w:snapToGrid w:val="0"/>
        <w:spacing w:line="360" w:lineRule="auto"/>
        <w:jc w:val="both"/>
        <w:rPr>
          <w:rFonts w:ascii="Book Antiqua" w:hAnsi="Book Antiqua"/>
          <w:b/>
          <w:i/>
        </w:rPr>
      </w:pPr>
    </w:p>
    <w:p w14:paraId="20F6EB5F" w14:textId="0B636297" w:rsidR="000B4FA4" w:rsidRPr="001D7DBE" w:rsidRDefault="000B4FA4" w:rsidP="001D7DBE">
      <w:pPr>
        <w:snapToGrid w:val="0"/>
        <w:spacing w:line="360" w:lineRule="auto"/>
        <w:jc w:val="both"/>
        <w:rPr>
          <w:rFonts w:ascii="Book Antiqua" w:hAnsi="Book Antiqua" w:cs="Segoe UI"/>
          <w:b/>
          <w:i/>
          <w:shd w:val="clear" w:color="auto" w:fill="FFFFFF"/>
        </w:rPr>
      </w:pPr>
      <w:r w:rsidRPr="001D7DBE">
        <w:rPr>
          <w:rFonts w:ascii="Book Antiqua" w:hAnsi="Book Antiqua"/>
          <w:b/>
          <w:i/>
        </w:rPr>
        <w:t>Research conclusions</w:t>
      </w:r>
    </w:p>
    <w:p w14:paraId="60D93BAD" w14:textId="5EDABDA3" w:rsidR="000B4FA4" w:rsidRPr="001D7DBE" w:rsidRDefault="00FB4164" w:rsidP="001D7DBE">
      <w:pPr>
        <w:snapToGrid w:val="0"/>
        <w:spacing w:line="360" w:lineRule="auto"/>
        <w:jc w:val="both"/>
        <w:rPr>
          <w:rFonts w:ascii="Book Antiqua" w:eastAsiaTheme="minorEastAsia" w:hAnsi="Book Antiqua" w:cs="Segoe UI"/>
          <w:shd w:val="clear" w:color="auto" w:fill="FFFFFF"/>
        </w:rPr>
      </w:pPr>
      <w:r w:rsidRPr="001D7DBE">
        <w:rPr>
          <w:rFonts w:ascii="Book Antiqua" w:hAnsi="Book Antiqua"/>
        </w:rPr>
        <w:t xml:space="preserve">Our study was consistent with previous research that the number of patients undergoing THA </w:t>
      </w:r>
      <w:r w:rsidR="00C65646" w:rsidRPr="001D7DBE">
        <w:rPr>
          <w:rFonts w:ascii="Book Antiqua" w:hAnsi="Book Antiqua"/>
        </w:rPr>
        <w:t xml:space="preserve">for femoral neck fractures has increased. </w:t>
      </w:r>
      <w:r w:rsidR="00602F9D" w:rsidRPr="001D7DBE">
        <w:rPr>
          <w:rFonts w:ascii="Book Antiqua" w:hAnsi="Book Antiqua"/>
        </w:rPr>
        <w:t>Furthermore, we found that THA was more common in urban hospitals and in patients with private insurance. Both of these trends have been reported prior, however further research should better examine the etiology between these associations. We found no difference in mortality between patients undergoing HA and THA reflecting that mortality is more dependent on patient comorbidies than surgical technique.</w:t>
      </w:r>
    </w:p>
    <w:p w14:paraId="08D340B4" w14:textId="77777777" w:rsidR="000B4FA4" w:rsidRPr="001D7DBE" w:rsidRDefault="000B4FA4" w:rsidP="001D7DBE">
      <w:pPr>
        <w:snapToGrid w:val="0"/>
        <w:spacing w:line="360" w:lineRule="auto"/>
        <w:jc w:val="both"/>
        <w:rPr>
          <w:rFonts w:ascii="Book Antiqua" w:eastAsiaTheme="minorEastAsia" w:hAnsi="Book Antiqua" w:cs="Segoe UI"/>
          <w:shd w:val="clear" w:color="auto" w:fill="FFFFFF"/>
        </w:rPr>
      </w:pPr>
    </w:p>
    <w:p w14:paraId="2B65FF9A" w14:textId="77777777" w:rsidR="000B4FA4" w:rsidRPr="001D7DBE" w:rsidRDefault="000B4FA4" w:rsidP="001D7DBE">
      <w:pPr>
        <w:snapToGrid w:val="0"/>
        <w:spacing w:line="360" w:lineRule="auto"/>
        <w:jc w:val="both"/>
        <w:rPr>
          <w:rFonts w:ascii="Book Antiqua" w:hAnsi="Book Antiqua" w:cs="Segoe UI"/>
          <w:b/>
          <w:i/>
          <w:shd w:val="clear" w:color="auto" w:fill="FFFFFF"/>
        </w:rPr>
      </w:pPr>
      <w:r w:rsidRPr="001D7DBE">
        <w:rPr>
          <w:rFonts w:ascii="Book Antiqua" w:hAnsi="Book Antiqua" w:cs="Segoe UI"/>
          <w:b/>
          <w:i/>
          <w:shd w:val="clear" w:color="auto" w:fill="FFFFFF"/>
        </w:rPr>
        <w:t>Research perspectives</w:t>
      </w:r>
    </w:p>
    <w:p w14:paraId="2BB89EA2" w14:textId="23B4E575" w:rsidR="000B4FA4" w:rsidRPr="001D7DBE" w:rsidRDefault="00602F9D" w:rsidP="001D7DBE">
      <w:pPr>
        <w:snapToGrid w:val="0"/>
        <w:spacing w:line="360" w:lineRule="auto"/>
        <w:jc w:val="both"/>
        <w:rPr>
          <w:rFonts w:ascii="Book Antiqua" w:hAnsi="Book Antiqua" w:cs="Segoe UI"/>
          <w:shd w:val="clear" w:color="auto" w:fill="FFFFFF"/>
        </w:rPr>
      </w:pPr>
      <w:r w:rsidRPr="001D7DBE">
        <w:rPr>
          <w:rFonts w:ascii="Book Antiqua" w:hAnsi="Book Antiqua" w:cs="Segoe UI"/>
          <w:shd w:val="clear" w:color="auto" w:fill="FFFFFF"/>
        </w:rPr>
        <w:t xml:space="preserve">Future research most more closely examine the relationship between </w:t>
      </w:r>
      <w:r w:rsidR="00987B7D" w:rsidRPr="001D7DBE">
        <w:rPr>
          <w:rFonts w:ascii="Book Antiqua" w:hAnsi="Book Antiqua" w:cs="Segoe UI"/>
          <w:shd w:val="clear" w:color="auto" w:fill="FFFFFF"/>
        </w:rPr>
        <w:t>surgical choice of femoral ne</w:t>
      </w:r>
      <w:r w:rsidR="00F11185" w:rsidRPr="001D7DBE">
        <w:rPr>
          <w:rFonts w:ascii="Book Antiqua" w:hAnsi="Book Antiqua" w:cs="Segoe UI"/>
          <w:shd w:val="clear" w:color="auto" w:fill="FFFFFF"/>
        </w:rPr>
        <w:t>c</w:t>
      </w:r>
      <w:r w:rsidR="00987B7D" w:rsidRPr="001D7DBE">
        <w:rPr>
          <w:rFonts w:ascii="Book Antiqua" w:hAnsi="Book Antiqua" w:cs="Segoe UI"/>
          <w:shd w:val="clear" w:color="auto" w:fill="FFFFFF"/>
        </w:rPr>
        <w:t xml:space="preserve">k fracture fixation and insurance type especially since we found increased cost for patients undergoing THA. Prospective studies are needed to effectively examine this research question. Additionally, randomized controlled studies are needed to better develop treatment algorithms to guide orthopedic surgeons on which patients may benefit most from THA compared to HA. </w:t>
      </w:r>
    </w:p>
    <w:bookmarkEnd w:id="331"/>
    <w:bookmarkEnd w:id="332"/>
    <w:p w14:paraId="64AA6B31" w14:textId="77777777" w:rsidR="000B4FA4" w:rsidRPr="001D7DBE" w:rsidRDefault="000B4FA4" w:rsidP="001D7DBE">
      <w:pPr>
        <w:snapToGrid w:val="0"/>
        <w:spacing w:line="360" w:lineRule="auto"/>
        <w:jc w:val="both"/>
        <w:rPr>
          <w:rFonts w:ascii="Book Antiqua" w:hAnsi="Book Antiqua"/>
          <w:b/>
        </w:rPr>
      </w:pP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7399A04B" w14:textId="22B31A2A" w:rsidR="00DE1237" w:rsidRPr="001D7DBE" w:rsidRDefault="00DE1237" w:rsidP="001D7DBE">
      <w:pPr>
        <w:spacing w:line="360" w:lineRule="auto"/>
        <w:jc w:val="both"/>
        <w:rPr>
          <w:rFonts w:ascii="Book Antiqua" w:hAnsi="Book Antiqua"/>
          <w:caps/>
        </w:rPr>
      </w:pPr>
      <w:r w:rsidRPr="001D7DBE">
        <w:rPr>
          <w:rFonts w:ascii="Book Antiqua" w:hAnsi="Book Antiqua"/>
          <w:b/>
          <w:caps/>
        </w:rPr>
        <w:t>References</w:t>
      </w:r>
      <w:bookmarkStart w:id="350" w:name="OLE_LINK30"/>
    </w:p>
    <w:p w14:paraId="43818D06"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 </w:t>
      </w:r>
      <w:r w:rsidRPr="001D7DBE">
        <w:rPr>
          <w:rFonts w:ascii="Book Antiqua" w:hAnsi="Book Antiqua"/>
          <w:b/>
        </w:rPr>
        <w:t>Sambrook P</w:t>
      </w:r>
      <w:r w:rsidRPr="001D7DBE">
        <w:rPr>
          <w:rFonts w:ascii="Book Antiqua" w:hAnsi="Book Antiqua"/>
        </w:rPr>
        <w:t xml:space="preserve">, Cooper C. Osteoporosis. </w:t>
      </w:r>
      <w:r w:rsidRPr="001D7DBE">
        <w:rPr>
          <w:rFonts w:ascii="Book Antiqua" w:hAnsi="Book Antiqua"/>
          <w:i/>
        </w:rPr>
        <w:t>Lancet</w:t>
      </w:r>
      <w:r w:rsidRPr="001D7DBE">
        <w:rPr>
          <w:rFonts w:ascii="Book Antiqua" w:hAnsi="Book Antiqua"/>
        </w:rPr>
        <w:t xml:space="preserve"> 2006; </w:t>
      </w:r>
      <w:r w:rsidRPr="001D7DBE">
        <w:rPr>
          <w:rFonts w:ascii="Book Antiqua" w:hAnsi="Book Antiqua"/>
          <w:b/>
        </w:rPr>
        <w:t>367</w:t>
      </w:r>
      <w:r w:rsidRPr="001D7DBE">
        <w:rPr>
          <w:rFonts w:ascii="Book Antiqua" w:hAnsi="Book Antiqua"/>
        </w:rPr>
        <w:t>: 2010-2018 [PMID: 16782492 DOI: 10.1016/S0140-6736(06)68891-0]</w:t>
      </w:r>
    </w:p>
    <w:p w14:paraId="5C0BFC5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 </w:t>
      </w:r>
      <w:r w:rsidRPr="001D7DBE">
        <w:rPr>
          <w:rFonts w:ascii="Book Antiqua" w:hAnsi="Book Antiqua"/>
          <w:b/>
        </w:rPr>
        <w:t>Jain NB</w:t>
      </w:r>
      <w:r w:rsidRPr="001D7DBE">
        <w:rPr>
          <w:rFonts w:ascii="Book Antiqua" w:hAnsi="Book Antiqua"/>
        </w:rPr>
        <w:t xml:space="preserve">, Losina E, Ward DM, Harris MB, Katz JN. Trends in surgical management of femoral neck fractures in the United States. </w:t>
      </w:r>
      <w:r w:rsidRPr="001D7DBE">
        <w:rPr>
          <w:rFonts w:ascii="Book Antiqua" w:hAnsi="Book Antiqua"/>
          <w:i/>
        </w:rPr>
        <w:t>Clin Orthop Relat Res</w:t>
      </w:r>
      <w:r w:rsidRPr="001D7DBE">
        <w:rPr>
          <w:rFonts w:ascii="Book Antiqua" w:hAnsi="Book Antiqua"/>
        </w:rPr>
        <w:t xml:space="preserve"> 2008; </w:t>
      </w:r>
      <w:r w:rsidRPr="001D7DBE">
        <w:rPr>
          <w:rFonts w:ascii="Book Antiqua" w:hAnsi="Book Antiqua"/>
          <w:b/>
        </w:rPr>
        <w:t>466</w:t>
      </w:r>
      <w:r w:rsidRPr="001D7DBE">
        <w:rPr>
          <w:rFonts w:ascii="Book Antiqua" w:hAnsi="Book Antiqua"/>
        </w:rPr>
        <w:t>: 3116-3122 [PMID: 18648899 DOI: 10.1007/s11999-008-0392-3]</w:t>
      </w:r>
    </w:p>
    <w:p w14:paraId="52DB80CC"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3 </w:t>
      </w:r>
      <w:r w:rsidRPr="001D7DBE">
        <w:rPr>
          <w:rFonts w:ascii="Book Antiqua" w:hAnsi="Book Antiqua"/>
          <w:b/>
        </w:rPr>
        <w:t>Rogmark C</w:t>
      </w:r>
      <w:r w:rsidRPr="001D7DBE">
        <w:rPr>
          <w:rFonts w:ascii="Book Antiqua" w:hAnsi="Book Antiqua"/>
        </w:rPr>
        <w:t xml:space="preserve">, Carlsson A, Johnell O, Sernbo I. A prospective randomised trial of internal fixation versus arthroplasty for displaced fractures of the neck of the femur. Functional outcome for 450 patients at two years. </w:t>
      </w:r>
      <w:r w:rsidRPr="001D7DBE">
        <w:rPr>
          <w:rFonts w:ascii="Book Antiqua" w:hAnsi="Book Antiqua"/>
          <w:i/>
        </w:rPr>
        <w:t>J Bone Joint Surg Br</w:t>
      </w:r>
      <w:r w:rsidRPr="001D7DBE">
        <w:rPr>
          <w:rFonts w:ascii="Book Antiqua" w:hAnsi="Book Antiqua"/>
        </w:rPr>
        <w:t xml:space="preserve"> 2002; </w:t>
      </w:r>
      <w:r w:rsidRPr="001D7DBE">
        <w:rPr>
          <w:rFonts w:ascii="Book Antiqua" w:hAnsi="Book Antiqua"/>
          <w:b/>
        </w:rPr>
        <w:t>84</w:t>
      </w:r>
      <w:r w:rsidRPr="001D7DBE">
        <w:rPr>
          <w:rFonts w:ascii="Book Antiqua" w:hAnsi="Book Antiqua"/>
        </w:rPr>
        <w:t>: 183-188 [PMID: 11922358 DOI: 10.1302/0301-620x.84b2.11923]</w:t>
      </w:r>
    </w:p>
    <w:p w14:paraId="49E8F5FD"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4 </w:t>
      </w:r>
      <w:r w:rsidRPr="001D7DBE">
        <w:rPr>
          <w:rFonts w:ascii="Book Antiqua" w:hAnsi="Book Antiqua"/>
          <w:b/>
        </w:rPr>
        <w:t>Chammout GK</w:t>
      </w:r>
      <w:r w:rsidRPr="001D7DBE">
        <w:rPr>
          <w:rFonts w:ascii="Book Antiqua" w:hAnsi="Book Antiqua"/>
        </w:rPr>
        <w:t xml:space="preserve">, Mukka SS, Carlsson T, Neander GF, Stark AW, Skoldenberg OG. Total hip replacement versus open reduction and internal fixation of displaced femoral neck fractures: a randomized long-term follow-up study. </w:t>
      </w:r>
      <w:r w:rsidRPr="001D7DBE">
        <w:rPr>
          <w:rFonts w:ascii="Book Antiqua" w:hAnsi="Book Antiqua"/>
          <w:i/>
        </w:rPr>
        <w:t>J Bone Joint Surg Am</w:t>
      </w:r>
      <w:r w:rsidRPr="001D7DBE">
        <w:rPr>
          <w:rFonts w:ascii="Book Antiqua" w:hAnsi="Book Antiqua"/>
        </w:rPr>
        <w:t xml:space="preserve"> 2012; </w:t>
      </w:r>
      <w:r w:rsidRPr="001D7DBE">
        <w:rPr>
          <w:rFonts w:ascii="Book Antiqua" w:hAnsi="Book Antiqua"/>
          <w:b/>
        </w:rPr>
        <w:t>94</w:t>
      </w:r>
      <w:r w:rsidRPr="001D7DBE">
        <w:rPr>
          <w:rFonts w:ascii="Book Antiqua" w:hAnsi="Book Antiqua"/>
        </w:rPr>
        <w:t>: 1921-1928 [PMID: 23014835 DOI: 10.2106/JBJS.K.01615]</w:t>
      </w:r>
    </w:p>
    <w:p w14:paraId="0931C9A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5 </w:t>
      </w:r>
      <w:r w:rsidRPr="001D7DBE">
        <w:rPr>
          <w:rFonts w:ascii="Book Antiqua" w:hAnsi="Book Antiqua"/>
          <w:b/>
        </w:rPr>
        <w:t>Kim SH</w:t>
      </w:r>
      <w:r w:rsidRPr="001D7DBE">
        <w:rPr>
          <w:rFonts w:ascii="Book Antiqua" w:hAnsi="Book Antiqua"/>
        </w:rPr>
        <w:t xml:space="preserve">, Meehan JP, Lee MA. Surgical treatment of trochanteric and cervical hip fractures in the United States: 2000-2009. </w:t>
      </w:r>
      <w:r w:rsidRPr="001D7DBE">
        <w:rPr>
          <w:rFonts w:ascii="Book Antiqua" w:hAnsi="Book Antiqua"/>
          <w:i/>
        </w:rPr>
        <w:t>J Arthroplasty</w:t>
      </w:r>
      <w:r w:rsidRPr="001D7DBE">
        <w:rPr>
          <w:rFonts w:ascii="Book Antiqua" w:hAnsi="Book Antiqua"/>
        </w:rPr>
        <w:t xml:space="preserve"> 2013; </w:t>
      </w:r>
      <w:r w:rsidRPr="001D7DBE">
        <w:rPr>
          <w:rFonts w:ascii="Book Antiqua" w:hAnsi="Book Antiqua"/>
          <w:b/>
        </w:rPr>
        <w:t>28</w:t>
      </w:r>
      <w:r w:rsidRPr="001D7DBE">
        <w:rPr>
          <w:rFonts w:ascii="Book Antiqua" w:hAnsi="Book Antiqua"/>
        </w:rPr>
        <w:t>: 1386-1390 [PMID: 23535286 DOI: 10.1016/j.arth.2012.09.007]</w:t>
      </w:r>
    </w:p>
    <w:p w14:paraId="5610A304" w14:textId="6FEE36E5" w:rsidR="00F65BEF" w:rsidRPr="001D7DBE" w:rsidRDefault="00F65BEF" w:rsidP="001D7DBE">
      <w:pPr>
        <w:spacing w:line="360" w:lineRule="auto"/>
        <w:jc w:val="both"/>
        <w:rPr>
          <w:rFonts w:ascii="Book Antiqua" w:hAnsi="Book Antiqua"/>
        </w:rPr>
      </w:pPr>
      <w:r w:rsidRPr="001D7DBE">
        <w:rPr>
          <w:rFonts w:ascii="Book Antiqua" w:hAnsi="Book Antiqua"/>
        </w:rPr>
        <w:t xml:space="preserve">6 </w:t>
      </w:r>
      <w:r w:rsidRPr="001D7DBE">
        <w:rPr>
          <w:rFonts w:ascii="Book Antiqua" w:hAnsi="Book Antiqua"/>
          <w:b/>
        </w:rPr>
        <w:t>Ravikumar KJ</w:t>
      </w:r>
      <w:r w:rsidRPr="001D7DBE">
        <w:rPr>
          <w:rFonts w:ascii="Book Antiqua" w:hAnsi="Book Antiqua"/>
        </w:rPr>
        <w:t xml:space="preserve">, Marsh G. Internal fixation versus hemiarthroplasty versus total hip arthroplasty for displaced subcapital fractures of femur-13 year results of a prospective randomised study. </w:t>
      </w:r>
      <w:r w:rsidRPr="001D7DBE">
        <w:rPr>
          <w:rFonts w:ascii="Book Antiqua" w:hAnsi="Book Antiqua"/>
          <w:i/>
        </w:rPr>
        <w:t>Injury</w:t>
      </w:r>
      <w:r w:rsidRPr="001D7DBE">
        <w:rPr>
          <w:rFonts w:ascii="Book Antiqua" w:hAnsi="Book Antiqua"/>
        </w:rPr>
        <w:t xml:space="preserve"> 2000; </w:t>
      </w:r>
      <w:r w:rsidRPr="001D7DBE">
        <w:rPr>
          <w:rFonts w:ascii="Book Antiqua" w:hAnsi="Book Antiqua"/>
          <w:b/>
        </w:rPr>
        <w:t>31</w:t>
      </w:r>
      <w:r w:rsidRPr="001D7DBE">
        <w:rPr>
          <w:rFonts w:ascii="Book Antiqua" w:hAnsi="Book Antiqua"/>
        </w:rPr>
        <w:t>: 793-797 [PMID: 11154750 DOI: 10.1016/s0020-1383(00)00125-x]</w:t>
      </w:r>
    </w:p>
    <w:p w14:paraId="574AAA84"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7 </w:t>
      </w:r>
      <w:r w:rsidRPr="001D7DBE">
        <w:rPr>
          <w:rFonts w:ascii="Book Antiqua" w:hAnsi="Book Antiqua"/>
          <w:b/>
        </w:rPr>
        <w:t>Burgers PT</w:t>
      </w:r>
      <w:r w:rsidRPr="001D7DBE">
        <w:rPr>
          <w:rFonts w:ascii="Book Antiqua" w:hAnsi="Book Antiqua"/>
        </w:rPr>
        <w:t xml:space="preserve">, Van Geene AR, Van den Bekerom MP, Van Lieshout EM, Blom B, Aleem IS, Bhandari M, Poolman RW. Total hip arthroplasty versus hemiarthroplasty for displaced femoral neck fractures in the healthy elderly: a meta-analysis and systematic review of randomized trials. </w:t>
      </w:r>
      <w:r w:rsidRPr="001D7DBE">
        <w:rPr>
          <w:rFonts w:ascii="Book Antiqua" w:hAnsi="Book Antiqua"/>
          <w:i/>
        </w:rPr>
        <w:t>Int Orthop</w:t>
      </w:r>
      <w:r w:rsidRPr="001D7DBE">
        <w:rPr>
          <w:rFonts w:ascii="Book Antiqua" w:hAnsi="Book Antiqua"/>
        </w:rPr>
        <w:t xml:space="preserve"> 2012; </w:t>
      </w:r>
      <w:r w:rsidRPr="001D7DBE">
        <w:rPr>
          <w:rFonts w:ascii="Book Antiqua" w:hAnsi="Book Antiqua"/>
          <w:b/>
        </w:rPr>
        <w:t>36</w:t>
      </w:r>
      <w:r w:rsidRPr="001D7DBE">
        <w:rPr>
          <w:rFonts w:ascii="Book Antiqua" w:hAnsi="Book Antiqua"/>
        </w:rPr>
        <w:t>: 1549-1560 [PMID: 22623062 DOI: 10.1007/s00264-012-1569-7]</w:t>
      </w:r>
    </w:p>
    <w:p w14:paraId="667C7087" w14:textId="77777777" w:rsidR="00F65BEF" w:rsidRPr="001D7DBE" w:rsidRDefault="00F65BEF" w:rsidP="001D7DBE">
      <w:pPr>
        <w:spacing w:line="360" w:lineRule="auto"/>
        <w:jc w:val="both"/>
        <w:rPr>
          <w:rFonts w:ascii="Book Antiqua" w:hAnsi="Book Antiqua"/>
        </w:rPr>
      </w:pPr>
      <w:r w:rsidRPr="001D7DBE">
        <w:rPr>
          <w:rFonts w:ascii="Book Antiqua" w:hAnsi="Book Antiqua"/>
        </w:rPr>
        <w:lastRenderedPageBreak/>
        <w:t xml:space="preserve">8 </w:t>
      </w:r>
      <w:r w:rsidRPr="001D7DBE">
        <w:rPr>
          <w:rFonts w:ascii="Book Antiqua" w:hAnsi="Book Antiqua"/>
          <w:b/>
        </w:rPr>
        <w:t>Miller BJ</w:t>
      </w:r>
      <w:r w:rsidRPr="001D7DBE">
        <w:rPr>
          <w:rFonts w:ascii="Book Antiqua" w:hAnsi="Book Antiqua"/>
        </w:rPr>
        <w:t xml:space="preserve">, Lu X, Cram P. The trends in treatment of femoral neck fractures in the Medicare population from 1991 to 2008. </w:t>
      </w:r>
      <w:r w:rsidRPr="001D7DBE">
        <w:rPr>
          <w:rFonts w:ascii="Book Antiqua" w:hAnsi="Book Antiqua"/>
          <w:i/>
        </w:rPr>
        <w:t>J Bone Joint Surg Am</w:t>
      </w:r>
      <w:r w:rsidRPr="001D7DBE">
        <w:rPr>
          <w:rFonts w:ascii="Book Antiqua" w:hAnsi="Book Antiqua"/>
        </w:rPr>
        <w:t xml:space="preserve"> 2013; </w:t>
      </w:r>
      <w:r w:rsidRPr="001D7DBE">
        <w:rPr>
          <w:rFonts w:ascii="Book Antiqua" w:hAnsi="Book Antiqua"/>
          <w:b/>
        </w:rPr>
        <w:t>95</w:t>
      </w:r>
      <w:r w:rsidRPr="001D7DBE">
        <w:rPr>
          <w:rFonts w:ascii="Book Antiqua" w:hAnsi="Book Antiqua"/>
        </w:rPr>
        <w:t>: e132 [PMID: 24048563 DOI: 10.2106/JBJS.L.01163]</w:t>
      </w:r>
    </w:p>
    <w:p w14:paraId="4EF5DE6F"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9 </w:t>
      </w:r>
      <w:r w:rsidRPr="001D7DBE">
        <w:rPr>
          <w:rFonts w:ascii="Book Antiqua" w:hAnsi="Book Antiqua"/>
          <w:b/>
        </w:rPr>
        <w:t>Hochfelder JP</w:t>
      </w:r>
      <w:r w:rsidRPr="001D7DBE">
        <w:rPr>
          <w:rFonts w:ascii="Book Antiqua" w:hAnsi="Book Antiqua"/>
        </w:rPr>
        <w:t xml:space="preserve">, Khatib ON, Glait SA, Slover JD. Femoral neck fractures in New York State. Is the rate of THA increasing, and do race or payer influence decision making? </w:t>
      </w:r>
      <w:r w:rsidRPr="001D7DBE">
        <w:rPr>
          <w:rFonts w:ascii="Book Antiqua" w:hAnsi="Book Antiqua"/>
          <w:i/>
        </w:rPr>
        <w:t>J Orthop Trauma</w:t>
      </w:r>
      <w:r w:rsidRPr="001D7DBE">
        <w:rPr>
          <w:rFonts w:ascii="Book Antiqua" w:hAnsi="Book Antiqua"/>
        </w:rPr>
        <w:t xml:space="preserve"> 2014; </w:t>
      </w:r>
      <w:r w:rsidRPr="001D7DBE">
        <w:rPr>
          <w:rFonts w:ascii="Book Antiqua" w:hAnsi="Book Antiqua"/>
          <w:b/>
        </w:rPr>
        <w:t>28</w:t>
      </w:r>
      <w:r w:rsidRPr="001D7DBE">
        <w:rPr>
          <w:rFonts w:ascii="Book Antiqua" w:hAnsi="Book Antiqua"/>
        </w:rPr>
        <w:t>: 422-426 [PMID: 24343251 DOI: 10.1097/BOT.0000000000000037]</w:t>
      </w:r>
    </w:p>
    <w:p w14:paraId="496317AC"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10 </w:t>
      </w:r>
      <w:r w:rsidRPr="001D7DBE">
        <w:rPr>
          <w:rFonts w:ascii="Book Antiqua" w:hAnsi="Book Antiqua"/>
          <w:b/>
        </w:rPr>
        <w:t>Miller BJ</w:t>
      </w:r>
      <w:r w:rsidRPr="001D7DBE">
        <w:rPr>
          <w:rFonts w:ascii="Book Antiqua" w:hAnsi="Book Antiqua"/>
        </w:rPr>
        <w:t xml:space="preserve">, Callaghan JJ, Cram P, Karam M, Marsh JL, Noiseux NO. Changing trends in the treatment of femoral neck fractures: a review of the american board of orthopaedic surgery database. </w:t>
      </w:r>
      <w:r w:rsidRPr="001D7DBE">
        <w:rPr>
          <w:rFonts w:ascii="Book Antiqua" w:hAnsi="Book Antiqua"/>
          <w:i/>
        </w:rPr>
        <w:t>J Bone Joint Surg Am</w:t>
      </w:r>
      <w:r w:rsidRPr="001D7DBE">
        <w:rPr>
          <w:rFonts w:ascii="Book Antiqua" w:hAnsi="Book Antiqua"/>
        </w:rPr>
        <w:t xml:space="preserve"> 2014; </w:t>
      </w:r>
      <w:r w:rsidRPr="001D7DBE">
        <w:rPr>
          <w:rFonts w:ascii="Book Antiqua" w:hAnsi="Book Antiqua"/>
          <w:b/>
        </w:rPr>
        <w:t>96</w:t>
      </w:r>
      <w:r w:rsidRPr="001D7DBE">
        <w:rPr>
          <w:rFonts w:ascii="Book Antiqua" w:hAnsi="Book Antiqua"/>
        </w:rPr>
        <w:t>: e149 [PMID: 25187593 DOI: 10.2106/JBJS.M.01122]</w:t>
      </w:r>
    </w:p>
    <w:p w14:paraId="79900908"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11 </w:t>
      </w:r>
      <w:r w:rsidRPr="001D7DBE">
        <w:rPr>
          <w:rFonts w:ascii="Book Antiqua" w:hAnsi="Book Antiqua"/>
          <w:b/>
        </w:rPr>
        <w:t>Hongisto MT</w:t>
      </w:r>
      <w:r w:rsidRPr="001D7DBE">
        <w:rPr>
          <w:rFonts w:ascii="Book Antiqua" w:hAnsi="Book Antiqua"/>
        </w:rPr>
        <w:t xml:space="preserve">, Pihlajamäki H, Niemi S, Nuotio M, Kannus P, Mattila VM. Surgical procedures in femoral neck fractures in Finland: a nationwide study between 1998 and 2011. </w:t>
      </w:r>
      <w:r w:rsidRPr="001D7DBE">
        <w:rPr>
          <w:rFonts w:ascii="Book Antiqua" w:hAnsi="Book Antiqua"/>
          <w:i/>
        </w:rPr>
        <w:t>Int Orthop</w:t>
      </w:r>
      <w:r w:rsidRPr="001D7DBE">
        <w:rPr>
          <w:rFonts w:ascii="Book Antiqua" w:hAnsi="Book Antiqua"/>
        </w:rPr>
        <w:t xml:space="preserve"> 2014; </w:t>
      </w:r>
      <w:r w:rsidRPr="001D7DBE">
        <w:rPr>
          <w:rFonts w:ascii="Book Antiqua" w:hAnsi="Book Antiqua"/>
          <w:b/>
        </w:rPr>
        <w:t>38</w:t>
      </w:r>
      <w:r w:rsidRPr="001D7DBE">
        <w:rPr>
          <w:rFonts w:ascii="Book Antiqua" w:hAnsi="Book Antiqua"/>
        </w:rPr>
        <w:t>: 1685-1690 [PMID: 24756458 DOI: 10.1007/s00264-014-2346-6]</w:t>
      </w:r>
    </w:p>
    <w:p w14:paraId="25B77929" w14:textId="3BAC9644" w:rsidR="00F65BEF" w:rsidRPr="008928C6" w:rsidRDefault="00F65BEF" w:rsidP="001D7DBE">
      <w:pPr>
        <w:spacing w:line="360" w:lineRule="auto"/>
        <w:jc w:val="both"/>
        <w:rPr>
          <w:rFonts w:ascii="Book Antiqua" w:hAnsi="Book Antiqua"/>
        </w:rPr>
      </w:pPr>
      <w:r w:rsidRPr="008928C6">
        <w:rPr>
          <w:rFonts w:ascii="Book Antiqua" w:hAnsi="Book Antiqua"/>
        </w:rPr>
        <w:t xml:space="preserve">12 </w:t>
      </w:r>
      <w:r w:rsidRPr="008928C6">
        <w:rPr>
          <w:rFonts w:ascii="Book Antiqua" w:hAnsi="Book Antiqua"/>
          <w:b/>
          <w:bCs/>
        </w:rPr>
        <w:t>Agency Healthc Res Qual</w:t>
      </w:r>
      <w:r w:rsidRPr="008928C6">
        <w:rPr>
          <w:rFonts w:ascii="Book Antiqua" w:hAnsi="Book Antiqua"/>
        </w:rPr>
        <w:t xml:space="preserve">. </w:t>
      </w:r>
      <w:bookmarkStart w:id="351" w:name="OLE_LINK33"/>
      <w:bookmarkStart w:id="352" w:name="OLE_LINK34"/>
      <w:r w:rsidRPr="008928C6">
        <w:rPr>
          <w:rFonts w:ascii="Book Antiqua" w:hAnsi="Book Antiqua"/>
        </w:rPr>
        <w:t>Healthcare Cost and Utilization Project (HCUP): 2010 Introduction to the Nationwide Inpatient Sample</w:t>
      </w:r>
      <w:bookmarkEnd w:id="351"/>
      <w:bookmarkEnd w:id="352"/>
      <w:r w:rsidRPr="008928C6">
        <w:rPr>
          <w:rFonts w:ascii="Book Antiqua" w:hAnsi="Book Antiqua"/>
        </w:rPr>
        <w:t xml:space="preserve"> (NIS) 2010. </w:t>
      </w:r>
      <w:bookmarkStart w:id="353" w:name="OLE_LINK36"/>
      <w:bookmarkStart w:id="354" w:name="OLE_LINK37"/>
      <w:r w:rsidR="00960A64" w:rsidRPr="008928C6">
        <w:rPr>
          <w:rFonts w:ascii="Book Antiqua" w:hAnsi="Book Antiqua"/>
        </w:rPr>
        <w:t>Available from:</w:t>
      </w:r>
      <w:bookmarkEnd w:id="353"/>
      <w:bookmarkEnd w:id="354"/>
      <w:r w:rsidR="00960A64" w:rsidRPr="008928C6">
        <w:rPr>
          <w:rFonts w:ascii="Book Antiqua" w:hAnsi="Book Antiqua"/>
        </w:rPr>
        <w:t xml:space="preserve"> https://www.hcup-us.ahrq.gov/db/nation/nis/NISIntroduction2010.pdf</w:t>
      </w:r>
    </w:p>
    <w:p w14:paraId="6169DBA3" w14:textId="4D37CAD8" w:rsidR="00960A64" w:rsidRPr="001D7DBE" w:rsidRDefault="00F65BEF" w:rsidP="001D7DBE">
      <w:pPr>
        <w:spacing w:line="360" w:lineRule="auto"/>
        <w:jc w:val="both"/>
        <w:rPr>
          <w:rFonts w:ascii="Book Antiqua" w:hAnsi="Book Antiqua"/>
        </w:rPr>
      </w:pPr>
      <w:r w:rsidRPr="008928C6">
        <w:rPr>
          <w:rFonts w:ascii="Book Antiqua" w:hAnsi="Book Antiqua"/>
        </w:rPr>
        <w:t xml:space="preserve">13 </w:t>
      </w:r>
      <w:r w:rsidRPr="008928C6">
        <w:rPr>
          <w:rFonts w:ascii="Book Antiqua" w:hAnsi="Book Antiqua"/>
          <w:b/>
          <w:bCs/>
        </w:rPr>
        <w:t>R Core Team</w:t>
      </w:r>
      <w:r w:rsidRPr="008928C6">
        <w:rPr>
          <w:rFonts w:ascii="Book Antiqua" w:hAnsi="Book Antiqua"/>
        </w:rPr>
        <w:t xml:space="preserve">. R: A language and environment for statistical computing. </w:t>
      </w:r>
      <w:r w:rsidR="00960A64" w:rsidRPr="008928C6">
        <w:rPr>
          <w:rFonts w:ascii="Book Antiqua" w:hAnsi="Book Antiqua"/>
        </w:rPr>
        <w:t>R Foundation for Statistical Computing, Vienna, Austria, 2018. Available from: https://www.R-project.org/</w:t>
      </w:r>
    </w:p>
    <w:p w14:paraId="174F3133" w14:textId="48DD0085" w:rsidR="00F65BEF" w:rsidRPr="001D7DBE" w:rsidRDefault="00F65BEF" w:rsidP="001D7DBE">
      <w:pPr>
        <w:spacing w:line="360" w:lineRule="auto"/>
        <w:jc w:val="both"/>
        <w:rPr>
          <w:rFonts w:ascii="Book Antiqua" w:hAnsi="Book Antiqua"/>
        </w:rPr>
      </w:pPr>
      <w:r w:rsidRPr="001D7DBE">
        <w:rPr>
          <w:rFonts w:ascii="Book Antiqua" w:hAnsi="Book Antiqua"/>
        </w:rPr>
        <w:t xml:space="preserve">14 </w:t>
      </w:r>
      <w:r w:rsidRPr="001D7DBE">
        <w:rPr>
          <w:rFonts w:ascii="Book Antiqua" w:hAnsi="Book Antiqua"/>
          <w:b/>
        </w:rPr>
        <w:t>Brauer CA</w:t>
      </w:r>
      <w:r w:rsidRPr="001D7DBE">
        <w:rPr>
          <w:rFonts w:ascii="Book Antiqua" w:hAnsi="Book Antiqua"/>
        </w:rPr>
        <w:t xml:space="preserve">, Coca-Perraillon M, Cutler DM, Rosen AB. Incidence and mortality of hip fractures in the United States. </w:t>
      </w:r>
      <w:r w:rsidRPr="001D7DBE">
        <w:rPr>
          <w:rFonts w:ascii="Book Antiqua" w:hAnsi="Book Antiqua"/>
          <w:i/>
        </w:rPr>
        <w:t>JAMA</w:t>
      </w:r>
      <w:r w:rsidRPr="001D7DBE">
        <w:rPr>
          <w:rFonts w:ascii="Book Antiqua" w:hAnsi="Book Antiqua"/>
        </w:rPr>
        <w:t xml:space="preserve"> 2009; </w:t>
      </w:r>
      <w:r w:rsidRPr="001D7DBE">
        <w:rPr>
          <w:rFonts w:ascii="Book Antiqua" w:hAnsi="Book Antiqua"/>
          <w:b/>
        </w:rPr>
        <w:t>302</w:t>
      </w:r>
      <w:r w:rsidRPr="001D7DBE">
        <w:rPr>
          <w:rFonts w:ascii="Book Antiqua" w:hAnsi="Book Antiqua"/>
        </w:rPr>
        <w:t>: 1573-1579 [PMID: 19826027 DOI: 10.1001/jama.2009.1462]</w:t>
      </w:r>
    </w:p>
    <w:p w14:paraId="541F40E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15 </w:t>
      </w:r>
      <w:r w:rsidRPr="001D7DBE">
        <w:rPr>
          <w:rFonts w:ascii="Book Antiqua" w:hAnsi="Book Antiqua"/>
          <w:b/>
        </w:rPr>
        <w:t>Johnell O</w:t>
      </w:r>
      <w:r w:rsidRPr="001D7DBE">
        <w:rPr>
          <w:rFonts w:ascii="Book Antiqua" w:hAnsi="Book Antiqua"/>
        </w:rPr>
        <w:t xml:space="preserve">, Kanis JA. An estimate of the worldwide prevalence, mortality and disability associated with hip fracture. </w:t>
      </w:r>
      <w:r w:rsidRPr="001D7DBE">
        <w:rPr>
          <w:rFonts w:ascii="Book Antiqua" w:hAnsi="Book Antiqua"/>
          <w:i/>
        </w:rPr>
        <w:t>Osteoporos Int</w:t>
      </w:r>
      <w:r w:rsidRPr="001D7DBE">
        <w:rPr>
          <w:rFonts w:ascii="Book Antiqua" w:hAnsi="Book Antiqua"/>
        </w:rPr>
        <w:t xml:space="preserve"> 2004; </w:t>
      </w:r>
      <w:r w:rsidRPr="001D7DBE">
        <w:rPr>
          <w:rFonts w:ascii="Book Antiqua" w:hAnsi="Book Antiqua"/>
          <w:b/>
        </w:rPr>
        <w:t>15</w:t>
      </w:r>
      <w:r w:rsidRPr="001D7DBE">
        <w:rPr>
          <w:rFonts w:ascii="Book Antiqua" w:hAnsi="Book Antiqua"/>
        </w:rPr>
        <w:t>: 897-902 [PMID: 15490120 DOI: 10.1007/s00198-004-1627-0]</w:t>
      </w:r>
    </w:p>
    <w:p w14:paraId="4E08B8ED"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16 </w:t>
      </w:r>
      <w:r w:rsidRPr="001D7DBE">
        <w:rPr>
          <w:rFonts w:ascii="Book Antiqua" w:hAnsi="Book Antiqua"/>
          <w:b/>
        </w:rPr>
        <w:t>Burge R</w:t>
      </w:r>
      <w:r w:rsidRPr="001D7DBE">
        <w:rPr>
          <w:rFonts w:ascii="Book Antiqua" w:hAnsi="Book Antiqua"/>
        </w:rPr>
        <w:t xml:space="preserve">, Dawson-Hughes B, Solomon DH, Wong JB, King A, Tosteson A. Incidence and economic burden of osteoporosis-related fractures in the United States, 2005-2025. </w:t>
      </w:r>
      <w:r w:rsidRPr="001D7DBE">
        <w:rPr>
          <w:rFonts w:ascii="Book Antiqua" w:hAnsi="Book Antiqua"/>
          <w:i/>
        </w:rPr>
        <w:t>J Bone Miner Res</w:t>
      </w:r>
      <w:r w:rsidRPr="001D7DBE">
        <w:rPr>
          <w:rFonts w:ascii="Book Antiqua" w:hAnsi="Book Antiqua"/>
        </w:rPr>
        <w:t xml:space="preserve"> 2007; </w:t>
      </w:r>
      <w:r w:rsidRPr="001D7DBE">
        <w:rPr>
          <w:rFonts w:ascii="Book Antiqua" w:hAnsi="Book Antiqua"/>
          <w:b/>
        </w:rPr>
        <w:t>22</w:t>
      </w:r>
      <w:r w:rsidRPr="001D7DBE">
        <w:rPr>
          <w:rFonts w:ascii="Book Antiqua" w:hAnsi="Book Antiqua"/>
        </w:rPr>
        <w:t>: 465-475 [PMID: 17144789 DOI: 10.1359/jbmr.061113]</w:t>
      </w:r>
    </w:p>
    <w:p w14:paraId="3FAB36FC" w14:textId="77777777" w:rsidR="00F65BEF" w:rsidRPr="001D7DBE" w:rsidRDefault="00F65BEF" w:rsidP="001D7DBE">
      <w:pPr>
        <w:spacing w:line="360" w:lineRule="auto"/>
        <w:jc w:val="both"/>
        <w:rPr>
          <w:rFonts w:ascii="Book Antiqua" w:hAnsi="Book Antiqua"/>
        </w:rPr>
      </w:pPr>
      <w:r w:rsidRPr="001D7DBE">
        <w:rPr>
          <w:rFonts w:ascii="Book Antiqua" w:hAnsi="Book Antiqua"/>
        </w:rPr>
        <w:lastRenderedPageBreak/>
        <w:t xml:space="preserve">17 </w:t>
      </w:r>
      <w:r w:rsidRPr="001D7DBE">
        <w:rPr>
          <w:rFonts w:ascii="Book Antiqua" w:hAnsi="Book Antiqua"/>
          <w:b/>
        </w:rPr>
        <w:t>Braithwaite RS</w:t>
      </w:r>
      <w:r w:rsidRPr="001D7DBE">
        <w:rPr>
          <w:rFonts w:ascii="Book Antiqua" w:hAnsi="Book Antiqua"/>
        </w:rPr>
        <w:t xml:space="preserve">, Col NF, Wong JB. Estimating hip fracture morbidity, mortality and costs. </w:t>
      </w:r>
      <w:r w:rsidRPr="001D7DBE">
        <w:rPr>
          <w:rFonts w:ascii="Book Antiqua" w:hAnsi="Book Antiqua"/>
          <w:i/>
        </w:rPr>
        <w:t>J Am Geriatr Soc</w:t>
      </w:r>
      <w:r w:rsidRPr="001D7DBE">
        <w:rPr>
          <w:rFonts w:ascii="Book Antiqua" w:hAnsi="Book Antiqua"/>
        </w:rPr>
        <w:t xml:space="preserve"> 2003; </w:t>
      </w:r>
      <w:r w:rsidRPr="001D7DBE">
        <w:rPr>
          <w:rFonts w:ascii="Book Antiqua" w:hAnsi="Book Antiqua"/>
          <w:b/>
        </w:rPr>
        <w:t>51</w:t>
      </w:r>
      <w:r w:rsidRPr="001D7DBE">
        <w:rPr>
          <w:rFonts w:ascii="Book Antiqua" w:hAnsi="Book Antiqua"/>
        </w:rPr>
        <w:t>: 364-370 [PMID: 12588580 DOI: 10.1046/j.1532-5415.2003.51110.x]</w:t>
      </w:r>
    </w:p>
    <w:p w14:paraId="2669480D"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18 </w:t>
      </w:r>
      <w:r w:rsidRPr="001D7DBE">
        <w:rPr>
          <w:rFonts w:ascii="Book Antiqua" w:hAnsi="Book Antiqua"/>
          <w:b/>
        </w:rPr>
        <w:t>Schmidt AH</w:t>
      </w:r>
      <w:r w:rsidRPr="001D7DBE">
        <w:rPr>
          <w:rFonts w:ascii="Book Antiqua" w:hAnsi="Book Antiqua"/>
        </w:rPr>
        <w:t xml:space="preserve">, Leighton R, Parvizi J, Sems A, Berry DJ. Optimal arthroplasty for femoral neck fractures: is total hip arthroplasty the answer? </w:t>
      </w:r>
      <w:r w:rsidRPr="001D7DBE">
        <w:rPr>
          <w:rFonts w:ascii="Book Antiqua" w:hAnsi="Book Antiqua"/>
          <w:i/>
        </w:rPr>
        <w:t>J Orthop Trauma</w:t>
      </w:r>
      <w:r w:rsidRPr="001D7DBE">
        <w:rPr>
          <w:rFonts w:ascii="Book Antiqua" w:hAnsi="Book Antiqua"/>
        </w:rPr>
        <w:t xml:space="preserve"> 2009; </w:t>
      </w:r>
      <w:r w:rsidRPr="001D7DBE">
        <w:rPr>
          <w:rFonts w:ascii="Book Antiqua" w:hAnsi="Book Antiqua"/>
          <w:b/>
        </w:rPr>
        <w:t>23</w:t>
      </w:r>
      <w:r w:rsidRPr="001D7DBE">
        <w:rPr>
          <w:rFonts w:ascii="Book Antiqua" w:hAnsi="Book Antiqua"/>
        </w:rPr>
        <w:t>: 428-433 [PMID: 19550230 DOI: 10.1097/BOT.0b013e3181761490]</w:t>
      </w:r>
    </w:p>
    <w:p w14:paraId="2FFDE0C8"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19 </w:t>
      </w:r>
      <w:r w:rsidRPr="001D7DBE">
        <w:rPr>
          <w:rFonts w:ascii="Book Antiqua" w:hAnsi="Book Antiqua"/>
          <w:b/>
        </w:rPr>
        <w:t>Bishop J</w:t>
      </w:r>
      <w:r w:rsidRPr="001D7DBE">
        <w:rPr>
          <w:rFonts w:ascii="Book Antiqua" w:hAnsi="Book Antiqua"/>
        </w:rPr>
        <w:t xml:space="preserve">, Yang A, Githens M, Sox AH. Evaluation of Contemporary Trends in Femoral Neck Fracture Management Reveals Discrepancies in Treatment. </w:t>
      </w:r>
      <w:r w:rsidRPr="001D7DBE">
        <w:rPr>
          <w:rFonts w:ascii="Book Antiqua" w:hAnsi="Book Antiqua"/>
          <w:i/>
        </w:rPr>
        <w:t>Geriatr Orthop Surg Rehabil</w:t>
      </w:r>
      <w:r w:rsidRPr="001D7DBE">
        <w:rPr>
          <w:rFonts w:ascii="Book Antiqua" w:hAnsi="Book Antiqua"/>
        </w:rPr>
        <w:t xml:space="preserve"> 2016; </w:t>
      </w:r>
      <w:r w:rsidRPr="001D7DBE">
        <w:rPr>
          <w:rFonts w:ascii="Book Antiqua" w:hAnsi="Book Antiqua"/>
          <w:b/>
        </w:rPr>
        <w:t>7</w:t>
      </w:r>
      <w:r w:rsidRPr="001D7DBE">
        <w:rPr>
          <w:rFonts w:ascii="Book Antiqua" w:hAnsi="Book Antiqua"/>
        </w:rPr>
        <w:t>: 135-141 [PMID: 27551571 DOI: 10.1177/2151458516658328]</w:t>
      </w:r>
    </w:p>
    <w:p w14:paraId="39A52C21"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20 </w:t>
      </w:r>
      <w:r w:rsidRPr="001D7DBE">
        <w:rPr>
          <w:rFonts w:ascii="Book Antiqua" w:hAnsi="Book Antiqua"/>
          <w:b/>
        </w:rPr>
        <w:t>Woon CYL</w:t>
      </w:r>
      <w:r w:rsidRPr="001D7DBE">
        <w:rPr>
          <w:rFonts w:ascii="Book Antiqua" w:hAnsi="Book Antiqua"/>
        </w:rPr>
        <w:t xml:space="preserve">, Moretti VM, Schwartz BE, Goldberg BA. Total Hip Arthroplasty and Hemiarthroplasty: US National Trends in the Treatment of Femoral Neck Fractures. </w:t>
      </w:r>
      <w:r w:rsidRPr="001D7DBE">
        <w:rPr>
          <w:rFonts w:ascii="Book Antiqua" w:hAnsi="Book Antiqua"/>
          <w:i/>
        </w:rPr>
        <w:t>Am J Orthop (Belle Mead NJ)</w:t>
      </w:r>
      <w:r w:rsidRPr="001D7DBE">
        <w:rPr>
          <w:rFonts w:ascii="Book Antiqua" w:hAnsi="Book Antiqua"/>
        </w:rPr>
        <w:t xml:space="preserve"> 2017; </w:t>
      </w:r>
      <w:r w:rsidRPr="001D7DBE">
        <w:rPr>
          <w:rFonts w:ascii="Book Antiqua" w:hAnsi="Book Antiqua"/>
          <w:b/>
        </w:rPr>
        <w:t>46</w:t>
      </w:r>
      <w:r w:rsidRPr="001D7DBE">
        <w:rPr>
          <w:rFonts w:ascii="Book Antiqua" w:hAnsi="Book Antiqua"/>
        </w:rPr>
        <w:t>: E474-E478 [PMID: 29309466]</w:t>
      </w:r>
    </w:p>
    <w:p w14:paraId="109AAECE"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21 </w:t>
      </w:r>
      <w:r w:rsidRPr="001D7DBE">
        <w:rPr>
          <w:rFonts w:ascii="Book Antiqua" w:hAnsi="Book Antiqua"/>
          <w:b/>
        </w:rPr>
        <w:t>Lee YK</w:t>
      </w:r>
      <w:r w:rsidRPr="001D7DBE">
        <w:rPr>
          <w:rFonts w:ascii="Book Antiqua" w:hAnsi="Book Antiqua"/>
        </w:rPr>
        <w:t xml:space="preserve">, Ha YC, Park C, Koo KH. Trends of surgical treatment in femoral neck fracture: a nationwide study based on claim registry. </w:t>
      </w:r>
      <w:r w:rsidRPr="001D7DBE">
        <w:rPr>
          <w:rFonts w:ascii="Book Antiqua" w:hAnsi="Book Antiqua"/>
          <w:i/>
        </w:rPr>
        <w:t>J Arthroplasty</w:t>
      </w:r>
      <w:r w:rsidRPr="001D7DBE">
        <w:rPr>
          <w:rFonts w:ascii="Book Antiqua" w:hAnsi="Book Antiqua"/>
        </w:rPr>
        <w:t xml:space="preserve"> 2013; </w:t>
      </w:r>
      <w:r w:rsidRPr="001D7DBE">
        <w:rPr>
          <w:rFonts w:ascii="Book Antiqua" w:hAnsi="Book Antiqua"/>
          <w:b/>
        </w:rPr>
        <w:t>28</w:t>
      </w:r>
      <w:r w:rsidRPr="001D7DBE">
        <w:rPr>
          <w:rFonts w:ascii="Book Antiqua" w:hAnsi="Book Antiqua"/>
        </w:rPr>
        <w:t>: 1839-1841 [PMID: 23523212 DOI: 10.1016/j.arth.2013.01.015]</w:t>
      </w:r>
    </w:p>
    <w:p w14:paraId="1930CCE3"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22 </w:t>
      </w:r>
      <w:r w:rsidRPr="001D7DBE">
        <w:rPr>
          <w:rFonts w:ascii="Book Antiqua" w:hAnsi="Book Antiqua"/>
          <w:b/>
        </w:rPr>
        <w:t>van den Bekerom MP</w:t>
      </w:r>
      <w:r w:rsidRPr="001D7DBE">
        <w:rPr>
          <w:rFonts w:ascii="Book Antiqua" w:hAnsi="Book Antiqua"/>
        </w:rPr>
        <w:t xml:space="preserve">, Hilverdink EF, Sierevelt IN, Reuling EM, Schnater JM, Bonke H, Goslings JC, van Dijk CN, Raaymakers EL. A comparison of hemiarthroplasty with total hip replacement for displaced intracapsular fracture of the femoral neck: a randomised controlled multicentre trial in patients aged 70 years and over. </w:t>
      </w:r>
      <w:r w:rsidRPr="001D7DBE">
        <w:rPr>
          <w:rFonts w:ascii="Book Antiqua" w:hAnsi="Book Antiqua"/>
          <w:i/>
        </w:rPr>
        <w:t>J Bone Joint Surg Br</w:t>
      </w:r>
      <w:r w:rsidRPr="001D7DBE">
        <w:rPr>
          <w:rFonts w:ascii="Book Antiqua" w:hAnsi="Book Antiqua"/>
        </w:rPr>
        <w:t xml:space="preserve"> 2010; </w:t>
      </w:r>
      <w:r w:rsidRPr="001D7DBE">
        <w:rPr>
          <w:rFonts w:ascii="Book Antiqua" w:hAnsi="Book Antiqua"/>
          <w:b/>
        </w:rPr>
        <w:t>92</w:t>
      </w:r>
      <w:r w:rsidRPr="001D7DBE">
        <w:rPr>
          <w:rFonts w:ascii="Book Antiqua" w:hAnsi="Book Antiqua"/>
        </w:rPr>
        <w:t>: 1422-1428 [PMID: 20884982 DOI: 10.1302/0301-620X.92B10.24899]</w:t>
      </w:r>
    </w:p>
    <w:p w14:paraId="0030CEDA"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23 </w:t>
      </w:r>
      <w:r w:rsidRPr="001D7DBE">
        <w:rPr>
          <w:rFonts w:ascii="Book Antiqua" w:hAnsi="Book Antiqua"/>
          <w:b/>
        </w:rPr>
        <w:t>Schairer WW</w:t>
      </w:r>
      <w:r w:rsidRPr="001D7DBE">
        <w:rPr>
          <w:rFonts w:ascii="Book Antiqua" w:hAnsi="Book Antiqua"/>
        </w:rPr>
        <w:t xml:space="preserve">, Nwachukwu BU, Lyman S, Allen AA. Race and Insurance Status Are Associated With Surgical Management of Isolated Meniscus Tears. </w:t>
      </w:r>
      <w:r w:rsidRPr="001D7DBE">
        <w:rPr>
          <w:rFonts w:ascii="Book Antiqua" w:hAnsi="Book Antiqua"/>
          <w:i/>
        </w:rPr>
        <w:t>Arthroscopy</w:t>
      </w:r>
      <w:r w:rsidRPr="001D7DBE">
        <w:rPr>
          <w:rFonts w:ascii="Book Antiqua" w:hAnsi="Book Antiqua"/>
        </w:rPr>
        <w:t xml:space="preserve"> 2018; </w:t>
      </w:r>
      <w:r w:rsidRPr="001D7DBE">
        <w:rPr>
          <w:rFonts w:ascii="Book Antiqua" w:hAnsi="Book Antiqua"/>
          <w:b/>
        </w:rPr>
        <w:t>34</w:t>
      </w:r>
      <w:r w:rsidRPr="001D7DBE">
        <w:rPr>
          <w:rFonts w:ascii="Book Antiqua" w:hAnsi="Book Antiqua"/>
        </w:rPr>
        <w:t>: 2677-2682 [PMID: 30173808 DOI: 10.1016/j.arthro.2018.04.020]</w:t>
      </w:r>
    </w:p>
    <w:p w14:paraId="6B7C1F04"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24 </w:t>
      </w:r>
      <w:r w:rsidRPr="001D7DBE">
        <w:rPr>
          <w:rFonts w:ascii="Book Antiqua" w:hAnsi="Book Antiqua"/>
          <w:b/>
        </w:rPr>
        <w:t>McGlaston TJ</w:t>
      </w:r>
      <w:r w:rsidRPr="001D7DBE">
        <w:rPr>
          <w:rFonts w:ascii="Book Antiqua" w:hAnsi="Book Antiqua"/>
        </w:rPr>
        <w:t xml:space="preserve">, Kim DW, Schrodel P, Deangelis JP, Ramappa AJ. Few insurance-based differences in upper extremity elective surgery rates after healthcare reform. </w:t>
      </w:r>
      <w:r w:rsidRPr="001D7DBE">
        <w:rPr>
          <w:rFonts w:ascii="Book Antiqua" w:hAnsi="Book Antiqua"/>
          <w:i/>
        </w:rPr>
        <w:t>Clin Orthop Relat Res</w:t>
      </w:r>
      <w:r w:rsidRPr="001D7DBE">
        <w:rPr>
          <w:rFonts w:ascii="Book Antiqua" w:hAnsi="Book Antiqua"/>
        </w:rPr>
        <w:t xml:space="preserve"> 2012; </w:t>
      </w:r>
      <w:r w:rsidRPr="001D7DBE">
        <w:rPr>
          <w:rFonts w:ascii="Book Antiqua" w:hAnsi="Book Antiqua"/>
          <w:b/>
        </w:rPr>
        <w:t>470</w:t>
      </w:r>
      <w:r w:rsidRPr="001D7DBE">
        <w:rPr>
          <w:rFonts w:ascii="Book Antiqua" w:hAnsi="Book Antiqua"/>
        </w:rPr>
        <w:t>: 1917-1924 [PMID: 22451335 DOI: 10.1007/s11999-012-2305-8]</w:t>
      </w:r>
    </w:p>
    <w:p w14:paraId="13BEC189"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25 </w:t>
      </w:r>
      <w:r w:rsidRPr="001D7DBE">
        <w:rPr>
          <w:rFonts w:ascii="Book Antiqua" w:hAnsi="Book Antiqua"/>
          <w:b/>
        </w:rPr>
        <w:t>Anderson KL</w:t>
      </w:r>
      <w:r w:rsidRPr="001D7DBE">
        <w:rPr>
          <w:rFonts w:ascii="Book Antiqua" w:hAnsi="Book Antiqua"/>
        </w:rPr>
        <w:t xml:space="preserve">, Koval KJ, Spratt KF. Hip fracture outcome: is there a "July effect"? </w:t>
      </w:r>
      <w:r w:rsidRPr="001D7DBE">
        <w:rPr>
          <w:rFonts w:ascii="Book Antiqua" w:hAnsi="Book Antiqua"/>
          <w:i/>
        </w:rPr>
        <w:t xml:space="preserve">Am J Orthop </w:t>
      </w:r>
      <w:r w:rsidRPr="00B37BA7">
        <w:rPr>
          <w:rFonts w:ascii="Book Antiqua" w:hAnsi="Book Antiqua"/>
          <w:iCs/>
        </w:rPr>
        <w:t>(Belle Mead NJ)</w:t>
      </w:r>
      <w:r w:rsidRPr="001D7DBE">
        <w:rPr>
          <w:rFonts w:ascii="Book Antiqua" w:hAnsi="Book Antiqua"/>
        </w:rPr>
        <w:t xml:space="preserve"> 2009; </w:t>
      </w:r>
      <w:r w:rsidRPr="001D7DBE">
        <w:rPr>
          <w:rFonts w:ascii="Book Antiqua" w:hAnsi="Book Antiqua"/>
          <w:b/>
        </w:rPr>
        <w:t>38</w:t>
      </w:r>
      <w:r w:rsidRPr="001D7DBE">
        <w:rPr>
          <w:rFonts w:ascii="Book Antiqua" w:hAnsi="Book Antiqua"/>
        </w:rPr>
        <w:t>: 606-611 [PMID: 20145785]</w:t>
      </w:r>
    </w:p>
    <w:p w14:paraId="181367FC" w14:textId="77777777" w:rsidR="00F65BEF" w:rsidRPr="001D7DBE" w:rsidRDefault="00F65BEF" w:rsidP="001D7DBE">
      <w:pPr>
        <w:spacing w:line="360" w:lineRule="auto"/>
        <w:jc w:val="both"/>
        <w:rPr>
          <w:rFonts w:ascii="Book Antiqua" w:hAnsi="Book Antiqua"/>
        </w:rPr>
      </w:pPr>
      <w:r w:rsidRPr="001D7DBE">
        <w:rPr>
          <w:rFonts w:ascii="Book Antiqua" w:hAnsi="Book Antiqua"/>
        </w:rPr>
        <w:lastRenderedPageBreak/>
        <w:t xml:space="preserve">26 </w:t>
      </w:r>
      <w:r w:rsidRPr="001D7DBE">
        <w:rPr>
          <w:rFonts w:ascii="Book Antiqua" w:hAnsi="Book Antiqua"/>
          <w:b/>
        </w:rPr>
        <w:t>Fineberg SJ</w:t>
      </w:r>
      <w:r w:rsidRPr="001D7DBE">
        <w:rPr>
          <w:rFonts w:ascii="Book Antiqua" w:hAnsi="Book Antiqua"/>
        </w:rPr>
        <w:t xml:space="preserve">, Oglesby M, Patel AA, Pelton MA, Singh K. Outcomes of cervical spine surgery in teaching and non-teaching hospitals. </w:t>
      </w:r>
      <w:r w:rsidRPr="001D7DBE">
        <w:rPr>
          <w:rFonts w:ascii="Book Antiqua" w:hAnsi="Book Antiqua"/>
          <w:i/>
        </w:rPr>
        <w:t>Spine (Phila Pa 1976)</w:t>
      </w:r>
      <w:r w:rsidRPr="001D7DBE">
        <w:rPr>
          <w:rFonts w:ascii="Book Antiqua" w:hAnsi="Book Antiqua"/>
        </w:rPr>
        <w:t xml:space="preserve"> 2013; </w:t>
      </w:r>
      <w:r w:rsidRPr="001D7DBE">
        <w:rPr>
          <w:rFonts w:ascii="Book Antiqua" w:hAnsi="Book Antiqua"/>
          <w:b/>
        </w:rPr>
        <w:t>38</w:t>
      </w:r>
      <w:r w:rsidRPr="001D7DBE">
        <w:rPr>
          <w:rFonts w:ascii="Book Antiqua" w:hAnsi="Book Antiqua"/>
        </w:rPr>
        <w:t>: 1089-1096 [PMID: 23446765 DOI: 10.1097/BRS.0b013e31828da26d]</w:t>
      </w:r>
    </w:p>
    <w:p w14:paraId="3B88DF67"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27 </w:t>
      </w:r>
      <w:r w:rsidRPr="001D7DBE">
        <w:rPr>
          <w:rFonts w:ascii="Book Antiqua" w:hAnsi="Book Antiqua"/>
          <w:b/>
        </w:rPr>
        <w:t>Silber JH</w:t>
      </w:r>
      <w:r w:rsidRPr="001D7DBE">
        <w:rPr>
          <w:rFonts w:ascii="Book Antiqua" w:hAnsi="Book Antiqua"/>
        </w:rPr>
        <w:t xml:space="preserve">, Rosenbaum PR, Romano PS, Rosen AK, Wang Y, Teng Y, Halenar MJ, Even-Shoshan O, Volpp KG. Hospital teaching intensity, patient race, and surgical outcomes. </w:t>
      </w:r>
      <w:r w:rsidRPr="001D7DBE">
        <w:rPr>
          <w:rFonts w:ascii="Book Antiqua" w:hAnsi="Book Antiqua"/>
          <w:i/>
        </w:rPr>
        <w:t>Arch Surg</w:t>
      </w:r>
      <w:r w:rsidRPr="001D7DBE">
        <w:rPr>
          <w:rFonts w:ascii="Book Antiqua" w:hAnsi="Book Antiqua"/>
        </w:rPr>
        <w:t xml:space="preserve"> 2009; </w:t>
      </w:r>
      <w:r w:rsidRPr="001D7DBE">
        <w:rPr>
          <w:rFonts w:ascii="Book Antiqua" w:hAnsi="Book Antiqua"/>
          <w:b/>
        </w:rPr>
        <w:t>144</w:t>
      </w:r>
      <w:r w:rsidRPr="001D7DBE">
        <w:rPr>
          <w:rFonts w:ascii="Book Antiqua" w:hAnsi="Book Antiqua"/>
        </w:rPr>
        <w:t>: 113-20; discussion 121 [PMID: 19221321 DOI: 10.1001/archsurg.2008.569]</w:t>
      </w:r>
    </w:p>
    <w:p w14:paraId="0CEF3662"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28 </w:t>
      </w:r>
      <w:r w:rsidRPr="001D7DBE">
        <w:rPr>
          <w:rFonts w:ascii="Book Antiqua" w:hAnsi="Book Antiqua"/>
          <w:b/>
        </w:rPr>
        <w:t>Voskuijl T</w:t>
      </w:r>
      <w:r w:rsidRPr="001D7DBE">
        <w:rPr>
          <w:rFonts w:ascii="Book Antiqua" w:hAnsi="Book Antiqua"/>
        </w:rPr>
        <w:t xml:space="preserve">, Neuhaus V, Kinaci A, Vrahas M, Ring D. In-Hospital Outcomes after Hemiarthroplasty versus Total Hip Arthroplasty for Isolated Femoral Neck Fractures. </w:t>
      </w:r>
      <w:r w:rsidRPr="001D7DBE">
        <w:rPr>
          <w:rFonts w:ascii="Book Antiqua" w:hAnsi="Book Antiqua"/>
          <w:i/>
        </w:rPr>
        <w:t>Arch Bone Jt Surg</w:t>
      </w:r>
      <w:r w:rsidRPr="001D7DBE">
        <w:rPr>
          <w:rFonts w:ascii="Book Antiqua" w:hAnsi="Book Antiqua"/>
        </w:rPr>
        <w:t xml:space="preserve"> 2014; </w:t>
      </w:r>
      <w:r w:rsidRPr="001D7DBE">
        <w:rPr>
          <w:rFonts w:ascii="Book Antiqua" w:hAnsi="Book Antiqua"/>
          <w:b/>
        </w:rPr>
        <w:t>2</w:t>
      </w:r>
      <w:r w:rsidRPr="001D7DBE">
        <w:rPr>
          <w:rFonts w:ascii="Book Antiqua" w:hAnsi="Book Antiqua"/>
        </w:rPr>
        <w:t>: 151-156 [PMID: 25386574]</w:t>
      </w:r>
    </w:p>
    <w:p w14:paraId="5005F769"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29 </w:t>
      </w:r>
      <w:r w:rsidRPr="001D7DBE">
        <w:rPr>
          <w:rFonts w:ascii="Book Antiqua" w:hAnsi="Book Antiqua"/>
          <w:b/>
        </w:rPr>
        <w:t>Guyen O</w:t>
      </w:r>
      <w:r w:rsidRPr="001D7DBE">
        <w:rPr>
          <w:rFonts w:ascii="Book Antiqua" w:hAnsi="Book Antiqua"/>
        </w:rPr>
        <w:t xml:space="preserve">. Hemiarthroplasty or total hip arthroplasty in recent femoral neck fractures? </w:t>
      </w:r>
      <w:r w:rsidRPr="001D7DBE">
        <w:rPr>
          <w:rFonts w:ascii="Book Antiqua" w:hAnsi="Book Antiqua"/>
          <w:i/>
        </w:rPr>
        <w:t>Orthop Traumatol Surg Res</w:t>
      </w:r>
      <w:r w:rsidRPr="001D7DBE">
        <w:rPr>
          <w:rFonts w:ascii="Book Antiqua" w:hAnsi="Book Antiqua"/>
        </w:rPr>
        <w:t xml:space="preserve"> 2019; </w:t>
      </w:r>
      <w:r w:rsidRPr="001D7DBE">
        <w:rPr>
          <w:rFonts w:ascii="Book Antiqua" w:hAnsi="Book Antiqua"/>
          <w:b/>
        </w:rPr>
        <w:t>105</w:t>
      </w:r>
      <w:r w:rsidRPr="001D7DBE">
        <w:rPr>
          <w:rFonts w:ascii="Book Antiqua" w:hAnsi="Book Antiqua"/>
        </w:rPr>
        <w:t>: S95-S101 [PMID: 30449680 DOI: 10.1016/j.otsr.2018.04.034]</w:t>
      </w:r>
    </w:p>
    <w:p w14:paraId="0FF15EA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30 </w:t>
      </w:r>
      <w:r w:rsidRPr="001D7DBE">
        <w:rPr>
          <w:rFonts w:ascii="Book Antiqua" w:hAnsi="Book Antiqua"/>
          <w:b/>
        </w:rPr>
        <w:t>Macaulay W</w:t>
      </w:r>
      <w:r w:rsidRPr="001D7DBE">
        <w:rPr>
          <w:rFonts w:ascii="Book Antiqua" w:hAnsi="Book Antiqua"/>
        </w:rPr>
        <w:t xml:space="preserve">, Nellans KW, Garvin KL, Iorio R, Healy WL, Rosenwasser MP; other members of the DFACTO Consortium. Prospective randomized clinical trial comparing hemiarthroplasty to total hip arthroplasty in the treatment of displaced femoral neck fractures: winner of the Dorr Award. </w:t>
      </w:r>
      <w:r w:rsidRPr="001D7DBE">
        <w:rPr>
          <w:rFonts w:ascii="Book Antiqua" w:hAnsi="Book Antiqua"/>
          <w:i/>
        </w:rPr>
        <w:t>J Arthroplasty</w:t>
      </w:r>
      <w:r w:rsidRPr="001D7DBE">
        <w:rPr>
          <w:rFonts w:ascii="Book Antiqua" w:hAnsi="Book Antiqua"/>
        </w:rPr>
        <w:t xml:space="preserve"> 2008; </w:t>
      </w:r>
      <w:r w:rsidRPr="001D7DBE">
        <w:rPr>
          <w:rFonts w:ascii="Book Antiqua" w:hAnsi="Book Antiqua"/>
          <w:b/>
        </w:rPr>
        <w:t>23</w:t>
      </w:r>
      <w:r w:rsidRPr="001D7DBE">
        <w:rPr>
          <w:rFonts w:ascii="Book Antiqua" w:hAnsi="Book Antiqua"/>
        </w:rPr>
        <w:t>: 2-8 [PMID: 18722297 DOI: 10.1016/j.arth.2008.05.013]</w:t>
      </w:r>
    </w:p>
    <w:p w14:paraId="4BFF7813" w14:textId="4D38421F" w:rsidR="00F65BEF" w:rsidRPr="001D7DBE" w:rsidRDefault="00F65BEF" w:rsidP="001D7DBE">
      <w:pPr>
        <w:spacing w:line="360" w:lineRule="auto"/>
        <w:jc w:val="both"/>
        <w:rPr>
          <w:rFonts w:ascii="Book Antiqua" w:hAnsi="Book Antiqua"/>
          <w:caps/>
        </w:rPr>
      </w:pPr>
    </w:p>
    <w:p w14:paraId="73EBEC6E" w14:textId="4F91DE1D" w:rsidR="00F65BEF" w:rsidRPr="00AE748B" w:rsidRDefault="00F65BEF" w:rsidP="001D7DBE">
      <w:pPr>
        <w:snapToGrid w:val="0"/>
        <w:spacing w:line="360" w:lineRule="auto"/>
        <w:ind w:left="361" w:hangingChars="150" w:hanging="361"/>
        <w:jc w:val="both"/>
        <w:rPr>
          <w:rFonts w:ascii="Book Antiqua" w:eastAsia="等线" w:hAnsi="Book Antiqua"/>
          <w:color w:val="000000"/>
          <w:lang w:eastAsia="zh-CN"/>
        </w:rPr>
      </w:pPr>
      <w:bookmarkStart w:id="355" w:name="_Hlk17289862"/>
      <w:r w:rsidRPr="001D7DBE">
        <w:rPr>
          <w:rFonts w:ascii="Book Antiqua" w:hAnsi="Book Antiqua"/>
          <w:b/>
          <w:bCs/>
          <w:color w:val="000000"/>
        </w:rPr>
        <w:t xml:space="preserve">P-Reviewer: </w:t>
      </w:r>
      <w:r w:rsidR="006C041C" w:rsidRPr="001D7DBE">
        <w:rPr>
          <w:rFonts w:ascii="Book Antiqua" w:eastAsia="等线" w:hAnsi="Book Antiqua"/>
          <w:color w:val="000000"/>
          <w:shd w:val="clear" w:color="auto" w:fill="FFFFFF"/>
          <w:lang w:eastAsia="zh-CN"/>
        </w:rPr>
        <w:t xml:space="preserve">Emara KM, Widmer KH </w:t>
      </w:r>
      <w:r w:rsidRPr="001D7DBE">
        <w:rPr>
          <w:rFonts w:ascii="Book Antiqua" w:hAnsi="Book Antiqua"/>
          <w:b/>
          <w:bCs/>
          <w:color w:val="000000"/>
        </w:rPr>
        <w:t>S-Editor:</w:t>
      </w:r>
      <w:r w:rsidRPr="001D7DBE">
        <w:rPr>
          <w:rFonts w:ascii="Book Antiqua" w:hAnsi="Book Antiqua"/>
          <w:color w:val="000000"/>
        </w:rPr>
        <w:t xml:space="preserve"> </w:t>
      </w:r>
      <w:r w:rsidR="006C041C" w:rsidRPr="001D7DBE">
        <w:rPr>
          <w:rFonts w:ascii="Book Antiqua" w:hAnsi="Book Antiqua"/>
          <w:color w:val="000000"/>
        </w:rPr>
        <w:t>Zhang L</w:t>
      </w:r>
      <w:r w:rsidRPr="001D7DBE">
        <w:rPr>
          <w:rFonts w:ascii="Book Antiqua" w:eastAsia="等线" w:hAnsi="Book Antiqua"/>
          <w:color w:val="000000"/>
          <w:lang w:eastAsia="zh-CN"/>
        </w:rPr>
        <w:t xml:space="preserve"> </w:t>
      </w:r>
      <w:r w:rsidRPr="001D7DBE">
        <w:rPr>
          <w:rFonts w:ascii="Book Antiqua" w:hAnsi="Book Antiqua"/>
          <w:b/>
          <w:bCs/>
          <w:color w:val="000000"/>
        </w:rPr>
        <w:t>L-Editor:</w:t>
      </w:r>
      <w:r w:rsidRPr="001D7DBE">
        <w:rPr>
          <w:rFonts w:ascii="Book Antiqua" w:hAnsi="Book Antiqua"/>
          <w:color w:val="000000"/>
        </w:rPr>
        <w:t xml:space="preserve"> </w:t>
      </w:r>
      <w:r w:rsidR="00AE748B">
        <w:rPr>
          <w:rFonts w:ascii="Book Antiqua" w:eastAsia="等线" w:hAnsi="Book Antiqua" w:hint="eastAsia"/>
          <w:color w:val="000000"/>
          <w:lang w:eastAsia="zh-CN"/>
        </w:rPr>
        <w:t xml:space="preserve">A </w:t>
      </w:r>
      <w:r w:rsidRPr="001D7DBE">
        <w:rPr>
          <w:rFonts w:ascii="Book Antiqua" w:hAnsi="Book Antiqua"/>
          <w:b/>
          <w:bCs/>
          <w:color w:val="000000"/>
        </w:rPr>
        <w:t>E-Editor:</w:t>
      </w:r>
      <w:r w:rsidR="00AE748B">
        <w:rPr>
          <w:rFonts w:ascii="Book Antiqua" w:eastAsia="等线" w:hAnsi="Book Antiqua" w:hint="eastAsia"/>
          <w:b/>
          <w:bCs/>
          <w:color w:val="000000"/>
          <w:lang w:eastAsia="zh-CN"/>
        </w:rPr>
        <w:t xml:space="preserve"> </w:t>
      </w:r>
      <w:r w:rsidR="00AE748B" w:rsidRPr="00AE748B">
        <w:rPr>
          <w:rFonts w:ascii="Book Antiqua" w:eastAsia="等线" w:hAnsi="Book Antiqua" w:hint="eastAsia"/>
          <w:bCs/>
          <w:color w:val="000000"/>
          <w:lang w:eastAsia="zh-CN"/>
        </w:rPr>
        <w:t>Liu MY</w:t>
      </w:r>
    </w:p>
    <w:p w14:paraId="3CDA2B81" w14:textId="77777777" w:rsidR="00F65BEF" w:rsidRPr="001D7DBE" w:rsidRDefault="00F65BEF" w:rsidP="001D7DBE">
      <w:pPr>
        <w:shd w:val="clear" w:color="auto" w:fill="FFFFFF"/>
        <w:snapToGrid w:val="0"/>
        <w:spacing w:line="360" w:lineRule="auto"/>
        <w:jc w:val="both"/>
        <w:rPr>
          <w:rFonts w:ascii="Book Antiqua" w:hAnsi="Book Antiqua" w:cs="Helvetica"/>
          <w:b/>
        </w:rPr>
      </w:pPr>
    </w:p>
    <w:p w14:paraId="18C3C1DE" w14:textId="7786F773" w:rsidR="00F65BEF" w:rsidRPr="001D7DBE" w:rsidRDefault="00F65BEF" w:rsidP="001D7DBE">
      <w:pPr>
        <w:shd w:val="clear" w:color="auto" w:fill="FFFFFF"/>
        <w:snapToGrid w:val="0"/>
        <w:spacing w:line="360" w:lineRule="auto"/>
        <w:jc w:val="both"/>
        <w:rPr>
          <w:rFonts w:ascii="Book Antiqua" w:hAnsi="Book Antiqua" w:cs="Helvetica"/>
          <w:b/>
        </w:rPr>
      </w:pPr>
      <w:r w:rsidRPr="001D7DBE">
        <w:rPr>
          <w:rFonts w:ascii="Book Antiqua" w:hAnsi="Book Antiqua" w:cs="Helvetica"/>
          <w:b/>
        </w:rPr>
        <w:t xml:space="preserve">Specialty type: </w:t>
      </w:r>
      <w:r w:rsidR="000633C6" w:rsidRPr="001D7DBE">
        <w:rPr>
          <w:rFonts w:ascii="Book Antiqua" w:eastAsia="微软雅黑" w:hAnsi="Book Antiqua" w:cs="宋体"/>
        </w:rPr>
        <w:t>Orthopedics</w:t>
      </w:r>
    </w:p>
    <w:p w14:paraId="28F1187F" w14:textId="1213D47E"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b/>
        </w:rPr>
        <w:t xml:space="preserve">Country of origin: </w:t>
      </w:r>
      <w:r w:rsidR="006C041C" w:rsidRPr="001D7DBE">
        <w:rPr>
          <w:rFonts w:ascii="Book Antiqua" w:hAnsi="Book Antiqua" w:cs="Helvetica"/>
        </w:rPr>
        <w:t>United States</w:t>
      </w:r>
    </w:p>
    <w:p w14:paraId="4445987A" w14:textId="77777777" w:rsidR="00F65BEF" w:rsidRPr="001D7DBE" w:rsidRDefault="00F65BEF" w:rsidP="001D7DBE">
      <w:pPr>
        <w:shd w:val="clear" w:color="auto" w:fill="FFFFFF"/>
        <w:snapToGrid w:val="0"/>
        <w:spacing w:line="360" w:lineRule="auto"/>
        <w:jc w:val="both"/>
        <w:rPr>
          <w:rFonts w:ascii="Book Antiqua" w:hAnsi="Book Antiqua" w:cs="Helvetica"/>
          <w:b/>
        </w:rPr>
      </w:pPr>
      <w:r w:rsidRPr="001D7DBE">
        <w:rPr>
          <w:rFonts w:ascii="Book Antiqua" w:hAnsi="Book Antiqua" w:cs="Helvetica"/>
          <w:b/>
        </w:rPr>
        <w:t>Peer-review report classification</w:t>
      </w:r>
    </w:p>
    <w:p w14:paraId="3CF76014" w14:textId="77777777"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Grade A (Excellent): 0</w:t>
      </w:r>
    </w:p>
    <w:p w14:paraId="792DBE59" w14:textId="2932C1DC"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 xml:space="preserve">Grade B (Very good): </w:t>
      </w:r>
      <w:r w:rsidR="006C041C" w:rsidRPr="001D7DBE">
        <w:rPr>
          <w:rFonts w:ascii="Book Antiqua" w:hAnsi="Book Antiqua" w:cs="Helvetica"/>
        </w:rPr>
        <w:t>0</w:t>
      </w:r>
    </w:p>
    <w:p w14:paraId="6AEC496D" w14:textId="165135DA"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 xml:space="preserve">Grade C (Good): </w:t>
      </w:r>
      <w:r w:rsidR="006C041C" w:rsidRPr="001D7DBE">
        <w:rPr>
          <w:rFonts w:ascii="Book Antiqua" w:hAnsi="Book Antiqua" w:cs="Helvetica"/>
        </w:rPr>
        <w:t>C</w:t>
      </w:r>
    </w:p>
    <w:p w14:paraId="05C9C66C" w14:textId="3F928BF4"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 xml:space="preserve">Grade D (Fair): </w:t>
      </w:r>
      <w:r w:rsidR="006C041C" w:rsidRPr="001D7DBE">
        <w:rPr>
          <w:rFonts w:ascii="Book Antiqua" w:hAnsi="Book Antiqua" w:cs="Helvetica"/>
        </w:rPr>
        <w:t>D</w:t>
      </w:r>
    </w:p>
    <w:p w14:paraId="5B457C1D" w14:textId="477F6C49" w:rsidR="00781B89" w:rsidRDefault="00F65BEF" w:rsidP="00935AF9">
      <w:pPr>
        <w:shd w:val="clear" w:color="auto" w:fill="FFFFFF"/>
        <w:snapToGrid w:val="0"/>
        <w:spacing w:line="360" w:lineRule="auto"/>
        <w:jc w:val="both"/>
        <w:rPr>
          <w:rFonts w:ascii="Book Antiqua" w:hAnsi="Book Antiqua" w:cs="Helvetica"/>
        </w:rPr>
      </w:pPr>
      <w:r w:rsidRPr="001D7DBE">
        <w:rPr>
          <w:rFonts w:ascii="Book Antiqua" w:hAnsi="Book Antiqua" w:cs="Helvetica"/>
        </w:rPr>
        <w:t>Grade E (Poor): 0</w:t>
      </w:r>
      <w:bookmarkEnd w:id="355"/>
    </w:p>
    <w:p w14:paraId="7E6A0681" w14:textId="77777777" w:rsidR="00935AF9" w:rsidRPr="00935AF9" w:rsidRDefault="00935AF9" w:rsidP="00935AF9">
      <w:pPr>
        <w:shd w:val="clear" w:color="auto" w:fill="FFFFFF"/>
        <w:snapToGrid w:val="0"/>
        <w:spacing w:line="360" w:lineRule="auto"/>
        <w:jc w:val="both"/>
        <w:rPr>
          <w:rFonts w:ascii="Book Antiqua" w:hAnsi="Book Antiqua" w:cs="Helvetica"/>
        </w:rPr>
      </w:pPr>
    </w:p>
    <w:p w14:paraId="031B0A16"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Table 1 Comparison of comorbidities between patients who underwent hemiarthroplasty and total hip arthroplasty for a femoral neck fracture between 2005 and 2014</w:t>
      </w:r>
    </w:p>
    <w:tbl>
      <w:tblPr>
        <w:tblW w:w="9351" w:type="dxa"/>
        <w:tblBorders>
          <w:top w:val="single" w:sz="4" w:space="0" w:color="auto"/>
          <w:bottom w:val="single" w:sz="4" w:space="0" w:color="auto"/>
        </w:tblBorders>
        <w:tblLook w:val="04A0" w:firstRow="1" w:lastRow="0" w:firstColumn="1" w:lastColumn="0" w:noHBand="0" w:noVBand="1"/>
      </w:tblPr>
      <w:tblGrid>
        <w:gridCol w:w="3964"/>
        <w:gridCol w:w="1560"/>
        <w:gridCol w:w="1842"/>
        <w:gridCol w:w="1985"/>
      </w:tblGrid>
      <w:tr w:rsidR="00781B89" w:rsidRPr="001D7DBE" w14:paraId="5B5B408B" w14:textId="77777777" w:rsidTr="00781B89">
        <w:trPr>
          <w:trHeight w:val="528"/>
        </w:trPr>
        <w:tc>
          <w:tcPr>
            <w:tcW w:w="3964" w:type="dxa"/>
            <w:tcBorders>
              <w:top w:val="single" w:sz="4" w:space="0" w:color="auto"/>
              <w:bottom w:val="single" w:sz="4" w:space="0" w:color="auto"/>
            </w:tcBorders>
            <w:shd w:val="clear" w:color="auto" w:fill="auto"/>
            <w:noWrap/>
            <w:vAlign w:val="center"/>
            <w:hideMark/>
          </w:tcPr>
          <w:p w14:paraId="3F5E8D3D"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 </w:t>
            </w:r>
          </w:p>
        </w:tc>
        <w:tc>
          <w:tcPr>
            <w:tcW w:w="1560" w:type="dxa"/>
            <w:tcBorders>
              <w:top w:val="single" w:sz="4" w:space="0" w:color="auto"/>
              <w:bottom w:val="single" w:sz="4" w:space="0" w:color="auto"/>
            </w:tcBorders>
            <w:shd w:val="clear" w:color="auto" w:fill="auto"/>
            <w:vAlign w:val="center"/>
            <w:hideMark/>
          </w:tcPr>
          <w:p w14:paraId="295D2D30"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THA (%)</w:t>
            </w:r>
          </w:p>
        </w:tc>
        <w:tc>
          <w:tcPr>
            <w:tcW w:w="1842" w:type="dxa"/>
            <w:tcBorders>
              <w:top w:val="single" w:sz="4" w:space="0" w:color="auto"/>
              <w:bottom w:val="single" w:sz="4" w:space="0" w:color="auto"/>
            </w:tcBorders>
            <w:shd w:val="clear" w:color="auto" w:fill="auto"/>
            <w:vAlign w:val="center"/>
            <w:hideMark/>
          </w:tcPr>
          <w:p w14:paraId="769B549D"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Hemi (%)</w:t>
            </w:r>
          </w:p>
        </w:tc>
        <w:tc>
          <w:tcPr>
            <w:tcW w:w="1985" w:type="dxa"/>
            <w:tcBorders>
              <w:top w:val="single" w:sz="4" w:space="0" w:color="auto"/>
              <w:bottom w:val="single" w:sz="4" w:space="0" w:color="auto"/>
            </w:tcBorders>
            <w:shd w:val="clear" w:color="auto" w:fill="auto"/>
            <w:noWrap/>
            <w:vAlign w:val="center"/>
            <w:hideMark/>
          </w:tcPr>
          <w:p w14:paraId="400A047F" w14:textId="7A6B1043" w:rsidR="00781B89" w:rsidRPr="001D7DBE" w:rsidRDefault="00781B89" w:rsidP="001D7DBE">
            <w:pPr>
              <w:spacing w:line="360" w:lineRule="auto"/>
              <w:jc w:val="both"/>
              <w:rPr>
                <w:rFonts w:ascii="Book Antiqua" w:hAnsi="Book Antiqua"/>
                <w:b/>
                <w:bCs/>
              </w:rPr>
            </w:pPr>
            <w:r w:rsidRPr="001D7DBE">
              <w:rPr>
                <w:rFonts w:ascii="Book Antiqua" w:hAnsi="Book Antiqua"/>
                <w:b/>
                <w:bCs/>
                <w:i/>
                <w:iCs/>
                <w:caps/>
              </w:rPr>
              <w:t>p</w:t>
            </w:r>
            <w:r w:rsidR="00B37BA7">
              <w:rPr>
                <w:rFonts w:ascii="Book Antiqua" w:hAnsi="Book Antiqua"/>
                <w:b/>
                <w:bCs/>
                <w:i/>
                <w:iCs/>
                <w:caps/>
              </w:rPr>
              <w:t xml:space="preserve"> </w:t>
            </w:r>
            <w:r w:rsidRPr="001D7DBE">
              <w:rPr>
                <w:rFonts w:ascii="Book Antiqua" w:hAnsi="Book Antiqua"/>
                <w:b/>
                <w:bCs/>
              </w:rPr>
              <w:t>value</w:t>
            </w:r>
          </w:p>
        </w:tc>
      </w:tr>
      <w:tr w:rsidR="00781B89" w:rsidRPr="001D7DBE" w14:paraId="0BBB6636" w14:textId="77777777" w:rsidTr="00781B89">
        <w:trPr>
          <w:trHeight w:val="288"/>
        </w:trPr>
        <w:tc>
          <w:tcPr>
            <w:tcW w:w="3964" w:type="dxa"/>
            <w:tcBorders>
              <w:top w:val="single" w:sz="4" w:space="0" w:color="auto"/>
            </w:tcBorders>
            <w:shd w:val="clear" w:color="auto" w:fill="auto"/>
            <w:noWrap/>
            <w:vAlign w:val="bottom"/>
            <w:hideMark/>
          </w:tcPr>
          <w:p w14:paraId="56C80E7A" w14:textId="77777777" w:rsidR="00781B89" w:rsidRPr="001D7DBE" w:rsidRDefault="00781B89" w:rsidP="001D7DBE">
            <w:pPr>
              <w:spacing w:line="360" w:lineRule="auto"/>
              <w:jc w:val="both"/>
              <w:rPr>
                <w:rFonts w:ascii="Book Antiqua" w:hAnsi="Book Antiqua"/>
              </w:rPr>
            </w:pPr>
            <w:r w:rsidRPr="001D7DBE">
              <w:rPr>
                <w:rFonts w:ascii="Book Antiqua" w:hAnsi="Book Antiqua"/>
              </w:rPr>
              <w:t>AIDS</w:t>
            </w:r>
          </w:p>
        </w:tc>
        <w:tc>
          <w:tcPr>
            <w:tcW w:w="1560" w:type="dxa"/>
            <w:tcBorders>
              <w:top w:val="single" w:sz="4" w:space="0" w:color="auto"/>
            </w:tcBorders>
            <w:shd w:val="clear" w:color="auto" w:fill="auto"/>
            <w:hideMark/>
          </w:tcPr>
          <w:p w14:paraId="53E0536F"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0.10</w:t>
            </w:r>
          </w:p>
        </w:tc>
        <w:tc>
          <w:tcPr>
            <w:tcW w:w="1842" w:type="dxa"/>
            <w:tcBorders>
              <w:top w:val="single" w:sz="4" w:space="0" w:color="auto"/>
            </w:tcBorders>
            <w:shd w:val="clear" w:color="auto" w:fill="auto"/>
            <w:hideMark/>
          </w:tcPr>
          <w:p w14:paraId="5FED9F7D"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 xml:space="preserve">0.10 </w:t>
            </w:r>
          </w:p>
        </w:tc>
        <w:tc>
          <w:tcPr>
            <w:tcW w:w="1985" w:type="dxa"/>
            <w:tcBorders>
              <w:top w:val="single" w:sz="4" w:space="0" w:color="auto"/>
            </w:tcBorders>
            <w:shd w:val="clear" w:color="auto" w:fill="auto"/>
            <w:noWrap/>
            <w:vAlign w:val="bottom"/>
            <w:hideMark/>
          </w:tcPr>
          <w:p w14:paraId="3A0C7A44" w14:textId="2C944719" w:rsidR="00781B89" w:rsidRPr="001D7DBE" w:rsidRDefault="00781B89"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&lt; 0.05</w:t>
            </w:r>
          </w:p>
        </w:tc>
      </w:tr>
      <w:tr w:rsidR="00781B89" w:rsidRPr="001D7DBE" w14:paraId="7EC86C9E" w14:textId="77777777" w:rsidTr="00781B89">
        <w:trPr>
          <w:trHeight w:val="288"/>
        </w:trPr>
        <w:tc>
          <w:tcPr>
            <w:tcW w:w="3964" w:type="dxa"/>
            <w:shd w:val="clear" w:color="auto" w:fill="auto"/>
            <w:noWrap/>
            <w:vAlign w:val="bottom"/>
            <w:hideMark/>
          </w:tcPr>
          <w:p w14:paraId="2F4CE17C" w14:textId="63957813" w:rsidR="00781B89" w:rsidRPr="001D7DBE" w:rsidRDefault="00781B89" w:rsidP="001D7DBE">
            <w:pPr>
              <w:spacing w:line="360" w:lineRule="auto"/>
              <w:jc w:val="both"/>
              <w:rPr>
                <w:rFonts w:ascii="Book Antiqua" w:hAnsi="Book Antiqua"/>
              </w:rPr>
            </w:pPr>
            <w:r w:rsidRPr="001D7DBE">
              <w:rPr>
                <w:rFonts w:ascii="Book Antiqua" w:hAnsi="Book Antiqua"/>
              </w:rPr>
              <w:t xml:space="preserve">History of </w:t>
            </w:r>
            <w:r w:rsidR="00751AB6" w:rsidRPr="001D7DBE">
              <w:rPr>
                <w:rFonts w:ascii="Book Antiqua" w:hAnsi="Book Antiqua"/>
              </w:rPr>
              <w:t>alcohol</w:t>
            </w:r>
          </w:p>
        </w:tc>
        <w:tc>
          <w:tcPr>
            <w:tcW w:w="1560" w:type="dxa"/>
            <w:shd w:val="clear" w:color="auto" w:fill="auto"/>
            <w:hideMark/>
          </w:tcPr>
          <w:p w14:paraId="337330E8"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3.70</w:t>
            </w:r>
          </w:p>
        </w:tc>
        <w:tc>
          <w:tcPr>
            <w:tcW w:w="1842" w:type="dxa"/>
            <w:shd w:val="clear" w:color="auto" w:fill="auto"/>
            <w:hideMark/>
          </w:tcPr>
          <w:p w14:paraId="65280C78"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 xml:space="preserve">2.60 </w:t>
            </w:r>
          </w:p>
        </w:tc>
        <w:tc>
          <w:tcPr>
            <w:tcW w:w="1985" w:type="dxa"/>
            <w:shd w:val="clear" w:color="auto" w:fill="auto"/>
            <w:noWrap/>
            <w:vAlign w:val="bottom"/>
            <w:hideMark/>
          </w:tcPr>
          <w:p w14:paraId="4C734FC7" w14:textId="4F785AB4"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1C5A6ACA" w14:textId="77777777" w:rsidTr="00781B89">
        <w:trPr>
          <w:trHeight w:val="288"/>
        </w:trPr>
        <w:tc>
          <w:tcPr>
            <w:tcW w:w="3964" w:type="dxa"/>
            <w:shd w:val="clear" w:color="auto" w:fill="auto"/>
            <w:noWrap/>
            <w:vAlign w:val="bottom"/>
            <w:hideMark/>
          </w:tcPr>
          <w:p w14:paraId="69FBD5BE" w14:textId="08593C51" w:rsidR="00781B89" w:rsidRPr="001D7DBE" w:rsidRDefault="00781B89" w:rsidP="001D7DBE">
            <w:pPr>
              <w:spacing w:line="360" w:lineRule="auto"/>
              <w:jc w:val="both"/>
              <w:rPr>
                <w:rFonts w:ascii="Book Antiqua" w:hAnsi="Book Antiqua"/>
              </w:rPr>
            </w:pPr>
            <w:r w:rsidRPr="001D7DBE">
              <w:rPr>
                <w:rFonts w:ascii="Book Antiqua" w:hAnsi="Book Antiqua"/>
              </w:rPr>
              <w:t xml:space="preserve">History of </w:t>
            </w:r>
            <w:r w:rsidR="00751AB6" w:rsidRPr="001D7DBE">
              <w:rPr>
                <w:rFonts w:ascii="Book Antiqua" w:hAnsi="Book Antiqua"/>
              </w:rPr>
              <w:t>drug use</w:t>
            </w:r>
          </w:p>
        </w:tc>
        <w:tc>
          <w:tcPr>
            <w:tcW w:w="1560" w:type="dxa"/>
            <w:shd w:val="clear" w:color="auto" w:fill="auto"/>
            <w:hideMark/>
          </w:tcPr>
          <w:p w14:paraId="7D43CD09"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1.00</w:t>
            </w:r>
          </w:p>
        </w:tc>
        <w:tc>
          <w:tcPr>
            <w:tcW w:w="1842" w:type="dxa"/>
            <w:shd w:val="clear" w:color="auto" w:fill="auto"/>
            <w:hideMark/>
          </w:tcPr>
          <w:p w14:paraId="2D1DCB81"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0.50</w:t>
            </w:r>
          </w:p>
        </w:tc>
        <w:tc>
          <w:tcPr>
            <w:tcW w:w="1985" w:type="dxa"/>
            <w:shd w:val="clear" w:color="auto" w:fill="auto"/>
            <w:noWrap/>
            <w:vAlign w:val="bottom"/>
            <w:hideMark/>
          </w:tcPr>
          <w:p w14:paraId="6B14E9CE" w14:textId="573C9650"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1D92057A" w14:textId="77777777" w:rsidTr="00781B89">
        <w:trPr>
          <w:trHeight w:val="288"/>
        </w:trPr>
        <w:tc>
          <w:tcPr>
            <w:tcW w:w="3964" w:type="dxa"/>
            <w:shd w:val="clear" w:color="auto" w:fill="auto"/>
            <w:noWrap/>
            <w:vAlign w:val="bottom"/>
            <w:hideMark/>
          </w:tcPr>
          <w:p w14:paraId="53BF9109" w14:textId="77777777" w:rsidR="00781B89" w:rsidRPr="001D7DBE" w:rsidRDefault="00781B89" w:rsidP="001D7DBE">
            <w:pPr>
              <w:spacing w:line="360" w:lineRule="auto"/>
              <w:jc w:val="both"/>
              <w:rPr>
                <w:rFonts w:ascii="Book Antiqua" w:hAnsi="Book Antiqua"/>
              </w:rPr>
            </w:pPr>
            <w:r w:rsidRPr="001D7DBE">
              <w:rPr>
                <w:rFonts w:ascii="Book Antiqua" w:hAnsi="Book Antiqua"/>
              </w:rPr>
              <w:t>CHF</w:t>
            </w:r>
          </w:p>
        </w:tc>
        <w:tc>
          <w:tcPr>
            <w:tcW w:w="1560" w:type="dxa"/>
            <w:shd w:val="clear" w:color="auto" w:fill="auto"/>
            <w:hideMark/>
          </w:tcPr>
          <w:p w14:paraId="772BF54F"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11.00</w:t>
            </w:r>
          </w:p>
        </w:tc>
        <w:tc>
          <w:tcPr>
            <w:tcW w:w="1842" w:type="dxa"/>
            <w:shd w:val="clear" w:color="auto" w:fill="auto"/>
            <w:hideMark/>
          </w:tcPr>
          <w:p w14:paraId="6C6EDF3E"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16.80</w:t>
            </w:r>
          </w:p>
        </w:tc>
        <w:tc>
          <w:tcPr>
            <w:tcW w:w="1985" w:type="dxa"/>
            <w:shd w:val="clear" w:color="auto" w:fill="auto"/>
            <w:noWrap/>
            <w:vAlign w:val="bottom"/>
            <w:hideMark/>
          </w:tcPr>
          <w:p w14:paraId="74773DFD" w14:textId="4A5F5C9E"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6C44393F" w14:textId="77777777" w:rsidTr="00781B89">
        <w:trPr>
          <w:trHeight w:val="288"/>
        </w:trPr>
        <w:tc>
          <w:tcPr>
            <w:tcW w:w="3964" w:type="dxa"/>
            <w:shd w:val="clear" w:color="auto" w:fill="auto"/>
            <w:noWrap/>
            <w:vAlign w:val="bottom"/>
            <w:hideMark/>
          </w:tcPr>
          <w:p w14:paraId="05E8E8D3" w14:textId="4611C6C9" w:rsidR="00781B89" w:rsidRPr="001D7DBE" w:rsidRDefault="00781B89" w:rsidP="001D7DBE">
            <w:pPr>
              <w:spacing w:line="360" w:lineRule="auto"/>
              <w:jc w:val="both"/>
              <w:rPr>
                <w:rFonts w:ascii="Book Antiqua" w:hAnsi="Book Antiqua"/>
              </w:rPr>
            </w:pPr>
            <w:r w:rsidRPr="001D7DBE">
              <w:rPr>
                <w:rFonts w:ascii="Book Antiqua" w:hAnsi="Book Antiqua"/>
              </w:rPr>
              <w:t xml:space="preserve">Chronic </w:t>
            </w:r>
            <w:r w:rsidR="00751AB6" w:rsidRPr="001D7DBE">
              <w:rPr>
                <w:rFonts w:ascii="Book Antiqua" w:hAnsi="Book Antiqua"/>
              </w:rPr>
              <w:t>lung disease</w:t>
            </w:r>
          </w:p>
        </w:tc>
        <w:tc>
          <w:tcPr>
            <w:tcW w:w="1560" w:type="dxa"/>
            <w:shd w:val="clear" w:color="auto" w:fill="auto"/>
            <w:hideMark/>
          </w:tcPr>
          <w:p w14:paraId="53388F6A"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20.30</w:t>
            </w:r>
          </w:p>
        </w:tc>
        <w:tc>
          <w:tcPr>
            <w:tcW w:w="1842" w:type="dxa"/>
            <w:shd w:val="clear" w:color="auto" w:fill="auto"/>
            <w:hideMark/>
          </w:tcPr>
          <w:p w14:paraId="3BE2A827"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21.60</w:t>
            </w:r>
          </w:p>
        </w:tc>
        <w:tc>
          <w:tcPr>
            <w:tcW w:w="1985" w:type="dxa"/>
            <w:shd w:val="clear" w:color="auto" w:fill="auto"/>
            <w:noWrap/>
            <w:vAlign w:val="bottom"/>
            <w:hideMark/>
          </w:tcPr>
          <w:p w14:paraId="0159C76C" w14:textId="47710645"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7B2C6D50" w14:textId="77777777" w:rsidTr="00781B89">
        <w:trPr>
          <w:trHeight w:val="288"/>
        </w:trPr>
        <w:tc>
          <w:tcPr>
            <w:tcW w:w="3964" w:type="dxa"/>
            <w:shd w:val="clear" w:color="auto" w:fill="auto"/>
            <w:noWrap/>
            <w:vAlign w:val="bottom"/>
            <w:hideMark/>
          </w:tcPr>
          <w:p w14:paraId="10551CE1" w14:textId="77777777" w:rsidR="00781B89" w:rsidRPr="001D7DBE" w:rsidRDefault="00781B89" w:rsidP="001D7DBE">
            <w:pPr>
              <w:spacing w:line="360" w:lineRule="auto"/>
              <w:jc w:val="both"/>
              <w:rPr>
                <w:rFonts w:ascii="Book Antiqua" w:hAnsi="Book Antiqua"/>
              </w:rPr>
            </w:pPr>
            <w:r w:rsidRPr="001D7DBE">
              <w:rPr>
                <w:rFonts w:ascii="Book Antiqua" w:hAnsi="Book Antiqua"/>
              </w:rPr>
              <w:t>Coagulopathy</w:t>
            </w:r>
          </w:p>
        </w:tc>
        <w:tc>
          <w:tcPr>
            <w:tcW w:w="1560" w:type="dxa"/>
            <w:shd w:val="clear" w:color="auto" w:fill="auto"/>
            <w:hideMark/>
          </w:tcPr>
          <w:p w14:paraId="2C418D7A"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6.50</w:t>
            </w:r>
          </w:p>
        </w:tc>
        <w:tc>
          <w:tcPr>
            <w:tcW w:w="1842" w:type="dxa"/>
            <w:shd w:val="clear" w:color="auto" w:fill="auto"/>
            <w:hideMark/>
          </w:tcPr>
          <w:p w14:paraId="69DD3B76"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6.40</w:t>
            </w:r>
          </w:p>
        </w:tc>
        <w:tc>
          <w:tcPr>
            <w:tcW w:w="1985" w:type="dxa"/>
            <w:shd w:val="clear" w:color="auto" w:fill="auto"/>
            <w:noWrap/>
            <w:vAlign w:val="bottom"/>
            <w:hideMark/>
          </w:tcPr>
          <w:p w14:paraId="673F1C45" w14:textId="0F116A84" w:rsidR="00781B89" w:rsidRPr="001D7DBE" w:rsidRDefault="00B37BA7" w:rsidP="001D7DBE">
            <w:pPr>
              <w:spacing w:line="360" w:lineRule="auto"/>
              <w:jc w:val="both"/>
              <w:rPr>
                <w:rFonts w:ascii="Book Antiqua" w:hAnsi="Book Antiqua" w:cs="Arial"/>
              </w:rPr>
            </w:pPr>
            <w:bookmarkStart w:id="356" w:name="OLE_LINK973"/>
            <w:bookmarkStart w:id="357" w:name="OLE_LINK974"/>
            <w:r w:rsidRPr="001D7DBE">
              <w:rPr>
                <w:rFonts w:ascii="Book Antiqua" w:hAnsi="Book Antiqua" w:cs="Arial"/>
              </w:rPr>
              <w:t>NS</w:t>
            </w:r>
            <w:bookmarkEnd w:id="356"/>
            <w:bookmarkEnd w:id="357"/>
          </w:p>
        </w:tc>
      </w:tr>
      <w:tr w:rsidR="00781B89" w:rsidRPr="001D7DBE" w14:paraId="68692E42" w14:textId="77777777" w:rsidTr="00781B89">
        <w:trPr>
          <w:trHeight w:val="288"/>
        </w:trPr>
        <w:tc>
          <w:tcPr>
            <w:tcW w:w="3964" w:type="dxa"/>
            <w:shd w:val="clear" w:color="auto" w:fill="auto"/>
            <w:noWrap/>
            <w:vAlign w:val="bottom"/>
            <w:hideMark/>
          </w:tcPr>
          <w:p w14:paraId="726A85A1" w14:textId="77777777" w:rsidR="00781B89" w:rsidRPr="001D7DBE" w:rsidRDefault="00781B89" w:rsidP="001D7DBE">
            <w:pPr>
              <w:spacing w:line="360" w:lineRule="auto"/>
              <w:jc w:val="both"/>
              <w:rPr>
                <w:rFonts w:ascii="Book Antiqua" w:hAnsi="Book Antiqua"/>
              </w:rPr>
            </w:pPr>
            <w:r w:rsidRPr="001D7DBE">
              <w:rPr>
                <w:rFonts w:ascii="Book Antiqua" w:hAnsi="Book Antiqua"/>
              </w:rPr>
              <w:t>Depression</w:t>
            </w:r>
          </w:p>
        </w:tc>
        <w:tc>
          <w:tcPr>
            <w:tcW w:w="1560" w:type="dxa"/>
            <w:shd w:val="clear" w:color="auto" w:fill="auto"/>
            <w:hideMark/>
          </w:tcPr>
          <w:p w14:paraId="7B955D28"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12.60</w:t>
            </w:r>
          </w:p>
        </w:tc>
        <w:tc>
          <w:tcPr>
            <w:tcW w:w="1842" w:type="dxa"/>
            <w:shd w:val="clear" w:color="auto" w:fill="auto"/>
            <w:hideMark/>
          </w:tcPr>
          <w:p w14:paraId="2C23C87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13.00</w:t>
            </w:r>
          </w:p>
        </w:tc>
        <w:tc>
          <w:tcPr>
            <w:tcW w:w="1985" w:type="dxa"/>
            <w:shd w:val="clear" w:color="auto" w:fill="auto"/>
            <w:noWrap/>
            <w:vAlign w:val="bottom"/>
            <w:hideMark/>
          </w:tcPr>
          <w:p w14:paraId="73CF07BF" w14:textId="27ED906D" w:rsidR="00781B89" w:rsidRPr="001D7DBE" w:rsidRDefault="00B37BA7" w:rsidP="001D7DBE">
            <w:pPr>
              <w:spacing w:line="360" w:lineRule="auto"/>
              <w:jc w:val="both"/>
              <w:rPr>
                <w:rFonts w:ascii="Book Antiqua" w:hAnsi="Book Antiqua" w:cs="Arial"/>
              </w:rPr>
            </w:pPr>
            <w:r w:rsidRPr="001D7DBE">
              <w:rPr>
                <w:rFonts w:ascii="Book Antiqua" w:hAnsi="Book Antiqua" w:cs="Arial"/>
              </w:rPr>
              <w:t>NS</w:t>
            </w:r>
          </w:p>
        </w:tc>
      </w:tr>
      <w:tr w:rsidR="00781B89" w:rsidRPr="001D7DBE" w14:paraId="67341536" w14:textId="77777777" w:rsidTr="00781B89">
        <w:trPr>
          <w:trHeight w:val="288"/>
        </w:trPr>
        <w:tc>
          <w:tcPr>
            <w:tcW w:w="3964" w:type="dxa"/>
            <w:shd w:val="clear" w:color="auto" w:fill="auto"/>
            <w:noWrap/>
            <w:vAlign w:val="bottom"/>
            <w:hideMark/>
          </w:tcPr>
          <w:p w14:paraId="26208E31" w14:textId="77777777" w:rsidR="00781B89" w:rsidRPr="001D7DBE" w:rsidRDefault="00781B89" w:rsidP="001D7DBE">
            <w:pPr>
              <w:spacing w:line="360" w:lineRule="auto"/>
              <w:jc w:val="both"/>
              <w:rPr>
                <w:rFonts w:ascii="Book Antiqua" w:hAnsi="Book Antiqua"/>
              </w:rPr>
            </w:pPr>
            <w:r w:rsidRPr="001D7DBE">
              <w:rPr>
                <w:rFonts w:ascii="Book Antiqua" w:hAnsi="Book Antiqua"/>
              </w:rPr>
              <w:t>Diabetes</w:t>
            </w:r>
          </w:p>
        </w:tc>
        <w:tc>
          <w:tcPr>
            <w:tcW w:w="1560" w:type="dxa"/>
            <w:shd w:val="clear" w:color="auto" w:fill="auto"/>
            <w:hideMark/>
          </w:tcPr>
          <w:p w14:paraId="49FBBD13"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15.30</w:t>
            </w:r>
          </w:p>
        </w:tc>
        <w:tc>
          <w:tcPr>
            <w:tcW w:w="1842" w:type="dxa"/>
            <w:shd w:val="clear" w:color="auto" w:fill="auto"/>
            <w:hideMark/>
          </w:tcPr>
          <w:p w14:paraId="5991627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17.00</w:t>
            </w:r>
          </w:p>
        </w:tc>
        <w:tc>
          <w:tcPr>
            <w:tcW w:w="1985" w:type="dxa"/>
            <w:shd w:val="clear" w:color="auto" w:fill="auto"/>
            <w:noWrap/>
            <w:vAlign w:val="bottom"/>
            <w:hideMark/>
          </w:tcPr>
          <w:p w14:paraId="397C0E0F" w14:textId="78A021BE"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3EAF2112" w14:textId="77777777" w:rsidTr="00781B89">
        <w:trPr>
          <w:trHeight w:val="288"/>
        </w:trPr>
        <w:tc>
          <w:tcPr>
            <w:tcW w:w="3964" w:type="dxa"/>
            <w:shd w:val="clear" w:color="auto" w:fill="auto"/>
            <w:noWrap/>
            <w:vAlign w:val="bottom"/>
            <w:hideMark/>
          </w:tcPr>
          <w:p w14:paraId="541EA88F" w14:textId="77777777" w:rsidR="00781B89" w:rsidRPr="001D7DBE" w:rsidRDefault="00781B89" w:rsidP="001D7DBE">
            <w:pPr>
              <w:spacing w:line="360" w:lineRule="auto"/>
              <w:jc w:val="both"/>
              <w:rPr>
                <w:rFonts w:ascii="Book Antiqua" w:hAnsi="Book Antiqua"/>
              </w:rPr>
            </w:pPr>
            <w:r w:rsidRPr="001D7DBE">
              <w:rPr>
                <w:rFonts w:ascii="Book Antiqua" w:hAnsi="Book Antiqua"/>
              </w:rPr>
              <w:t>Hypertension</w:t>
            </w:r>
          </w:p>
        </w:tc>
        <w:tc>
          <w:tcPr>
            <w:tcW w:w="1560" w:type="dxa"/>
            <w:shd w:val="clear" w:color="auto" w:fill="auto"/>
            <w:hideMark/>
          </w:tcPr>
          <w:p w14:paraId="37355E07"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62.20</w:t>
            </w:r>
          </w:p>
        </w:tc>
        <w:tc>
          <w:tcPr>
            <w:tcW w:w="1842" w:type="dxa"/>
            <w:shd w:val="clear" w:color="auto" w:fill="auto"/>
            <w:hideMark/>
          </w:tcPr>
          <w:p w14:paraId="1564F17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69.10</w:t>
            </w:r>
          </w:p>
        </w:tc>
        <w:tc>
          <w:tcPr>
            <w:tcW w:w="1985" w:type="dxa"/>
            <w:shd w:val="clear" w:color="auto" w:fill="auto"/>
            <w:noWrap/>
            <w:vAlign w:val="bottom"/>
            <w:hideMark/>
          </w:tcPr>
          <w:p w14:paraId="5C90EBB3" w14:textId="049D05EF"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6A10F00C" w14:textId="77777777" w:rsidTr="00781B89">
        <w:trPr>
          <w:trHeight w:val="288"/>
        </w:trPr>
        <w:tc>
          <w:tcPr>
            <w:tcW w:w="3964" w:type="dxa"/>
            <w:shd w:val="clear" w:color="auto" w:fill="auto"/>
            <w:noWrap/>
            <w:vAlign w:val="bottom"/>
            <w:hideMark/>
          </w:tcPr>
          <w:p w14:paraId="5F9490B8" w14:textId="77777777" w:rsidR="00781B89" w:rsidRPr="001D7DBE" w:rsidRDefault="00781B89" w:rsidP="001D7DBE">
            <w:pPr>
              <w:spacing w:line="360" w:lineRule="auto"/>
              <w:jc w:val="both"/>
              <w:rPr>
                <w:rFonts w:ascii="Book Antiqua" w:hAnsi="Book Antiqua"/>
              </w:rPr>
            </w:pPr>
            <w:r w:rsidRPr="001D7DBE">
              <w:rPr>
                <w:rFonts w:ascii="Book Antiqua" w:hAnsi="Book Antiqua"/>
              </w:rPr>
              <w:t>Hypothyroid</w:t>
            </w:r>
          </w:p>
        </w:tc>
        <w:tc>
          <w:tcPr>
            <w:tcW w:w="1560" w:type="dxa"/>
            <w:shd w:val="clear" w:color="auto" w:fill="auto"/>
            <w:hideMark/>
          </w:tcPr>
          <w:p w14:paraId="6180D33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17.10</w:t>
            </w:r>
          </w:p>
        </w:tc>
        <w:tc>
          <w:tcPr>
            <w:tcW w:w="1842" w:type="dxa"/>
            <w:shd w:val="clear" w:color="auto" w:fill="auto"/>
            <w:hideMark/>
          </w:tcPr>
          <w:p w14:paraId="26349052"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19.10</w:t>
            </w:r>
          </w:p>
        </w:tc>
        <w:tc>
          <w:tcPr>
            <w:tcW w:w="1985" w:type="dxa"/>
            <w:shd w:val="clear" w:color="auto" w:fill="auto"/>
            <w:noWrap/>
            <w:vAlign w:val="bottom"/>
            <w:hideMark/>
          </w:tcPr>
          <w:p w14:paraId="4991665E" w14:textId="2EEFB646"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&lt;0.05</w:t>
            </w:r>
          </w:p>
        </w:tc>
      </w:tr>
      <w:tr w:rsidR="00781B89" w:rsidRPr="001D7DBE" w14:paraId="4E4C0772" w14:textId="77777777" w:rsidTr="00781B89">
        <w:trPr>
          <w:trHeight w:val="288"/>
        </w:trPr>
        <w:tc>
          <w:tcPr>
            <w:tcW w:w="3964" w:type="dxa"/>
            <w:shd w:val="clear" w:color="auto" w:fill="auto"/>
            <w:noWrap/>
            <w:vAlign w:val="bottom"/>
            <w:hideMark/>
          </w:tcPr>
          <w:p w14:paraId="26D5FCA3" w14:textId="77777777" w:rsidR="00781B89" w:rsidRPr="001D7DBE" w:rsidRDefault="00781B89" w:rsidP="001D7DBE">
            <w:pPr>
              <w:spacing w:line="360" w:lineRule="auto"/>
              <w:jc w:val="both"/>
              <w:rPr>
                <w:rFonts w:ascii="Book Antiqua" w:hAnsi="Book Antiqua"/>
              </w:rPr>
            </w:pPr>
            <w:r w:rsidRPr="001D7DBE">
              <w:rPr>
                <w:rFonts w:ascii="Book Antiqua" w:hAnsi="Book Antiqua"/>
              </w:rPr>
              <w:t>Obesity</w:t>
            </w:r>
          </w:p>
        </w:tc>
        <w:tc>
          <w:tcPr>
            <w:tcW w:w="1560" w:type="dxa"/>
            <w:shd w:val="clear" w:color="auto" w:fill="auto"/>
            <w:hideMark/>
          </w:tcPr>
          <w:p w14:paraId="7A49D1DA"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4.50</w:t>
            </w:r>
          </w:p>
        </w:tc>
        <w:tc>
          <w:tcPr>
            <w:tcW w:w="1842" w:type="dxa"/>
            <w:shd w:val="clear" w:color="auto" w:fill="auto"/>
            <w:hideMark/>
          </w:tcPr>
          <w:p w14:paraId="7D0493D3"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2.30</w:t>
            </w:r>
          </w:p>
        </w:tc>
        <w:tc>
          <w:tcPr>
            <w:tcW w:w="1985" w:type="dxa"/>
            <w:shd w:val="clear" w:color="auto" w:fill="auto"/>
            <w:noWrap/>
            <w:vAlign w:val="bottom"/>
            <w:hideMark/>
          </w:tcPr>
          <w:p w14:paraId="33A7FAC4" w14:textId="7EF2428A"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6B2BB6AD" w14:textId="77777777" w:rsidTr="00781B89">
        <w:trPr>
          <w:trHeight w:val="288"/>
        </w:trPr>
        <w:tc>
          <w:tcPr>
            <w:tcW w:w="3964" w:type="dxa"/>
            <w:shd w:val="clear" w:color="auto" w:fill="auto"/>
            <w:noWrap/>
            <w:vAlign w:val="bottom"/>
            <w:hideMark/>
          </w:tcPr>
          <w:p w14:paraId="55C67CE0" w14:textId="5ACCCCD4" w:rsidR="00781B89" w:rsidRPr="001D7DBE" w:rsidRDefault="00781B89" w:rsidP="001D7DBE">
            <w:pPr>
              <w:spacing w:line="360" w:lineRule="auto"/>
              <w:jc w:val="both"/>
              <w:rPr>
                <w:rFonts w:ascii="Book Antiqua" w:hAnsi="Book Antiqua"/>
              </w:rPr>
            </w:pPr>
            <w:r w:rsidRPr="001D7DBE">
              <w:rPr>
                <w:rFonts w:ascii="Book Antiqua" w:hAnsi="Book Antiqua"/>
              </w:rPr>
              <w:t xml:space="preserve">Renal </w:t>
            </w:r>
            <w:r w:rsidR="00751AB6" w:rsidRPr="001D7DBE">
              <w:rPr>
                <w:rFonts w:ascii="Book Antiqua" w:hAnsi="Book Antiqua"/>
              </w:rPr>
              <w:t>disease</w:t>
            </w:r>
          </w:p>
        </w:tc>
        <w:tc>
          <w:tcPr>
            <w:tcW w:w="1560" w:type="dxa"/>
            <w:shd w:val="clear" w:color="auto" w:fill="auto"/>
            <w:hideMark/>
          </w:tcPr>
          <w:p w14:paraId="3AB17CC2"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9.60</w:t>
            </w:r>
          </w:p>
        </w:tc>
        <w:tc>
          <w:tcPr>
            <w:tcW w:w="1842" w:type="dxa"/>
            <w:shd w:val="clear" w:color="auto" w:fill="auto"/>
            <w:hideMark/>
          </w:tcPr>
          <w:p w14:paraId="460C0115"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13.40</w:t>
            </w:r>
          </w:p>
        </w:tc>
        <w:tc>
          <w:tcPr>
            <w:tcW w:w="1985" w:type="dxa"/>
            <w:shd w:val="clear" w:color="auto" w:fill="auto"/>
            <w:noWrap/>
            <w:vAlign w:val="bottom"/>
            <w:hideMark/>
          </w:tcPr>
          <w:p w14:paraId="55925DF7" w14:textId="0D793BA8"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bl>
    <w:p w14:paraId="6F99C7EA" w14:textId="73C49D2C" w:rsidR="00781B89" w:rsidRPr="001D7DBE" w:rsidRDefault="00781B89" w:rsidP="001D7DBE">
      <w:pPr>
        <w:spacing w:line="360" w:lineRule="auto"/>
        <w:jc w:val="both"/>
        <w:rPr>
          <w:rFonts w:ascii="Book Antiqua" w:hAnsi="Book Antiqua"/>
        </w:rPr>
      </w:pPr>
      <w:r w:rsidRPr="001D7DBE">
        <w:rPr>
          <w:rFonts w:ascii="Book Antiqua" w:hAnsi="Book Antiqua"/>
        </w:rPr>
        <w:t xml:space="preserve">AIDS: Acquired immunodeficiency syndrome; CHF: Congestive heart failure; </w:t>
      </w:r>
      <w:r w:rsidR="00B37BA7" w:rsidRPr="001D7DBE">
        <w:rPr>
          <w:rFonts w:ascii="Book Antiqua" w:hAnsi="Book Antiqua"/>
        </w:rPr>
        <w:t>NS</w:t>
      </w:r>
      <w:r w:rsidRPr="001D7DBE">
        <w:rPr>
          <w:rFonts w:ascii="Book Antiqua" w:hAnsi="Book Antiqua"/>
        </w:rPr>
        <w:t xml:space="preserve">: Not statistically significant; THA: </w:t>
      </w:r>
      <w:r w:rsidRPr="001D7DBE">
        <w:rPr>
          <w:rFonts w:ascii="Book Antiqua" w:hAnsi="Book Antiqua"/>
          <w:highlight w:val="white"/>
          <w:lang w:eastAsia="zh-CN"/>
        </w:rPr>
        <w:t>Total hip arthroplasty</w:t>
      </w:r>
      <w:r w:rsidRPr="001D7DBE">
        <w:rPr>
          <w:rFonts w:ascii="Book Antiqua" w:hAnsi="Book Antiqua"/>
          <w:lang w:eastAsia="zh-CN"/>
        </w:rPr>
        <w:t>.</w:t>
      </w:r>
    </w:p>
    <w:bookmarkEnd w:id="350"/>
    <w:p w14:paraId="6E52C26B" w14:textId="61580506" w:rsidR="00781B89" w:rsidRPr="001D7DBE" w:rsidRDefault="00781B89" w:rsidP="001D7DBE">
      <w:pPr>
        <w:spacing w:line="360" w:lineRule="auto"/>
        <w:jc w:val="both"/>
        <w:rPr>
          <w:rFonts w:ascii="Book Antiqua" w:hAnsi="Book Antiqua"/>
          <w:b/>
        </w:rPr>
      </w:pPr>
      <w:r w:rsidRPr="001D7DBE">
        <w:rPr>
          <w:rFonts w:ascii="Book Antiqua" w:hAnsi="Book Antiqua"/>
          <w:b/>
        </w:rPr>
        <w:br w:type="page"/>
      </w:r>
    </w:p>
    <w:p w14:paraId="08C5AC85" w14:textId="245F7F62" w:rsidR="00067CB1" w:rsidRPr="001D7DBE" w:rsidRDefault="00781B89" w:rsidP="001D7DBE">
      <w:pPr>
        <w:spacing w:line="360" w:lineRule="auto"/>
        <w:jc w:val="both"/>
        <w:rPr>
          <w:rFonts w:ascii="Book Antiqua" w:hAnsi="Book Antiqua"/>
          <w:b/>
          <w:bCs/>
        </w:rPr>
      </w:pPr>
      <w:r w:rsidRPr="001D7DBE">
        <w:rPr>
          <w:rFonts w:ascii="Book Antiqua" w:hAnsi="Book Antiqua"/>
          <w:b/>
          <w:bCs/>
        </w:rPr>
        <w:lastRenderedPageBreak/>
        <w:t>Table 2 Comparison of demographics between patients who underwent hemiarthroplasty and total hip arthroplasty for a femoral neck fracture between 2005 and 2014</w:t>
      </w:r>
    </w:p>
    <w:tbl>
      <w:tblPr>
        <w:tblW w:w="9067" w:type="dxa"/>
        <w:tblBorders>
          <w:top w:val="single" w:sz="4" w:space="0" w:color="auto"/>
          <w:bottom w:val="single" w:sz="4" w:space="0" w:color="auto"/>
        </w:tblBorders>
        <w:tblLook w:val="04A0" w:firstRow="1" w:lastRow="0" w:firstColumn="1" w:lastColumn="0" w:noHBand="0" w:noVBand="1"/>
      </w:tblPr>
      <w:tblGrid>
        <w:gridCol w:w="3397"/>
        <w:gridCol w:w="1843"/>
        <w:gridCol w:w="1843"/>
        <w:gridCol w:w="1984"/>
      </w:tblGrid>
      <w:tr w:rsidR="00751AB6" w:rsidRPr="001D7DBE" w14:paraId="23255E0E" w14:textId="77777777" w:rsidTr="00751AB6">
        <w:trPr>
          <w:trHeight w:val="528"/>
        </w:trPr>
        <w:tc>
          <w:tcPr>
            <w:tcW w:w="3397" w:type="dxa"/>
            <w:tcBorders>
              <w:top w:val="single" w:sz="4" w:space="0" w:color="auto"/>
              <w:bottom w:val="single" w:sz="4" w:space="0" w:color="auto"/>
            </w:tcBorders>
            <w:shd w:val="clear" w:color="auto" w:fill="auto"/>
            <w:noWrap/>
            <w:vAlign w:val="center"/>
            <w:hideMark/>
          </w:tcPr>
          <w:p w14:paraId="77F97057" w14:textId="77777777" w:rsidR="00067CB1" w:rsidRPr="001D7DBE" w:rsidRDefault="00067CB1" w:rsidP="001D7DBE">
            <w:pPr>
              <w:spacing w:line="360" w:lineRule="auto"/>
              <w:jc w:val="both"/>
              <w:rPr>
                <w:rFonts w:ascii="Book Antiqua" w:hAnsi="Book Antiqua"/>
                <w:b/>
                <w:bCs/>
              </w:rPr>
            </w:pPr>
            <w:r w:rsidRPr="001D7DBE">
              <w:rPr>
                <w:rFonts w:ascii="Book Antiqua" w:hAnsi="Book Antiqua"/>
                <w:b/>
                <w:bCs/>
              </w:rPr>
              <w:t> </w:t>
            </w:r>
          </w:p>
        </w:tc>
        <w:tc>
          <w:tcPr>
            <w:tcW w:w="1843" w:type="dxa"/>
            <w:tcBorders>
              <w:top w:val="single" w:sz="4" w:space="0" w:color="auto"/>
              <w:bottom w:val="single" w:sz="4" w:space="0" w:color="auto"/>
            </w:tcBorders>
            <w:shd w:val="clear" w:color="auto" w:fill="auto"/>
            <w:vAlign w:val="center"/>
            <w:hideMark/>
          </w:tcPr>
          <w:p w14:paraId="3757A1FB" w14:textId="19AA13BF" w:rsidR="00067CB1" w:rsidRPr="001D7DBE" w:rsidRDefault="00067CB1" w:rsidP="001D7DBE">
            <w:pPr>
              <w:spacing w:line="360" w:lineRule="auto"/>
              <w:jc w:val="both"/>
              <w:rPr>
                <w:rFonts w:ascii="Book Antiqua" w:hAnsi="Book Antiqua"/>
                <w:b/>
                <w:bCs/>
              </w:rPr>
            </w:pPr>
            <w:r w:rsidRPr="001D7DBE">
              <w:rPr>
                <w:rFonts w:ascii="Book Antiqua" w:hAnsi="Book Antiqua"/>
                <w:b/>
                <w:bCs/>
              </w:rPr>
              <w:t>THA</w:t>
            </w:r>
            <w:r w:rsidR="00751AB6" w:rsidRPr="001D7DBE">
              <w:rPr>
                <w:rFonts w:ascii="Book Antiqua" w:hAnsi="Book Antiqua"/>
                <w:b/>
                <w:bCs/>
              </w:rPr>
              <w:t xml:space="preserve"> (%)</w:t>
            </w:r>
          </w:p>
        </w:tc>
        <w:tc>
          <w:tcPr>
            <w:tcW w:w="1843" w:type="dxa"/>
            <w:tcBorders>
              <w:top w:val="single" w:sz="4" w:space="0" w:color="auto"/>
              <w:bottom w:val="single" w:sz="4" w:space="0" w:color="auto"/>
            </w:tcBorders>
            <w:shd w:val="clear" w:color="auto" w:fill="auto"/>
            <w:vAlign w:val="center"/>
            <w:hideMark/>
          </w:tcPr>
          <w:p w14:paraId="37EDF513" w14:textId="3DBEF730" w:rsidR="00067CB1" w:rsidRPr="001D7DBE" w:rsidRDefault="00067CB1" w:rsidP="001D7DBE">
            <w:pPr>
              <w:spacing w:line="360" w:lineRule="auto"/>
              <w:jc w:val="both"/>
              <w:rPr>
                <w:rFonts w:ascii="Book Antiqua" w:hAnsi="Book Antiqua"/>
                <w:b/>
                <w:bCs/>
              </w:rPr>
            </w:pPr>
            <w:r w:rsidRPr="001D7DBE">
              <w:rPr>
                <w:rFonts w:ascii="Book Antiqua" w:hAnsi="Book Antiqua"/>
                <w:b/>
                <w:bCs/>
              </w:rPr>
              <w:t>Hemi</w:t>
            </w:r>
            <w:r w:rsidR="00751AB6" w:rsidRPr="001D7DBE">
              <w:rPr>
                <w:rFonts w:ascii="Book Antiqua" w:hAnsi="Book Antiqua"/>
                <w:b/>
                <w:bCs/>
              </w:rPr>
              <w:t xml:space="preserve"> (%)</w:t>
            </w:r>
          </w:p>
        </w:tc>
        <w:tc>
          <w:tcPr>
            <w:tcW w:w="1984" w:type="dxa"/>
            <w:tcBorders>
              <w:top w:val="single" w:sz="4" w:space="0" w:color="auto"/>
              <w:bottom w:val="single" w:sz="4" w:space="0" w:color="auto"/>
            </w:tcBorders>
            <w:shd w:val="clear" w:color="auto" w:fill="auto"/>
            <w:noWrap/>
            <w:vAlign w:val="center"/>
            <w:hideMark/>
          </w:tcPr>
          <w:p w14:paraId="3EDF9A0B" w14:textId="6C75BE02" w:rsidR="00067CB1" w:rsidRPr="001D7DBE" w:rsidRDefault="00067CB1" w:rsidP="001D7DBE">
            <w:pPr>
              <w:spacing w:line="360" w:lineRule="auto"/>
              <w:jc w:val="both"/>
              <w:rPr>
                <w:rFonts w:ascii="Book Antiqua" w:hAnsi="Book Antiqua"/>
                <w:b/>
                <w:bCs/>
              </w:rPr>
            </w:pPr>
            <w:r w:rsidRPr="001D7DBE">
              <w:rPr>
                <w:rFonts w:ascii="Book Antiqua" w:hAnsi="Book Antiqua"/>
                <w:b/>
                <w:bCs/>
                <w:i/>
                <w:iCs/>
                <w:caps/>
              </w:rPr>
              <w:t>p</w:t>
            </w:r>
            <w:r w:rsidR="00B37BA7">
              <w:rPr>
                <w:rFonts w:ascii="Book Antiqua" w:hAnsi="Book Antiqua"/>
                <w:b/>
                <w:bCs/>
                <w:i/>
                <w:iCs/>
                <w:caps/>
              </w:rPr>
              <w:t xml:space="preserve"> </w:t>
            </w:r>
            <w:r w:rsidRPr="001D7DBE">
              <w:rPr>
                <w:rFonts w:ascii="Book Antiqua" w:hAnsi="Book Antiqua"/>
                <w:b/>
                <w:bCs/>
              </w:rPr>
              <w:t>value</w:t>
            </w:r>
          </w:p>
        </w:tc>
      </w:tr>
      <w:tr w:rsidR="00751AB6" w:rsidRPr="001D7DBE" w14:paraId="60E7CA95" w14:textId="77777777" w:rsidTr="00751AB6">
        <w:trPr>
          <w:trHeight w:val="276"/>
        </w:trPr>
        <w:tc>
          <w:tcPr>
            <w:tcW w:w="3397" w:type="dxa"/>
            <w:tcBorders>
              <w:top w:val="single" w:sz="4" w:space="0" w:color="auto"/>
            </w:tcBorders>
            <w:shd w:val="clear" w:color="auto" w:fill="auto"/>
            <w:noWrap/>
            <w:vAlign w:val="bottom"/>
            <w:hideMark/>
          </w:tcPr>
          <w:p w14:paraId="6B96128E" w14:textId="77777777" w:rsidR="00067CB1" w:rsidRPr="001D7DBE" w:rsidRDefault="00067CB1" w:rsidP="001D7DBE">
            <w:pPr>
              <w:spacing w:line="360" w:lineRule="auto"/>
              <w:jc w:val="both"/>
              <w:rPr>
                <w:rFonts w:ascii="Book Antiqua" w:hAnsi="Book Antiqua"/>
              </w:rPr>
            </w:pPr>
            <w:r w:rsidRPr="001D7DBE">
              <w:rPr>
                <w:rFonts w:ascii="Book Antiqua" w:hAnsi="Book Antiqua"/>
              </w:rPr>
              <w:t>Female</w:t>
            </w:r>
          </w:p>
        </w:tc>
        <w:tc>
          <w:tcPr>
            <w:tcW w:w="1843" w:type="dxa"/>
            <w:tcBorders>
              <w:top w:val="single" w:sz="4" w:space="0" w:color="auto"/>
            </w:tcBorders>
            <w:shd w:val="clear" w:color="auto" w:fill="auto"/>
            <w:hideMark/>
          </w:tcPr>
          <w:p w14:paraId="7752B8C2" w14:textId="621DAFFC" w:rsidR="00067CB1" w:rsidRPr="001D7DBE" w:rsidRDefault="00067CB1" w:rsidP="001D7DBE">
            <w:pPr>
              <w:spacing w:line="360" w:lineRule="auto"/>
              <w:jc w:val="both"/>
              <w:rPr>
                <w:rFonts w:ascii="Book Antiqua" w:hAnsi="Book Antiqua"/>
              </w:rPr>
            </w:pPr>
            <w:r w:rsidRPr="001D7DBE">
              <w:rPr>
                <w:rFonts w:ascii="Book Antiqua" w:hAnsi="Book Antiqua"/>
              </w:rPr>
              <w:t xml:space="preserve">69.60 </w:t>
            </w:r>
          </w:p>
        </w:tc>
        <w:tc>
          <w:tcPr>
            <w:tcW w:w="1843" w:type="dxa"/>
            <w:tcBorders>
              <w:top w:val="single" w:sz="4" w:space="0" w:color="auto"/>
            </w:tcBorders>
            <w:shd w:val="clear" w:color="auto" w:fill="auto"/>
            <w:hideMark/>
          </w:tcPr>
          <w:p w14:paraId="3B86EF53" w14:textId="4751D1E1" w:rsidR="00067CB1" w:rsidRPr="001D7DBE" w:rsidRDefault="00067CB1" w:rsidP="001D7DBE">
            <w:pPr>
              <w:spacing w:line="360" w:lineRule="auto"/>
              <w:jc w:val="both"/>
              <w:rPr>
                <w:rFonts w:ascii="Book Antiqua" w:hAnsi="Book Antiqua"/>
              </w:rPr>
            </w:pPr>
            <w:r w:rsidRPr="001D7DBE">
              <w:rPr>
                <w:rFonts w:ascii="Book Antiqua" w:hAnsi="Book Antiqua"/>
              </w:rPr>
              <w:t>72.70</w:t>
            </w:r>
          </w:p>
        </w:tc>
        <w:tc>
          <w:tcPr>
            <w:tcW w:w="1984" w:type="dxa"/>
            <w:tcBorders>
              <w:top w:val="single" w:sz="4" w:space="0" w:color="auto"/>
            </w:tcBorders>
            <w:shd w:val="clear" w:color="auto" w:fill="auto"/>
            <w:noWrap/>
            <w:vAlign w:val="bottom"/>
            <w:hideMark/>
          </w:tcPr>
          <w:p w14:paraId="42981EF1" w14:textId="7DDAB502"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3C4DC111" w14:textId="77777777" w:rsidTr="00751AB6">
        <w:trPr>
          <w:trHeight w:val="276"/>
        </w:trPr>
        <w:tc>
          <w:tcPr>
            <w:tcW w:w="3397" w:type="dxa"/>
            <w:shd w:val="clear" w:color="auto" w:fill="auto"/>
            <w:noWrap/>
            <w:vAlign w:val="bottom"/>
            <w:hideMark/>
          </w:tcPr>
          <w:p w14:paraId="37539776" w14:textId="77777777" w:rsidR="00067CB1" w:rsidRPr="001D7DBE" w:rsidRDefault="00067CB1" w:rsidP="001D7DBE">
            <w:pPr>
              <w:spacing w:line="360" w:lineRule="auto"/>
              <w:jc w:val="both"/>
              <w:rPr>
                <w:rFonts w:ascii="Book Antiqua" w:hAnsi="Book Antiqua"/>
              </w:rPr>
            </w:pPr>
            <w:r w:rsidRPr="001D7DBE">
              <w:rPr>
                <w:rFonts w:ascii="Book Antiqua" w:hAnsi="Book Antiqua"/>
              </w:rPr>
              <w:t>Race</w:t>
            </w:r>
          </w:p>
        </w:tc>
        <w:tc>
          <w:tcPr>
            <w:tcW w:w="1843" w:type="dxa"/>
            <w:shd w:val="clear" w:color="auto" w:fill="auto"/>
            <w:hideMark/>
          </w:tcPr>
          <w:p w14:paraId="1CE661D6"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4D440BA9"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vAlign w:val="bottom"/>
            <w:hideMark/>
          </w:tcPr>
          <w:p w14:paraId="46801FB8"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32EAC050" w14:textId="77777777" w:rsidTr="00751AB6">
        <w:trPr>
          <w:trHeight w:val="276"/>
        </w:trPr>
        <w:tc>
          <w:tcPr>
            <w:tcW w:w="3397" w:type="dxa"/>
            <w:shd w:val="clear" w:color="auto" w:fill="auto"/>
            <w:hideMark/>
          </w:tcPr>
          <w:p w14:paraId="0DF4803F" w14:textId="3569DC9F"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White</w:t>
            </w:r>
          </w:p>
        </w:tc>
        <w:tc>
          <w:tcPr>
            <w:tcW w:w="1843" w:type="dxa"/>
            <w:shd w:val="clear" w:color="auto" w:fill="auto"/>
            <w:hideMark/>
          </w:tcPr>
          <w:p w14:paraId="77E8A6E8" w14:textId="05BB2737" w:rsidR="00067CB1" w:rsidRPr="001D7DBE" w:rsidRDefault="00067CB1" w:rsidP="001D7DBE">
            <w:pPr>
              <w:spacing w:line="360" w:lineRule="auto"/>
              <w:jc w:val="both"/>
              <w:rPr>
                <w:rFonts w:ascii="Book Antiqua" w:hAnsi="Book Antiqua"/>
              </w:rPr>
            </w:pPr>
            <w:r w:rsidRPr="001D7DBE">
              <w:rPr>
                <w:rFonts w:ascii="Book Antiqua" w:hAnsi="Book Antiqua"/>
              </w:rPr>
              <w:t>88.20</w:t>
            </w:r>
          </w:p>
        </w:tc>
        <w:tc>
          <w:tcPr>
            <w:tcW w:w="1843" w:type="dxa"/>
            <w:shd w:val="clear" w:color="auto" w:fill="auto"/>
            <w:hideMark/>
          </w:tcPr>
          <w:p w14:paraId="33581110" w14:textId="43C217D5" w:rsidR="00067CB1" w:rsidRPr="001D7DBE" w:rsidRDefault="00067CB1" w:rsidP="001D7DBE">
            <w:pPr>
              <w:spacing w:line="360" w:lineRule="auto"/>
              <w:jc w:val="both"/>
              <w:rPr>
                <w:rFonts w:ascii="Book Antiqua" w:hAnsi="Book Antiqua"/>
              </w:rPr>
            </w:pPr>
            <w:r w:rsidRPr="001D7DBE">
              <w:rPr>
                <w:rFonts w:ascii="Book Antiqua" w:hAnsi="Book Antiqua"/>
              </w:rPr>
              <w:t>88.20</w:t>
            </w:r>
          </w:p>
        </w:tc>
        <w:tc>
          <w:tcPr>
            <w:tcW w:w="1984" w:type="dxa"/>
            <w:shd w:val="clear" w:color="auto" w:fill="auto"/>
            <w:noWrap/>
            <w:vAlign w:val="bottom"/>
            <w:hideMark/>
          </w:tcPr>
          <w:p w14:paraId="5493532D" w14:textId="77777777" w:rsidR="00067CB1" w:rsidRPr="001D7DBE" w:rsidRDefault="00067CB1" w:rsidP="001D7DBE">
            <w:pPr>
              <w:spacing w:line="360" w:lineRule="auto"/>
              <w:jc w:val="both"/>
              <w:rPr>
                <w:rFonts w:ascii="Book Antiqua" w:hAnsi="Book Antiqua"/>
              </w:rPr>
            </w:pPr>
            <w:r w:rsidRPr="001D7DBE">
              <w:rPr>
                <w:rFonts w:ascii="Book Antiqua" w:hAnsi="Book Antiqua"/>
              </w:rPr>
              <w:t>ns</w:t>
            </w:r>
          </w:p>
        </w:tc>
      </w:tr>
      <w:tr w:rsidR="00751AB6" w:rsidRPr="001D7DBE" w14:paraId="45B4200A" w14:textId="77777777" w:rsidTr="00751AB6">
        <w:trPr>
          <w:trHeight w:val="276"/>
        </w:trPr>
        <w:tc>
          <w:tcPr>
            <w:tcW w:w="3397" w:type="dxa"/>
            <w:shd w:val="clear" w:color="auto" w:fill="auto"/>
            <w:hideMark/>
          </w:tcPr>
          <w:p w14:paraId="72E0842B" w14:textId="39419A20"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Black</w:t>
            </w:r>
          </w:p>
        </w:tc>
        <w:tc>
          <w:tcPr>
            <w:tcW w:w="1843" w:type="dxa"/>
            <w:shd w:val="clear" w:color="auto" w:fill="auto"/>
            <w:hideMark/>
          </w:tcPr>
          <w:p w14:paraId="2A3B4DEC" w14:textId="54394F49" w:rsidR="00067CB1" w:rsidRPr="001D7DBE" w:rsidRDefault="00067CB1" w:rsidP="001D7DBE">
            <w:pPr>
              <w:spacing w:line="360" w:lineRule="auto"/>
              <w:jc w:val="both"/>
              <w:rPr>
                <w:rFonts w:ascii="Book Antiqua" w:hAnsi="Book Antiqua"/>
              </w:rPr>
            </w:pPr>
            <w:r w:rsidRPr="001D7DBE">
              <w:rPr>
                <w:rFonts w:ascii="Book Antiqua" w:hAnsi="Book Antiqua"/>
              </w:rPr>
              <w:t>4.50</w:t>
            </w:r>
          </w:p>
        </w:tc>
        <w:tc>
          <w:tcPr>
            <w:tcW w:w="1843" w:type="dxa"/>
            <w:shd w:val="clear" w:color="auto" w:fill="auto"/>
            <w:hideMark/>
          </w:tcPr>
          <w:p w14:paraId="40292A94" w14:textId="51FADF2B" w:rsidR="00067CB1" w:rsidRPr="001D7DBE" w:rsidRDefault="00067CB1" w:rsidP="001D7DBE">
            <w:pPr>
              <w:spacing w:line="360" w:lineRule="auto"/>
              <w:jc w:val="both"/>
              <w:rPr>
                <w:rFonts w:ascii="Book Antiqua" w:hAnsi="Book Antiqua"/>
              </w:rPr>
            </w:pPr>
            <w:r w:rsidRPr="001D7DBE">
              <w:rPr>
                <w:rFonts w:ascii="Book Antiqua" w:hAnsi="Book Antiqua"/>
              </w:rPr>
              <w:t>3.90</w:t>
            </w:r>
          </w:p>
        </w:tc>
        <w:tc>
          <w:tcPr>
            <w:tcW w:w="1984" w:type="dxa"/>
            <w:shd w:val="clear" w:color="auto" w:fill="auto"/>
            <w:noWrap/>
            <w:vAlign w:val="bottom"/>
            <w:hideMark/>
          </w:tcPr>
          <w:p w14:paraId="0653536D" w14:textId="39DEF69D" w:rsidR="00067CB1" w:rsidRPr="001D7DBE" w:rsidRDefault="00067CB1" w:rsidP="001D7DBE">
            <w:pPr>
              <w:spacing w:line="360" w:lineRule="auto"/>
              <w:jc w:val="both"/>
              <w:rPr>
                <w:rFonts w:ascii="Book Antiqua" w:hAnsi="Book Antiqua"/>
              </w:rPr>
            </w:pPr>
            <w:r w:rsidRPr="001D7DBE">
              <w:rPr>
                <w:rFonts w:ascii="Book Antiqua" w:hAnsi="Book Antiqua"/>
                <w:i/>
                <w:iCs/>
                <w:caps/>
              </w:rPr>
              <w:t>p</w:t>
            </w:r>
            <w:r w:rsidR="00751AB6" w:rsidRPr="001D7DBE">
              <w:rPr>
                <w:rFonts w:ascii="Book Antiqua" w:hAnsi="Book Antiqua"/>
              </w:rPr>
              <w:t xml:space="preserve"> </w:t>
            </w:r>
            <w:r w:rsidRPr="001D7DBE">
              <w:rPr>
                <w:rFonts w:ascii="Book Antiqua" w:hAnsi="Book Antiqua"/>
              </w:rPr>
              <w:t>&lt;</w:t>
            </w:r>
            <w:r w:rsidR="00751AB6" w:rsidRPr="001D7DBE">
              <w:rPr>
                <w:rFonts w:ascii="Book Antiqua" w:hAnsi="Book Antiqua"/>
              </w:rPr>
              <w:t xml:space="preserve"> 0</w:t>
            </w:r>
            <w:r w:rsidRPr="001D7DBE">
              <w:rPr>
                <w:rFonts w:ascii="Book Antiqua" w:hAnsi="Book Antiqua"/>
              </w:rPr>
              <w:t>.05</w:t>
            </w:r>
          </w:p>
        </w:tc>
      </w:tr>
      <w:tr w:rsidR="00751AB6" w:rsidRPr="001D7DBE" w14:paraId="32E87C9E" w14:textId="77777777" w:rsidTr="00751AB6">
        <w:trPr>
          <w:trHeight w:val="276"/>
        </w:trPr>
        <w:tc>
          <w:tcPr>
            <w:tcW w:w="3397" w:type="dxa"/>
            <w:shd w:val="clear" w:color="auto" w:fill="auto"/>
            <w:hideMark/>
          </w:tcPr>
          <w:p w14:paraId="2A3DF640" w14:textId="24C299B7"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Hispanic</w:t>
            </w:r>
          </w:p>
        </w:tc>
        <w:tc>
          <w:tcPr>
            <w:tcW w:w="1843" w:type="dxa"/>
            <w:shd w:val="clear" w:color="auto" w:fill="auto"/>
            <w:hideMark/>
          </w:tcPr>
          <w:p w14:paraId="261CCE31" w14:textId="5BEA85A5" w:rsidR="00067CB1" w:rsidRPr="001D7DBE" w:rsidRDefault="00067CB1" w:rsidP="001D7DBE">
            <w:pPr>
              <w:spacing w:line="360" w:lineRule="auto"/>
              <w:jc w:val="both"/>
              <w:rPr>
                <w:rFonts w:ascii="Book Antiqua" w:hAnsi="Book Antiqua"/>
              </w:rPr>
            </w:pPr>
            <w:r w:rsidRPr="001D7DBE">
              <w:rPr>
                <w:rFonts w:ascii="Book Antiqua" w:hAnsi="Book Antiqua"/>
              </w:rPr>
              <w:t>3.70</w:t>
            </w:r>
          </w:p>
        </w:tc>
        <w:tc>
          <w:tcPr>
            <w:tcW w:w="1843" w:type="dxa"/>
            <w:shd w:val="clear" w:color="auto" w:fill="auto"/>
            <w:hideMark/>
          </w:tcPr>
          <w:p w14:paraId="3A1EF894" w14:textId="62979BF4" w:rsidR="00067CB1" w:rsidRPr="001D7DBE" w:rsidRDefault="00067CB1" w:rsidP="001D7DBE">
            <w:pPr>
              <w:spacing w:line="360" w:lineRule="auto"/>
              <w:jc w:val="both"/>
              <w:rPr>
                <w:rFonts w:ascii="Book Antiqua" w:hAnsi="Book Antiqua"/>
              </w:rPr>
            </w:pPr>
            <w:r w:rsidRPr="001D7DBE">
              <w:rPr>
                <w:rFonts w:ascii="Book Antiqua" w:hAnsi="Book Antiqua"/>
              </w:rPr>
              <w:t>4.40</w:t>
            </w:r>
          </w:p>
        </w:tc>
        <w:tc>
          <w:tcPr>
            <w:tcW w:w="1984" w:type="dxa"/>
            <w:shd w:val="clear" w:color="auto" w:fill="auto"/>
            <w:noWrap/>
            <w:vAlign w:val="bottom"/>
            <w:hideMark/>
          </w:tcPr>
          <w:p w14:paraId="51332A3E" w14:textId="5112A621"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5888BB64" w14:textId="77777777" w:rsidTr="00751AB6">
        <w:trPr>
          <w:trHeight w:val="276"/>
        </w:trPr>
        <w:tc>
          <w:tcPr>
            <w:tcW w:w="3397" w:type="dxa"/>
            <w:shd w:val="clear" w:color="auto" w:fill="auto"/>
            <w:hideMark/>
          </w:tcPr>
          <w:p w14:paraId="1C01890D" w14:textId="588FBE05" w:rsidR="00067CB1" w:rsidRPr="001D7DBE" w:rsidRDefault="00067CB1" w:rsidP="001D7DBE">
            <w:pPr>
              <w:spacing w:line="360" w:lineRule="auto"/>
              <w:jc w:val="both"/>
              <w:rPr>
                <w:rFonts w:ascii="Book Antiqua" w:hAnsi="Book Antiqua"/>
              </w:rPr>
            </w:pPr>
            <w:r w:rsidRPr="001D7DBE">
              <w:rPr>
                <w:rFonts w:ascii="Book Antiqua" w:hAnsi="Book Antiqua"/>
              </w:rPr>
              <w:t>4:</w:t>
            </w:r>
            <w:r w:rsidR="00751AB6" w:rsidRPr="001D7DBE">
              <w:rPr>
                <w:rFonts w:ascii="Book Antiqua" w:hAnsi="Book Antiqua"/>
              </w:rPr>
              <w:t xml:space="preserve"> </w:t>
            </w:r>
            <w:r w:rsidRPr="001D7DBE">
              <w:rPr>
                <w:rFonts w:ascii="Book Antiqua" w:hAnsi="Book Antiqua"/>
              </w:rPr>
              <w:t>Asian/Pacific Island</w:t>
            </w:r>
          </w:p>
        </w:tc>
        <w:tc>
          <w:tcPr>
            <w:tcW w:w="1843" w:type="dxa"/>
            <w:shd w:val="clear" w:color="auto" w:fill="auto"/>
            <w:hideMark/>
          </w:tcPr>
          <w:p w14:paraId="01F36E6D" w14:textId="178ECBF7" w:rsidR="00067CB1" w:rsidRPr="001D7DBE" w:rsidRDefault="00067CB1" w:rsidP="001D7DBE">
            <w:pPr>
              <w:spacing w:line="360" w:lineRule="auto"/>
              <w:jc w:val="both"/>
              <w:rPr>
                <w:rFonts w:ascii="Book Antiqua" w:hAnsi="Book Antiqua"/>
              </w:rPr>
            </w:pPr>
            <w:r w:rsidRPr="001D7DBE">
              <w:rPr>
                <w:rFonts w:ascii="Book Antiqua" w:hAnsi="Book Antiqua"/>
              </w:rPr>
              <w:t>1.00</w:t>
            </w:r>
          </w:p>
        </w:tc>
        <w:tc>
          <w:tcPr>
            <w:tcW w:w="1843" w:type="dxa"/>
            <w:shd w:val="clear" w:color="auto" w:fill="auto"/>
            <w:hideMark/>
          </w:tcPr>
          <w:p w14:paraId="72DFEFA3" w14:textId="7A2DCEA0" w:rsidR="00067CB1" w:rsidRPr="001D7DBE" w:rsidRDefault="00067CB1" w:rsidP="001D7DBE">
            <w:pPr>
              <w:spacing w:line="360" w:lineRule="auto"/>
              <w:jc w:val="both"/>
              <w:rPr>
                <w:rFonts w:ascii="Book Antiqua" w:hAnsi="Book Antiqua"/>
              </w:rPr>
            </w:pPr>
            <w:r w:rsidRPr="001D7DBE">
              <w:rPr>
                <w:rFonts w:ascii="Book Antiqua" w:hAnsi="Book Antiqua"/>
              </w:rPr>
              <w:t>1.40</w:t>
            </w:r>
          </w:p>
        </w:tc>
        <w:tc>
          <w:tcPr>
            <w:tcW w:w="1984" w:type="dxa"/>
            <w:shd w:val="clear" w:color="auto" w:fill="auto"/>
            <w:noWrap/>
            <w:vAlign w:val="bottom"/>
            <w:hideMark/>
          </w:tcPr>
          <w:p w14:paraId="13F92838" w14:textId="2888C179"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2EF24FFE" w14:textId="77777777" w:rsidTr="00751AB6">
        <w:trPr>
          <w:trHeight w:val="276"/>
        </w:trPr>
        <w:tc>
          <w:tcPr>
            <w:tcW w:w="3397" w:type="dxa"/>
            <w:shd w:val="clear" w:color="auto" w:fill="auto"/>
            <w:hideMark/>
          </w:tcPr>
          <w:p w14:paraId="1089DD5F" w14:textId="1D79BD08" w:rsidR="00067CB1" w:rsidRPr="001D7DBE" w:rsidRDefault="00067CB1" w:rsidP="001D7DBE">
            <w:pPr>
              <w:spacing w:line="360" w:lineRule="auto"/>
              <w:jc w:val="both"/>
              <w:rPr>
                <w:rFonts w:ascii="Book Antiqua" w:hAnsi="Book Antiqua"/>
              </w:rPr>
            </w:pPr>
            <w:r w:rsidRPr="001D7DBE">
              <w:rPr>
                <w:rFonts w:ascii="Book Antiqua" w:hAnsi="Book Antiqua"/>
              </w:rPr>
              <w:t>5:</w:t>
            </w:r>
            <w:r w:rsidR="00751AB6" w:rsidRPr="001D7DBE">
              <w:rPr>
                <w:rFonts w:ascii="Book Antiqua" w:hAnsi="Book Antiqua"/>
              </w:rPr>
              <w:t xml:space="preserve"> </w:t>
            </w:r>
            <w:r w:rsidRPr="001D7DBE">
              <w:rPr>
                <w:rFonts w:ascii="Book Antiqua" w:hAnsi="Book Antiqua"/>
              </w:rPr>
              <w:t>Native American</w:t>
            </w:r>
          </w:p>
        </w:tc>
        <w:tc>
          <w:tcPr>
            <w:tcW w:w="1843" w:type="dxa"/>
            <w:shd w:val="clear" w:color="auto" w:fill="auto"/>
            <w:hideMark/>
          </w:tcPr>
          <w:p w14:paraId="13FE4A86" w14:textId="4183704D" w:rsidR="00067CB1" w:rsidRPr="001D7DBE" w:rsidRDefault="00067CB1" w:rsidP="001D7DBE">
            <w:pPr>
              <w:spacing w:line="360" w:lineRule="auto"/>
              <w:jc w:val="both"/>
              <w:rPr>
                <w:rFonts w:ascii="Book Antiqua" w:hAnsi="Book Antiqua"/>
              </w:rPr>
            </w:pPr>
            <w:r w:rsidRPr="001D7DBE">
              <w:rPr>
                <w:rFonts w:ascii="Book Antiqua" w:hAnsi="Book Antiqua"/>
              </w:rPr>
              <w:t>0.40</w:t>
            </w:r>
          </w:p>
        </w:tc>
        <w:tc>
          <w:tcPr>
            <w:tcW w:w="1843" w:type="dxa"/>
            <w:shd w:val="clear" w:color="auto" w:fill="auto"/>
            <w:hideMark/>
          </w:tcPr>
          <w:p w14:paraId="1D7DB552" w14:textId="245A2357" w:rsidR="00067CB1" w:rsidRPr="001D7DBE" w:rsidRDefault="00067CB1" w:rsidP="001D7DBE">
            <w:pPr>
              <w:spacing w:line="360" w:lineRule="auto"/>
              <w:jc w:val="both"/>
              <w:rPr>
                <w:rFonts w:ascii="Book Antiqua" w:hAnsi="Book Antiqua"/>
              </w:rPr>
            </w:pPr>
            <w:r w:rsidRPr="001D7DBE">
              <w:rPr>
                <w:rFonts w:ascii="Book Antiqua" w:hAnsi="Book Antiqua"/>
              </w:rPr>
              <w:t>0.40</w:t>
            </w:r>
          </w:p>
        </w:tc>
        <w:tc>
          <w:tcPr>
            <w:tcW w:w="1984" w:type="dxa"/>
            <w:shd w:val="clear" w:color="auto" w:fill="auto"/>
            <w:noWrap/>
            <w:vAlign w:val="bottom"/>
            <w:hideMark/>
          </w:tcPr>
          <w:p w14:paraId="7AA1DEEE" w14:textId="30912A7E"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4622CEF8" w14:textId="77777777" w:rsidTr="00751AB6">
        <w:trPr>
          <w:trHeight w:val="276"/>
        </w:trPr>
        <w:tc>
          <w:tcPr>
            <w:tcW w:w="3397" w:type="dxa"/>
            <w:shd w:val="clear" w:color="auto" w:fill="auto"/>
            <w:hideMark/>
          </w:tcPr>
          <w:p w14:paraId="20F37CBF" w14:textId="77777777" w:rsidR="00067CB1" w:rsidRPr="001D7DBE" w:rsidRDefault="00067CB1" w:rsidP="001D7DBE">
            <w:pPr>
              <w:spacing w:line="360" w:lineRule="auto"/>
              <w:jc w:val="both"/>
              <w:rPr>
                <w:rFonts w:ascii="Book Antiqua" w:hAnsi="Book Antiqua"/>
              </w:rPr>
            </w:pPr>
            <w:r w:rsidRPr="001D7DBE">
              <w:rPr>
                <w:rFonts w:ascii="Book Antiqua" w:hAnsi="Book Antiqua"/>
              </w:rPr>
              <w:t>6: other</w:t>
            </w:r>
          </w:p>
        </w:tc>
        <w:tc>
          <w:tcPr>
            <w:tcW w:w="1843" w:type="dxa"/>
            <w:shd w:val="clear" w:color="auto" w:fill="auto"/>
            <w:hideMark/>
          </w:tcPr>
          <w:p w14:paraId="38056B14" w14:textId="194CBEE1" w:rsidR="00067CB1" w:rsidRPr="001D7DBE" w:rsidRDefault="00067CB1" w:rsidP="001D7DBE">
            <w:pPr>
              <w:spacing w:line="360" w:lineRule="auto"/>
              <w:jc w:val="both"/>
              <w:rPr>
                <w:rFonts w:ascii="Book Antiqua" w:hAnsi="Book Antiqua"/>
              </w:rPr>
            </w:pPr>
            <w:r w:rsidRPr="001D7DBE">
              <w:rPr>
                <w:rFonts w:ascii="Book Antiqua" w:hAnsi="Book Antiqua"/>
              </w:rPr>
              <w:t>2.20</w:t>
            </w:r>
          </w:p>
        </w:tc>
        <w:tc>
          <w:tcPr>
            <w:tcW w:w="1843" w:type="dxa"/>
            <w:shd w:val="clear" w:color="auto" w:fill="auto"/>
            <w:hideMark/>
          </w:tcPr>
          <w:p w14:paraId="42E9A0E1" w14:textId="6037B39F" w:rsidR="00067CB1" w:rsidRPr="001D7DBE" w:rsidRDefault="00067CB1" w:rsidP="001D7DBE">
            <w:pPr>
              <w:spacing w:line="360" w:lineRule="auto"/>
              <w:jc w:val="both"/>
              <w:rPr>
                <w:rFonts w:ascii="Book Antiqua" w:hAnsi="Book Antiqua"/>
              </w:rPr>
            </w:pPr>
            <w:r w:rsidRPr="001D7DBE">
              <w:rPr>
                <w:rFonts w:ascii="Book Antiqua" w:hAnsi="Book Antiqua"/>
              </w:rPr>
              <w:t>1.80</w:t>
            </w:r>
          </w:p>
        </w:tc>
        <w:tc>
          <w:tcPr>
            <w:tcW w:w="1984" w:type="dxa"/>
            <w:shd w:val="clear" w:color="auto" w:fill="auto"/>
            <w:noWrap/>
            <w:vAlign w:val="bottom"/>
            <w:hideMark/>
          </w:tcPr>
          <w:p w14:paraId="17CD9D93" w14:textId="4C17E855"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72713675" w14:textId="77777777" w:rsidTr="00751AB6">
        <w:trPr>
          <w:trHeight w:val="276"/>
        </w:trPr>
        <w:tc>
          <w:tcPr>
            <w:tcW w:w="3397" w:type="dxa"/>
            <w:shd w:val="clear" w:color="auto" w:fill="auto"/>
            <w:hideMark/>
          </w:tcPr>
          <w:p w14:paraId="406ACD45" w14:textId="77777777" w:rsidR="00067CB1" w:rsidRPr="001D7DBE" w:rsidRDefault="00067CB1" w:rsidP="001D7DBE">
            <w:pPr>
              <w:spacing w:line="360" w:lineRule="auto"/>
              <w:jc w:val="both"/>
              <w:rPr>
                <w:rFonts w:ascii="Book Antiqua" w:hAnsi="Book Antiqua"/>
              </w:rPr>
            </w:pPr>
            <w:r w:rsidRPr="001D7DBE">
              <w:rPr>
                <w:rFonts w:ascii="Book Antiqua" w:hAnsi="Book Antiqua"/>
              </w:rPr>
              <w:t>Hospital Type</w:t>
            </w:r>
          </w:p>
        </w:tc>
        <w:tc>
          <w:tcPr>
            <w:tcW w:w="1843" w:type="dxa"/>
            <w:shd w:val="clear" w:color="auto" w:fill="auto"/>
            <w:hideMark/>
          </w:tcPr>
          <w:p w14:paraId="5C51AD5A"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44743501"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noWrap/>
            <w:vAlign w:val="bottom"/>
            <w:hideMark/>
          </w:tcPr>
          <w:p w14:paraId="39224300"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60AE641F" w14:textId="77777777" w:rsidTr="00751AB6">
        <w:trPr>
          <w:trHeight w:val="276"/>
        </w:trPr>
        <w:tc>
          <w:tcPr>
            <w:tcW w:w="3397" w:type="dxa"/>
            <w:shd w:val="clear" w:color="auto" w:fill="auto"/>
            <w:hideMark/>
          </w:tcPr>
          <w:p w14:paraId="7C431013" w14:textId="62558F01"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Rural</w:t>
            </w:r>
          </w:p>
        </w:tc>
        <w:tc>
          <w:tcPr>
            <w:tcW w:w="1843" w:type="dxa"/>
            <w:shd w:val="clear" w:color="auto" w:fill="auto"/>
            <w:hideMark/>
          </w:tcPr>
          <w:p w14:paraId="33CCA68F" w14:textId="270794E5" w:rsidR="00067CB1" w:rsidRPr="001D7DBE" w:rsidRDefault="00067CB1" w:rsidP="001D7DBE">
            <w:pPr>
              <w:spacing w:line="360" w:lineRule="auto"/>
              <w:jc w:val="both"/>
              <w:rPr>
                <w:rFonts w:ascii="Book Antiqua" w:hAnsi="Book Antiqua"/>
              </w:rPr>
            </w:pPr>
            <w:r w:rsidRPr="001D7DBE">
              <w:rPr>
                <w:rFonts w:ascii="Book Antiqua" w:hAnsi="Book Antiqua"/>
              </w:rPr>
              <w:t>14.70</w:t>
            </w:r>
          </w:p>
        </w:tc>
        <w:tc>
          <w:tcPr>
            <w:tcW w:w="1843" w:type="dxa"/>
            <w:shd w:val="clear" w:color="auto" w:fill="auto"/>
            <w:hideMark/>
          </w:tcPr>
          <w:p w14:paraId="4D1E86F4" w14:textId="305D9B94" w:rsidR="00067CB1" w:rsidRPr="001D7DBE" w:rsidRDefault="00067CB1" w:rsidP="001D7DBE">
            <w:pPr>
              <w:spacing w:line="360" w:lineRule="auto"/>
              <w:jc w:val="both"/>
              <w:rPr>
                <w:rFonts w:ascii="Book Antiqua" w:hAnsi="Book Antiqua"/>
              </w:rPr>
            </w:pPr>
            <w:r w:rsidRPr="001D7DBE">
              <w:rPr>
                <w:rFonts w:ascii="Book Antiqua" w:hAnsi="Book Antiqua"/>
              </w:rPr>
              <w:t>16.80</w:t>
            </w:r>
          </w:p>
        </w:tc>
        <w:tc>
          <w:tcPr>
            <w:tcW w:w="1984" w:type="dxa"/>
            <w:shd w:val="clear" w:color="auto" w:fill="auto"/>
            <w:noWrap/>
            <w:vAlign w:val="bottom"/>
            <w:hideMark/>
          </w:tcPr>
          <w:p w14:paraId="272C11AA" w14:textId="4C38E66F"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4E8C0E33" w14:textId="77777777" w:rsidTr="00751AB6">
        <w:trPr>
          <w:trHeight w:val="276"/>
        </w:trPr>
        <w:tc>
          <w:tcPr>
            <w:tcW w:w="3397" w:type="dxa"/>
            <w:shd w:val="clear" w:color="auto" w:fill="auto"/>
            <w:hideMark/>
          </w:tcPr>
          <w:p w14:paraId="1D43F066" w14:textId="075C14EC"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Urban nonteaching</w:t>
            </w:r>
          </w:p>
        </w:tc>
        <w:tc>
          <w:tcPr>
            <w:tcW w:w="1843" w:type="dxa"/>
            <w:shd w:val="clear" w:color="auto" w:fill="auto"/>
            <w:hideMark/>
          </w:tcPr>
          <w:p w14:paraId="526A4B8D" w14:textId="222935D8" w:rsidR="00067CB1" w:rsidRPr="001D7DBE" w:rsidRDefault="00067CB1" w:rsidP="001D7DBE">
            <w:pPr>
              <w:spacing w:line="360" w:lineRule="auto"/>
              <w:jc w:val="both"/>
              <w:rPr>
                <w:rFonts w:ascii="Book Antiqua" w:hAnsi="Book Antiqua"/>
              </w:rPr>
            </w:pPr>
            <w:r w:rsidRPr="001D7DBE">
              <w:rPr>
                <w:rFonts w:ascii="Book Antiqua" w:hAnsi="Book Antiqua"/>
              </w:rPr>
              <w:t>45.90</w:t>
            </w:r>
          </w:p>
        </w:tc>
        <w:tc>
          <w:tcPr>
            <w:tcW w:w="1843" w:type="dxa"/>
            <w:shd w:val="clear" w:color="auto" w:fill="auto"/>
            <w:hideMark/>
          </w:tcPr>
          <w:p w14:paraId="52E13989" w14:textId="25AC9AF3" w:rsidR="00067CB1" w:rsidRPr="001D7DBE" w:rsidRDefault="00067CB1" w:rsidP="001D7DBE">
            <w:pPr>
              <w:spacing w:line="360" w:lineRule="auto"/>
              <w:jc w:val="both"/>
              <w:rPr>
                <w:rFonts w:ascii="Book Antiqua" w:hAnsi="Book Antiqua"/>
              </w:rPr>
            </w:pPr>
            <w:r w:rsidRPr="001D7DBE">
              <w:rPr>
                <w:rFonts w:ascii="Book Antiqua" w:hAnsi="Book Antiqua"/>
              </w:rPr>
              <w:t>47.90</w:t>
            </w:r>
          </w:p>
        </w:tc>
        <w:tc>
          <w:tcPr>
            <w:tcW w:w="1984" w:type="dxa"/>
            <w:shd w:val="clear" w:color="auto" w:fill="auto"/>
            <w:noWrap/>
            <w:vAlign w:val="bottom"/>
            <w:hideMark/>
          </w:tcPr>
          <w:p w14:paraId="25692A64" w14:textId="3DED1D32"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31E72642" w14:textId="77777777" w:rsidTr="00751AB6">
        <w:trPr>
          <w:trHeight w:val="276"/>
        </w:trPr>
        <w:tc>
          <w:tcPr>
            <w:tcW w:w="3397" w:type="dxa"/>
            <w:shd w:val="clear" w:color="auto" w:fill="auto"/>
            <w:hideMark/>
          </w:tcPr>
          <w:p w14:paraId="6E09AC7E" w14:textId="729B695D"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Urban teaching</w:t>
            </w:r>
          </w:p>
        </w:tc>
        <w:tc>
          <w:tcPr>
            <w:tcW w:w="1843" w:type="dxa"/>
            <w:shd w:val="clear" w:color="auto" w:fill="auto"/>
            <w:hideMark/>
          </w:tcPr>
          <w:p w14:paraId="042B422E" w14:textId="7549D74E" w:rsidR="00067CB1" w:rsidRPr="001D7DBE" w:rsidRDefault="00067CB1" w:rsidP="001D7DBE">
            <w:pPr>
              <w:spacing w:line="360" w:lineRule="auto"/>
              <w:jc w:val="both"/>
              <w:rPr>
                <w:rFonts w:ascii="Book Antiqua" w:hAnsi="Book Antiqua"/>
              </w:rPr>
            </w:pPr>
            <w:r w:rsidRPr="001D7DBE">
              <w:rPr>
                <w:rFonts w:ascii="Book Antiqua" w:hAnsi="Book Antiqua"/>
              </w:rPr>
              <w:t>39.30</w:t>
            </w:r>
          </w:p>
        </w:tc>
        <w:tc>
          <w:tcPr>
            <w:tcW w:w="1843" w:type="dxa"/>
            <w:shd w:val="clear" w:color="auto" w:fill="auto"/>
            <w:hideMark/>
          </w:tcPr>
          <w:p w14:paraId="0A96A17A" w14:textId="2194F762" w:rsidR="00067CB1" w:rsidRPr="001D7DBE" w:rsidRDefault="00067CB1" w:rsidP="001D7DBE">
            <w:pPr>
              <w:spacing w:line="360" w:lineRule="auto"/>
              <w:jc w:val="both"/>
              <w:rPr>
                <w:rFonts w:ascii="Book Antiqua" w:hAnsi="Book Antiqua"/>
              </w:rPr>
            </w:pPr>
            <w:r w:rsidRPr="001D7DBE">
              <w:rPr>
                <w:rFonts w:ascii="Book Antiqua" w:hAnsi="Book Antiqua"/>
              </w:rPr>
              <w:t>35.30</w:t>
            </w:r>
          </w:p>
        </w:tc>
        <w:tc>
          <w:tcPr>
            <w:tcW w:w="1984" w:type="dxa"/>
            <w:shd w:val="clear" w:color="auto" w:fill="auto"/>
            <w:noWrap/>
            <w:vAlign w:val="bottom"/>
            <w:hideMark/>
          </w:tcPr>
          <w:p w14:paraId="4FBD72BA" w14:textId="72C33549"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47E4D61E" w14:textId="77777777" w:rsidTr="00751AB6">
        <w:trPr>
          <w:trHeight w:val="276"/>
        </w:trPr>
        <w:tc>
          <w:tcPr>
            <w:tcW w:w="3397" w:type="dxa"/>
            <w:shd w:val="clear" w:color="auto" w:fill="auto"/>
            <w:hideMark/>
          </w:tcPr>
          <w:p w14:paraId="0BB37FE8" w14:textId="77777777" w:rsidR="00067CB1" w:rsidRPr="001D7DBE" w:rsidRDefault="00067CB1" w:rsidP="001D7DBE">
            <w:pPr>
              <w:spacing w:line="360" w:lineRule="auto"/>
              <w:jc w:val="both"/>
              <w:rPr>
                <w:rFonts w:ascii="Book Antiqua" w:hAnsi="Book Antiqua"/>
              </w:rPr>
            </w:pPr>
            <w:r w:rsidRPr="001D7DBE">
              <w:rPr>
                <w:rFonts w:ascii="Book Antiqua" w:hAnsi="Book Antiqua"/>
              </w:rPr>
              <w:t>Hospital Region</w:t>
            </w:r>
          </w:p>
        </w:tc>
        <w:tc>
          <w:tcPr>
            <w:tcW w:w="1843" w:type="dxa"/>
            <w:shd w:val="clear" w:color="auto" w:fill="auto"/>
            <w:hideMark/>
          </w:tcPr>
          <w:p w14:paraId="003E972A" w14:textId="4B33033B"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7C39DC5A"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noWrap/>
            <w:vAlign w:val="bottom"/>
            <w:hideMark/>
          </w:tcPr>
          <w:p w14:paraId="52C76E71"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371D2328" w14:textId="77777777" w:rsidTr="00751AB6">
        <w:trPr>
          <w:trHeight w:val="276"/>
        </w:trPr>
        <w:tc>
          <w:tcPr>
            <w:tcW w:w="3397" w:type="dxa"/>
            <w:shd w:val="clear" w:color="auto" w:fill="auto"/>
            <w:hideMark/>
          </w:tcPr>
          <w:p w14:paraId="30F71A69" w14:textId="4F260780"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Northeast</w:t>
            </w:r>
          </w:p>
        </w:tc>
        <w:tc>
          <w:tcPr>
            <w:tcW w:w="1843" w:type="dxa"/>
            <w:shd w:val="clear" w:color="auto" w:fill="auto"/>
            <w:hideMark/>
          </w:tcPr>
          <w:p w14:paraId="12BCFC00" w14:textId="3788A32F" w:rsidR="00067CB1" w:rsidRPr="001D7DBE" w:rsidRDefault="00067CB1" w:rsidP="001D7DBE">
            <w:pPr>
              <w:spacing w:line="360" w:lineRule="auto"/>
              <w:jc w:val="both"/>
              <w:rPr>
                <w:rFonts w:ascii="Book Antiqua" w:hAnsi="Book Antiqua"/>
              </w:rPr>
            </w:pPr>
            <w:r w:rsidRPr="001D7DBE">
              <w:rPr>
                <w:rFonts w:ascii="Book Antiqua" w:hAnsi="Book Antiqua"/>
              </w:rPr>
              <w:t>19.40</w:t>
            </w:r>
          </w:p>
        </w:tc>
        <w:tc>
          <w:tcPr>
            <w:tcW w:w="1843" w:type="dxa"/>
            <w:shd w:val="clear" w:color="auto" w:fill="auto"/>
            <w:hideMark/>
          </w:tcPr>
          <w:p w14:paraId="771C34E8" w14:textId="2AC72E09" w:rsidR="00067CB1" w:rsidRPr="001D7DBE" w:rsidRDefault="00067CB1" w:rsidP="001D7DBE">
            <w:pPr>
              <w:spacing w:line="360" w:lineRule="auto"/>
              <w:jc w:val="both"/>
              <w:rPr>
                <w:rFonts w:ascii="Book Antiqua" w:hAnsi="Book Antiqua"/>
              </w:rPr>
            </w:pPr>
            <w:r w:rsidRPr="001D7DBE">
              <w:rPr>
                <w:rFonts w:ascii="Book Antiqua" w:hAnsi="Book Antiqua"/>
              </w:rPr>
              <w:t>19.20</w:t>
            </w:r>
          </w:p>
        </w:tc>
        <w:tc>
          <w:tcPr>
            <w:tcW w:w="1984" w:type="dxa"/>
            <w:shd w:val="clear" w:color="auto" w:fill="auto"/>
            <w:noWrap/>
            <w:vAlign w:val="bottom"/>
            <w:hideMark/>
          </w:tcPr>
          <w:p w14:paraId="1026AF3B" w14:textId="4828BD1D" w:rsidR="00067CB1" w:rsidRPr="001D7DBE" w:rsidRDefault="00B37BA7" w:rsidP="001D7DBE">
            <w:pPr>
              <w:spacing w:line="360" w:lineRule="auto"/>
              <w:jc w:val="both"/>
              <w:rPr>
                <w:rFonts w:ascii="Book Antiqua" w:hAnsi="Book Antiqua"/>
              </w:rPr>
            </w:pPr>
            <w:r w:rsidRPr="001D7DBE">
              <w:rPr>
                <w:rFonts w:ascii="Book Antiqua" w:hAnsi="Book Antiqua"/>
              </w:rPr>
              <w:t>NS</w:t>
            </w:r>
          </w:p>
        </w:tc>
      </w:tr>
      <w:tr w:rsidR="00751AB6" w:rsidRPr="001D7DBE" w14:paraId="7CE2770D" w14:textId="77777777" w:rsidTr="00751AB6">
        <w:trPr>
          <w:trHeight w:val="276"/>
        </w:trPr>
        <w:tc>
          <w:tcPr>
            <w:tcW w:w="3397" w:type="dxa"/>
            <w:shd w:val="clear" w:color="auto" w:fill="auto"/>
            <w:hideMark/>
          </w:tcPr>
          <w:p w14:paraId="73DA7C43" w14:textId="00FA96F1"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Midwest</w:t>
            </w:r>
          </w:p>
        </w:tc>
        <w:tc>
          <w:tcPr>
            <w:tcW w:w="1843" w:type="dxa"/>
            <w:shd w:val="clear" w:color="auto" w:fill="auto"/>
            <w:hideMark/>
          </w:tcPr>
          <w:p w14:paraId="1FDE022A" w14:textId="7B2045DA" w:rsidR="00067CB1" w:rsidRPr="001D7DBE" w:rsidRDefault="00067CB1" w:rsidP="001D7DBE">
            <w:pPr>
              <w:spacing w:line="360" w:lineRule="auto"/>
              <w:jc w:val="both"/>
              <w:rPr>
                <w:rFonts w:ascii="Book Antiqua" w:hAnsi="Book Antiqua"/>
              </w:rPr>
            </w:pPr>
            <w:r w:rsidRPr="001D7DBE">
              <w:rPr>
                <w:rFonts w:ascii="Book Antiqua" w:hAnsi="Book Antiqua"/>
              </w:rPr>
              <w:t>23.10</w:t>
            </w:r>
          </w:p>
        </w:tc>
        <w:tc>
          <w:tcPr>
            <w:tcW w:w="1843" w:type="dxa"/>
            <w:shd w:val="clear" w:color="auto" w:fill="auto"/>
            <w:hideMark/>
          </w:tcPr>
          <w:p w14:paraId="2305C76C" w14:textId="3ACDA137" w:rsidR="00067CB1" w:rsidRPr="001D7DBE" w:rsidRDefault="00067CB1" w:rsidP="001D7DBE">
            <w:pPr>
              <w:spacing w:line="360" w:lineRule="auto"/>
              <w:jc w:val="both"/>
              <w:rPr>
                <w:rFonts w:ascii="Book Antiqua" w:hAnsi="Book Antiqua"/>
              </w:rPr>
            </w:pPr>
            <w:r w:rsidRPr="001D7DBE">
              <w:rPr>
                <w:rFonts w:ascii="Book Antiqua" w:hAnsi="Book Antiqua"/>
              </w:rPr>
              <w:t>23.60</w:t>
            </w:r>
          </w:p>
        </w:tc>
        <w:tc>
          <w:tcPr>
            <w:tcW w:w="1984" w:type="dxa"/>
            <w:shd w:val="clear" w:color="auto" w:fill="auto"/>
            <w:noWrap/>
            <w:vAlign w:val="bottom"/>
            <w:hideMark/>
          </w:tcPr>
          <w:p w14:paraId="2FC03C9F" w14:textId="71AB800A" w:rsidR="00067CB1" w:rsidRPr="001D7DBE" w:rsidRDefault="00B37BA7" w:rsidP="001D7DBE">
            <w:pPr>
              <w:spacing w:line="360" w:lineRule="auto"/>
              <w:jc w:val="both"/>
              <w:rPr>
                <w:rFonts w:ascii="Book Antiqua" w:hAnsi="Book Antiqua"/>
              </w:rPr>
            </w:pPr>
            <w:r w:rsidRPr="001D7DBE">
              <w:rPr>
                <w:rFonts w:ascii="Book Antiqua" w:hAnsi="Book Antiqua"/>
              </w:rPr>
              <w:t>NS</w:t>
            </w:r>
          </w:p>
        </w:tc>
      </w:tr>
      <w:tr w:rsidR="00751AB6" w:rsidRPr="001D7DBE" w14:paraId="6F6ABDC1" w14:textId="77777777" w:rsidTr="00751AB6">
        <w:trPr>
          <w:trHeight w:val="276"/>
        </w:trPr>
        <w:tc>
          <w:tcPr>
            <w:tcW w:w="3397" w:type="dxa"/>
            <w:shd w:val="clear" w:color="auto" w:fill="auto"/>
            <w:hideMark/>
          </w:tcPr>
          <w:p w14:paraId="16FE1F04" w14:textId="287D3C12"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South</w:t>
            </w:r>
          </w:p>
        </w:tc>
        <w:tc>
          <w:tcPr>
            <w:tcW w:w="1843" w:type="dxa"/>
            <w:shd w:val="clear" w:color="auto" w:fill="auto"/>
            <w:hideMark/>
          </w:tcPr>
          <w:p w14:paraId="2DF8A882" w14:textId="3AE6B79D" w:rsidR="00067CB1" w:rsidRPr="001D7DBE" w:rsidRDefault="00067CB1" w:rsidP="001D7DBE">
            <w:pPr>
              <w:spacing w:line="360" w:lineRule="auto"/>
              <w:jc w:val="both"/>
              <w:rPr>
                <w:rFonts w:ascii="Book Antiqua" w:hAnsi="Book Antiqua"/>
              </w:rPr>
            </w:pPr>
            <w:r w:rsidRPr="001D7DBE">
              <w:rPr>
                <w:rFonts w:ascii="Book Antiqua" w:hAnsi="Book Antiqua"/>
              </w:rPr>
              <w:t>41.60</w:t>
            </w:r>
          </w:p>
        </w:tc>
        <w:tc>
          <w:tcPr>
            <w:tcW w:w="1843" w:type="dxa"/>
            <w:shd w:val="clear" w:color="auto" w:fill="auto"/>
            <w:hideMark/>
          </w:tcPr>
          <w:p w14:paraId="376544B7" w14:textId="15C2DFB5" w:rsidR="00067CB1" w:rsidRPr="001D7DBE" w:rsidRDefault="00067CB1" w:rsidP="001D7DBE">
            <w:pPr>
              <w:spacing w:line="360" w:lineRule="auto"/>
              <w:jc w:val="both"/>
              <w:rPr>
                <w:rFonts w:ascii="Book Antiqua" w:hAnsi="Book Antiqua"/>
              </w:rPr>
            </w:pPr>
            <w:r w:rsidRPr="001D7DBE">
              <w:rPr>
                <w:rFonts w:ascii="Book Antiqua" w:hAnsi="Book Antiqua"/>
              </w:rPr>
              <w:t>38.50</w:t>
            </w:r>
          </w:p>
        </w:tc>
        <w:tc>
          <w:tcPr>
            <w:tcW w:w="1984" w:type="dxa"/>
            <w:shd w:val="clear" w:color="auto" w:fill="auto"/>
            <w:noWrap/>
            <w:vAlign w:val="bottom"/>
            <w:hideMark/>
          </w:tcPr>
          <w:p w14:paraId="4309F0E1" w14:textId="4C85DE15"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152820C2" w14:textId="77777777" w:rsidTr="00751AB6">
        <w:trPr>
          <w:trHeight w:val="276"/>
        </w:trPr>
        <w:tc>
          <w:tcPr>
            <w:tcW w:w="3397" w:type="dxa"/>
            <w:shd w:val="clear" w:color="auto" w:fill="auto"/>
            <w:hideMark/>
          </w:tcPr>
          <w:p w14:paraId="6CFE8308" w14:textId="677651EF" w:rsidR="00067CB1" w:rsidRPr="001D7DBE" w:rsidRDefault="00067CB1" w:rsidP="001D7DBE">
            <w:pPr>
              <w:spacing w:line="360" w:lineRule="auto"/>
              <w:jc w:val="both"/>
              <w:rPr>
                <w:rFonts w:ascii="Book Antiqua" w:hAnsi="Book Antiqua"/>
              </w:rPr>
            </w:pPr>
            <w:r w:rsidRPr="001D7DBE">
              <w:rPr>
                <w:rFonts w:ascii="Book Antiqua" w:hAnsi="Book Antiqua"/>
              </w:rPr>
              <w:t>4:</w:t>
            </w:r>
            <w:r w:rsidR="00751AB6" w:rsidRPr="001D7DBE">
              <w:rPr>
                <w:rFonts w:ascii="Book Antiqua" w:hAnsi="Book Antiqua"/>
              </w:rPr>
              <w:t xml:space="preserve"> </w:t>
            </w:r>
            <w:r w:rsidRPr="001D7DBE">
              <w:rPr>
                <w:rFonts w:ascii="Book Antiqua" w:hAnsi="Book Antiqua"/>
              </w:rPr>
              <w:t>West</w:t>
            </w:r>
          </w:p>
        </w:tc>
        <w:tc>
          <w:tcPr>
            <w:tcW w:w="1843" w:type="dxa"/>
            <w:shd w:val="clear" w:color="auto" w:fill="auto"/>
            <w:hideMark/>
          </w:tcPr>
          <w:p w14:paraId="7AF5B5BA" w14:textId="7BAC491F" w:rsidR="00067CB1" w:rsidRPr="001D7DBE" w:rsidRDefault="00067CB1" w:rsidP="001D7DBE">
            <w:pPr>
              <w:spacing w:line="360" w:lineRule="auto"/>
              <w:jc w:val="both"/>
              <w:rPr>
                <w:rFonts w:ascii="Book Antiqua" w:hAnsi="Book Antiqua"/>
              </w:rPr>
            </w:pPr>
            <w:r w:rsidRPr="001D7DBE">
              <w:rPr>
                <w:rFonts w:ascii="Book Antiqua" w:hAnsi="Book Antiqua"/>
              </w:rPr>
              <w:t>15.90</w:t>
            </w:r>
          </w:p>
        </w:tc>
        <w:tc>
          <w:tcPr>
            <w:tcW w:w="1843" w:type="dxa"/>
            <w:shd w:val="clear" w:color="auto" w:fill="auto"/>
            <w:hideMark/>
          </w:tcPr>
          <w:p w14:paraId="3F498918" w14:textId="4FC0251E" w:rsidR="00067CB1" w:rsidRPr="001D7DBE" w:rsidRDefault="00067CB1" w:rsidP="001D7DBE">
            <w:pPr>
              <w:spacing w:line="360" w:lineRule="auto"/>
              <w:jc w:val="both"/>
              <w:rPr>
                <w:rFonts w:ascii="Book Antiqua" w:hAnsi="Book Antiqua"/>
              </w:rPr>
            </w:pPr>
            <w:r w:rsidRPr="001D7DBE">
              <w:rPr>
                <w:rFonts w:ascii="Book Antiqua" w:hAnsi="Book Antiqua"/>
              </w:rPr>
              <w:t>18.70</w:t>
            </w:r>
          </w:p>
        </w:tc>
        <w:tc>
          <w:tcPr>
            <w:tcW w:w="1984" w:type="dxa"/>
            <w:shd w:val="clear" w:color="auto" w:fill="auto"/>
            <w:noWrap/>
            <w:vAlign w:val="bottom"/>
            <w:hideMark/>
          </w:tcPr>
          <w:p w14:paraId="031D468C" w14:textId="46A59A14"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24D6F25A" w14:textId="77777777" w:rsidTr="00751AB6">
        <w:trPr>
          <w:trHeight w:val="276"/>
        </w:trPr>
        <w:tc>
          <w:tcPr>
            <w:tcW w:w="3397" w:type="dxa"/>
            <w:shd w:val="clear" w:color="auto" w:fill="auto"/>
            <w:hideMark/>
          </w:tcPr>
          <w:p w14:paraId="3F7D7949" w14:textId="77777777" w:rsidR="00067CB1" w:rsidRPr="001D7DBE" w:rsidRDefault="00067CB1" w:rsidP="001D7DBE">
            <w:pPr>
              <w:spacing w:line="360" w:lineRule="auto"/>
              <w:jc w:val="both"/>
              <w:rPr>
                <w:rFonts w:ascii="Book Antiqua" w:hAnsi="Book Antiqua"/>
              </w:rPr>
            </w:pPr>
            <w:r w:rsidRPr="001D7DBE">
              <w:rPr>
                <w:rFonts w:ascii="Book Antiqua" w:hAnsi="Book Antiqua"/>
              </w:rPr>
              <w:t>Payer Type</w:t>
            </w:r>
          </w:p>
        </w:tc>
        <w:tc>
          <w:tcPr>
            <w:tcW w:w="1843" w:type="dxa"/>
            <w:shd w:val="clear" w:color="auto" w:fill="auto"/>
            <w:hideMark/>
          </w:tcPr>
          <w:p w14:paraId="4BA2C8F3"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3F03ED8A"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noWrap/>
            <w:vAlign w:val="bottom"/>
            <w:hideMark/>
          </w:tcPr>
          <w:p w14:paraId="14BCAA1E"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2A49A368" w14:textId="77777777" w:rsidTr="00751AB6">
        <w:trPr>
          <w:trHeight w:val="276"/>
        </w:trPr>
        <w:tc>
          <w:tcPr>
            <w:tcW w:w="3397" w:type="dxa"/>
            <w:shd w:val="clear" w:color="auto" w:fill="auto"/>
            <w:hideMark/>
          </w:tcPr>
          <w:p w14:paraId="651C3C09" w14:textId="41322989"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Medicare</w:t>
            </w:r>
          </w:p>
        </w:tc>
        <w:tc>
          <w:tcPr>
            <w:tcW w:w="1843" w:type="dxa"/>
            <w:shd w:val="clear" w:color="auto" w:fill="auto"/>
            <w:hideMark/>
          </w:tcPr>
          <w:p w14:paraId="07382134" w14:textId="2B0D5768" w:rsidR="00067CB1" w:rsidRPr="001D7DBE" w:rsidRDefault="00067CB1" w:rsidP="001D7DBE">
            <w:pPr>
              <w:spacing w:line="360" w:lineRule="auto"/>
              <w:jc w:val="both"/>
              <w:rPr>
                <w:rFonts w:ascii="Book Antiqua" w:hAnsi="Book Antiqua"/>
              </w:rPr>
            </w:pPr>
            <w:r w:rsidRPr="001D7DBE">
              <w:rPr>
                <w:rFonts w:ascii="Book Antiqua" w:hAnsi="Book Antiqua"/>
              </w:rPr>
              <w:t>74.90</w:t>
            </w:r>
          </w:p>
        </w:tc>
        <w:tc>
          <w:tcPr>
            <w:tcW w:w="1843" w:type="dxa"/>
            <w:shd w:val="clear" w:color="auto" w:fill="auto"/>
            <w:hideMark/>
          </w:tcPr>
          <w:p w14:paraId="0F5E8C01" w14:textId="7E084127" w:rsidR="00067CB1" w:rsidRPr="001D7DBE" w:rsidRDefault="00067CB1" w:rsidP="001D7DBE">
            <w:pPr>
              <w:spacing w:line="360" w:lineRule="auto"/>
              <w:jc w:val="both"/>
              <w:rPr>
                <w:rFonts w:ascii="Book Antiqua" w:hAnsi="Book Antiqua"/>
              </w:rPr>
            </w:pPr>
            <w:r w:rsidRPr="001D7DBE">
              <w:rPr>
                <w:rFonts w:ascii="Book Antiqua" w:hAnsi="Book Antiqua"/>
              </w:rPr>
              <w:t>88.50</w:t>
            </w:r>
          </w:p>
        </w:tc>
        <w:tc>
          <w:tcPr>
            <w:tcW w:w="1984" w:type="dxa"/>
            <w:shd w:val="clear" w:color="auto" w:fill="auto"/>
            <w:noWrap/>
            <w:vAlign w:val="bottom"/>
            <w:hideMark/>
          </w:tcPr>
          <w:p w14:paraId="392DBA1C" w14:textId="5A14D1EC"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195A4320" w14:textId="77777777" w:rsidTr="00751AB6">
        <w:trPr>
          <w:trHeight w:val="276"/>
        </w:trPr>
        <w:tc>
          <w:tcPr>
            <w:tcW w:w="3397" w:type="dxa"/>
            <w:shd w:val="clear" w:color="auto" w:fill="auto"/>
            <w:hideMark/>
          </w:tcPr>
          <w:p w14:paraId="660EA173" w14:textId="3C70378C"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Medicaid</w:t>
            </w:r>
          </w:p>
        </w:tc>
        <w:tc>
          <w:tcPr>
            <w:tcW w:w="1843" w:type="dxa"/>
            <w:shd w:val="clear" w:color="auto" w:fill="auto"/>
            <w:hideMark/>
          </w:tcPr>
          <w:p w14:paraId="5A549C5B" w14:textId="40CF368D" w:rsidR="00067CB1" w:rsidRPr="001D7DBE" w:rsidRDefault="00067CB1" w:rsidP="001D7DBE">
            <w:pPr>
              <w:spacing w:line="360" w:lineRule="auto"/>
              <w:jc w:val="both"/>
              <w:rPr>
                <w:rFonts w:ascii="Book Antiqua" w:hAnsi="Book Antiqua"/>
              </w:rPr>
            </w:pPr>
            <w:r w:rsidRPr="001D7DBE">
              <w:rPr>
                <w:rFonts w:ascii="Book Antiqua" w:hAnsi="Book Antiqua"/>
              </w:rPr>
              <w:t>2.70</w:t>
            </w:r>
          </w:p>
        </w:tc>
        <w:tc>
          <w:tcPr>
            <w:tcW w:w="1843" w:type="dxa"/>
            <w:shd w:val="clear" w:color="auto" w:fill="auto"/>
            <w:hideMark/>
          </w:tcPr>
          <w:p w14:paraId="7AFF3841" w14:textId="4989C31A" w:rsidR="00067CB1" w:rsidRPr="001D7DBE" w:rsidRDefault="00067CB1" w:rsidP="001D7DBE">
            <w:pPr>
              <w:spacing w:line="360" w:lineRule="auto"/>
              <w:jc w:val="both"/>
              <w:rPr>
                <w:rFonts w:ascii="Book Antiqua" w:hAnsi="Book Antiqua"/>
              </w:rPr>
            </w:pPr>
            <w:r w:rsidRPr="001D7DBE">
              <w:rPr>
                <w:rFonts w:ascii="Book Antiqua" w:hAnsi="Book Antiqua"/>
              </w:rPr>
              <w:t>1.80</w:t>
            </w:r>
          </w:p>
        </w:tc>
        <w:tc>
          <w:tcPr>
            <w:tcW w:w="1984" w:type="dxa"/>
            <w:shd w:val="clear" w:color="auto" w:fill="auto"/>
            <w:noWrap/>
            <w:vAlign w:val="bottom"/>
            <w:hideMark/>
          </w:tcPr>
          <w:p w14:paraId="2C1E16B7" w14:textId="6BC630B6"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5B713E6A" w14:textId="77777777" w:rsidTr="00751AB6">
        <w:trPr>
          <w:trHeight w:val="276"/>
        </w:trPr>
        <w:tc>
          <w:tcPr>
            <w:tcW w:w="3397" w:type="dxa"/>
            <w:shd w:val="clear" w:color="auto" w:fill="auto"/>
            <w:hideMark/>
          </w:tcPr>
          <w:p w14:paraId="36CDD188" w14:textId="380FDA57"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Private</w:t>
            </w:r>
          </w:p>
        </w:tc>
        <w:tc>
          <w:tcPr>
            <w:tcW w:w="1843" w:type="dxa"/>
            <w:shd w:val="clear" w:color="auto" w:fill="auto"/>
            <w:hideMark/>
          </w:tcPr>
          <w:p w14:paraId="10EC1D02" w14:textId="272167A4" w:rsidR="00067CB1" w:rsidRPr="001D7DBE" w:rsidRDefault="00067CB1" w:rsidP="001D7DBE">
            <w:pPr>
              <w:spacing w:line="360" w:lineRule="auto"/>
              <w:jc w:val="both"/>
              <w:rPr>
                <w:rFonts w:ascii="Book Antiqua" w:hAnsi="Book Antiqua"/>
              </w:rPr>
            </w:pPr>
            <w:r w:rsidRPr="001D7DBE">
              <w:rPr>
                <w:rFonts w:ascii="Book Antiqua" w:hAnsi="Book Antiqua"/>
              </w:rPr>
              <w:t>17.30</w:t>
            </w:r>
          </w:p>
        </w:tc>
        <w:tc>
          <w:tcPr>
            <w:tcW w:w="1843" w:type="dxa"/>
            <w:shd w:val="clear" w:color="auto" w:fill="auto"/>
            <w:hideMark/>
          </w:tcPr>
          <w:p w14:paraId="4D219DF5" w14:textId="5C129B68" w:rsidR="00067CB1" w:rsidRPr="001D7DBE" w:rsidRDefault="00067CB1" w:rsidP="001D7DBE">
            <w:pPr>
              <w:spacing w:line="360" w:lineRule="auto"/>
              <w:jc w:val="both"/>
              <w:rPr>
                <w:rFonts w:ascii="Book Antiqua" w:hAnsi="Book Antiqua"/>
              </w:rPr>
            </w:pPr>
            <w:r w:rsidRPr="001D7DBE">
              <w:rPr>
                <w:rFonts w:ascii="Book Antiqua" w:hAnsi="Book Antiqua"/>
              </w:rPr>
              <w:t>7.40</w:t>
            </w:r>
          </w:p>
        </w:tc>
        <w:tc>
          <w:tcPr>
            <w:tcW w:w="1984" w:type="dxa"/>
            <w:shd w:val="clear" w:color="auto" w:fill="auto"/>
            <w:noWrap/>
            <w:vAlign w:val="bottom"/>
            <w:hideMark/>
          </w:tcPr>
          <w:p w14:paraId="1DB59DBE" w14:textId="2D479820"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2CFD965F" w14:textId="77777777" w:rsidTr="00751AB6">
        <w:trPr>
          <w:trHeight w:val="276"/>
        </w:trPr>
        <w:tc>
          <w:tcPr>
            <w:tcW w:w="3397" w:type="dxa"/>
            <w:shd w:val="clear" w:color="auto" w:fill="auto"/>
            <w:hideMark/>
          </w:tcPr>
          <w:p w14:paraId="227451C9" w14:textId="53380556" w:rsidR="00067CB1" w:rsidRPr="001D7DBE" w:rsidRDefault="00067CB1" w:rsidP="001D7DBE">
            <w:pPr>
              <w:spacing w:line="360" w:lineRule="auto"/>
              <w:jc w:val="both"/>
              <w:rPr>
                <w:rFonts w:ascii="Book Antiqua" w:hAnsi="Book Antiqua"/>
              </w:rPr>
            </w:pPr>
            <w:r w:rsidRPr="001D7DBE">
              <w:rPr>
                <w:rFonts w:ascii="Book Antiqua" w:hAnsi="Book Antiqua"/>
              </w:rPr>
              <w:t>4:</w:t>
            </w:r>
            <w:r w:rsidR="00751AB6" w:rsidRPr="001D7DBE">
              <w:rPr>
                <w:rFonts w:ascii="Book Antiqua" w:hAnsi="Book Antiqua"/>
              </w:rPr>
              <w:t xml:space="preserve"> </w:t>
            </w:r>
            <w:r w:rsidRPr="001D7DBE">
              <w:rPr>
                <w:rFonts w:ascii="Book Antiqua" w:hAnsi="Book Antiqua"/>
              </w:rPr>
              <w:t>Self-pay</w:t>
            </w:r>
          </w:p>
        </w:tc>
        <w:tc>
          <w:tcPr>
            <w:tcW w:w="1843" w:type="dxa"/>
            <w:shd w:val="clear" w:color="auto" w:fill="auto"/>
            <w:hideMark/>
          </w:tcPr>
          <w:p w14:paraId="6372475C" w14:textId="2B209BEA" w:rsidR="00067CB1" w:rsidRPr="001D7DBE" w:rsidRDefault="00067CB1" w:rsidP="001D7DBE">
            <w:pPr>
              <w:spacing w:line="360" w:lineRule="auto"/>
              <w:jc w:val="both"/>
              <w:rPr>
                <w:rFonts w:ascii="Book Antiqua" w:hAnsi="Book Antiqua"/>
              </w:rPr>
            </w:pPr>
            <w:r w:rsidRPr="001D7DBE">
              <w:rPr>
                <w:rFonts w:ascii="Book Antiqua" w:hAnsi="Book Antiqua"/>
              </w:rPr>
              <w:t>2.00</w:t>
            </w:r>
          </w:p>
        </w:tc>
        <w:tc>
          <w:tcPr>
            <w:tcW w:w="1843" w:type="dxa"/>
            <w:shd w:val="clear" w:color="auto" w:fill="auto"/>
            <w:hideMark/>
          </w:tcPr>
          <w:p w14:paraId="32288F3B" w14:textId="5911CA87" w:rsidR="00067CB1" w:rsidRPr="001D7DBE" w:rsidRDefault="00067CB1" w:rsidP="001D7DBE">
            <w:pPr>
              <w:spacing w:line="360" w:lineRule="auto"/>
              <w:jc w:val="both"/>
              <w:rPr>
                <w:rFonts w:ascii="Book Antiqua" w:hAnsi="Book Antiqua"/>
              </w:rPr>
            </w:pPr>
            <w:r w:rsidRPr="001D7DBE">
              <w:rPr>
                <w:rFonts w:ascii="Book Antiqua" w:hAnsi="Book Antiqua"/>
              </w:rPr>
              <w:t>0.80</w:t>
            </w:r>
          </w:p>
        </w:tc>
        <w:tc>
          <w:tcPr>
            <w:tcW w:w="1984" w:type="dxa"/>
            <w:shd w:val="clear" w:color="auto" w:fill="auto"/>
            <w:noWrap/>
            <w:vAlign w:val="bottom"/>
            <w:hideMark/>
          </w:tcPr>
          <w:p w14:paraId="590B991B" w14:textId="2EA3CD95"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50BEDBCF" w14:textId="77777777" w:rsidTr="00751AB6">
        <w:trPr>
          <w:trHeight w:val="276"/>
        </w:trPr>
        <w:tc>
          <w:tcPr>
            <w:tcW w:w="3397" w:type="dxa"/>
            <w:shd w:val="clear" w:color="auto" w:fill="auto"/>
            <w:hideMark/>
          </w:tcPr>
          <w:p w14:paraId="177E9421" w14:textId="273183E5" w:rsidR="00067CB1" w:rsidRPr="001D7DBE" w:rsidRDefault="00067CB1" w:rsidP="001D7DBE">
            <w:pPr>
              <w:spacing w:line="360" w:lineRule="auto"/>
              <w:jc w:val="both"/>
              <w:rPr>
                <w:rFonts w:ascii="Book Antiqua" w:hAnsi="Book Antiqua"/>
              </w:rPr>
            </w:pPr>
            <w:r w:rsidRPr="001D7DBE">
              <w:rPr>
                <w:rFonts w:ascii="Book Antiqua" w:hAnsi="Book Antiqua"/>
              </w:rPr>
              <w:t>5:</w:t>
            </w:r>
            <w:r w:rsidR="00751AB6" w:rsidRPr="001D7DBE">
              <w:rPr>
                <w:rFonts w:ascii="Book Antiqua" w:hAnsi="Book Antiqua"/>
              </w:rPr>
              <w:t xml:space="preserve"> </w:t>
            </w:r>
            <w:r w:rsidRPr="001D7DBE">
              <w:rPr>
                <w:rFonts w:ascii="Book Antiqua" w:hAnsi="Book Antiqua"/>
              </w:rPr>
              <w:t>No charge</w:t>
            </w:r>
          </w:p>
        </w:tc>
        <w:tc>
          <w:tcPr>
            <w:tcW w:w="1843" w:type="dxa"/>
            <w:shd w:val="clear" w:color="auto" w:fill="auto"/>
            <w:hideMark/>
          </w:tcPr>
          <w:p w14:paraId="6E0572C1" w14:textId="3347068D" w:rsidR="00067CB1" w:rsidRPr="001D7DBE" w:rsidRDefault="00067CB1" w:rsidP="001D7DBE">
            <w:pPr>
              <w:spacing w:line="360" w:lineRule="auto"/>
              <w:jc w:val="both"/>
              <w:rPr>
                <w:rFonts w:ascii="Book Antiqua" w:hAnsi="Book Antiqua"/>
              </w:rPr>
            </w:pPr>
            <w:r w:rsidRPr="001D7DBE">
              <w:rPr>
                <w:rFonts w:ascii="Book Antiqua" w:hAnsi="Book Antiqua"/>
              </w:rPr>
              <w:t>0.30</w:t>
            </w:r>
          </w:p>
        </w:tc>
        <w:tc>
          <w:tcPr>
            <w:tcW w:w="1843" w:type="dxa"/>
            <w:shd w:val="clear" w:color="auto" w:fill="auto"/>
            <w:hideMark/>
          </w:tcPr>
          <w:p w14:paraId="62103BDD" w14:textId="27A05E20" w:rsidR="00067CB1" w:rsidRPr="001D7DBE" w:rsidRDefault="00067CB1" w:rsidP="001D7DBE">
            <w:pPr>
              <w:spacing w:line="360" w:lineRule="auto"/>
              <w:jc w:val="both"/>
              <w:rPr>
                <w:rFonts w:ascii="Book Antiqua" w:hAnsi="Book Antiqua"/>
              </w:rPr>
            </w:pPr>
            <w:r w:rsidRPr="001D7DBE">
              <w:rPr>
                <w:rFonts w:ascii="Book Antiqua" w:hAnsi="Book Antiqua"/>
              </w:rPr>
              <w:t>0.10</w:t>
            </w:r>
          </w:p>
        </w:tc>
        <w:tc>
          <w:tcPr>
            <w:tcW w:w="1984" w:type="dxa"/>
            <w:shd w:val="clear" w:color="auto" w:fill="auto"/>
            <w:noWrap/>
            <w:vAlign w:val="bottom"/>
            <w:hideMark/>
          </w:tcPr>
          <w:p w14:paraId="23D580E7" w14:textId="17CAFE8F"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bl>
    <w:p w14:paraId="34E979D3" w14:textId="1ED8FB3F" w:rsidR="001D7DBE" w:rsidRPr="001D7DBE" w:rsidRDefault="00B37BA7" w:rsidP="001D7DBE">
      <w:pPr>
        <w:spacing w:line="360" w:lineRule="auto"/>
        <w:jc w:val="both"/>
        <w:rPr>
          <w:rFonts w:ascii="Book Antiqua" w:hAnsi="Book Antiqua"/>
          <w:lang w:eastAsia="zh-CN"/>
        </w:rPr>
      </w:pPr>
      <w:r w:rsidRPr="001D7DBE">
        <w:rPr>
          <w:rFonts w:ascii="Book Antiqua" w:hAnsi="Book Antiqua"/>
        </w:rPr>
        <w:t>NS</w:t>
      </w:r>
      <w:r w:rsidR="00067CB1" w:rsidRPr="001D7DBE">
        <w:rPr>
          <w:rFonts w:ascii="Book Antiqua" w:hAnsi="Book Antiqua"/>
        </w:rPr>
        <w:t xml:space="preserve">: </w:t>
      </w:r>
      <w:r w:rsidR="00751AB6" w:rsidRPr="001D7DBE">
        <w:rPr>
          <w:rFonts w:ascii="Book Antiqua" w:hAnsi="Book Antiqua"/>
        </w:rPr>
        <w:t xml:space="preserve">Not </w:t>
      </w:r>
      <w:r w:rsidR="00067CB1" w:rsidRPr="001D7DBE">
        <w:rPr>
          <w:rFonts w:ascii="Book Antiqua" w:hAnsi="Book Antiqua"/>
        </w:rPr>
        <w:t>statistically significant</w:t>
      </w:r>
      <w:r w:rsidR="00751AB6" w:rsidRPr="001D7DBE">
        <w:rPr>
          <w:rFonts w:ascii="Book Antiqua" w:hAnsi="Book Antiqua"/>
        </w:rPr>
        <w:t xml:space="preserve">; THA: </w:t>
      </w:r>
      <w:r w:rsidR="00751AB6" w:rsidRPr="001D7DBE">
        <w:rPr>
          <w:rFonts w:ascii="Book Antiqua" w:hAnsi="Book Antiqua"/>
          <w:highlight w:val="white"/>
          <w:lang w:eastAsia="zh-CN"/>
        </w:rPr>
        <w:t>Total hip arthroplasty</w:t>
      </w:r>
      <w:r w:rsidR="00751AB6" w:rsidRPr="001D7DBE">
        <w:rPr>
          <w:rFonts w:ascii="Book Antiqua" w:hAnsi="Book Antiqua"/>
          <w:lang w:eastAsia="zh-CN"/>
        </w:rPr>
        <w:t>.</w:t>
      </w:r>
    </w:p>
    <w:p w14:paraId="2BDB50D1" w14:textId="77777777" w:rsidR="001D7DBE" w:rsidRPr="001D7DBE" w:rsidRDefault="001D7DBE" w:rsidP="001D7DBE">
      <w:pPr>
        <w:spacing w:line="360" w:lineRule="auto"/>
        <w:jc w:val="both"/>
        <w:rPr>
          <w:rFonts w:ascii="Book Antiqua" w:hAnsi="Book Antiqua"/>
          <w:lang w:eastAsia="zh-CN"/>
        </w:rPr>
      </w:pPr>
      <w:r w:rsidRPr="001D7DBE">
        <w:rPr>
          <w:rFonts w:ascii="Book Antiqua" w:hAnsi="Book Antiqua"/>
          <w:lang w:eastAsia="zh-CN"/>
        </w:rPr>
        <w:br w:type="page"/>
      </w:r>
    </w:p>
    <w:p w14:paraId="295D059A" w14:textId="242FA43C" w:rsidR="00B91B6B" w:rsidRPr="001D7DBE" w:rsidRDefault="001D7DBE" w:rsidP="001D7DBE">
      <w:pPr>
        <w:spacing w:line="360" w:lineRule="auto"/>
        <w:jc w:val="both"/>
        <w:rPr>
          <w:rFonts w:ascii="Book Antiqua" w:hAnsi="Book Antiqua"/>
        </w:rPr>
      </w:pPr>
      <w:r w:rsidRPr="001D7DBE">
        <w:rPr>
          <w:rFonts w:ascii="Book Antiqua" w:hAnsi="Book Antiqua"/>
          <w:noProof/>
          <w:lang w:eastAsia="zh-CN"/>
        </w:rPr>
        <w:lastRenderedPageBreak/>
        <w:drawing>
          <wp:inline distT="0" distB="0" distL="0" distR="0" wp14:anchorId="146A1B0A" wp14:editId="1A9A5703">
            <wp:extent cx="5473700" cy="3048000"/>
            <wp:effectExtent l="0" t="0" r="12700" b="0"/>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4EE8AB-9427-9842-B9B7-9BDBD4D1C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A616DE" w14:textId="54CD3CDB" w:rsidR="001D7DBE" w:rsidRPr="001D7DBE" w:rsidRDefault="001D7DBE" w:rsidP="001D7DBE">
      <w:pPr>
        <w:spacing w:line="360" w:lineRule="auto"/>
        <w:jc w:val="both"/>
        <w:rPr>
          <w:rFonts w:ascii="Book Antiqua" w:hAnsi="Book Antiqua"/>
          <w:lang w:eastAsia="zh-CN"/>
        </w:rPr>
      </w:pPr>
      <w:r w:rsidRPr="001D7DBE">
        <w:rPr>
          <w:rFonts w:ascii="Book Antiqua" w:hAnsi="Book Antiqua"/>
          <w:b/>
          <w:bCs/>
        </w:rPr>
        <w:t>Figure 1 Percentage of hemiarthroplasty and total hip arthroplasty performed for femoral neck fractures between 2005 and 2014.</w:t>
      </w:r>
      <w:r w:rsidRPr="001D7DBE">
        <w:rPr>
          <w:rFonts w:ascii="Book Antiqua" w:hAnsi="Book Antiqua"/>
        </w:rPr>
        <w:t xml:space="preserve"> </w:t>
      </w:r>
      <w:r w:rsidRPr="001D7DBE">
        <w:rPr>
          <w:rFonts w:ascii="Book Antiqua" w:hAnsi="Book Antiqua"/>
          <w:lang w:eastAsia="zh-CN"/>
        </w:rPr>
        <w:t xml:space="preserve">Hemi: </w:t>
      </w:r>
      <w:r w:rsidR="003D1A56">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p w14:paraId="52BC4B57" w14:textId="3827243D" w:rsidR="001D7DBE" w:rsidRPr="001D7DBE" w:rsidRDefault="001D7DBE" w:rsidP="001D7DBE">
      <w:pPr>
        <w:spacing w:line="360" w:lineRule="auto"/>
        <w:jc w:val="both"/>
        <w:rPr>
          <w:rFonts w:ascii="Book Antiqua" w:hAnsi="Book Antiqua"/>
          <w:b/>
          <w:bCs/>
        </w:rPr>
      </w:pPr>
      <w:r w:rsidRPr="001D7DBE">
        <w:rPr>
          <w:rFonts w:ascii="Book Antiqua" w:hAnsi="Book Antiqua"/>
          <w:b/>
          <w:bCs/>
        </w:rPr>
        <w:br w:type="page"/>
      </w:r>
    </w:p>
    <w:p w14:paraId="75082C17" w14:textId="3EF87D5E" w:rsidR="001D7DBE" w:rsidRPr="001D7DBE" w:rsidRDefault="001D7DBE" w:rsidP="001D7DBE">
      <w:pPr>
        <w:spacing w:line="360" w:lineRule="auto"/>
        <w:jc w:val="both"/>
        <w:rPr>
          <w:rFonts w:ascii="Book Antiqua" w:hAnsi="Book Antiqua"/>
        </w:rPr>
      </w:pPr>
      <w:r w:rsidRPr="001D7DBE">
        <w:rPr>
          <w:rFonts w:ascii="Book Antiqua" w:hAnsi="Book Antiqua"/>
          <w:noProof/>
          <w:lang w:eastAsia="zh-CN"/>
        </w:rPr>
        <w:lastRenderedPageBreak/>
        <w:drawing>
          <wp:inline distT="0" distB="0" distL="0" distR="0" wp14:anchorId="25B7069D" wp14:editId="327CD38E">
            <wp:extent cx="5410200" cy="3086100"/>
            <wp:effectExtent l="0" t="0" r="0" b="0"/>
            <wp:docPr id="6" name="图表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465CB7-BDB9-2840-948D-B7E581230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08280F" w14:textId="230EF880" w:rsidR="001D7DBE" w:rsidRPr="001D7DBE" w:rsidRDefault="001D7DBE" w:rsidP="001D7DBE">
      <w:pPr>
        <w:spacing w:line="360" w:lineRule="auto"/>
        <w:jc w:val="both"/>
        <w:rPr>
          <w:rFonts w:ascii="Book Antiqua" w:hAnsi="Book Antiqua"/>
          <w:lang w:eastAsia="zh-CN"/>
        </w:rPr>
      </w:pPr>
      <w:r w:rsidRPr="001D7DBE">
        <w:rPr>
          <w:rFonts w:ascii="Book Antiqua" w:hAnsi="Book Antiqua"/>
          <w:b/>
          <w:bCs/>
        </w:rPr>
        <w:t>Figure 2 Age in years of hemiarthroplasty and total hip arthroplasty patients between 2005 and 2014.</w:t>
      </w:r>
      <w:r w:rsidRPr="001D7DBE">
        <w:rPr>
          <w:rFonts w:ascii="Book Antiqua" w:hAnsi="Book Antiqua"/>
        </w:rPr>
        <w:t xml:space="preserve"> Hemiarthroplasty patients were on average older (81.1 </w:t>
      </w:r>
      <w:r w:rsidR="00B37BA7">
        <w:rPr>
          <w:rFonts w:ascii="Book Antiqua" w:hAnsi="Book Antiqua"/>
        </w:rPr>
        <w:t xml:space="preserve">years </w:t>
      </w:r>
      <w:r w:rsidRPr="001D7DBE">
        <w:rPr>
          <w:rFonts w:ascii="Book Antiqua" w:hAnsi="Book Antiqua"/>
          <w:i/>
          <w:iCs/>
        </w:rPr>
        <w:t>vs</w:t>
      </w:r>
      <w:r w:rsidRPr="001D7DBE">
        <w:rPr>
          <w:rFonts w:ascii="Book Antiqua" w:hAnsi="Book Antiqua"/>
        </w:rPr>
        <w:t xml:space="preserve"> 74.5 years, </w:t>
      </w:r>
      <w:r w:rsidRPr="001D7DBE">
        <w:rPr>
          <w:rFonts w:ascii="Book Antiqua" w:hAnsi="Book Antiqua"/>
          <w:i/>
          <w:iCs/>
          <w:caps/>
        </w:rPr>
        <w:t>p</w:t>
      </w:r>
      <w:r w:rsidRPr="001D7DBE">
        <w:rPr>
          <w:rFonts w:ascii="Book Antiqua" w:hAnsi="Book Antiqua"/>
        </w:rPr>
        <w:t xml:space="preserve"> &lt; 0.001). </w:t>
      </w:r>
      <w:r w:rsidRPr="001D7DBE">
        <w:rPr>
          <w:rFonts w:ascii="Book Antiqua" w:hAnsi="Book Antiqua"/>
          <w:lang w:eastAsia="zh-CN"/>
        </w:rPr>
        <w:t xml:space="preserve">Hemi: </w:t>
      </w:r>
      <w:r w:rsidR="003D1A56">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p w14:paraId="5DEE4D72" w14:textId="0EC83345" w:rsidR="001D7DBE" w:rsidRPr="001D7DBE" w:rsidRDefault="001D7DBE" w:rsidP="001D7DBE">
      <w:pPr>
        <w:spacing w:line="360" w:lineRule="auto"/>
        <w:jc w:val="both"/>
        <w:rPr>
          <w:rFonts w:ascii="Book Antiqua" w:hAnsi="Book Antiqua"/>
          <w:lang w:eastAsia="zh-CN"/>
        </w:rPr>
      </w:pPr>
      <w:r w:rsidRPr="001D7DBE">
        <w:rPr>
          <w:rFonts w:ascii="Book Antiqua" w:hAnsi="Book Antiqua"/>
          <w:lang w:eastAsia="zh-CN"/>
        </w:rPr>
        <w:br w:type="page"/>
      </w:r>
    </w:p>
    <w:p w14:paraId="316391C5" w14:textId="49460244" w:rsidR="001D7DBE" w:rsidRPr="001D7DBE" w:rsidRDefault="001D7DBE" w:rsidP="001D7DBE">
      <w:pPr>
        <w:spacing w:line="360" w:lineRule="auto"/>
        <w:jc w:val="both"/>
        <w:rPr>
          <w:rFonts w:ascii="Book Antiqua" w:hAnsi="Book Antiqua"/>
        </w:rPr>
      </w:pPr>
      <w:r w:rsidRPr="001D7DBE">
        <w:rPr>
          <w:rFonts w:ascii="Book Antiqua" w:hAnsi="Book Antiqua"/>
          <w:noProof/>
          <w:lang w:eastAsia="zh-CN"/>
        </w:rPr>
        <w:lastRenderedPageBreak/>
        <w:drawing>
          <wp:inline distT="0" distB="0" distL="0" distR="0" wp14:anchorId="5EC2F8DD" wp14:editId="6007DBFE">
            <wp:extent cx="5943600" cy="3159760"/>
            <wp:effectExtent l="0" t="0" r="0" b="2540"/>
            <wp:docPr id="7" name="图表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DFC715-421A-4243-8DBF-6303431BB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92196A" w14:textId="7B6FDAC9" w:rsidR="001D7DBE" w:rsidRPr="001D7DBE" w:rsidRDefault="001D7DBE" w:rsidP="001D7DBE">
      <w:pPr>
        <w:spacing w:line="360" w:lineRule="auto"/>
        <w:jc w:val="both"/>
        <w:rPr>
          <w:rFonts w:ascii="Book Antiqua" w:hAnsi="Book Antiqua"/>
        </w:rPr>
      </w:pPr>
      <w:r w:rsidRPr="001D7DBE">
        <w:rPr>
          <w:rFonts w:ascii="Book Antiqua" w:hAnsi="Book Antiqua"/>
          <w:b/>
          <w:bCs/>
        </w:rPr>
        <w:t xml:space="preserve">Figure 3 Percentage of total hip arthroplasty procedures performed for femoral neck fractures by hospital type (urban teaching hospitals, urban non-teaching, rural) between 2005 and 2014. </w:t>
      </w:r>
      <w:r w:rsidRPr="001D7DBE">
        <w:rPr>
          <w:rFonts w:ascii="Book Antiqua" w:hAnsi="Book Antiqua"/>
          <w:highlight w:val="white"/>
          <w:lang w:eastAsia="zh-CN"/>
        </w:rPr>
        <w:t>Total hip arthroplasty</w:t>
      </w:r>
      <w:r w:rsidRPr="001D7DBE">
        <w:rPr>
          <w:rFonts w:ascii="Book Antiqua" w:hAnsi="Book Antiqua"/>
        </w:rPr>
        <w:t xml:space="preserve"> has increased most in urban teaching hospitals (7.9% to 14.7%)</w:t>
      </w:r>
      <w:r>
        <w:rPr>
          <w:rFonts w:ascii="Book Antiqua" w:hAnsi="Book Antiqua"/>
        </w:rPr>
        <w:t>.</w:t>
      </w:r>
    </w:p>
    <w:p w14:paraId="1DD1C897" w14:textId="3FE33837" w:rsidR="001D7DBE" w:rsidRPr="001D7DBE" w:rsidRDefault="001D7DBE" w:rsidP="001D7DBE">
      <w:pPr>
        <w:spacing w:line="360" w:lineRule="auto"/>
        <w:jc w:val="both"/>
        <w:rPr>
          <w:rFonts w:ascii="Book Antiqua" w:hAnsi="Book Antiqua"/>
        </w:rPr>
      </w:pPr>
      <w:r w:rsidRPr="001D7DBE">
        <w:rPr>
          <w:rFonts w:ascii="Book Antiqua" w:hAnsi="Book Antiqua"/>
        </w:rPr>
        <w:br w:type="page"/>
      </w:r>
    </w:p>
    <w:p w14:paraId="0AF06628" w14:textId="77777777" w:rsidR="001D7DBE" w:rsidRPr="001D7DBE" w:rsidRDefault="001D7DBE" w:rsidP="001D7DBE">
      <w:pPr>
        <w:spacing w:line="360" w:lineRule="auto"/>
        <w:jc w:val="both"/>
        <w:rPr>
          <w:rFonts w:ascii="Book Antiqua" w:hAnsi="Book Antiqua"/>
        </w:rPr>
      </w:pPr>
    </w:p>
    <w:p w14:paraId="5B97BDA9" w14:textId="6E1A241C" w:rsidR="001D7DBE" w:rsidRPr="001D7DBE" w:rsidRDefault="001D7DBE" w:rsidP="001D7DBE">
      <w:pPr>
        <w:spacing w:line="360" w:lineRule="auto"/>
        <w:jc w:val="both"/>
        <w:rPr>
          <w:rFonts w:ascii="Book Antiqua" w:hAnsi="Book Antiqua"/>
        </w:rPr>
      </w:pPr>
      <w:r w:rsidRPr="001D7DBE">
        <w:rPr>
          <w:rFonts w:ascii="Book Antiqua" w:hAnsi="Book Antiqua"/>
          <w:noProof/>
          <w:lang w:eastAsia="zh-CN"/>
        </w:rPr>
        <w:drawing>
          <wp:inline distT="0" distB="0" distL="0" distR="0" wp14:anchorId="337DEA8F" wp14:editId="05F55FD5">
            <wp:extent cx="5664200" cy="3200400"/>
            <wp:effectExtent l="0" t="0" r="12700" b="0"/>
            <wp:docPr id="8" name="图表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CF96A8-8AB9-C945-9CDE-3E903FDA2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6DD94E" w14:textId="2889BB5E" w:rsidR="001D7DBE" w:rsidRPr="001D7DBE" w:rsidRDefault="001D7DBE" w:rsidP="001D7DBE">
      <w:pPr>
        <w:spacing w:line="360" w:lineRule="auto"/>
        <w:jc w:val="both"/>
        <w:rPr>
          <w:rFonts w:ascii="Book Antiqua" w:hAnsi="Book Antiqua"/>
          <w:lang w:eastAsia="zh-CN"/>
        </w:rPr>
      </w:pPr>
      <w:r w:rsidRPr="001D7DBE">
        <w:rPr>
          <w:rFonts w:ascii="Book Antiqua" w:hAnsi="Book Antiqua"/>
          <w:b/>
          <w:bCs/>
        </w:rPr>
        <w:t>Figure 4 Length of stay in days of hemiarthroplasty and total hip arthroplasty</w:t>
      </w:r>
      <w:r>
        <w:rPr>
          <w:rFonts w:ascii="Book Antiqua" w:hAnsi="Book Antiqua"/>
          <w:b/>
          <w:bCs/>
        </w:rPr>
        <w:t xml:space="preserve"> </w:t>
      </w:r>
      <w:r w:rsidRPr="001D7DBE">
        <w:rPr>
          <w:rFonts w:ascii="Book Antiqua" w:hAnsi="Book Antiqua"/>
          <w:b/>
          <w:bCs/>
        </w:rPr>
        <w:t>patients between 2005 and 2014.</w:t>
      </w:r>
      <w:r w:rsidRPr="001D7DBE">
        <w:rPr>
          <w:rFonts w:ascii="Book Antiqua" w:hAnsi="Book Antiqua"/>
        </w:rPr>
        <w:t xml:space="preserve"> While the mean length of stay decreased over time for both groups, the rate of decline was significantly greater for the </w:t>
      </w:r>
      <w:r w:rsidRPr="001D7DBE">
        <w:rPr>
          <w:rFonts w:ascii="Book Antiqua" w:hAnsi="Book Antiqua"/>
          <w:highlight w:val="white"/>
          <w:lang w:eastAsia="zh-CN"/>
        </w:rPr>
        <w:t>Total hip arthroplasty</w:t>
      </w:r>
      <w:r w:rsidRPr="001D7DBE">
        <w:rPr>
          <w:rFonts w:ascii="Book Antiqua" w:hAnsi="Book Antiqua"/>
        </w:rPr>
        <w:t xml:space="preserve"> cases</w:t>
      </w:r>
      <w:r>
        <w:rPr>
          <w:rFonts w:ascii="Book Antiqua" w:hAnsi="Book Antiqua"/>
        </w:rPr>
        <w:t>.</w:t>
      </w:r>
      <w:r w:rsidRPr="001D7DBE">
        <w:rPr>
          <w:rFonts w:ascii="Book Antiqua" w:hAnsi="Book Antiqua"/>
          <w:lang w:eastAsia="zh-CN"/>
        </w:rPr>
        <w:t xml:space="preserve"> </w:t>
      </w:r>
      <w:bookmarkStart w:id="358" w:name="OLE_LINK40"/>
      <w:r w:rsidRPr="001D7DBE">
        <w:rPr>
          <w:rFonts w:ascii="Book Antiqua" w:hAnsi="Book Antiqua"/>
          <w:lang w:eastAsia="zh-CN"/>
        </w:rPr>
        <w:t xml:space="preserve">Hemi: </w:t>
      </w:r>
      <w:r w:rsidR="00B37BA7">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bookmarkEnd w:id="358"/>
    <w:p w14:paraId="7BE829F9" w14:textId="67E0BF38" w:rsidR="001D7DBE" w:rsidRDefault="001D7DBE">
      <w:pPr>
        <w:rPr>
          <w:rFonts w:ascii="Book Antiqua" w:hAnsi="Book Antiqua"/>
        </w:rPr>
      </w:pPr>
      <w:r>
        <w:rPr>
          <w:rFonts w:ascii="Book Antiqua" w:hAnsi="Book Antiqua"/>
        </w:rPr>
        <w:br w:type="page"/>
      </w:r>
    </w:p>
    <w:p w14:paraId="3414ACB9" w14:textId="77777777" w:rsidR="001D7DBE" w:rsidRPr="001D7DBE" w:rsidRDefault="001D7DBE" w:rsidP="001D7DBE">
      <w:pPr>
        <w:spacing w:line="360" w:lineRule="auto"/>
        <w:jc w:val="both"/>
        <w:rPr>
          <w:rFonts w:ascii="Book Antiqua" w:hAnsi="Book Antiqua"/>
        </w:rPr>
      </w:pPr>
    </w:p>
    <w:p w14:paraId="582066F2" w14:textId="14275E0C" w:rsidR="001D7DBE" w:rsidRDefault="001D7DBE" w:rsidP="001D7DBE">
      <w:pPr>
        <w:spacing w:line="360" w:lineRule="auto"/>
        <w:jc w:val="both"/>
        <w:rPr>
          <w:rFonts w:ascii="Book Antiqua" w:hAnsi="Book Antiqua"/>
        </w:rPr>
      </w:pPr>
      <w:r w:rsidRPr="001D7DBE">
        <w:rPr>
          <w:rFonts w:ascii="Book Antiqua" w:hAnsi="Book Antiqua"/>
          <w:noProof/>
          <w:lang w:eastAsia="zh-CN"/>
        </w:rPr>
        <w:drawing>
          <wp:inline distT="0" distB="0" distL="0" distR="0" wp14:anchorId="7B4FC8E6" wp14:editId="787380EF">
            <wp:extent cx="5943600" cy="2995295"/>
            <wp:effectExtent l="0" t="0" r="0" b="14605"/>
            <wp:docPr id="9" name="图表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8DE65C-AA62-D54A-99A0-C14877A61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FB0DA" w14:textId="79E515E2" w:rsidR="001D7DBE" w:rsidRPr="001D7DBE" w:rsidRDefault="001D7DBE" w:rsidP="001D7DBE">
      <w:pPr>
        <w:spacing w:line="360" w:lineRule="auto"/>
        <w:jc w:val="both"/>
        <w:rPr>
          <w:rFonts w:ascii="Book Antiqua" w:eastAsia="等线" w:hAnsi="Book Antiqua"/>
          <w:lang w:eastAsia="zh-CN"/>
        </w:rPr>
      </w:pPr>
      <w:r w:rsidRPr="001D7DBE">
        <w:rPr>
          <w:rFonts w:ascii="Book Antiqua" w:hAnsi="Book Antiqua"/>
          <w:b/>
          <w:bCs/>
        </w:rPr>
        <w:t>Figure 5 Mean charges (adjusted to 2014 U</w:t>
      </w:r>
      <w:r>
        <w:rPr>
          <w:rFonts w:ascii="Book Antiqua" w:hAnsi="Book Antiqua"/>
          <w:b/>
          <w:bCs/>
        </w:rPr>
        <w:t xml:space="preserve">nited </w:t>
      </w:r>
      <w:r w:rsidRPr="001D7DBE">
        <w:rPr>
          <w:rFonts w:ascii="Book Antiqua" w:hAnsi="Book Antiqua"/>
          <w:b/>
          <w:bCs/>
        </w:rPr>
        <w:t>S</w:t>
      </w:r>
      <w:r>
        <w:rPr>
          <w:rFonts w:ascii="Book Antiqua" w:hAnsi="Book Antiqua"/>
          <w:b/>
          <w:bCs/>
        </w:rPr>
        <w:t>tates</w:t>
      </w:r>
      <w:r w:rsidRPr="001D7DBE">
        <w:rPr>
          <w:rFonts w:ascii="Book Antiqua" w:hAnsi="Book Antiqua"/>
          <w:b/>
          <w:bCs/>
        </w:rPr>
        <w:t xml:space="preserve"> dollars) for hemiarthroplasty and total hip arthroplasty patients between 2005 and 2014. </w:t>
      </w:r>
      <w:r w:rsidRPr="001D7DBE">
        <w:rPr>
          <w:rFonts w:ascii="Book Antiqua" w:hAnsi="Book Antiqua"/>
        </w:rPr>
        <w:t xml:space="preserve">The mean charges were less for HA ($49866 </w:t>
      </w:r>
      <w:r w:rsidRPr="001D7DBE">
        <w:rPr>
          <w:rFonts w:ascii="Book Antiqua" w:hAnsi="Book Antiqua"/>
          <w:i/>
          <w:iCs/>
        </w:rPr>
        <w:t>vs</w:t>
      </w:r>
      <w:r w:rsidRPr="001D7DBE">
        <w:rPr>
          <w:rFonts w:ascii="Book Antiqua" w:hAnsi="Book Antiqua"/>
        </w:rPr>
        <w:t xml:space="preserve"> $59826, </w:t>
      </w:r>
      <w:r w:rsidRPr="001D7DBE">
        <w:rPr>
          <w:rFonts w:ascii="Book Antiqua" w:hAnsi="Book Antiqua"/>
          <w:i/>
          <w:iCs/>
          <w:caps/>
        </w:rPr>
        <w:t>p</w:t>
      </w:r>
      <w:r>
        <w:rPr>
          <w:rFonts w:ascii="Book Antiqua" w:hAnsi="Book Antiqua"/>
        </w:rPr>
        <w:t xml:space="preserve"> </w:t>
      </w:r>
      <w:r w:rsidRPr="001D7DBE">
        <w:rPr>
          <w:rFonts w:ascii="Book Antiqua" w:hAnsi="Book Antiqua"/>
        </w:rPr>
        <w:t>&lt;</w:t>
      </w:r>
      <w:r>
        <w:rPr>
          <w:rFonts w:ascii="Book Antiqua" w:hAnsi="Book Antiqua"/>
        </w:rPr>
        <w:t xml:space="preserve"> 0</w:t>
      </w:r>
      <w:r w:rsidRPr="001D7DBE">
        <w:rPr>
          <w:rFonts w:ascii="Book Antiqua" w:hAnsi="Book Antiqua"/>
        </w:rPr>
        <w:t xml:space="preserve">.0001), however they increased steadily for both </w:t>
      </w:r>
      <w:r w:rsidRPr="001D7DBE">
        <w:rPr>
          <w:rFonts w:ascii="Book Antiqua" w:eastAsia="Cambria" w:hAnsi="Book Antiqua"/>
        </w:rPr>
        <w:t>groups</w:t>
      </w:r>
      <w:r>
        <w:rPr>
          <w:rFonts w:ascii="Book Antiqua" w:eastAsia="Cambria" w:hAnsi="Book Antiqua"/>
        </w:rPr>
        <w:t>.</w:t>
      </w:r>
      <w:r w:rsidRPr="001D7DBE">
        <w:rPr>
          <w:rFonts w:ascii="Book Antiqua" w:hAnsi="Book Antiqua"/>
          <w:lang w:eastAsia="zh-CN"/>
        </w:rPr>
        <w:t xml:space="preserve"> Hemi: </w:t>
      </w:r>
      <w:r w:rsidR="00B37BA7">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bookmarkEnd w:id="26"/>
    </w:p>
    <w:sectPr w:rsidR="001D7DBE" w:rsidRPr="001D7DBE" w:rsidSect="001C211D">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5E41" w14:textId="77777777" w:rsidR="00B07017" w:rsidRDefault="00B07017">
      <w:r>
        <w:separator/>
      </w:r>
    </w:p>
  </w:endnote>
  <w:endnote w:type="continuationSeparator" w:id="0">
    <w:p w14:paraId="736BC831" w14:textId="77777777" w:rsidR="00B07017" w:rsidRDefault="00B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71AB" w14:textId="77777777" w:rsidR="001A3EF3" w:rsidRDefault="001A3EF3" w:rsidP="001C211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7D5A3BC" w14:textId="77777777" w:rsidR="001A3EF3" w:rsidRDefault="001A3EF3" w:rsidP="001C2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D7E9" w14:textId="77777777" w:rsidR="001A3EF3" w:rsidRDefault="001A3EF3" w:rsidP="001C211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47210">
      <w:rPr>
        <w:rStyle w:val="a4"/>
        <w:noProof/>
      </w:rPr>
      <w:t>5</w:t>
    </w:r>
    <w:r>
      <w:rPr>
        <w:rStyle w:val="a4"/>
      </w:rPr>
      <w:fldChar w:fldCharType="end"/>
    </w:r>
  </w:p>
  <w:p w14:paraId="6449C628" w14:textId="77777777" w:rsidR="001A3EF3" w:rsidRDefault="001A3EF3" w:rsidP="001C2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A463" w14:textId="77777777" w:rsidR="00B07017" w:rsidRDefault="00B07017">
      <w:r>
        <w:separator/>
      </w:r>
    </w:p>
  </w:footnote>
  <w:footnote w:type="continuationSeparator" w:id="0">
    <w:p w14:paraId="5AD77355" w14:textId="77777777" w:rsidR="00B07017" w:rsidRDefault="00B0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37"/>
    <w:rsid w:val="00002E74"/>
    <w:rsid w:val="000120B9"/>
    <w:rsid w:val="00026E29"/>
    <w:rsid w:val="000275E7"/>
    <w:rsid w:val="0003088D"/>
    <w:rsid w:val="00033332"/>
    <w:rsid w:val="00045F1B"/>
    <w:rsid w:val="000633C6"/>
    <w:rsid w:val="00067CB1"/>
    <w:rsid w:val="00097568"/>
    <w:rsid w:val="000B19EB"/>
    <w:rsid w:val="000B4FA4"/>
    <w:rsid w:val="000B74D1"/>
    <w:rsid w:val="000D4B39"/>
    <w:rsid w:val="00123AF1"/>
    <w:rsid w:val="00127EB6"/>
    <w:rsid w:val="001A3EF3"/>
    <w:rsid w:val="001C211D"/>
    <w:rsid w:val="001D7DBE"/>
    <w:rsid w:val="001F0046"/>
    <w:rsid w:val="00223192"/>
    <w:rsid w:val="00231719"/>
    <w:rsid w:val="0024586C"/>
    <w:rsid w:val="002506F2"/>
    <w:rsid w:val="002B472B"/>
    <w:rsid w:val="002E0628"/>
    <w:rsid w:val="002F720A"/>
    <w:rsid w:val="002F7FB1"/>
    <w:rsid w:val="00302357"/>
    <w:rsid w:val="0034551C"/>
    <w:rsid w:val="003575B3"/>
    <w:rsid w:val="00362A73"/>
    <w:rsid w:val="0038781D"/>
    <w:rsid w:val="003964B9"/>
    <w:rsid w:val="00397833"/>
    <w:rsid w:val="003D1A56"/>
    <w:rsid w:val="003E40A9"/>
    <w:rsid w:val="003E6B45"/>
    <w:rsid w:val="00462BC2"/>
    <w:rsid w:val="004A2F94"/>
    <w:rsid w:val="004A303A"/>
    <w:rsid w:val="004D526C"/>
    <w:rsid w:val="004F2A68"/>
    <w:rsid w:val="004F5E16"/>
    <w:rsid w:val="00511D98"/>
    <w:rsid w:val="0055213A"/>
    <w:rsid w:val="005C7C90"/>
    <w:rsid w:val="005D4976"/>
    <w:rsid w:val="005E0A23"/>
    <w:rsid w:val="0060191D"/>
    <w:rsid w:val="00602F9D"/>
    <w:rsid w:val="0063475A"/>
    <w:rsid w:val="0064106C"/>
    <w:rsid w:val="006748E7"/>
    <w:rsid w:val="006B1376"/>
    <w:rsid w:val="006C041C"/>
    <w:rsid w:val="007353E8"/>
    <w:rsid w:val="00747210"/>
    <w:rsid w:val="00751AB6"/>
    <w:rsid w:val="00760F1D"/>
    <w:rsid w:val="00771168"/>
    <w:rsid w:val="00781B89"/>
    <w:rsid w:val="00781D13"/>
    <w:rsid w:val="00787727"/>
    <w:rsid w:val="00795E66"/>
    <w:rsid w:val="007C2EF5"/>
    <w:rsid w:val="007D667E"/>
    <w:rsid w:val="007E2064"/>
    <w:rsid w:val="007E4EB1"/>
    <w:rsid w:val="00804D33"/>
    <w:rsid w:val="0080734B"/>
    <w:rsid w:val="00807AE0"/>
    <w:rsid w:val="008352D0"/>
    <w:rsid w:val="008373FB"/>
    <w:rsid w:val="008743A3"/>
    <w:rsid w:val="008879F7"/>
    <w:rsid w:val="008928C6"/>
    <w:rsid w:val="008A24D2"/>
    <w:rsid w:val="008A3077"/>
    <w:rsid w:val="008A3A3E"/>
    <w:rsid w:val="008C78F5"/>
    <w:rsid w:val="008D3F28"/>
    <w:rsid w:val="008D7386"/>
    <w:rsid w:val="00935AF9"/>
    <w:rsid w:val="009462F2"/>
    <w:rsid w:val="00955C7F"/>
    <w:rsid w:val="00960A64"/>
    <w:rsid w:val="00987B7D"/>
    <w:rsid w:val="009F5685"/>
    <w:rsid w:val="00A23CC0"/>
    <w:rsid w:val="00A45ABB"/>
    <w:rsid w:val="00A5538D"/>
    <w:rsid w:val="00A873C3"/>
    <w:rsid w:val="00AD2A46"/>
    <w:rsid w:val="00AE3CB5"/>
    <w:rsid w:val="00AE748B"/>
    <w:rsid w:val="00AF1CF8"/>
    <w:rsid w:val="00B07017"/>
    <w:rsid w:val="00B271A6"/>
    <w:rsid w:val="00B37BA7"/>
    <w:rsid w:val="00B91B6B"/>
    <w:rsid w:val="00BA5678"/>
    <w:rsid w:val="00BB50F8"/>
    <w:rsid w:val="00BC4BE5"/>
    <w:rsid w:val="00BD7279"/>
    <w:rsid w:val="00C274AD"/>
    <w:rsid w:val="00C32F73"/>
    <w:rsid w:val="00C4111D"/>
    <w:rsid w:val="00C54C70"/>
    <w:rsid w:val="00C55A22"/>
    <w:rsid w:val="00C65646"/>
    <w:rsid w:val="00C70492"/>
    <w:rsid w:val="00C978CF"/>
    <w:rsid w:val="00CC3335"/>
    <w:rsid w:val="00CC46B9"/>
    <w:rsid w:val="00CC4E54"/>
    <w:rsid w:val="00CE08B2"/>
    <w:rsid w:val="00D106E1"/>
    <w:rsid w:val="00D1374B"/>
    <w:rsid w:val="00D22757"/>
    <w:rsid w:val="00D60C06"/>
    <w:rsid w:val="00D65E99"/>
    <w:rsid w:val="00D72391"/>
    <w:rsid w:val="00D87C92"/>
    <w:rsid w:val="00DE1237"/>
    <w:rsid w:val="00DE123D"/>
    <w:rsid w:val="00E3687C"/>
    <w:rsid w:val="00E36EB7"/>
    <w:rsid w:val="00E628D1"/>
    <w:rsid w:val="00E9012C"/>
    <w:rsid w:val="00E9417C"/>
    <w:rsid w:val="00EA35F2"/>
    <w:rsid w:val="00EC36A0"/>
    <w:rsid w:val="00F11185"/>
    <w:rsid w:val="00F5214A"/>
    <w:rsid w:val="00F627F5"/>
    <w:rsid w:val="00F65BEF"/>
    <w:rsid w:val="00F823FF"/>
    <w:rsid w:val="00FB4164"/>
    <w:rsid w:val="00FC1CA7"/>
    <w:rsid w:val="00FC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52C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6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1237"/>
    <w:pPr>
      <w:tabs>
        <w:tab w:val="center" w:pos="4320"/>
        <w:tab w:val="right" w:pos="8640"/>
      </w:tabs>
    </w:pPr>
    <w:rPr>
      <w:rFonts w:eastAsia="宋体" w:cstheme="minorBidi"/>
    </w:rPr>
  </w:style>
  <w:style w:type="character" w:customStyle="1" w:styleId="Char">
    <w:name w:val="页脚 Char"/>
    <w:basedOn w:val="a0"/>
    <w:link w:val="a3"/>
    <w:uiPriority w:val="99"/>
    <w:rsid w:val="00DE1237"/>
    <w:rPr>
      <w:rFonts w:ascii="Times New Roman" w:hAnsi="Times New Roman"/>
    </w:rPr>
  </w:style>
  <w:style w:type="character" w:styleId="a4">
    <w:name w:val="page number"/>
    <w:basedOn w:val="a0"/>
    <w:uiPriority w:val="99"/>
    <w:semiHidden/>
    <w:unhideWhenUsed/>
    <w:rsid w:val="00DE1237"/>
  </w:style>
  <w:style w:type="paragraph" w:styleId="a5">
    <w:name w:val="No Spacing"/>
    <w:uiPriority w:val="1"/>
    <w:qFormat/>
    <w:rsid w:val="00DE1237"/>
    <w:rPr>
      <w:rFonts w:ascii="Times New Roman" w:hAnsi="Times New Roman"/>
    </w:rPr>
  </w:style>
  <w:style w:type="character" w:styleId="a6">
    <w:name w:val="Hyperlink"/>
    <w:basedOn w:val="a0"/>
    <w:uiPriority w:val="99"/>
    <w:unhideWhenUsed/>
    <w:rsid w:val="002506F2"/>
    <w:rPr>
      <w:color w:val="0563C1" w:themeColor="hyperlink"/>
      <w:u w:val="single"/>
    </w:rPr>
  </w:style>
  <w:style w:type="character" w:customStyle="1" w:styleId="UnresolvedMention1">
    <w:name w:val="Unresolved Mention1"/>
    <w:basedOn w:val="a0"/>
    <w:uiPriority w:val="99"/>
    <w:rsid w:val="002506F2"/>
    <w:rPr>
      <w:color w:val="605E5C"/>
      <w:shd w:val="clear" w:color="auto" w:fill="E1DFDD"/>
    </w:rPr>
  </w:style>
  <w:style w:type="paragraph" w:styleId="a7">
    <w:name w:val="Balloon Text"/>
    <w:basedOn w:val="a"/>
    <w:link w:val="Char0"/>
    <w:uiPriority w:val="99"/>
    <w:semiHidden/>
    <w:unhideWhenUsed/>
    <w:rsid w:val="007C2EF5"/>
    <w:rPr>
      <w:rFonts w:ascii="Segoe UI" w:eastAsia="宋体" w:hAnsi="Segoe UI" w:cs="Segoe UI"/>
      <w:sz w:val="18"/>
      <w:szCs w:val="18"/>
    </w:rPr>
  </w:style>
  <w:style w:type="character" w:customStyle="1" w:styleId="Char0">
    <w:name w:val="批注框文本 Char"/>
    <w:basedOn w:val="a0"/>
    <w:link w:val="a7"/>
    <w:uiPriority w:val="99"/>
    <w:semiHidden/>
    <w:rsid w:val="007C2EF5"/>
    <w:rPr>
      <w:rFonts w:ascii="Segoe UI" w:hAnsi="Segoe UI" w:cs="Segoe UI"/>
      <w:sz w:val="18"/>
      <w:szCs w:val="18"/>
    </w:rPr>
  </w:style>
  <w:style w:type="character" w:styleId="a8">
    <w:name w:val="annotation reference"/>
    <w:basedOn w:val="a0"/>
    <w:uiPriority w:val="99"/>
    <w:semiHidden/>
    <w:unhideWhenUsed/>
    <w:rsid w:val="00AD2A46"/>
    <w:rPr>
      <w:sz w:val="16"/>
      <w:szCs w:val="16"/>
    </w:rPr>
  </w:style>
  <w:style w:type="paragraph" w:styleId="a9">
    <w:name w:val="annotation text"/>
    <w:basedOn w:val="a"/>
    <w:link w:val="Char1"/>
    <w:uiPriority w:val="99"/>
    <w:unhideWhenUsed/>
    <w:rsid w:val="00AD2A46"/>
    <w:rPr>
      <w:rFonts w:eastAsia="宋体" w:cstheme="minorBidi"/>
      <w:sz w:val="20"/>
      <w:szCs w:val="20"/>
    </w:rPr>
  </w:style>
  <w:style w:type="character" w:customStyle="1" w:styleId="Char1">
    <w:name w:val="批注文字 Char"/>
    <w:basedOn w:val="a0"/>
    <w:link w:val="a9"/>
    <w:uiPriority w:val="99"/>
    <w:rsid w:val="00AD2A46"/>
    <w:rPr>
      <w:rFonts w:ascii="Times New Roman" w:hAnsi="Times New Roman"/>
      <w:sz w:val="20"/>
      <w:szCs w:val="20"/>
    </w:rPr>
  </w:style>
  <w:style w:type="paragraph" w:styleId="aa">
    <w:name w:val="annotation subject"/>
    <w:basedOn w:val="a9"/>
    <w:next w:val="a9"/>
    <w:link w:val="Char2"/>
    <w:uiPriority w:val="99"/>
    <w:semiHidden/>
    <w:unhideWhenUsed/>
    <w:rsid w:val="00AD2A46"/>
    <w:rPr>
      <w:b/>
      <w:bCs/>
    </w:rPr>
  </w:style>
  <w:style w:type="character" w:customStyle="1" w:styleId="Char2">
    <w:name w:val="批注主题 Char"/>
    <w:basedOn w:val="Char1"/>
    <w:link w:val="aa"/>
    <w:uiPriority w:val="99"/>
    <w:semiHidden/>
    <w:rsid w:val="00AD2A46"/>
    <w:rPr>
      <w:rFonts w:ascii="Times New Roman" w:hAnsi="Times New Roman"/>
      <w:b/>
      <w:bCs/>
      <w:sz w:val="20"/>
      <w:szCs w:val="20"/>
    </w:rPr>
  </w:style>
  <w:style w:type="paragraph" w:customStyle="1" w:styleId="1">
    <w:name w:val="正文1"/>
    <w:uiPriority w:val="99"/>
    <w:rsid w:val="000B4FA4"/>
    <w:pPr>
      <w:spacing w:line="276" w:lineRule="auto"/>
    </w:pPr>
    <w:rPr>
      <w:rFonts w:ascii="Arial" w:hAnsi="Arial" w:cs="Arial"/>
      <w:color w:val="000000"/>
      <w:sz w:val="22"/>
      <w:szCs w:val="20"/>
      <w:lang w:val="pl-PL" w:eastAsia="pl-PL"/>
    </w:rPr>
  </w:style>
  <w:style w:type="paragraph" w:customStyle="1" w:styleId="p1">
    <w:name w:val="p1"/>
    <w:basedOn w:val="a"/>
    <w:rsid w:val="000B4FA4"/>
    <w:rPr>
      <w:rFonts w:ascii="Helvetica" w:eastAsiaTheme="minorEastAsia" w:hAnsi="Helvetica"/>
      <w:sz w:val="18"/>
      <w:szCs w:val="18"/>
      <w:lang w:eastAsia="zh-CN"/>
    </w:rPr>
  </w:style>
  <w:style w:type="character" w:styleId="ab">
    <w:name w:val="Strong"/>
    <w:basedOn w:val="a0"/>
    <w:uiPriority w:val="22"/>
    <w:qFormat/>
    <w:rsid w:val="000B4FA4"/>
    <w:rPr>
      <w:b/>
      <w:bCs/>
    </w:rPr>
  </w:style>
  <w:style w:type="paragraph" w:styleId="ac">
    <w:name w:val="List Paragraph"/>
    <w:basedOn w:val="a"/>
    <w:uiPriority w:val="34"/>
    <w:qFormat/>
    <w:rsid w:val="000B4FA4"/>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ad">
    <w:name w:val="Normal (Web)"/>
    <w:basedOn w:val="a"/>
    <w:uiPriority w:val="99"/>
    <w:unhideWhenUsed/>
    <w:rsid w:val="00C55A22"/>
    <w:pPr>
      <w:spacing w:before="100" w:beforeAutospacing="1" w:after="100" w:afterAutospacing="1"/>
    </w:pPr>
  </w:style>
  <w:style w:type="character" w:styleId="ae">
    <w:name w:val="FollowedHyperlink"/>
    <w:basedOn w:val="a0"/>
    <w:uiPriority w:val="99"/>
    <w:semiHidden/>
    <w:unhideWhenUsed/>
    <w:rsid w:val="00231719"/>
    <w:rPr>
      <w:color w:val="954F72" w:themeColor="followedHyperlink"/>
      <w:u w:val="single"/>
    </w:rPr>
  </w:style>
  <w:style w:type="character" w:customStyle="1" w:styleId="UnresolvedMention">
    <w:name w:val="Unresolved Mention"/>
    <w:basedOn w:val="a0"/>
    <w:uiPriority w:val="99"/>
    <w:semiHidden/>
    <w:unhideWhenUsed/>
    <w:rsid w:val="00960A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6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1237"/>
    <w:pPr>
      <w:tabs>
        <w:tab w:val="center" w:pos="4320"/>
        <w:tab w:val="right" w:pos="8640"/>
      </w:tabs>
    </w:pPr>
    <w:rPr>
      <w:rFonts w:eastAsia="宋体" w:cstheme="minorBidi"/>
    </w:rPr>
  </w:style>
  <w:style w:type="character" w:customStyle="1" w:styleId="Char">
    <w:name w:val="页脚 Char"/>
    <w:basedOn w:val="a0"/>
    <w:link w:val="a3"/>
    <w:uiPriority w:val="99"/>
    <w:rsid w:val="00DE1237"/>
    <w:rPr>
      <w:rFonts w:ascii="Times New Roman" w:hAnsi="Times New Roman"/>
    </w:rPr>
  </w:style>
  <w:style w:type="character" w:styleId="a4">
    <w:name w:val="page number"/>
    <w:basedOn w:val="a0"/>
    <w:uiPriority w:val="99"/>
    <w:semiHidden/>
    <w:unhideWhenUsed/>
    <w:rsid w:val="00DE1237"/>
  </w:style>
  <w:style w:type="paragraph" w:styleId="a5">
    <w:name w:val="No Spacing"/>
    <w:uiPriority w:val="1"/>
    <w:qFormat/>
    <w:rsid w:val="00DE1237"/>
    <w:rPr>
      <w:rFonts w:ascii="Times New Roman" w:hAnsi="Times New Roman"/>
    </w:rPr>
  </w:style>
  <w:style w:type="character" w:styleId="a6">
    <w:name w:val="Hyperlink"/>
    <w:basedOn w:val="a0"/>
    <w:uiPriority w:val="99"/>
    <w:unhideWhenUsed/>
    <w:rsid w:val="002506F2"/>
    <w:rPr>
      <w:color w:val="0563C1" w:themeColor="hyperlink"/>
      <w:u w:val="single"/>
    </w:rPr>
  </w:style>
  <w:style w:type="character" w:customStyle="1" w:styleId="UnresolvedMention1">
    <w:name w:val="Unresolved Mention1"/>
    <w:basedOn w:val="a0"/>
    <w:uiPriority w:val="99"/>
    <w:rsid w:val="002506F2"/>
    <w:rPr>
      <w:color w:val="605E5C"/>
      <w:shd w:val="clear" w:color="auto" w:fill="E1DFDD"/>
    </w:rPr>
  </w:style>
  <w:style w:type="paragraph" w:styleId="a7">
    <w:name w:val="Balloon Text"/>
    <w:basedOn w:val="a"/>
    <w:link w:val="Char0"/>
    <w:uiPriority w:val="99"/>
    <w:semiHidden/>
    <w:unhideWhenUsed/>
    <w:rsid w:val="007C2EF5"/>
    <w:rPr>
      <w:rFonts w:ascii="Segoe UI" w:eastAsia="宋体" w:hAnsi="Segoe UI" w:cs="Segoe UI"/>
      <w:sz w:val="18"/>
      <w:szCs w:val="18"/>
    </w:rPr>
  </w:style>
  <w:style w:type="character" w:customStyle="1" w:styleId="Char0">
    <w:name w:val="批注框文本 Char"/>
    <w:basedOn w:val="a0"/>
    <w:link w:val="a7"/>
    <w:uiPriority w:val="99"/>
    <w:semiHidden/>
    <w:rsid w:val="007C2EF5"/>
    <w:rPr>
      <w:rFonts w:ascii="Segoe UI" w:hAnsi="Segoe UI" w:cs="Segoe UI"/>
      <w:sz w:val="18"/>
      <w:szCs w:val="18"/>
    </w:rPr>
  </w:style>
  <w:style w:type="character" w:styleId="a8">
    <w:name w:val="annotation reference"/>
    <w:basedOn w:val="a0"/>
    <w:uiPriority w:val="99"/>
    <w:semiHidden/>
    <w:unhideWhenUsed/>
    <w:rsid w:val="00AD2A46"/>
    <w:rPr>
      <w:sz w:val="16"/>
      <w:szCs w:val="16"/>
    </w:rPr>
  </w:style>
  <w:style w:type="paragraph" w:styleId="a9">
    <w:name w:val="annotation text"/>
    <w:basedOn w:val="a"/>
    <w:link w:val="Char1"/>
    <w:uiPriority w:val="99"/>
    <w:unhideWhenUsed/>
    <w:rsid w:val="00AD2A46"/>
    <w:rPr>
      <w:rFonts w:eastAsia="宋体" w:cstheme="minorBidi"/>
      <w:sz w:val="20"/>
      <w:szCs w:val="20"/>
    </w:rPr>
  </w:style>
  <w:style w:type="character" w:customStyle="1" w:styleId="Char1">
    <w:name w:val="批注文字 Char"/>
    <w:basedOn w:val="a0"/>
    <w:link w:val="a9"/>
    <w:uiPriority w:val="99"/>
    <w:rsid w:val="00AD2A46"/>
    <w:rPr>
      <w:rFonts w:ascii="Times New Roman" w:hAnsi="Times New Roman"/>
      <w:sz w:val="20"/>
      <w:szCs w:val="20"/>
    </w:rPr>
  </w:style>
  <w:style w:type="paragraph" w:styleId="aa">
    <w:name w:val="annotation subject"/>
    <w:basedOn w:val="a9"/>
    <w:next w:val="a9"/>
    <w:link w:val="Char2"/>
    <w:uiPriority w:val="99"/>
    <w:semiHidden/>
    <w:unhideWhenUsed/>
    <w:rsid w:val="00AD2A46"/>
    <w:rPr>
      <w:b/>
      <w:bCs/>
    </w:rPr>
  </w:style>
  <w:style w:type="character" w:customStyle="1" w:styleId="Char2">
    <w:name w:val="批注主题 Char"/>
    <w:basedOn w:val="Char1"/>
    <w:link w:val="aa"/>
    <w:uiPriority w:val="99"/>
    <w:semiHidden/>
    <w:rsid w:val="00AD2A46"/>
    <w:rPr>
      <w:rFonts w:ascii="Times New Roman" w:hAnsi="Times New Roman"/>
      <w:b/>
      <w:bCs/>
      <w:sz w:val="20"/>
      <w:szCs w:val="20"/>
    </w:rPr>
  </w:style>
  <w:style w:type="paragraph" w:customStyle="1" w:styleId="1">
    <w:name w:val="正文1"/>
    <w:uiPriority w:val="99"/>
    <w:rsid w:val="000B4FA4"/>
    <w:pPr>
      <w:spacing w:line="276" w:lineRule="auto"/>
    </w:pPr>
    <w:rPr>
      <w:rFonts w:ascii="Arial" w:hAnsi="Arial" w:cs="Arial"/>
      <w:color w:val="000000"/>
      <w:sz w:val="22"/>
      <w:szCs w:val="20"/>
      <w:lang w:val="pl-PL" w:eastAsia="pl-PL"/>
    </w:rPr>
  </w:style>
  <w:style w:type="paragraph" w:customStyle="1" w:styleId="p1">
    <w:name w:val="p1"/>
    <w:basedOn w:val="a"/>
    <w:rsid w:val="000B4FA4"/>
    <w:rPr>
      <w:rFonts w:ascii="Helvetica" w:eastAsiaTheme="minorEastAsia" w:hAnsi="Helvetica"/>
      <w:sz w:val="18"/>
      <w:szCs w:val="18"/>
      <w:lang w:eastAsia="zh-CN"/>
    </w:rPr>
  </w:style>
  <w:style w:type="character" w:styleId="ab">
    <w:name w:val="Strong"/>
    <w:basedOn w:val="a0"/>
    <w:uiPriority w:val="22"/>
    <w:qFormat/>
    <w:rsid w:val="000B4FA4"/>
    <w:rPr>
      <w:b/>
      <w:bCs/>
    </w:rPr>
  </w:style>
  <w:style w:type="paragraph" w:styleId="ac">
    <w:name w:val="List Paragraph"/>
    <w:basedOn w:val="a"/>
    <w:uiPriority w:val="34"/>
    <w:qFormat/>
    <w:rsid w:val="000B4FA4"/>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ad">
    <w:name w:val="Normal (Web)"/>
    <w:basedOn w:val="a"/>
    <w:uiPriority w:val="99"/>
    <w:unhideWhenUsed/>
    <w:rsid w:val="00C55A22"/>
    <w:pPr>
      <w:spacing w:before="100" w:beforeAutospacing="1" w:after="100" w:afterAutospacing="1"/>
    </w:pPr>
  </w:style>
  <w:style w:type="character" w:styleId="ae">
    <w:name w:val="FollowedHyperlink"/>
    <w:basedOn w:val="a0"/>
    <w:uiPriority w:val="99"/>
    <w:semiHidden/>
    <w:unhideWhenUsed/>
    <w:rsid w:val="00231719"/>
    <w:rPr>
      <w:color w:val="954F72" w:themeColor="followedHyperlink"/>
      <w:u w:val="single"/>
    </w:rPr>
  </w:style>
  <w:style w:type="character" w:customStyle="1" w:styleId="UnresolvedMention">
    <w:name w:val="Unresolved Mention"/>
    <w:basedOn w:val="a0"/>
    <w:uiPriority w:val="99"/>
    <w:semiHidden/>
    <w:unhideWhenUsed/>
    <w:rsid w:val="0096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952">
      <w:bodyDiv w:val="1"/>
      <w:marLeft w:val="0"/>
      <w:marRight w:val="0"/>
      <w:marTop w:val="0"/>
      <w:marBottom w:val="0"/>
      <w:divBdr>
        <w:top w:val="none" w:sz="0" w:space="0" w:color="auto"/>
        <w:left w:val="none" w:sz="0" w:space="0" w:color="auto"/>
        <w:bottom w:val="none" w:sz="0" w:space="0" w:color="auto"/>
        <w:right w:val="none" w:sz="0" w:space="0" w:color="auto"/>
      </w:divBdr>
    </w:div>
    <w:div w:id="113601331">
      <w:bodyDiv w:val="1"/>
      <w:marLeft w:val="0"/>
      <w:marRight w:val="0"/>
      <w:marTop w:val="0"/>
      <w:marBottom w:val="0"/>
      <w:divBdr>
        <w:top w:val="none" w:sz="0" w:space="0" w:color="auto"/>
        <w:left w:val="none" w:sz="0" w:space="0" w:color="auto"/>
        <w:bottom w:val="none" w:sz="0" w:space="0" w:color="auto"/>
        <w:right w:val="none" w:sz="0" w:space="0" w:color="auto"/>
      </w:divBdr>
    </w:div>
    <w:div w:id="139470884">
      <w:bodyDiv w:val="1"/>
      <w:marLeft w:val="0"/>
      <w:marRight w:val="0"/>
      <w:marTop w:val="0"/>
      <w:marBottom w:val="0"/>
      <w:divBdr>
        <w:top w:val="none" w:sz="0" w:space="0" w:color="auto"/>
        <w:left w:val="none" w:sz="0" w:space="0" w:color="auto"/>
        <w:bottom w:val="none" w:sz="0" w:space="0" w:color="auto"/>
        <w:right w:val="none" w:sz="0" w:space="0" w:color="auto"/>
      </w:divBdr>
    </w:div>
    <w:div w:id="163278848">
      <w:bodyDiv w:val="1"/>
      <w:marLeft w:val="0"/>
      <w:marRight w:val="0"/>
      <w:marTop w:val="0"/>
      <w:marBottom w:val="0"/>
      <w:divBdr>
        <w:top w:val="none" w:sz="0" w:space="0" w:color="auto"/>
        <w:left w:val="none" w:sz="0" w:space="0" w:color="auto"/>
        <w:bottom w:val="none" w:sz="0" w:space="0" w:color="auto"/>
        <w:right w:val="none" w:sz="0" w:space="0" w:color="auto"/>
      </w:divBdr>
    </w:div>
    <w:div w:id="172376962">
      <w:bodyDiv w:val="1"/>
      <w:marLeft w:val="0"/>
      <w:marRight w:val="0"/>
      <w:marTop w:val="0"/>
      <w:marBottom w:val="0"/>
      <w:divBdr>
        <w:top w:val="none" w:sz="0" w:space="0" w:color="auto"/>
        <w:left w:val="none" w:sz="0" w:space="0" w:color="auto"/>
        <w:bottom w:val="none" w:sz="0" w:space="0" w:color="auto"/>
        <w:right w:val="none" w:sz="0" w:space="0" w:color="auto"/>
      </w:divBdr>
    </w:div>
    <w:div w:id="200284883">
      <w:bodyDiv w:val="1"/>
      <w:marLeft w:val="0"/>
      <w:marRight w:val="0"/>
      <w:marTop w:val="0"/>
      <w:marBottom w:val="0"/>
      <w:divBdr>
        <w:top w:val="none" w:sz="0" w:space="0" w:color="auto"/>
        <w:left w:val="none" w:sz="0" w:space="0" w:color="auto"/>
        <w:bottom w:val="none" w:sz="0" w:space="0" w:color="auto"/>
        <w:right w:val="none" w:sz="0" w:space="0" w:color="auto"/>
      </w:divBdr>
      <w:divsChild>
        <w:div w:id="202602466">
          <w:marLeft w:val="0"/>
          <w:marRight w:val="0"/>
          <w:marTop w:val="0"/>
          <w:marBottom w:val="0"/>
          <w:divBdr>
            <w:top w:val="none" w:sz="0" w:space="0" w:color="auto"/>
            <w:left w:val="none" w:sz="0" w:space="0" w:color="auto"/>
            <w:bottom w:val="none" w:sz="0" w:space="0" w:color="auto"/>
            <w:right w:val="none" w:sz="0" w:space="0" w:color="auto"/>
          </w:divBdr>
          <w:divsChild>
            <w:div w:id="2038651867">
              <w:marLeft w:val="0"/>
              <w:marRight w:val="0"/>
              <w:marTop w:val="0"/>
              <w:marBottom w:val="0"/>
              <w:divBdr>
                <w:top w:val="none" w:sz="0" w:space="0" w:color="auto"/>
                <w:left w:val="none" w:sz="0" w:space="0" w:color="auto"/>
                <w:bottom w:val="none" w:sz="0" w:space="0" w:color="auto"/>
                <w:right w:val="single" w:sz="6" w:space="8" w:color="CCD0DF"/>
              </w:divBdr>
              <w:divsChild>
                <w:div w:id="123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853">
          <w:marLeft w:val="0"/>
          <w:marRight w:val="0"/>
          <w:marTop w:val="0"/>
          <w:marBottom w:val="0"/>
          <w:divBdr>
            <w:top w:val="none" w:sz="0" w:space="0" w:color="auto"/>
            <w:left w:val="none" w:sz="0" w:space="0" w:color="auto"/>
            <w:bottom w:val="none" w:sz="0" w:space="0" w:color="auto"/>
            <w:right w:val="none" w:sz="0" w:space="0" w:color="auto"/>
          </w:divBdr>
        </w:div>
      </w:divsChild>
    </w:div>
    <w:div w:id="202065574">
      <w:bodyDiv w:val="1"/>
      <w:marLeft w:val="0"/>
      <w:marRight w:val="0"/>
      <w:marTop w:val="0"/>
      <w:marBottom w:val="0"/>
      <w:divBdr>
        <w:top w:val="none" w:sz="0" w:space="0" w:color="auto"/>
        <w:left w:val="none" w:sz="0" w:space="0" w:color="auto"/>
        <w:bottom w:val="none" w:sz="0" w:space="0" w:color="auto"/>
        <w:right w:val="none" w:sz="0" w:space="0" w:color="auto"/>
      </w:divBdr>
    </w:div>
    <w:div w:id="223877387">
      <w:bodyDiv w:val="1"/>
      <w:marLeft w:val="0"/>
      <w:marRight w:val="0"/>
      <w:marTop w:val="0"/>
      <w:marBottom w:val="0"/>
      <w:divBdr>
        <w:top w:val="none" w:sz="0" w:space="0" w:color="auto"/>
        <w:left w:val="none" w:sz="0" w:space="0" w:color="auto"/>
        <w:bottom w:val="none" w:sz="0" w:space="0" w:color="auto"/>
        <w:right w:val="none" w:sz="0" w:space="0" w:color="auto"/>
      </w:divBdr>
    </w:div>
    <w:div w:id="313872274">
      <w:bodyDiv w:val="1"/>
      <w:marLeft w:val="0"/>
      <w:marRight w:val="0"/>
      <w:marTop w:val="0"/>
      <w:marBottom w:val="0"/>
      <w:divBdr>
        <w:top w:val="none" w:sz="0" w:space="0" w:color="auto"/>
        <w:left w:val="none" w:sz="0" w:space="0" w:color="auto"/>
        <w:bottom w:val="none" w:sz="0" w:space="0" w:color="auto"/>
        <w:right w:val="none" w:sz="0" w:space="0" w:color="auto"/>
      </w:divBdr>
    </w:div>
    <w:div w:id="462042930">
      <w:bodyDiv w:val="1"/>
      <w:marLeft w:val="0"/>
      <w:marRight w:val="0"/>
      <w:marTop w:val="0"/>
      <w:marBottom w:val="0"/>
      <w:divBdr>
        <w:top w:val="none" w:sz="0" w:space="0" w:color="auto"/>
        <w:left w:val="none" w:sz="0" w:space="0" w:color="auto"/>
        <w:bottom w:val="none" w:sz="0" w:space="0" w:color="auto"/>
        <w:right w:val="none" w:sz="0" w:space="0" w:color="auto"/>
      </w:divBdr>
    </w:div>
    <w:div w:id="543711050">
      <w:bodyDiv w:val="1"/>
      <w:marLeft w:val="0"/>
      <w:marRight w:val="0"/>
      <w:marTop w:val="0"/>
      <w:marBottom w:val="0"/>
      <w:divBdr>
        <w:top w:val="none" w:sz="0" w:space="0" w:color="auto"/>
        <w:left w:val="none" w:sz="0" w:space="0" w:color="auto"/>
        <w:bottom w:val="none" w:sz="0" w:space="0" w:color="auto"/>
        <w:right w:val="none" w:sz="0" w:space="0" w:color="auto"/>
      </w:divBdr>
    </w:div>
    <w:div w:id="561135495">
      <w:bodyDiv w:val="1"/>
      <w:marLeft w:val="0"/>
      <w:marRight w:val="0"/>
      <w:marTop w:val="0"/>
      <w:marBottom w:val="0"/>
      <w:divBdr>
        <w:top w:val="none" w:sz="0" w:space="0" w:color="auto"/>
        <w:left w:val="none" w:sz="0" w:space="0" w:color="auto"/>
        <w:bottom w:val="none" w:sz="0" w:space="0" w:color="auto"/>
        <w:right w:val="none" w:sz="0" w:space="0" w:color="auto"/>
      </w:divBdr>
    </w:div>
    <w:div w:id="601958133">
      <w:bodyDiv w:val="1"/>
      <w:marLeft w:val="0"/>
      <w:marRight w:val="0"/>
      <w:marTop w:val="0"/>
      <w:marBottom w:val="0"/>
      <w:divBdr>
        <w:top w:val="none" w:sz="0" w:space="0" w:color="auto"/>
        <w:left w:val="none" w:sz="0" w:space="0" w:color="auto"/>
        <w:bottom w:val="none" w:sz="0" w:space="0" w:color="auto"/>
        <w:right w:val="none" w:sz="0" w:space="0" w:color="auto"/>
      </w:divBdr>
    </w:div>
    <w:div w:id="646514914">
      <w:bodyDiv w:val="1"/>
      <w:marLeft w:val="0"/>
      <w:marRight w:val="0"/>
      <w:marTop w:val="0"/>
      <w:marBottom w:val="0"/>
      <w:divBdr>
        <w:top w:val="none" w:sz="0" w:space="0" w:color="auto"/>
        <w:left w:val="none" w:sz="0" w:space="0" w:color="auto"/>
        <w:bottom w:val="none" w:sz="0" w:space="0" w:color="auto"/>
        <w:right w:val="none" w:sz="0" w:space="0" w:color="auto"/>
      </w:divBdr>
    </w:div>
    <w:div w:id="685599834">
      <w:bodyDiv w:val="1"/>
      <w:marLeft w:val="0"/>
      <w:marRight w:val="0"/>
      <w:marTop w:val="0"/>
      <w:marBottom w:val="0"/>
      <w:divBdr>
        <w:top w:val="none" w:sz="0" w:space="0" w:color="auto"/>
        <w:left w:val="none" w:sz="0" w:space="0" w:color="auto"/>
        <w:bottom w:val="none" w:sz="0" w:space="0" w:color="auto"/>
        <w:right w:val="none" w:sz="0" w:space="0" w:color="auto"/>
      </w:divBdr>
    </w:div>
    <w:div w:id="703821867">
      <w:bodyDiv w:val="1"/>
      <w:marLeft w:val="0"/>
      <w:marRight w:val="0"/>
      <w:marTop w:val="0"/>
      <w:marBottom w:val="0"/>
      <w:divBdr>
        <w:top w:val="none" w:sz="0" w:space="0" w:color="auto"/>
        <w:left w:val="none" w:sz="0" w:space="0" w:color="auto"/>
        <w:bottom w:val="none" w:sz="0" w:space="0" w:color="auto"/>
        <w:right w:val="none" w:sz="0" w:space="0" w:color="auto"/>
      </w:divBdr>
    </w:div>
    <w:div w:id="721294538">
      <w:bodyDiv w:val="1"/>
      <w:marLeft w:val="0"/>
      <w:marRight w:val="0"/>
      <w:marTop w:val="0"/>
      <w:marBottom w:val="0"/>
      <w:divBdr>
        <w:top w:val="none" w:sz="0" w:space="0" w:color="auto"/>
        <w:left w:val="none" w:sz="0" w:space="0" w:color="auto"/>
        <w:bottom w:val="none" w:sz="0" w:space="0" w:color="auto"/>
        <w:right w:val="none" w:sz="0" w:space="0" w:color="auto"/>
      </w:divBdr>
    </w:div>
    <w:div w:id="772480967">
      <w:bodyDiv w:val="1"/>
      <w:marLeft w:val="0"/>
      <w:marRight w:val="0"/>
      <w:marTop w:val="0"/>
      <w:marBottom w:val="0"/>
      <w:divBdr>
        <w:top w:val="none" w:sz="0" w:space="0" w:color="auto"/>
        <w:left w:val="none" w:sz="0" w:space="0" w:color="auto"/>
        <w:bottom w:val="none" w:sz="0" w:space="0" w:color="auto"/>
        <w:right w:val="none" w:sz="0" w:space="0" w:color="auto"/>
      </w:divBdr>
    </w:div>
    <w:div w:id="781992024">
      <w:bodyDiv w:val="1"/>
      <w:marLeft w:val="0"/>
      <w:marRight w:val="0"/>
      <w:marTop w:val="0"/>
      <w:marBottom w:val="0"/>
      <w:divBdr>
        <w:top w:val="none" w:sz="0" w:space="0" w:color="auto"/>
        <w:left w:val="none" w:sz="0" w:space="0" w:color="auto"/>
        <w:bottom w:val="none" w:sz="0" w:space="0" w:color="auto"/>
        <w:right w:val="none" w:sz="0" w:space="0" w:color="auto"/>
      </w:divBdr>
    </w:div>
    <w:div w:id="792987779">
      <w:bodyDiv w:val="1"/>
      <w:marLeft w:val="0"/>
      <w:marRight w:val="0"/>
      <w:marTop w:val="0"/>
      <w:marBottom w:val="0"/>
      <w:divBdr>
        <w:top w:val="none" w:sz="0" w:space="0" w:color="auto"/>
        <w:left w:val="none" w:sz="0" w:space="0" w:color="auto"/>
        <w:bottom w:val="none" w:sz="0" w:space="0" w:color="auto"/>
        <w:right w:val="none" w:sz="0" w:space="0" w:color="auto"/>
      </w:divBdr>
    </w:div>
    <w:div w:id="797530637">
      <w:bodyDiv w:val="1"/>
      <w:marLeft w:val="0"/>
      <w:marRight w:val="0"/>
      <w:marTop w:val="0"/>
      <w:marBottom w:val="0"/>
      <w:divBdr>
        <w:top w:val="none" w:sz="0" w:space="0" w:color="auto"/>
        <w:left w:val="none" w:sz="0" w:space="0" w:color="auto"/>
        <w:bottom w:val="none" w:sz="0" w:space="0" w:color="auto"/>
        <w:right w:val="none" w:sz="0" w:space="0" w:color="auto"/>
      </w:divBdr>
    </w:div>
    <w:div w:id="826289141">
      <w:bodyDiv w:val="1"/>
      <w:marLeft w:val="0"/>
      <w:marRight w:val="0"/>
      <w:marTop w:val="0"/>
      <w:marBottom w:val="0"/>
      <w:divBdr>
        <w:top w:val="none" w:sz="0" w:space="0" w:color="auto"/>
        <w:left w:val="none" w:sz="0" w:space="0" w:color="auto"/>
        <w:bottom w:val="none" w:sz="0" w:space="0" w:color="auto"/>
        <w:right w:val="none" w:sz="0" w:space="0" w:color="auto"/>
      </w:divBdr>
    </w:div>
    <w:div w:id="872811229">
      <w:bodyDiv w:val="1"/>
      <w:marLeft w:val="0"/>
      <w:marRight w:val="0"/>
      <w:marTop w:val="0"/>
      <w:marBottom w:val="0"/>
      <w:divBdr>
        <w:top w:val="none" w:sz="0" w:space="0" w:color="auto"/>
        <w:left w:val="none" w:sz="0" w:space="0" w:color="auto"/>
        <w:bottom w:val="none" w:sz="0" w:space="0" w:color="auto"/>
        <w:right w:val="none" w:sz="0" w:space="0" w:color="auto"/>
      </w:divBdr>
    </w:div>
    <w:div w:id="921450656">
      <w:bodyDiv w:val="1"/>
      <w:marLeft w:val="0"/>
      <w:marRight w:val="0"/>
      <w:marTop w:val="0"/>
      <w:marBottom w:val="0"/>
      <w:divBdr>
        <w:top w:val="none" w:sz="0" w:space="0" w:color="auto"/>
        <w:left w:val="none" w:sz="0" w:space="0" w:color="auto"/>
        <w:bottom w:val="none" w:sz="0" w:space="0" w:color="auto"/>
        <w:right w:val="none" w:sz="0" w:space="0" w:color="auto"/>
      </w:divBdr>
    </w:div>
    <w:div w:id="983200492">
      <w:bodyDiv w:val="1"/>
      <w:marLeft w:val="0"/>
      <w:marRight w:val="0"/>
      <w:marTop w:val="0"/>
      <w:marBottom w:val="0"/>
      <w:divBdr>
        <w:top w:val="none" w:sz="0" w:space="0" w:color="auto"/>
        <w:left w:val="none" w:sz="0" w:space="0" w:color="auto"/>
        <w:bottom w:val="none" w:sz="0" w:space="0" w:color="auto"/>
        <w:right w:val="none" w:sz="0" w:space="0" w:color="auto"/>
      </w:divBdr>
    </w:div>
    <w:div w:id="1033382608">
      <w:bodyDiv w:val="1"/>
      <w:marLeft w:val="0"/>
      <w:marRight w:val="0"/>
      <w:marTop w:val="0"/>
      <w:marBottom w:val="0"/>
      <w:divBdr>
        <w:top w:val="none" w:sz="0" w:space="0" w:color="auto"/>
        <w:left w:val="none" w:sz="0" w:space="0" w:color="auto"/>
        <w:bottom w:val="none" w:sz="0" w:space="0" w:color="auto"/>
        <w:right w:val="none" w:sz="0" w:space="0" w:color="auto"/>
      </w:divBdr>
    </w:div>
    <w:div w:id="1039814151">
      <w:bodyDiv w:val="1"/>
      <w:marLeft w:val="0"/>
      <w:marRight w:val="0"/>
      <w:marTop w:val="0"/>
      <w:marBottom w:val="0"/>
      <w:divBdr>
        <w:top w:val="none" w:sz="0" w:space="0" w:color="auto"/>
        <w:left w:val="none" w:sz="0" w:space="0" w:color="auto"/>
        <w:bottom w:val="none" w:sz="0" w:space="0" w:color="auto"/>
        <w:right w:val="none" w:sz="0" w:space="0" w:color="auto"/>
      </w:divBdr>
    </w:div>
    <w:div w:id="1094548656">
      <w:bodyDiv w:val="1"/>
      <w:marLeft w:val="0"/>
      <w:marRight w:val="0"/>
      <w:marTop w:val="0"/>
      <w:marBottom w:val="0"/>
      <w:divBdr>
        <w:top w:val="none" w:sz="0" w:space="0" w:color="auto"/>
        <w:left w:val="none" w:sz="0" w:space="0" w:color="auto"/>
        <w:bottom w:val="none" w:sz="0" w:space="0" w:color="auto"/>
        <w:right w:val="none" w:sz="0" w:space="0" w:color="auto"/>
      </w:divBdr>
    </w:div>
    <w:div w:id="1177161049">
      <w:bodyDiv w:val="1"/>
      <w:marLeft w:val="0"/>
      <w:marRight w:val="0"/>
      <w:marTop w:val="0"/>
      <w:marBottom w:val="0"/>
      <w:divBdr>
        <w:top w:val="none" w:sz="0" w:space="0" w:color="auto"/>
        <w:left w:val="none" w:sz="0" w:space="0" w:color="auto"/>
        <w:bottom w:val="none" w:sz="0" w:space="0" w:color="auto"/>
        <w:right w:val="none" w:sz="0" w:space="0" w:color="auto"/>
      </w:divBdr>
    </w:div>
    <w:div w:id="1191652410">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50701063">
      <w:bodyDiv w:val="1"/>
      <w:marLeft w:val="0"/>
      <w:marRight w:val="0"/>
      <w:marTop w:val="0"/>
      <w:marBottom w:val="0"/>
      <w:divBdr>
        <w:top w:val="none" w:sz="0" w:space="0" w:color="auto"/>
        <w:left w:val="none" w:sz="0" w:space="0" w:color="auto"/>
        <w:bottom w:val="none" w:sz="0" w:space="0" w:color="auto"/>
        <w:right w:val="none" w:sz="0" w:space="0" w:color="auto"/>
      </w:divBdr>
    </w:div>
    <w:div w:id="1291982137">
      <w:bodyDiv w:val="1"/>
      <w:marLeft w:val="0"/>
      <w:marRight w:val="0"/>
      <w:marTop w:val="0"/>
      <w:marBottom w:val="0"/>
      <w:divBdr>
        <w:top w:val="none" w:sz="0" w:space="0" w:color="auto"/>
        <w:left w:val="none" w:sz="0" w:space="0" w:color="auto"/>
        <w:bottom w:val="none" w:sz="0" w:space="0" w:color="auto"/>
        <w:right w:val="none" w:sz="0" w:space="0" w:color="auto"/>
      </w:divBdr>
    </w:div>
    <w:div w:id="1318454458">
      <w:bodyDiv w:val="1"/>
      <w:marLeft w:val="0"/>
      <w:marRight w:val="0"/>
      <w:marTop w:val="0"/>
      <w:marBottom w:val="0"/>
      <w:divBdr>
        <w:top w:val="none" w:sz="0" w:space="0" w:color="auto"/>
        <w:left w:val="none" w:sz="0" w:space="0" w:color="auto"/>
        <w:bottom w:val="none" w:sz="0" w:space="0" w:color="auto"/>
        <w:right w:val="none" w:sz="0" w:space="0" w:color="auto"/>
      </w:divBdr>
    </w:div>
    <w:div w:id="1328677094">
      <w:bodyDiv w:val="1"/>
      <w:marLeft w:val="0"/>
      <w:marRight w:val="0"/>
      <w:marTop w:val="0"/>
      <w:marBottom w:val="0"/>
      <w:divBdr>
        <w:top w:val="none" w:sz="0" w:space="0" w:color="auto"/>
        <w:left w:val="none" w:sz="0" w:space="0" w:color="auto"/>
        <w:bottom w:val="none" w:sz="0" w:space="0" w:color="auto"/>
        <w:right w:val="none" w:sz="0" w:space="0" w:color="auto"/>
      </w:divBdr>
    </w:div>
    <w:div w:id="1331102995">
      <w:bodyDiv w:val="1"/>
      <w:marLeft w:val="0"/>
      <w:marRight w:val="0"/>
      <w:marTop w:val="0"/>
      <w:marBottom w:val="0"/>
      <w:divBdr>
        <w:top w:val="none" w:sz="0" w:space="0" w:color="auto"/>
        <w:left w:val="none" w:sz="0" w:space="0" w:color="auto"/>
        <w:bottom w:val="none" w:sz="0" w:space="0" w:color="auto"/>
        <w:right w:val="none" w:sz="0" w:space="0" w:color="auto"/>
      </w:divBdr>
    </w:div>
    <w:div w:id="1395932731">
      <w:bodyDiv w:val="1"/>
      <w:marLeft w:val="0"/>
      <w:marRight w:val="0"/>
      <w:marTop w:val="0"/>
      <w:marBottom w:val="0"/>
      <w:divBdr>
        <w:top w:val="none" w:sz="0" w:space="0" w:color="auto"/>
        <w:left w:val="none" w:sz="0" w:space="0" w:color="auto"/>
        <w:bottom w:val="none" w:sz="0" w:space="0" w:color="auto"/>
        <w:right w:val="none" w:sz="0" w:space="0" w:color="auto"/>
      </w:divBdr>
    </w:div>
    <w:div w:id="1418095568">
      <w:bodyDiv w:val="1"/>
      <w:marLeft w:val="0"/>
      <w:marRight w:val="0"/>
      <w:marTop w:val="0"/>
      <w:marBottom w:val="0"/>
      <w:divBdr>
        <w:top w:val="none" w:sz="0" w:space="0" w:color="auto"/>
        <w:left w:val="none" w:sz="0" w:space="0" w:color="auto"/>
        <w:bottom w:val="none" w:sz="0" w:space="0" w:color="auto"/>
        <w:right w:val="none" w:sz="0" w:space="0" w:color="auto"/>
      </w:divBdr>
    </w:div>
    <w:div w:id="1429620056">
      <w:bodyDiv w:val="1"/>
      <w:marLeft w:val="0"/>
      <w:marRight w:val="0"/>
      <w:marTop w:val="0"/>
      <w:marBottom w:val="0"/>
      <w:divBdr>
        <w:top w:val="none" w:sz="0" w:space="0" w:color="auto"/>
        <w:left w:val="none" w:sz="0" w:space="0" w:color="auto"/>
        <w:bottom w:val="none" w:sz="0" w:space="0" w:color="auto"/>
        <w:right w:val="none" w:sz="0" w:space="0" w:color="auto"/>
      </w:divBdr>
    </w:div>
    <w:div w:id="1440837252">
      <w:bodyDiv w:val="1"/>
      <w:marLeft w:val="0"/>
      <w:marRight w:val="0"/>
      <w:marTop w:val="0"/>
      <w:marBottom w:val="0"/>
      <w:divBdr>
        <w:top w:val="none" w:sz="0" w:space="0" w:color="auto"/>
        <w:left w:val="none" w:sz="0" w:space="0" w:color="auto"/>
        <w:bottom w:val="none" w:sz="0" w:space="0" w:color="auto"/>
        <w:right w:val="none" w:sz="0" w:space="0" w:color="auto"/>
      </w:divBdr>
    </w:div>
    <w:div w:id="1460732553">
      <w:bodyDiv w:val="1"/>
      <w:marLeft w:val="0"/>
      <w:marRight w:val="0"/>
      <w:marTop w:val="0"/>
      <w:marBottom w:val="0"/>
      <w:divBdr>
        <w:top w:val="none" w:sz="0" w:space="0" w:color="auto"/>
        <w:left w:val="none" w:sz="0" w:space="0" w:color="auto"/>
        <w:bottom w:val="none" w:sz="0" w:space="0" w:color="auto"/>
        <w:right w:val="none" w:sz="0" w:space="0" w:color="auto"/>
      </w:divBdr>
    </w:div>
    <w:div w:id="1461921144">
      <w:bodyDiv w:val="1"/>
      <w:marLeft w:val="0"/>
      <w:marRight w:val="0"/>
      <w:marTop w:val="0"/>
      <w:marBottom w:val="0"/>
      <w:divBdr>
        <w:top w:val="none" w:sz="0" w:space="0" w:color="auto"/>
        <w:left w:val="none" w:sz="0" w:space="0" w:color="auto"/>
        <w:bottom w:val="none" w:sz="0" w:space="0" w:color="auto"/>
        <w:right w:val="none" w:sz="0" w:space="0" w:color="auto"/>
      </w:divBdr>
    </w:div>
    <w:div w:id="1489514288">
      <w:bodyDiv w:val="1"/>
      <w:marLeft w:val="0"/>
      <w:marRight w:val="0"/>
      <w:marTop w:val="0"/>
      <w:marBottom w:val="0"/>
      <w:divBdr>
        <w:top w:val="none" w:sz="0" w:space="0" w:color="auto"/>
        <w:left w:val="none" w:sz="0" w:space="0" w:color="auto"/>
        <w:bottom w:val="none" w:sz="0" w:space="0" w:color="auto"/>
        <w:right w:val="none" w:sz="0" w:space="0" w:color="auto"/>
      </w:divBdr>
    </w:div>
    <w:div w:id="1490824421">
      <w:bodyDiv w:val="1"/>
      <w:marLeft w:val="0"/>
      <w:marRight w:val="0"/>
      <w:marTop w:val="0"/>
      <w:marBottom w:val="0"/>
      <w:divBdr>
        <w:top w:val="none" w:sz="0" w:space="0" w:color="auto"/>
        <w:left w:val="none" w:sz="0" w:space="0" w:color="auto"/>
        <w:bottom w:val="none" w:sz="0" w:space="0" w:color="auto"/>
        <w:right w:val="none" w:sz="0" w:space="0" w:color="auto"/>
      </w:divBdr>
    </w:div>
    <w:div w:id="1503425578">
      <w:bodyDiv w:val="1"/>
      <w:marLeft w:val="0"/>
      <w:marRight w:val="0"/>
      <w:marTop w:val="0"/>
      <w:marBottom w:val="0"/>
      <w:divBdr>
        <w:top w:val="none" w:sz="0" w:space="0" w:color="auto"/>
        <w:left w:val="none" w:sz="0" w:space="0" w:color="auto"/>
        <w:bottom w:val="none" w:sz="0" w:space="0" w:color="auto"/>
        <w:right w:val="none" w:sz="0" w:space="0" w:color="auto"/>
      </w:divBdr>
    </w:div>
    <w:div w:id="1548184405">
      <w:bodyDiv w:val="1"/>
      <w:marLeft w:val="0"/>
      <w:marRight w:val="0"/>
      <w:marTop w:val="0"/>
      <w:marBottom w:val="0"/>
      <w:divBdr>
        <w:top w:val="none" w:sz="0" w:space="0" w:color="auto"/>
        <w:left w:val="none" w:sz="0" w:space="0" w:color="auto"/>
        <w:bottom w:val="none" w:sz="0" w:space="0" w:color="auto"/>
        <w:right w:val="none" w:sz="0" w:space="0" w:color="auto"/>
      </w:divBdr>
    </w:div>
    <w:div w:id="1569344434">
      <w:bodyDiv w:val="1"/>
      <w:marLeft w:val="0"/>
      <w:marRight w:val="0"/>
      <w:marTop w:val="0"/>
      <w:marBottom w:val="0"/>
      <w:divBdr>
        <w:top w:val="none" w:sz="0" w:space="0" w:color="auto"/>
        <w:left w:val="none" w:sz="0" w:space="0" w:color="auto"/>
        <w:bottom w:val="none" w:sz="0" w:space="0" w:color="auto"/>
        <w:right w:val="none" w:sz="0" w:space="0" w:color="auto"/>
      </w:divBdr>
    </w:div>
    <w:div w:id="1662156050">
      <w:bodyDiv w:val="1"/>
      <w:marLeft w:val="0"/>
      <w:marRight w:val="0"/>
      <w:marTop w:val="0"/>
      <w:marBottom w:val="0"/>
      <w:divBdr>
        <w:top w:val="none" w:sz="0" w:space="0" w:color="auto"/>
        <w:left w:val="none" w:sz="0" w:space="0" w:color="auto"/>
        <w:bottom w:val="none" w:sz="0" w:space="0" w:color="auto"/>
        <w:right w:val="none" w:sz="0" w:space="0" w:color="auto"/>
      </w:divBdr>
    </w:div>
    <w:div w:id="1677658216">
      <w:bodyDiv w:val="1"/>
      <w:marLeft w:val="0"/>
      <w:marRight w:val="0"/>
      <w:marTop w:val="0"/>
      <w:marBottom w:val="0"/>
      <w:divBdr>
        <w:top w:val="none" w:sz="0" w:space="0" w:color="auto"/>
        <w:left w:val="none" w:sz="0" w:space="0" w:color="auto"/>
        <w:bottom w:val="none" w:sz="0" w:space="0" w:color="auto"/>
        <w:right w:val="none" w:sz="0" w:space="0" w:color="auto"/>
      </w:divBdr>
    </w:div>
    <w:div w:id="1679649656">
      <w:bodyDiv w:val="1"/>
      <w:marLeft w:val="0"/>
      <w:marRight w:val="0"/>
      <w:marTop w:val="0"/>
      <w:marBottom w:val="0"/>
      <w:divBdr>
        <w:top w:val="none" w:sz="0" w:space="0" w:color="auto"/>
        <w:left w:val="none" w:sz="0" w:space="0" w:color="auto"/>
        <w:bottom w:val="none" w:sz="0" w:space="0" w:color="auto"/>
        <w:right w:val="none" w:sz="0" w:space="0" w:color="auto"/>
      </w:divBdr>
    </w:div>
    <w:div w:id="1690184162">
      <w:bodyDiv w:val="1"/>
      <w:marLeft w:val="0"/>
      <w:marRight w:val="0"/>
      <w:marTop w:val="0"/>
      <w:marBottom w:val="0"/>
      <w:divBdr>
        <w:top w:val="none" w:sz="0" w:space="0" w:color="auto"/>
        <w:left w:val="none" w:sz="0" w:space="0" w:color="auto"/>
        <w:bottom w:val="none" w:sz="0" w:space="0" w:color="auto"/>
        <w:right w:val="none" w:sz="0" w:space="0" w:color="auto"/>
      </w:divBdr>
    </w:div>
    <w:div w:id="1703942725">
      <w:bodyDiv w:val="1"/>
      <w:marLeft w:val="0"/>
      <w:marRight w:val="0"/>
      <w:marTop w:val="0"/>
      <w:marBottom w:val="0"/>
      <w:divBdr>
        <w:top w:val="none" w:sz="0" w:space="0" w:color="auto"/>
        <w:left w:val="none" w:sz="0" w:space="0" w:color="auto"/>
        <w:bottom w:val="none" w:sz="0" w:space="0" w:color="auto"/>
        <w:right w:val="none" w:sz="0" w:space="0" w:color="auto"/>
      </w:divBdr>
    </w:div>
    <w:div w:id="1737319205">
      <w:bodyDiv w:val="1"/>
      <w:marLeft w:val="0"/>
      <w:marRight w:val="0"/>
      <w:marTop w:val="0"/>
      <w:marBottom w:val="0"/>
      <w:divBdr>
        <w:top w:val="none" w:sz="0" w:space="0" w:color="auto"/>
        <w:left w:val="none" w:sz="0" w:space="0" w:color="auto"/>
        <w:bottom w:val="none" w:sz="0" w:space="0" w:color="auto"/>
        <w:right w:val="none" w:sz="0" w:space="0" w:color="auto"/>
      </w:divBdr>
    </w:div>
    <w:div w:id="1784376825">
      <w:bodyDiv w:val="1"/>
      <w:marLeft w:val="0"/>
      <w:marRight w:val="0"/>
      <w:marTop w:val="0"/>
      <w:marBottom w:val="0"/>
      <w:divBdr>
        <w:top w:val="none" w:sz="0" w:space="0" w:color="auto"/>
        <w:left w:val="none" w:sz="0" w:space="0" w:color="auto"/>
        <w:bottom w:val="none" w:sz="0" w:space="0" w:color="auto"/>
        <w:right w:val="none" w:sz="0" w:space="0" w:color="auto"/>
      </w:divBdr>
    </w:div>
    <w:div w:id="1813252737">
      <w:bodyDiv w:val="1"/>
      <w:marLeft w:val="0"/>
      <w:marRight w:val="0"/>
      <w:marTop w:val="0"/>
      <w:marBottom w:val="0"/>
      <w:divBdr>
        <w:top w:val="none" w:sz="0" w:space="0" w:color="auto"/>
        <w:left w:val="none" w:sz="0" w:space="0" w:color="auto"/>
        <w:bottom w:val="none" w:sz="0" w:space="0" w:color="auto"/>
        <w:right w:val="none" w:sz="0" w:space="0" w:color="auto"/>
      </w:divBdr>
    </w:div>
    <w:div w:id="1854956605">
      <w:bodyDiv w:val="1"/>
      <w:marLeft w:val="0"/>
      <w:marRight w:val="0"/>
      <w:marTop w:val="0"/>
      <w:marBottom w:val="0"/>
      <w:divBdr>
        <w:top w:val="none" w:sz="0" w:space="0" w:color="auto"/>
        <w:left w:val="none" w:sz="0" w:space="0" w:color="auto"/>
        <w:bottom w:val="none" w:sz="0" w:space="0" w:color="auto"/>
        <w:right w:val="none" w:sz="0" w:space="0" w:color="auto"/>
      </w:divBdr>
    </w:div>
    <w:div w:id="1869370808">
      <w:bodyDiv w:val="1"/>
      <w:marLeft w:val="0"/>
      <w:marRight w:val="0"/>
      <w:marTop w:val="0"/>
      <w:marBottom w:val="0"/>
      <w:divBdr>
        <w:top w:val="none" w:sz="0" w:space="0" w:color="auto"/>
        <w:left w:val="none" w:sz="0" w:space="0" w:color="auto"/>
        <w:bottom w:val="none" w:sz="0" w:space="0" w:color="auto"/>
        <w:right w:val="none" w:sz="0" w:space="0" w:color="auto"/>
      </w:divBdr>
    </w:div>
    <w:div w:id="1902910174">
      <w:bodyDiv w:val="1"/>
      <w:marLeft w:val="0"/>
      <w:marRight w:val="0"/>
      <w:marTop w:val="0"/>
      <w:marBottom w:val="0"/>
      <w:divBdr>
        <w:top w:val="none" w:sz="0" w:space="0" w:color="auto"/>
        <w:left w:val="none" w:sz="0" w:space="0" w:color="auto"/>
        <w:bottom w:val="none" w:sz="0" w:space="0" w:color="auto"/>
        <w:right w:val="none" w:sz="0" w:space="0" w:color="auto"/>
      </w:divBdr>
    </w:div>
    <w:div w:id="1913274484">
      <w:bodyDiv w:val="1"/>
      <w:marLeft w:val="0"/>
      <w:marRight w:val="0"/>
      <w:marTop w:val="0"/>
      <w:marBottom w:val="0"/>
      <w:divBdr>
        <w:top w:val="none" w:sz="0" w:space="0" w:color="auto"/>
        <w:left w:val="none" w:sz="0" w:space="0" w:color="auto"/>
        <w:bottom w:val="none" w:sz="0" w:space="0" w:color="auto"/>
        <w:right w:val="none" w:sz="0" w:space="0" w:color="auto"/>
      </w:divBdr>
    </w:div>
    <w:div w:id="1962999874">
      <w:bodyDiv w:val="1"/>
      <w:marLeft w:val="0"/>
      <w:marRight w:val="0"/>
      <w:marTop w:val="0"/>
      <w:marBottom w:val="0"/>
      <w:divBdr>
        <w:top w:val="none" w:sz="0" w:space="0" w:color="auto"/>
        <w:left w:val="none" w:sz="0" w:space="0" w:color="auto"/>
        <w:bottom w:val="none" w:sz="0" w:space="0" w:color="auto"/>
        <w:right w:val="none" w:sz="0" w:space="0" w:color="auto"/>
      </w:divBdr>
    </w:div>
    <w:div w:id="1978222812">
      <w:bodyDiv w:val="1"/>
      <w:marLeft w:val="0"/>
      <w:marRight w:val="0"/>
      <w:marTop w:val="0"/>
      <w:marBottom w:val="0"/>
      <w:divBdr>
        <w:top w:val="none" w:sz="0" w:space="0" w:color="auto"/>
        <w:left w:val="none" w:sz="0" w:space="0" w:color="auto"/>
        <w:bottom w:val="none" w:sz="0" w:space="0" w:color="auto"/>
        <w:right w:val="none" w:sz="0" w:space="0" w:color="auto"/>
      </w:divBdr>
    </w:div>
    <w:div w:id="2005235921">
      <w:bodyDiv w:val="1"/>
      <w:marLeft w:val="0"/>
      <w:marRight w:val="0"/>
      <w:marTop w:val="0"/>
      <w:marBottom w:val="0"/>
      <w:divBdr>
        <w:top w:val="none" w:sz="0" w:space="0" w:color="auto"/>
        <w:left w:val="none" w:sz="0" w:space="0" w:color="auto"/>
        <w:bottom w:val="none" w:sz="0" w:space="0" w:color="auto"/>
        <w:right w:val="none" w:sz="0" w:space="0" w:color="auto"/>
      </w:divBdr>
    </w:div>
    <w:div w:id="2013529881">
      <w:bodyDiv w:val="1"/>
      <w:marLeft w:val="0"/>
      <w:marRight w:val="0"/>
      <w:marTop w:val="0"/>
      <w:marBottom w:val="0"/>
      <w:divBdr>
        <w:top w:val="none" w:sz="0" w:space="0" w:color="auto"/>
        <w:left w:val="none" w:sz="0" w:space="0" w:color="auto"/>
        <w:bottom w:val="none" w:sz="0" w:space="0" w:color="auto"/>
        <w:right w:val="none" w:sz="0" w:space="0" w:color="auto"/>
      </w:divBdr>
    </w:div>
    <w:div w:id="2034912803">
      <w:bodyDiv w:val="1"/>
      <w:marLeft w:val="0"/>
      <w:marRight w:val="0"/>
      <w:marTop w:val="0"/>
      <w:marBottom w:val="0"/>
      <w:divBdr>
        <w:top w:val="none" w:sz="0" w:space="0" w:color="auto"/>
        <w:left w:val="none" w:sz="0" w:space="0" w:color="auto"/>
        <w:bottom w:val="none" w:sz="0" w:space="0" w:color="auto"/>
        <w:right w:val="none" w:sz="0" w:space="0" w:color="auto"/>
      </w:divBdr>
    </w:div>
    <w:div w:id="2040353537">
      <w:bodyDiv w:val="1"/>
      <w:marLeft w:val="0"/>
      <w:marRight w:val="0"/>
      <w:marTop w:val="0"/>
      <w:marBottom w:val="0"/>
      <w:divBdr>
        <w:top w:val="none" w:sz="0" w:space="0" w:color="auto"/>
        <w:left w:val="none" w:sz="0" w:space="0" w:color="auto"/>
        <w:bottom w:val="none" w:sz="0" w:space="0" w:color="auto"/>
        <w:right w:val="none" w:sz="0" w:space="0" w:color="auto"/>
      </w:divBdr>
    </w:div>
    <w:div w:id="2082629932">
      <w:bodyDiv w:val="1"/>
      <w:marLeft w:val="0"/>
      <w:marRight w:val="0"/>
      <w:marTop w:val="0"/>
      <w:marBottom w:val="0"/>
      <w:divBdr>
        <w:top w:val="none" w:sz="0" w:space="0" w:color="auto"/>
        <w:left w:val="none" w:sz="0" w:space="0" w:color="auto"/>
        <w:bottom w:val="none" w:sz="0" w:space="0" w:color="auto"/>
        <w:right w:val="none" w:sz="0" w:space="0" w:color="auto"/>
      </w:divBdr>
    </w:div>
    <w:div w:id="2115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'demos overall'!$J$1</c:f>
              <c:strCache>
                <c:ptCount val="1"/>
                <c:pt idx="0">
                  <c:v>Hemi</c:v>
                </c:pt>
              </c:strCache>
            </c:strRef>
          </c:tx>
          <c:spPr>
            <a:ln w="25400">
              <a:solidFill>
                <a:schemeClr val="tx1"/>
              </a:solidFill>
              <a:prstDash val="solid"/>
            </a:ln>
          </c:spPr>
          <c:marker>
            <c:symbol val="none"/>
          </c:marker>
          <c:cat>
            <c:numRef>
              <c:f>'demos overall'!$I$2:$I$11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'demos overall'!$J$2:$J$11</c:f>
              <c:numCache>
                <c:formatCode>0.00%</c:formatCode>
                <c:ptCount val="10"/>
                <c:pt idx="0">
                  <c:v>0.91700000000000004</c:v>
                </c:pt>
                <c:pt idx="1">
                  <c:v>0.92400000000000004</c:v>
                </c:pt>
                <c:pt idx="2">
                  <c:v>0.90800000000000003</c:v>
                </c:pt>
                <c:pt idx="3">
                  <c:v>0.91200000000000003</c:v>
                </c:pt>
                <c:pt idx="4">
                  <c:v>0.90100000000000002</c:v>
                </c:pt>
                <c:pt idx="5">
                  <c:v>0.89700000000000002</c:v>
                </c:pt>
                <c:pt idx="6">
                  <c:v>0.88700000000000001</c:v>
                </c:pt>
                <c:pt idx="7">
                  <c:v>0.88500000000000001</c:v>
                </c:pt>
                <c:pt idx="8">
                  <c:v>0.87</c:v>
                </c:pt>
                <c:pt idx="9">
                  <c:v>0.86299999999999999</c:v>
                </c:pt>
              </c:numCache>
            </c:numRef>
          </c:val>
          <c:smooth val="0"/>
          <c:extLst xmlns:c16r2="http://schemas.microsoft.com/office/drawing/2015/06/chart">
            <c:ext xmlns:c16="http://schemas.microsoft.com/office/drawing/2014/chart" uri="{C3380CC4-5D6E-409C-BE32-E72D297353CC}">
              <c16:uniqueId val="{00000000-47F6-4DF1-BF70-0DB4A9436BD2}"/>
            </c:ext>
          </c:extLst>
        </c:ser>
        <c:ser>
          <c:idx val="2"/>
          <c:order val="1"/>
          <c:tx>
            <c:strRef>
              <c:f>'demos overall'!$K$1</c:f>
              <c:strCache>
                <c:ptCount val="1"/>
                <c:pt idx="0">
                  <c:v>THA</c:v>
                </c:pt>
              </c:strCache>
            </c:strRef>
          </c:tx>
          <c:spPr>
            <a:ln w="25400">
              <a:solidFill>
                <a:schemeClr val="tx1"/>
              </a:solidFill>
              <a:prstDash val="dash"/>
            </a:ln>
          </c:spPr>
          <c:marker>
            <c:symbol val="none"/>
          </c:marker>
          <c:cat>
            <c:numRef>
              <c:f>'demos overall'!$I$2:$I$11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'demos overall'!$K$2:$K$11</c:f>
              <c:numCache>
                <c:formatCode>0.00%</c:formatCode>
                <c:ptCount val="10"/>
                <c:pt idx="0">
                  <c:v>8.3000000000000004E-2</c:v>
                </c:pt>
                <c:pt idx="1">
                  <c:v>7.5999999999999998E-2</c:v>
                </c:pt>
                <c:pt idx="2">
                  <c:v>9.1999999999999998E-2</c:v>
                </c:pt>
                <c:pt idx="3">
                  <c:v>8.7999999999999995E-2</c:v>
                </c:pt>
                <c:pt idx="4">
                  <c:v>9.9000000000000005E-2</c:v>
                </c:pt>
                <c:pt idx="5">
                  <c:v>0.10299999999999999</c:v>
                </c:pt>
                <c:pt idx="6">
                  <c:v>0.113</c:v>
                </c:pt>
                <c:pt idx="7">
                  <c:v>0.115</c:v>
                </c:pt>
                <c:pt idx="8">
                  <c:v>0.13</c:v>
                </c:pt>
                <c:pt idx="9">
                  <c:v>0.13700000000000001</c:v>
                </c:pt>
              </c:numCache>
            </c:numRef>
          </c:val>
          <c:smooth val="0"/>
          <c:extLst xmlns:c16r2="http://schemas.microsoft.com/office/drawing/2015/06/chart">
            <c:ext xmlns:c16="http://schemas.microsoft.com/office/drawing/2014/chart" uri="{C3380CC4-5D6E-409C-BE32-E72D297353CC}">
              <c16:uniqueId val="{00000001-47F6-4DF1-BF70-0DB4A9436BD2}"/>
            </c:ext>
          </c:extLst>
        </c:ser>
        <c:dLbls>
          <c:showLegendKey val="0"/>
          <c:showVal val="0"/>
          <c:showCatName val="0"/>
          <c:showSerName val="0"/>
          <c:showPercent val="0"/>
          <c:showBubbleSize val="0"/>
        </c:dLbls>
        <c:marker val="1"/>
        <c:smooth val="0"/>
        <c:axId val="251578240"/>
        <c:axId val="251579776"/>
      </c:lineChart>
      <c:catAx>
        <c:axId val="251578240"/>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51579776"/>
        <c:crosses val="autoZero"/>
        <c:auto val="1"/>
        <c:lblAlgn val="ctr"/>
        <c:lblOffset val="100"/>
        <c:noMultiLvlLbl val="0"/>
      </c:catAx>
      <c:valAx>
        <c:axId val="251579776"/>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51578240"/>
        <c:crosses val="autoZero"/>
        <c:crossBetween val="between"/>
      </c:valAx>
      <c:spPr>
        <a:solidFill>
          <a:srgbClr val="FFFFFF"/>
        </a:solidFill>
        <a:ln w="25400">
          <a:noFill/>
        </a:ln>
      </c:spPr>
    </c:plotArea>
    <c:legend>
      <c:legendPos val="r"/>
      <c:layout>
        <c:manualLayout>
          <c:xMode val="edge"/>
          <c:yMode val="edge"/>
          <c:x val="0.7758196314881296"/>
          <c:y val="0.33215032211882606"/>
          <c:w val="0.2040292350106111"/>
          <c:h val="0.19379133858267716"/>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'AgeLOS&amp;ChargesBYyear'!$H$2</c:f>
              <c:strCache>
                <c:ptCount val="1"/>
                <c:pt idx="0">
                  <c:v>THA</c:v>
                </c:pt>
              </c:strCache>
            </c:strRef>
          </c:tx>
          <c:spPr>
            <a:ln w="25400">
              <a:solidFill>
                <a:schemeClr val="tx1"/>
              </a:solidFill>
              <a:prstDash val="sysDash"/>
            </a:ln>
          </c:spPr>
          <c:marker>
            <c:symbol val="none"/>
          </c:marker>
          <c:cat>
            <c:numRef>
              <c:f>'AgeLOS&amp;ChargesBYyear'!$G$3:$G$12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'AgeLOS&amp;ChargesBYyear'!$H$3:$H$12</c:f>
              <c:numCache>
                <c:formatCode>General</c:formatCode>
                <c:ptCount val="10"/>
                <c:pt idx="0">
                  <c:v>77.63</c:v>
                </c:pt>
                <c:pt idx="1">
                  <c:v>77.180000000000007</c:v>
                </c:pt>
                <c:pt idx="2">
                  <c:v>76.02</c:v>
                </c:pt>
                <c:pt idx="3">
                  <c:v>75.459999999999994</c:v>
                </c:pt>
                <c:pt idx="4">
                  <c:v>74.459999999999994</c:v>
                </c:pt>
                <c:pt idx="5">
                  <c:v>74.34</c:v>
                </c:pt>
                <c:pt idx="6">
                  <c:v>74.260000000000005</c:v>
                </c:pt>
                <c:pt idx="7">
                  <c:v>73.260000000000005</c:v>
                </c:pt>
                <c:pt idx="8">
                  <c:v>72.239999999999995</c:v>
                </c:pt>
                <c:pt idx="9">
                  <c:v>72.2</c:v>
                </c:pt>
              </c:numCache>
            </c:numRef>
          </c:val>
          <c:smooth val="0"/>
          <c:extLst xmlns:c16r2="http://schemas.microsoft.com/office/drawing/2015/06/chart">
            <c:ext xmlns:c16="http://schemas.microsoft.com/office/drawing/2014/chart" uri="{C3380CC4-5D6E-409C-BE32-E72D297353CC}">
              <c16:uniqueId val="{00000000-52A3-497C-9F0A-4AC8B69C5F38}"/>
            </c:ext>
          </c:extLst>
        </c:ser>
        <c:ser>
          <c:idx val="1"/>
          <c:order val="1"/>
          <c:tx>
            <c:strRef>
              <c:f>'AgeLOS&amp;ChargesBYyear'!$I$2</c:f>
              <c:strCache>
                <c:ptCount val="1"/>
                <c:pt idx="0">
                  <c:v>Hemi</c:v>
                </c:pt>
              </c:strCache>
            </c:strRef>
          </c:tx>
          <c:spPr>
            <a:ln w="25400">
              <a:solidFill>
                <a:schemeClr val="tx1"/>
              </a:solidFill>
              <a:prstDash val="solid"/>
            </a:ln>
          </c:spPr>
          <c:marker>
            <c:symbol val="none"/>
          </c:marker>
          <c:cat>
            <c:numRef>
              <c:f>'AgeLOS&amp;ChargesBYyear'!$G$3:$G$12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'AgeLOS&amp;ChargesBYyear'!$I$3:$I$12</c:f>
              <c:numCache>
                <c:formatCode>General</c:formatCode>
                <c:ptCount val="10"/>
                <c:pt idx="0">
                  <c:v>81.25</c:v>
                </c:pt>
                <c:pt idx="1">
                  <c:v>81.03</c:v>
                </c:pt>
                <c:pt idx="2">
                  <c:v>81.08</c:v>
                </c:pt>
                <c:pt idx="3">
                  <c:v>81.03</c:v>
                </c:pt>
                <c:pt idx="4">
                  <c:v>81.31</c:v>
                </c:pt>
                <c:pt idx="5">
                  <c:v>81.260000000000005</c:v>
                </c:pt>
                <c:pt idx="6">
                  <c:v>81.45</c:v>
                </c:pt>
                <c:pt idx="7">
                  <c:v>80.84</c:v>
                </c:pt>
                <c:pt idx="8">
                  <c:v>80.72</c:v>
                </c:pt>
                <c:pt idx="9">
                  <c:v>80.89</c:v>
                </c:pt>
              </c:numCache>
            </c:numRef>
          </c:val>
          <c:smooth val="0"/>
          <c:extLst xmlns:c16r2="http://schemas.microsoft.com/office/drawing/2015/06/chart">
            <c:ext xmlns:c16="http://schemas.microsoft.com/office/drawing/2014/chart" uri="{C3380CC4-5D6E-409C-BE32-E72D297353CC}">
              <c16:uniqueId val="{00000001-52A3-497C-9F0A-4AC8B69C5F38}"/>
            </c:ext>
          </c:extLst>
        </c:ser>
        <c:dLbls>
          <c:showLegendKey val="0"/>
          <c:showVal val="0"/>
          <c:showCatName val="0"/>
          <c:showSerName val="0"/>
          <c:showPercent val="0"/>
          <c:showBubbleSize val="0"/>
        </c:dLbls>
        <c:marker val="1"/>
        <c:smooth val="0"/>
        <c:axId val="242561792"/>
        <c:axId val="242563328"/>
      </c:lineChart>
      <c:catAx>
        <c:axId val="24256179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42563328"/>
        <c:crosses val="autoZero"/>
        <c:auto val="1"/>
        <c:lblAlgn val="ctr"/>
        <c:lblOffset val="100"/>
        <c:noMultiLvlLbl val="0"/>
      </c:catAx>
      <c:valAx>
        <c:axId val="242563328"/>
        <c:scaling>
          <c:orientation val="minMax"/>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42561792"/>
        <c:crosses val="autoZero"/>
        <c:crossBetween val="between"/>
      </c:valAx>
      <c:spPr>
        <a:solidFill>
          <a:srgbClr val="FFFFFF"/>
        </a:solidFill>
        <a:ln w="25400">
          <a:noFill/>
        </a:ln>
      </c:spPr>
    </c:plotArea>
    <c:legend>
      <c:legendPos val="r"/>
      <c:layout>
        <c:manualLayout>
          <c:xMode val="edge"/>
          <c:yMode val="edge"/>
          <c:x val="0.84886749043019505"/>
          <c:y val="0.40865498182919446"/>
          <c:w val="0.12846367440845718"/>
          <c:h val="0.17307730163537249"/>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ruralBYyear!$B$1</c:f>
              <c:strCache>
                <c:ptCount val="1"/>
                <c:pt idx="0">
                  <c:v>rural</c:v>
                </c:pt>
              </c:strCache>
            </c:strRef>
          </c:tx>
          <c:spPr>
            <a:ln w="25400">
              <a:solidFill>
                <a:schemeClr val="tx1"/>
              </a:solidFill>
              <a:prstDash val="sysDot"/>
            </a:ln>
          </c:spPr>
          <c:marker>
            <c:symbol val="none"/>
          </c:marker>
          <c:cat>
            <c:numRef>
              <c:f>ruralBYyear!$A$2:$A$11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ruralBYyear!$B$2:$B$11</c:f>
              <c:numCache>
                <c:formatCode>0.00%</c:formatCode>
                <c:ptCount val="10"/>
                <c:pt idx="0">
                  <c:v>7.6999999999999999E-2</c:v>
                </c:pt>
                <c:pt idx="1">
                  <c:v>6.4000000000000001E-2</c:v>
                </c:pt>
                <c:pt idx="2">
                  <c:v>7.3999999999999996E-2</c:v>
                </c:pt>
                <c:pt idx="3">
                  <c:v>7.0000000000000007E-2</c:v>
                </c:pt>
                <c:pt idx="4">
                  <c:v>9.1999999999999998E-2</c:v>
                </c:pt>
                <c:pt idx="5">
                  <c:v>8.7999999999999995E-2</c:v>
                </c:pt>
                <c:pt idx="6">
                  <c:v>0.109</c:v>
                </c:pt>
                <c:pt idx="7">
                  <c:v>0.123</c:v>
                </c:pt>
                <c:pt idx="8">
                  <c:v>0.13</c:v>
                </c:pt>
                <c:pt idx="9">
                  <c:v>0.11899999999999999</c:v>
                </c:pt>
              </c:numCache>
            </c:numRef>
          </c:val>
          <c:smooth val="0"/>
          <c:extLst xmlns:c16r2="http://schemas.microsoft.com/office/drawing/2015/06/chart">
            <c:ext xmlns:c16="http://schemas.microsoft.com/office/drawing/2014/chart" uri="{C3380CC4-5D6E-409C-BE32-E72D297353CC}">
              <c16:uniqueId val="{00000000-F619-46D8-B2B3-242BAADF08C8}"/>
            </c:ext>
          </c:extLst>
        </c:ser>
        <c:ser>
          <c:idx val="1"/>
          <c:order val="1"/>
          <c:tx>
            <c:strRef>
              <c:f>ruralBYyear!$C$1</c:f>
              <c:strCache>
                <c:ptCount val="1"/>
                <c:pt idx="0">
                  <c:v>urban nonteaching</c:v>
                </c:pt>
              </c:strCache>
            </c:strRef>
          </c:tx>
          <c:spPr>
            <a:ln w="25400">
              <a:solidFill>
                <a:schemeClr val="tx1"/>
              </a:solidFill>
              <a:prstDash val="dash"/>
            </a:ln>
          </c:spPr>
          <c:marker>
            <c:symbol val="none"/>
          </c:marker>
          <c:cat>
            <c:numRef>
              <c:f>ruralBYyear!$A$2:$A$11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ruralBYyear!$C$2:$C$11</c:f>
              <c:numCache>
                <c:formatCode>0.00%</c:formatCode>
                <c:ptCount val="10"/>
                <c:pt idx="0">
                  <c:v>8.7999999999999995E-2</c:v>
                </c:pt>
                <c:pt idx="1">
                  <c:v>7.4999999999999997E-2</c:v>
                </c:pt>
                <c:pt idx="2">
                  <c:v>9.9000000000000005E-2</c:v>
                </c:pt>
                <c:pt idx="3">
                  <c:v>9.0999999999999998E-2</c:v>
                </c:pt>
                <c:pt idx="4">
                  <c:v>0.10299999999999999</c:v>
                </c:pt>
                <c:pt idx="5">
                  <c:v>0.108</c:v>
                </c:pt>
                <c:pt idx="6">
                  <c:v>0.10100000000000001</c:v>
                </c:pt>
                <c:pt idx="7">
                  <c:v>9.8000000000000004E-2</c:v>
                </c:pt>
                <c:pt idx="8">
                  <c:v>0.112</c:v>
                </c:pt>
                <c:pt idx="9">
                  <c:v>0.129</c:v>
                </c:pt>
              </c:numCache>
            </c:numRef>
          </c:val>
          <c:smooth val="0"/>
          <c:extLst xmlns:c16r2="http://schemas.microsoft.com/office/drawing/2015/06/chart">
            <c:ext xmlns:c16="http://schemas.microsoft.com/office/drawing/2014/chart" uri="{C3380CC4-5D6E-409C-BE32-E72D297353CC}">
              <c16:uniqueId val="{00000001-F619-46D8-B2B3-242BAADF08C8}"/>
            </c:ext>
          </c:extLst>
        </c:ser>
        <c:ser>
          <c:idx val="2"/>
          <c:order val="2"/>
          <c:tx>
            <c:strRef>
              <c:f>ruralBYyear!$D$1</c:f>
              <c:strCache>
                <c:ptCount val="1"/>
                <c:pt idx="0">
                  <c:v>urban teaching</c:v>
                </c:pt>
              </c:strCache>
            </c:strRef>
          </c:tx>
          <c:spPr>
            <a:ln w="25400">
              <a:solidFill>
                <a:schemeClr val="tx1"/>
              </a:solidFill>
              <a:prstDash val="solid"/>
            </a:ln>
          </c:spPr>
          <c:marker>
            <c:symbol val="none"/>
          </c:marker>
          <c:cat>
            <c:numRef>
              <c:f>ruralBYyear!$A$2:$A$11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ruralBYyear!$D$2:$D$11</c:f>
              <c:numCache>
                <c:formatCode>0.00%</c:formatCode>
                <c:ptCount val="10"/>
                <c:pt idx="0">
                  <c:v>7.9000000000000001E-2</c:v>
                </c:pt>
                <c:pt idx="1">
                  <c:v>8.3000000000000004E-2</c:v>
                </c:pt>
                <c:pt idx="2">
                  <c:v>9.2999999999999999E-2</c:v>
                </c:pt>
                <c:pt idx="3">
                  <c:v>9.4E-2</c:v>
                </c:pt>
                <c:pt idx="4">
                  <c:v>9.4E-2</c:v>
                </c:pt>
                <c:pt idx="5">
                  <c:v>0.107</c:v>
                </c:pt>
                <c:pt idx="6">
                  <c:v>0.13100000000000001</c:v>
                </c:pt>
                <c:pt idx="7">
                  <c:v>0.13200000000000001</c:v>
                </c:pt>
                <c:pt idx="8">
                  <c:v>0.15</c:v>
                </c:pt>
                <c:pt idx="9">
                  <c:v>0.14699999999999999</c:v>
                </c:pt>
              </c:numCache>
            </c:numRef>
          </c:val>
          <c:smooth val="0"/>
          <c:extLst xmlns:c16r2="http://schemas.microsoft.com/office/drawing/2015/06/chart">
            <c:ext xmlns:c16="http://schemas.microsoft.com/office/drawing/2014/chart" uri="{C3380CC4-5D6E-409C-BE32-E72D297353CC}">
              <c16:uniqueId val="{00000002-F619-46D8-B2B3-242BAADF08C8}"/>
            </c:ext>
          </c:extLst>
        </c:ser>
        <c:dLbls>
          <c:showLegendKey val="0"/>
          <c:showVal val="0"/>
          <c:showCatName val="0"/>
          <c:showSerName val="0"/>
          <c:showPercent val="0"/>
          <c:showBubbleSize val="0"/>
        </c:dLbls>
        <c:marker val="1"/>
        <c:smooth val="0"/>
        <c:axId val="251527936"/>
        <c:axId val="251529472"/>
      </c:lineChart>
      <c:catAx>
        <c:axId val="251527936"/>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zh-CN"/>
          </a:p>
        </c:txPr>
        <c:crossAx val="251529472"/>
        <c:crosses val="autoZero"/>
        <c:auto val="1"/>
        <c:lblAlgn val="ctr"/>
        <c:lblOffset val="100"/>
        <c:noMultiLvlLbl val="0"/>
      </c:catAx>
      <c:valAx>
        <c:axId val="251529472"/>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51527936"/>
        <c:crosses val="autoZero"/>
        <c:crossBetween val="between"/>
      </c:valAx>
      <c:spPr>
        <a:noFill/>
        <a:ln w="25400">
          <a:noFill/>
        </a:ln>
      </c:spPr>
    </c:plotArea>
    <c:legend>
      <c:legendPos val="r"/>
      <c:layout>
        <c:manualLayout>
          <c:xMode val="edge"/>
          <c:yMode val="edge"/>
          <c:x val="0.75494008901061282"/>
          <c:y val="0.3839996850393701"/>
          <c:w val="0.21146229497992597"/>
          <c:h val="0.21599968503937006"/>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'AgeLOS&amp;ChargesBYyear'!$H$20</c:f>
              <c:strCache>
                <c:ptCount val="1"/>
                <c:pt idx="0">
                  <c:v>THA</c:v>
                </c:pt>
              </c:strCache>
            </c:strRef>
          </c:tx>
          <c:spPr>
            <a:ln w="25400">
              <a:solidFill>
                <a:schemeClr val="tx1"/>
              </a:solidFill>
              <a:prstDash val="sysDash"/>
            </a:ln>
          </c:spPr>
          <c:marker>
            <c:symbol val="none"/>
          </c:marker>
          <c:cat>
            <c:numRef>
              <c:f>'AgeLOS&amp;ChargesBYyear'!$G$21:$G$30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'AgeLOS&amp;ChargesBYyear'!$H$21:$H$30</c:f>
              <c:numCache>
                <c:formatCode>General</c:formatCode>
                <c:ptCount val="10"/>
                <c:pt idx="0">
                  <c:v>6.0279800000000003</c:v>
                </c:pt>
                <c:pt idx="1">
                  <c:v>5.9615400000000003</c:v>
                </c:pt>
                <c:pt idx="2">
                  <c:v>6.0160499999999999</c:v>
                </c:pt>
                <c:pt idx="3">
                  <c:v>5.61937</c:v>
                </c:pt>
                <c:pt idx="4">
                  <c:v>5.4353100000000003</c:v>
                </c:pt>
                <c:pt idx="5">
                  <c:v>5.7214200000000002</c:v>
                </c:pt>
                <c:pt idx="6">
                  <c:v>5.3458399999999999</c:v>
                </c:pt>
                <c:pt idx="7">
                  <c:v>5.2902399999999998</c:v>
                </c:pt>
                <c:pt idx="8">
                  <c:v>5.1208400000000003</c:v>
                </c:pt>
                <c:pt idx="9">
                  <c:v>4.9257099999999996</c:v>
                </c:pt>
              </c:numCache>
            </c:numRef>
          </c:val>
          <c:smooth val="0"/>
          <c:extLst xmlns:c16r2="http://schemas.microsoft.com/office/drawing/2015/06/chart">
            <c:ext xmlns:c16="http://schemas.microsoft.com/office/drawing/2014/chart" uri="{C3380CC4-5D6E-409C-BE32-E72D297353CC}">
              <c16:uniqueId val="{00000000-7F0F-46C5-9015-EF9566D9DDCB}"/>
            </c:ext>
          </c:extLst>
        </c:ser>
        <c:ser>
          <c:idx val="1"/>
          <c:order val="1"/>
          <c:tx>
            <c:strRef>
              <c:f>'AgeLOS&amp;ChargesBYyear'!$I$20</c:f>
              <c:strCache>
                <c:ptCount val="1"/>
                <c:pt idx="0">
                  <c:v>Hemi</c:v>
                </c:pt>
              </c:strCache>
            </c:strRef>
          </c:tx>
          <c:spPr>
            <a:ln w="25400">
              <a:solidFill>
                <a:schemeClr val="tx1"/>
              </a:solidFill>
              <a:prstDash val="solid"/>
            </a:ln>
          </c:spPr>
          <c:marker>
            <c:symbol val="none"/>
          </c:marker>
          <c:cat>
            <c:numRef>
              <c:f>'AgeLOS&amp;ChargesBYyear'!$G$21:$G$30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'AgeLOS&amp;ChargesBYyear'!$I$21:$I$30</c:f>
              <c:numCache>
                <c:formatCode>General</c:formatCode>
                <c:ptCount val="10"/>
                <c:pt idx="0">
                  <c:v>5.8950199999999997</c:v>
                </c:pt>
                <c:pt idx="1">
                  <c:v>5.9427599999999998</c:v>
                </c:pt>
                <c:pt idx="2">
                  <c:v>5.8771199999999997</c:v>
                </c:pt>
                <c:pt idx="3">
                  <c:v>5.8626899999999997</c:v>
                </c:pt>
                <c:pt idx="4">
                  <c:v>5.5521900000000004</c:v>
                </c:pt>
                <c:pt idx="5">
                  <c:v>5.6312899999999999</c:v>
                </c:pt>
                <c:pt idx="6">
                  <c:v>5.50129</c:v>
                </c:pt>
                <c:pt idx="7">
                  <c:v>5.4185999999999996</c:v>
                </c:pt>
                <c:pt idx="8">
                  <c:v>5.34077</c:v>
                </c:pt>
                <c:pt idx="9">
                  <c:v>5.2289000000000003</c:v>
                </c:pt>
              </c:numCache>
            </c:numRef>
          </c:val>
          <c:smooth val="0"/>
          <c:extLst xmlns:c16r2="http://schemas.microsoft.com/office/drawing/2015/06/chart">
            <c:ext xmlns:c16="http://schemas.microsoft.com/office/drawing/2014/chart" uri="{C3380CC4-5D6E-409C-BE32-E72D297353CC}">
              <c16:uniqueId val="{00000001-7F0F-46C5-9015-EF9566D9DDCB}"/>
            </c:ext>
          </c:extLst>
        </c:ser>
        <c:dLbls>
          <c:showLegendKey val="0"/>
          <c:showVal val="0"/>
          <c:showCatName val="0"/>
          <c:showSerName val="0"/>
          <c:showPercent val="0"/>
          <c:showBubbleSize val="0"/>
        </c:dLbls>
        <c:marker val="1"/>
        <c:smooth val="0"/>
        <c:axId val="242761088"/>
        <c:axId val="242775168"/>
      </c:lineChart>
      <c:catAx>
        <c:axId val="24276108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42775168"/>
        <c:crosses val="autoZero"/>
        <c:auto val="1"/>
        <c:lblAlgn val="ctr"/>
        <c:lblOffset val="100"/>
        <c:noMultiLvlLbl val="0"/>
      </c:catAx>
      <c:valAx>
        <c:axId val="242775168"/>
        <c:scaling>
          <c:orientation val="minMax"/>
          <c:min val="4"/>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42761088"/>
        <c:crosses val="autoZero"/>
        <c:crossBetween val="between"/>
        <c:majorUnit val="1"/>
      </c:valAx>
      <c:spPr>
        <a:solidFill>
          <a:srgbClr val="FFFFFF"/>
        </a:solidFill>
        <a:ln w="25400">
          <a:noFill/>
        </a:ln>
      </c:spPr>
    </c:plotArea>
    <c:legend>
      <c:legendPos val="r"/>
      <c:layout>
        <c:manualLayout>
          <c:xMode val="edge"/>
          <c:yMode val="edge"/>
          <c:x val="0.84634859874253754"/>
          <c:y val="0.41037810132224034"/>
          <c:w val="0.12846367440845718"/>
          <c:h val="0.16981169217055408"/>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'AgeLOS&amp;ChargesBYyear'!$H$34</c:f>
              <c:strCache>
                <c:ptCount val="1"/>
                <c:pt idx="0">
                  <c:v>THA</c:v>
                </c:pt>
              </c:strCache>
            </c:strRef>
          </c:tx>
          <c:spPr>
            <a:ln w="25400">
              <a:solidFill>
                <a:schemeClr val="tx1"/>
              </a:solidFill>
              <a:prstDash val="sysDash"/>
            </a:ln>
          </c:spPr>
          <c:marker>
            <c:symbol val="none"/>
          </c:marker>
          <c:cat>
            <c:numRef>
              <c:f>'AgeLOS&amp;ChargesBYyear'!$G$35:$G$44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'AgeLOS&amp;ChargesBYyear'!$H$35:$H$44</c:f>
              <c:numCache>
                <c:formatCode>"$"#,##0</c:formatCode>
                <c:ptCount val="10"/>
                <c:pt idx="0">
                  <c:v>48204.130920000003</c:v>
                </c:pt>
                <c:pt idx="1">
                  <c:v>49731.807630000003</c:v>
                </c:pt>
                <c:pt idx="2">
                  <c:v>54885.254330000003</c:v>
                </c:pt>
                <c:pt idx="3">
                  <c:v>54940.16704</c:v>
                </c:pt>
                <c:pt idx="4">
                  <c:v>55398.068079999997</c:v>
                </c:pt>
                <c:pt idx="5">
                  <c:v>62504.885459999998</c:v>
                </c:pt>
                <c:pt idx="6">
                  <c:v>62486.1368</c:v>
                </c:pt>
                <c:pt idx="7">
                  <c:v>64189.825770000003</c:v>
                </c:pt>
                <c:pt idx="8">
                  <c:v>67927.755480000007</c:v>
                </c:pt>
                <c:pt idx="9">
                  <c:v>69737.955239999996</c:v>
                </c:pt>
              </c:numCache>
            </c:numRef>
          </c:val>
          <c:smooth val="0"/>
          <c:extLst xmlns:c16r2="http://schemas.microsoft.com/office/drawing/2015/06/chart">
            <c:ext xmlns:c16="http://schemas.microsoft.com/office/drawing/2014/chart" uri="{C3380CC4-5D6E-409C-BE32-E72D297353CC}">
              <c16:uniqueId val="{00000000-9D22-4B8A-9862-600D34340E32}"/>
            </c:ext>
          </c:extLst>
        </c:ser>
        <c:ser>
          <c:idx val="1"/>
          <c:order val="1"/>
          <c:tx>
            <c:strRef>
              <c:f>'AgeLOS&amp;ChargesBYyear'!$I$34</c:f>
              <c:strCache>
                <c:ptCount val="1"/>
                <c:pt idx="0">
                  <c:v>Hemi</c:v>
                </c:pt>
              </c:strCache>
            </c:strRef>
          </c:tx>
          <c:spPr>
            <a:ln w="25400">
              <a:solidFill>
                <a:schemeClr val="tx1"/>
              </a:solidFill>
              <a:prstDash val="solid"/>
            </a:ln>
          </c:spPr>
          <c:marker>
            <c:symbol val="none"/>
          </c:marker>
          <c:cat>
            <c:numRef>
              <c:f>'AgeLOS&amp;ChargesBYyear'!$G$35:$G$44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'AgeLOS&amp;ChargesBYyear'!$I$35:$I$44</c:f>
              <c:numCache>
                <c:formatCode>"$"#,##0</c:formatCode>
                <c:ptCount val="10"/>
                <c:pt idx="0">
                  <c:v>41610.174679999996</c:v>
                </c:pt>
                <c:pt idx="1">
                  <c:v>42950.346720000001</c:v>
                </c:pt>
                <c:pt idx="2">
                  <c:v>45102.817690000003</c:v>
                </c:pt>
                <c:pt idx="3">
                  <c:v>49025.703459999997</c:v>
                </c:pt>
                <c:pt idx="4">
                  <c:v>47800.912109999997</c:v>
                </c:pt>
                <c:pt idx="5">
                  <c:v>51544.459219999997</c:v>
                </c:pt>
                <c:pt idx="6">
                  <c:v>54246.83887</c:v>
                </c:pt>
                <c:pt idx="7">
                  <c:v>55999.609700000001</c:v>
                </c:pt>
                <c:pt idx="8">
                  <c:v>57382.806550000001</c:v>
                </c:pt>
                <c:pt idx="9">
                  <c:v>58465.960959999997</c:v>
                </c:pt>
              </c:numCache>
            </c:numRef>
          </c:val>
          <c:smooth val="0"/>
          <c:extLst xmlns:c16r2="http://schemas.microsoft.com/office/drawing/2015/06/chart">
            <c:ext xmlns:c16="http://schemas.microsoft.com/office/drawing/2014/chart" uri="{C3380CC4-5D6E-409C-BE32-E72D297353CC}">
              <c16:uniqueId val="{00000001-9D22-4B8A-9862-600D34340E32}"/>
            </c:ext>
          </c:extLst>
        </c:ser>
        <c:dLbls>
          <c:showLegendKey val="0"/>
          <c:showVal val="0"/>
          <c:showCatName val="0"/>
          <c:showSerName val="0"/>
          <c:showPercent val="0"/>
          <c:showBubbleSize val="0"/>
        </c:dLbls>
        <c:marker val="1"/>
        <c:smooth val="0"/>
        <c:axId val="242800896"/>
        <c:axId val="242802688"/>
      </c:lineChart>
      <c:catAx>
        <c:axId val="242800896"/>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42802688"/>
        <c:crosses val="autoZero"/>
        <c:auto val="1"/>
        <c:lblAlgn val="ctr"/>
        <c:lblOffset val="100"/>
        <c:noMultiLvlLbl val="0"/>
      </c:catAx>
      <c:valAx>
        <c:axId val="242802688"/>
        <c:scaling>
          <c:orientation val="minMax"/>
          <c:min val="40000"/>
        </c:scaling>
        <c:delete val="0"/>
        <c:axPos val="l"/>
        <c:numFmt formatCode="&quot;$&quot;#,##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zh-CN"/>
          </a:p>
        </c:txPr>
        <c:crossAx val="242800896"/>
        <c:crosses val="autoZero"/>
        <c:crossBetween val="between"/>
      </c:valAx>
      <c:spPr>
        <a:solidFill>
          <a:srgbClr val="FFFFFF"/>
        </a:solidFill>
        <a:ln w="25400">
          <a:noFill/>
        </a:ln>
      </c:spPr>
    </c:plotArea>
    <c:legend>
      <c:legendPos val="r"/>
      <c:layout>
        <c:manualLayout>
          <c:xMode val="edge"/>
          <c:yMode val="edge"/>
          <c:x val="0.84673287698334199"/>
          <c:y val="0.39583292322834646"/>
          <c:w val="0.12814050567799629"/>
          <c:h val="0.18749999999999994"/>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D6E1-FAA1-4E0B-9583-96D64D0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Lieber,Alexander</dc:creator>
  <cp:keywords/>
  <dc:description/>
  <cp:lastModifiedBy>1678909943@qq.com</cp:lastModifiedBy>
  <cp:revision>7</cp:revision>
  <cp:lastPrinted>2019-04-14T13:30:00Z</cp:lastPrinted>
  <dcterms:created xsi:type="dcterms:W3CDTF">2019-11-07T19:06:00Z</dcterms:created>
  <dcterms:modified xsi:type="dcterms:W3CDTF">2020-01-02T06:37:00Z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http://www.zotero.org/styles/harvard-cite-them-right</vt:lpwstr>
  </property>
  <property fmtid="{D5CDD505-2E9C-101B-9397-08002B2CF9AE}" pid="6" name="Mendeley Recent Style Name 1_1">
    <vt:lpwstr>Cite Them Right 10th edition - Harvard</vt:lpwstr>
  </property>
  <property fmtid="{D5CDD505-2E9C-101B-9397-08002B2CF9AE}" pid="7" name="Mendeley Recent Style Id 2_1">
    <vt:lpwstr>http://www.zotero.org/styles/journal-of-orthopaedic-trauma</vt:lpwstr>
  </property>
  <property fmtid="{D5CDD505-2E9C-101B-9397-08002B2CF9AE}" pid="8" name="Mendeley Recent Style Name 2_1">
    <vt:lpwstr>Journal of Orthopaedic Trauma</vt:lpwstr>
  </property>
  <property fmtid="{D5CDD505-2E9C-101B-9397-08002B2CF9AE}" pid="9" name="Mendeley Recent Style Id 3_1">
    <vt:lpwstr>http://www.zotero.org/styles/modern-language-association</vt:lpwstr>
  </property>
  <property fmtid="{D5CDD505-2E9C-101B-9397-08002B2CF9AE}" pid="10" name="Mendeley Recent Style Name 3_1">
    <vt:lpwstr>Modern Language Association 7th edition</vt:lpwstr>
  </property>
  <property fmtid="{D5CDD505-2E9C-101B-9397-08002B2CF9AE}" pid="11" name="Mendeley Recent Style Id 4_1">
    <vt:lpwstr>http://www.zotero.org/styles/nature</vt:lpwstr>
  </property>
  <property fmtid="{D5CDD505-2E9C-101B-9397-08002B2CF9AE}" pid="12" name="Mendeley Recent Style Name 4_1">
    <vt:lpwstr>Nature</vt:lpwstr>
  </property>
  <property fmtid="{D5CDD505-2E9C-101B-9397-08002B2CF9AE}" pid="13" name="Mendeley Recent Style Id 5_1">
    <vt:lpwstr>http://www.zotero.org/styles/spine</vt:lpwstr>
  </property>
  <property fmtid="{D5CDD505-2E9C-101B-9397-08002B2CF9AE}" pid="14" name="Mendeley Recent Style Name 5_1">
    <vt:lpwstr>Spine</vt:lpwstr>
  </property>
  <property fmtid="{D5CDD505-2E9C-101B-9397-08002B2CF9AE}" pid="15" name="Mendeley Recent Style Id 6_1">
    <vt:lpwstr>http://www.zotero.org/styles/the-journal-of-arthroplasty</vt:lpwstr>
  </property>
  <property fmtid="{D5CDD505-2E9C-101B-9397-08002B2CF9AE}" pid="16" name="Mendeley Recent Style Name 6_1">
    <vt:lpwstr>The Journal of Arthroplasty</vt:lpwstr>
  </property>
  <property fmtid="{D5CDD505-2E9C-101B-9397-08002B2CF9AE}" pid="17" name="Mendeley Recent Style Id 7_1">
    <vt:lpwstr>http://www.zotero.org/styles/the-journal-of-bone-and-joint-surgery</vt:lpwstr>
  </property>
  <property fmtid="{D5CDD505-2E9C-101B-9397-08002B2CF9AE}" pid="18" name="Mendeley Recent Style Name 7_1">
    <vt:lpwstr>The Journal of Bone &amp; Joint Surgery</vt:lpwstr>
  </property>
  <property fmtid="{D5CDD505-2E9C-101B-9397-08002B2CF9AE}" pid="19" name="Mendeley Recent Style Id 8_1">
    <vt:lpwstr>http://www.zotero.org/styles/the-spine-journal</vt:lpwstr>
  </property>
  <property fmtid="{D5CDD505-2E9C-101B-9397-08002B2CF9AE}" pid="20" name="Mendeley Recent Style Name 8_1">
    <vt:lpwstr>The Spine Journal</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http://www.zotero.org/styles/spine</vt:lpwstr>
  </property>
  <property fmtid="{D5CDD505-2E9C-101B-9397-08002B2CF9AE}" pid="24" name="Mendeley Unique User Id_1">
    <vt:lpwstr>27943e7d-89a7-3752-aa82-93b48ed1ea66</vt:lpwstr>
  </property>
</Properties>
</file>