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8F" w:rsidRDefault="00EA588F">
      <w:pPr>
        <w:widowControl/>
        <w:adjustRightInd w:val="0"/>
        <w:snapToGrid w:val="0"/>
        <w:spacing w:line="360" w:lineRule="auto"/>
        <w:rPr>
          <w:rFonts w:ascii="Book Antiqua" w:hAnsi="Book Antiqua" w:cs="Times New Roman"/>
          <w:b/>
          <w:kern w:val="0"/>
          <w:sz w:val="24"/>
          <w:highlight w:val="white"/>
        </w:rPr>
      </w:pPr>
      <w:bookmarkStart w:id="0" w:name="_Hlk16172602"/>
      <w:bookmarkStart w:id="1" w:name="OLE_LINK840"/>
      <w:bookmarkStart w:id="2" w:name="OLE_LINK866"/>
      <w:bookmarkStart w:id="3" w:name="OLE_LINK887"/>
      <w:bookmarkStart w:id="4" w:name="OLE_LINK923"/>
      <w:bookmarkStart w:id="5" w:name="OLE_LINK708"/>
      <w:bookmarkStart w:id="6" w:name="OLE_LINK709"/>
      <w:bookmarkStart w:id="7" w:name="OLE_LINK970"/>
      <w:bookmarkStart w:id="8" w:name="OLE_LINK987"/>
      <w:bookmarkStart w:id="9" w:name="OLE_LINK246"/>
      <w:bookmarkStart w:id="10" w:name="OLE_LINK707"/>
      <w:bookmarkStart w:id="11" w:name="OLE_LINK1024"/>
      <w:bookmarkStart w:id="12" w:name="OLE_LINK737"/>
      <w:bookmarkStart w:id="13" w:name="OLE_LINK1000"/>
      <w:bookmarkStart w:id="14" w:name="OLE_LINK1039"/>
      <w:bookmarkStart w:id="15" w:name="OLE_LINK636"/>
      <w:bookmarkStart w:id="16" w:name="OLE_LINK654"/>
      <w:bookmarkStart w:id="17" w:name="OLE_LINK849"/>
      <w:bookmarkStart w:id="18" w:name="OLE_LINK939"/>
      <w:bookmarkStart w:id="19" w:name="OLE_LINK1050"/>
      <w:bookmarkStart w:id="20" w:name="OLE_LINK1071"/>
      <w:bookmarkStart w:id="21" w:name="OLE_LINK255"/>
      <w:bookmarkStart w:id="22" w:name="OLE_LINK578"/>
      <w:r>
        <w:rPr>
          <w:rFonts w:ascii="Book Antiqua" w:hAnsi="Book Antiqua" w:cs="Times New Roman"/>
          <w:b/>
          <w:kern w:val="0"/>
          <w:sz w:val="24"/>
          <w:highlight w:val="white"/>
        </w:rPr>
        <w:t xml:space="preserve">Name of </w:t>
      </w:r>
      <w:r>
        <w:rPr>
          <w:rFonts w:ascii="Book Antiqua" w:hAnsi="Book Antiqua" w:cs="Times New Roman"/>
          <w:b/>
          <w:caps/>
          <w:kern w:val="0"/>
          <w:sz w:val="24"/>
          <w:highlight w:val="white"/>
        </w:rPr>
        <w:t>j</w:t>
      </w:r>
      <w:r>
        <w:rPr>
          <w:rFonts w:ascii="Book Antiqua" w:hAnsi="Book Antiqua" w:cs="Times New Roman"/>
          <w:b/>
          <w:kern w:val="0"/>
          <w:sz w:val="24"/>
          <w:highlight w:val="white"/>
        </w:rPr>
        <w:t xml:space="preserve">ournal: </w:t>
      </w:r>
      <w:bookmarkStart w:id="23" w:name="OLE_LINK718"/>
      <w:bookmarkStart w:id="24" w:name="OLE_LINK719"/>
      <w:bookmarkEnd w:id="0"/>
      <w:r>
        <w:rPr>
          <w:rFonts w:ascii="Book Antiqua" w:hAnsi="Book Antiqua" w:cs="Times New Roman"/>
          <w:b/>
          <w:i/>
          <w:kern w:val="0"/>
          <w:sz w:val="24"/>
          <w:highlight w:val="white"/>
        </w:rPr>
        <w:t>World Journal of Gastroenterology</w:t>
      </w:r>
      <w:bookmarkEnd w:id="23"/>
      <w:bookmarkEnd w:id="24"/>
    </w:p>
    <w:p w:rsidR="00EA588F" w:rsidRDefault="00EA588F">
      <w:pPr>
        <w:widowControl/>
        <w:adjustRightInd w:val="0"/>
        <w:snapToGrid w:val="0"/>
        <w:spacing w:line="360" w:lineRule="auto"/>
        <w:rPr>
          <w:rFonts w:ascii="Book Antiqua" w:hAnsi="Book Antiqua" w:cs="Times New Roman"/>
          <w:b/>
          <w:i/>
          <w:kern w:val="0"/>
          <w:sz w:val="24"/>
          <w:highlight w:val="white"/>
        </w:rPr>
      </w:pPr>
      <w:bookmarkStart w:id="25" w:name="OLE_LINK768"/>
      <w:bookmarkStart w:id="26" w:name="OLE_LINK661"/>
      <w:bookmarkStart w:id="27" w:name="OLE_LINK568"/>
      <w:bookmarkStart w:id="28" w:name="OLE_LINK486"/>
      <w:bookmarkStart w:id="29" w:name="OLE_LINK485"/>
      <w:bookmarkStart w:id="30" w:name="OLE_LINK499"/>
      <w:bookmarkStart w:id="31" w:name="OLE_LINK437"/>
      <w:bookmarkStart w:id="32" w:name="OLE_LINK13"/>
      <w:bookmarkStart w:id="33" w:name="OLE_LINK515"/>
      <w:bookmarkStart w:id="34" w:name="OLE_LINK351"/>
      <w:bookmarkStart w:id="35" w:name="OLE_LINK425"/>
      <w:bookmarkStart w:id="36" w:name="OLE_LINK514"/>
      <w:r>
        <w:rPr>
          <w:rFonts w:ascii="Book Antiqua" w:hAnsi="Book Antiqua" w:cs="Times New Roman"/>
          <w:b/>
          <w:kern w:val="0"/>
          <w:sz w:val="24"/>
          <w:highlight w:val="white"/>
          <w:lang w:val="pl-PL"/>
        </w:rPr>
        <w:t>Manuscript NO:</w:t>
      </w:r>
      <w:bookmarkEnd w:id="25"/>
      <w:bookmarkEnd w:id="26"/>
      <w:bookmarkEnd w:id="27"/>
      <w:bookmarkEnd w:id="28"/>
      <w:bookmarkEnd w:id="29"/>
      <w:r>
        <w:rPr>
          <w:rFonts w:ascii="Book Antiqua" w:hAnsi="Book Antiqua" w:cs="Times New Roman"/>
          <w:b/>
          <w:kern w:val="0"/>
          <w:sz w:val="24"/>
          <w:highlight w:val="white"/>
          <w:lang w:val="pl-PL"/>
        </w:rPr>
        <w:t xml:space="preserve"> </w:t>
      </w:r>
      <w:bookmarkEnd w:id="30"/>
      <w:bookmarkEnd w:id="31"/>
      <w:r>
        <w:rPr>
          <w:rFonts w:ascii="Book Antiqua" w:hAnsi="Book Antiqua" w:cs="Times New Roman"/>
          <w:b/>
          <w:kern w:val="0"/>
          <w:sz w:val="24"/>
          <w:highlight w:val="white"/>
        </w:rPr>
        <w:t>50185</w:t>
      </w:r>
    </w:p>
    <w:p w:rsidR="00EA588F" w:rsidRDefault="00EA588F">
      <w:pPr>
        <w:widowControl/>
        <w:adjustRightInd w:val="0"/>
        <w:snapToGrid w:val="0"/>
        <w:spacing w:line="360" w:lineRule="auto"/>
        <w:rPr>
          <w:rFonts w:ascii="Book Antiqua" w:hAnsi="Book Antiqua"/>
          <w:b/>
          <w:kern w:val="0"/>
          <w:sz w:val="24"/>
          <w:lang w:val="it-IT"/>
        </w:rPr>
      </w:pPr>
      <w:bookmarkStart w:id="37" w:name="OLE_LINK511"/>
      <w:bookmarkStart w:id="38" w:name="OLE_LINK512"/>
      <w:bookmarkEnd w:id="32"/>
      <w:bookmarkEnd w:id="33"/>
      <w:bookmarkEnd w:id="34"/>
      <w:bookmarkEnd w:id="35"/>
      <w:bookmarkEnd w:id="36"/>
      <w:r>
        <w:rPr>
          <w:rFonts w:ascii="Book Antiqua" w:hAnsi="Book Antiqua"/>
          <w:b/>
          <w:kern w:val="0"/>
          <w:sz w:val="24"/>
          <w:highlight w:val="white"/>
          <w:lang w:val="it-IT"/>
        </w:rPr>
        <w:t xml:space="preserve">Manuscript </w:t>
      </w:r>
      <w:r>
        <w:rPr>
          <w:rFonts w:ascii="Book Antiqua" w:hAnsi="Book Antiqua"/>
          <w:b/>
          <w:caps/>
          <w:kern w:val="0"/>
          <w:sz w:val="24"/>
          <w:highlight w:val="white"/>
        </w:rPr>
        <w:t>t</w:t>
      </w:r>
      <w:r>
        <w:rPr>
          <w:rFonts w:ascii="Book Antiqua" w:hAnsi="Book Antiqua"/>
          <w:b/>
          <w:kern w:val="0"/>
          <w:sz w:val="24"/>
          <w:highlight w:val="white"/>
          <w:lang w:val="it-IT"/>
        </w:rPr>
        <w:t>ype</w:t>
      </w:r>
      <w:r>
        <w:rPr>
          <w:rFonts w:ascii="Book Antiqua" w:hAnsi="Book Antiqua"/>
          <w:b/>
          <w:kern w:val="0"/>
          <w:sz w:val="24"/>
          <w:lang w:val="it-IT"/>
        </w:rPr>
        <w:t>:</w:t>
      </w:r>
      <w:bookmarkEnd w:id="1"/>
      <w:bookmarkEnd w:id="2"/>
      <w:bookmarkEnd w:id="3"/>
      <w:bookmarkEnd w:id="4"/>
      <w:bookmarkEnd w:id="5"/>
      <w:bookmarkEnd w:id="6"/>
      <w:bookmarkEnd w:id="7"/>
      <w:bookmarkEnd w:id="8"/>
      <w:bookmarkEnd w:id="9"/>
      <w:bookmarkEnd w:id="10"/>
      <w:bookmarkEnd w:id="11"/>
      <w:bookmarkEnd w:id="12"/>
      <w:r>
        <w:rPr>
          <w:rFonts w:ascii="Book Antiqua" w:hAnsi="Book Antiqua"/>
          <w:b/>
          <w:kern w:val="0"/>
          <w:sz w:val="24"/>
          <w:lang w:val="it-IT"/>
        </w:rPr>
        <w:t xml:space="preserve"> </w:t>
      </w:r>
      <w:bookmarkEnd w:id="13"/>
      <w:bookmarkEnd w:id="14"/>
      <w:bookmarkEnd w:id="15"/>
      <w:bookmarkEnd w:id="16"/>
      <w:bookmarkEnd w:id="17"/>
      <w:bookmarkEnd w:id="18"/>
      <w:bookmarkEnd w:id="19"/>
      <w:bookmarkEnd w:id="20"/>
      <w:bookmarkEnd w:id="21"/>
      <w:bookmarkEnd w:id="22"/>
      <w:bookmarkEnd w:id="37"/>
      <w:bookmarkEnd w:id="38"/>
      <w:r>
        <w:rPr>
          <w:rFonts w:ascii="Book Antiqua" w:hAnsi="Book Antiqua"/>
          <w:b/>
          <w:kern w:val="0"/>
          <w:sz w:val="24"/>
          <w:lang w:val="it-IT"/>
        </w:rPr>
        <w:t>ORIGINAL ARTICLE</w:t>
      </w:r>
    </w:p>
    <w:p w:rsidR="00EA588F" w:rsidRDefault="00EA588F">
      <w:pPr>
        <w:widowControl/>
        <w:adjustRightInd w:val="0"/>
        <w:snapToGrid w:val="0"/>
        <w:spacing w:line="360" w:lineRule="auto"/>
        <w:rPr>
          <w:rFonts w:ascii="Book Antiqua" w:hAnsi="Book Antiqua"/>
          <w:b/>
          <w:kern w:val="0"/>
          <w:sz w:val="24"/>
          <w:lang w:val="it-IT"/>
        </w:rPr>
      </w:pPr>
    </w:p>
    <w:p w:rsidR="00EA588F" w:rsidRDefault="00EA588F">
      <w:pPr>
        <w:widowControl/>
        <w:adjustRightInd w:val="0"/>
        <w:snapToGrid w:val="0"/>
        <w:spacing w:line="360" w:lineRule="auto"/>
        <w:rPr>
          <w:rFonts w:ascii="Book Antiqua" w:hAnsi="Book Antiqua"/>
          <w:b/>
          <w:i/>
          <w:iCs/>
          <w:kern w:val="0"/>
          <w:sz w:val="24"/>
          <w:u w:val="single"/>
          <w:lang w:val="it-IT"/>
        </w:rPr>
      </w:pPr>
      <w:r>
        <w:rPr>
          <w:rFonts w:ascii="Book Antiqua" w:hAnsi="Book Antiqua"/>
          <w:b/>
          <w:i/>
          <w:iCs/>
          <w:kern w:val="0"/>
          <w:sz w:val="24"/>
          <w:lang w:val="it-IT"/>
        </w:rPr>
        <w:t>Retrospective Study</w:t>
      </w: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t>Blood parameters score predicts long-term outcomes in stage II-III gastric cancer patients</w:t>
      </w:r>
    </w:p>
    <w:p w:rsidR="00EA588F" w:rsidRDefault="00EA588F">
      <w:pPr>
        <w:adjustRightInd w:val="0"/>
        <w:snapToGrid w:val="0"/>
        <w:spacing w:line="360" w:lineRule="auto"/>
        <w:rPr>
          <w:rFonts w:ascii="Book Antiqua" w:hAnsi="Book Antiqua" w:cs="Times New Roman"/>
          <w:b/>
          <w:bCs/>
          <w:sz w:val="24"/>
        </w:rPr>
      </w:pP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Lin JX </w:t>
      </w:r>
      <w:r>
        <w:rPr>
          <w:rFonts w:ascii="Book Antiqua" w:hAnsi="Book Antiqua" w:cs="Times New Roman"/>
          <w:i/>
          <w:iCs/>
          <w:sz w:val="24"/>
        </w:rPr>
        <w:t>et al.</w:t>
      </w:r>
      <w:r>
        <w:rPr>
          <w:rFonts w:ascii="Book Antiqua" w:hAnsi="Book Antiqua" w:cs="Times New Roman"/>
          <w:sz w:val="24"/>
        </w:rPr>
        <w:t xml:space="preserve"> A novel scoring system for GC</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sz w:val="24"/>
          <w:lang w:val="pl-PL"/>
        </w:rPr>
      </w:pPr>
      <w:bookmarkStart w:id="39" w:name="OLE_LINK106"/>
      <w:r>
        <w:rPr>
          <w:rFonts w:ascii="Book Antiqua" w:hAnsi="Book Antiqua" w:cs="Times New Roman"/>
          <w:sz w:val="24"/>
          <w:lang w:val="pl-PL"/>
        </w:rPr>
        <w:t>Jian-Xian Lin,</w:t>
      </w:r>
      <w:bookmarkStart w:id="40" w:name="OLE_LINK14"/>
      <w:r>
        <w:rPr>
          <w:rFonts w:ascii="Book Antiqua" w:hAnsi="Book Antiqua" w:cs="Times New Roman"/>
          <w:sz w:val="24"/>
          <w:lang w:val="pl-PL"/>
        </w:rPr>
        <w:t xml:space="preserve"> </w:t>
      </w:r>
      <w:bookmarkEnd w:id="40"/>
      <w:r>
        <w:rPr>
          <w:rFonts w:ascii="Book Antiqua" w:hAnsi="Book Antiqua" w:cs="Times New Roman"/>
          <w:sz w:val="24"/>
          <w:lang w:val="pl-PL"/>
        </w:rPr>
        <w:t>Yi-Hui Tang, Jia-Bin Wang, Jun Lu, Qi-Yue Chen, Long-Long Cao, Mi Lin, Ru-Hong Tu, Chang-Ming Huang, Ping Li, Chao-Hui Zheng,</w:t>
      </w:r>
      <w:r>
        <w:rPr>
          <w:rFonts w:ascii="Book Antiqua" w:hAnsi="Book Antiqua" w:cs="Times New Roman"/>
          <w:sz w:val="24"/>
        </w:rPr>
        <w:t xml:space="preserve"> </w:t>
      </w:r>
      <w:r>
        <w:rPr>
          <w:rFonts w:ascii="Book Antiqua" w:hAnsi="Book Antiqua" w:cs="Times New Roman"/>
          <w:sz w:val="24"/>
          <w:lang w:val="pl-PL"/>
        </w:rPr>
        <w:t>Jian-Wei Xie</w:t>
      </w:r>
    </w:p>
    <w:p w:rsidR="00EA588F" w:rsidRDefault="00EA588F">
      <w:pPr>
        <w:adjustRightInd w:val="0"/>
        <w:snapToGrid w:val="0"/>
        <w:spacing w:line="360" w:lineRule="auto"/>
        <w:rPr>
          <w:rFonts w:ascii="Book Antiqua" w:hAnsi="Book Antiqua" w:cs="Times New Roman"/>
          <w:sz w:val="24"/>
          <w:lang w:val="pl-PL"/>
        </w:rPr>
      </w:pPr>
    </w:p>
    <w:bookmarkEnd w:id="39"/>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lang w:val="pl-PL"/>
        </w:rPr>
        <w:t>Jian-Xian Lin, Yi-Hui Tang, Jia-Bin Wang, Jun Lu, Qi-Yue Chen, Long-Long Cao, Mi Lin, Ru-Hong Tu, Chang-Ming Huang, Ping Li, Chao-Hui Zheng,</w:t>
      </w:r>
      <w:r>
        <w:rPr>
          <w:rFonts w:ascii="Book Antiqua" w:hAnsi="Book Antiqua" w:cs="Times New Roman"/>
          <w:b/>
          <w:bCs/>
          <w:sz w:val="24"/>
        </w:rPr>
        <w:t xml:space="preserve"> </w:t>
      </w:r>
      <w:r>
        <w:rPr>
          <w:rFonts w:ascii="Book Antiqua" w:hAnsi="Book Antiqua" w:cs="Times New Roman"/>
          <w:b/>
          <w:bCs/>
          <w:sz w:val="24"/>
          <w:lang w:val="pl-PL"/>
        </w:rPr>
        <w:t>Jian-Wei Xie</w:t>
      </w:r>
      <w:r>
        <w:rPr>
          <w:rFonts w:ascii="Book Antiqua" w:hAnsi="Book Antiqua" w:cs="Times New Roman"/>
          <w:b/>
          <w:bCs/>
          <w:sz w:val="24"/>
        </w:rPr>
        <w:t xml:space="preserve">, </w:t>
      </w:r>
      <w:r>
        <w:rPr>
          <w:rFonts w:ascii="Book Antiqua" w:hAnsi="Book Antiqua" w:cs="Times New Roman"/>
          <w:sz w:val="24"/>
        </w:rPr>
        <w:t>Department of Gastric Surgery, Fujian Medical University Union Hospital, Fuzhou 350001, Fujian Province, China</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lang w:val="pl-PL"/>
        </w:rPr>
        <w:t>Jian-Xian Lin, Jia-Bin Wang, Jun Lu, Qi-Yue Chen, Long-Long Cao, Chang-Ming Huang, Ping Li, Chao-Hui Zheng,</w:t>
      </w:r>
      <w:r>
        <w:rPr>
          <w:rFonts w:ascii="Book Antiqua" w:hAnsi="Book Antiqua" w:cs="Times New Roman"/>
          <w:b/>
          <w:bCs/>
          <w:sz w:val="24"/>
        </w:rPr>
        <w:t xml:space="preserve"> </w:t>
      </w:r>
      <w:r>
        <w:rPr>
          <w:rFonts w:ascii="Book Antiqua" w:hAnsi="Book Antiqua" w:cs="Times New Roman"/>
          <w:b/>
          <w:bCs/>
          <w:sz w:val="24"/>
          <w:lang w:val="pl-PL"/>
        </w:rPr>
        <w:t>Jian-Wei Xie</w:t>
      </w:r>
      <w:r>
        <w:rPr>
          <w:rFonts w:ascii="Book Antiqua" w:hAnsi="Book Antiqua" w:cs="Times New Roman"/>
          <w:b/>
          <w:bCs/>
          <w:sz w:val="24"/>
        </w:rPr>
        <w:t xml:space="preserve">, </w:t>
      </w:r>
      <w:r>
        <w:rPr>
          <w:rFonts w:ascii="Book Antiqua" w:hAnsi="Book Antiqua" w:cs="Times New Roman"/>
          <w:sz w:val="24"/>
        </w:rPr>
        <w:t>Key Laboratory of Ministry of Education of Gastrointestinal Cancer, Fujian Medical University, Fuzhou 350108, Fujian Province, China</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 xml:space="preserve">ORCID number: </w:t>
      </w:r>
      <w:r>
        <w:rPr>
          <w:rFonts w:ascii="Book Antiqua" w:hAnsi="Book Antiqua" w:cs="Times New Roman"/>
          <w:sz w:val="24"/>
          <w:lang w:val="pl-PL"/>
        </w:rPr>
        <w:t>Jian-Xian Lin</w:t>
      </w:r>
      <w:r>
        <w:rPr>
          <w:rFonts w:ascii="Book Antiqua" w:hAnsi="Book Antiqua" w:cs="Times New Roman"/>
          <w:sz w:val="24"/>
        </w:rPr>
        <w:t xml:space="preserve"> (0000-0002-5006-4454); Yi-</w:t>
      </w:r>
      <w:proofErr w:type="spellStart"/>
      <w:r>
        <w:rPr>
          <w:rFonts w:ascii="Book Antiqua" w:hAnsi="Book Antiqua" w:cs="Times New Roman"/>
          <w:sz w:val="24"/>
        </w:rPr>
        <w:t>Hui</w:t>
      </w:r>
      <w:proofErr w:type="spellEnd"/>
      <w:r>
        <w:rPr>
          <w:rFonts w:ascii="Book Antiqua" w:hAnsi="Book Antiqua" w:cs="Times New Roman"/>
          <w:sz w:val="24"/>
        </w:rPr>
        <w:t xml:space="preserve"> Tang (0000-0003-1959-0728); </w:t>
      </w:r>
      <w:r>
        <w:rPr>
          <w:rFonts w:ascii="Book Antiqua" w:hAnsi="Book Antiqua" w:cs="Times New Roman"/>
          <w:sz w:val="24"/>
          <w:lang w:val="pl-PL"/>
        </w:rPr>
        <w:t>Jia-Bin Wang</w:t>
      </w:r>
      <w:r>
        <w:rPr>
          <w:rFonts w:ascii="Book Antiqua" w:hAnsi="Book Antiqua" w:cs="Times New Roman"/>
          <w:sz w:val="24"/>
        </w:rPr>
        <w:t xml:space="preserve"> (0000-0002-2023-0183); </w:t>
      </w:r>
      <w:r>
        <w:rPr>
          <w:rFonts w:ascii="Book Antiqua" w:hAnsi="Book Antiqua" w:cs="Times New Roman"/>
          <w:sz w:val="24"/>
          <w:lang w:val="pl-PL"/>
        </w:rPr>
        <w:t>Jun Lu</w:t>
      </w:r>
      <w:r>
        <w:rPr>
          <w:rFonts w:ascii="Book Antiqua" w:hAnsi="Book Antiqua" w:cs="Times New Roman"/>
          <w:sz w:val="24"/>
        </w:rPr>
        <w:t xml:space="preserve"> (0000-0002-8459-4867); Qi-</w:t>
      </w:r>
      <w:proofErr w:type="spellStart"/>
      <w:r>
        <w:rPr>
          <w:rFonts w:ascii="Book Antiqua" w:hAnsi="Book Antiqua" w:cs="Times New Roman"/>
          <w:sz w:val="24"/>
        </w:rPr>
        <w:t>Yue</w:t>
      </w:r>
      <w:proofErr w:type="spellEnd"/>
      <w:r>
        <w:rPr>
          <w:rFonts w:ascii="Book Antiqua" w:hAnsi="Book Antiqua" w:cs="Times New Roman"/>
          <w:sz w:val="24"/>
        </w:rPr>
        <w:t xml:space="preserve"> Chen (0000-0001-6391-4043); Long-Long Cao (0000-0003-3144-3050); </w:t>
      </w:r>
      <w:proofErr w:type="spellStart"/>
      <w:r>
        <w:rPr>
          <w:rFonts w:ascii="Book Antiqua" w:hAnsi="Book Antiqua" w:cs="Times New Roman"/>
          <w:sz w:val="24"/>
        </w:rPr>
        <w:t>Mi</w:t>
      </w:r>
      <w:proofErr w:type="spellEnd"/>
      <w:r>
        <w:rPr>
          <w:rFonts w:ascii="Book Antiqua" w:hAnsi="Book Antiqua" w:cs="Times New Roman"/>
          <w:sz w:val="24"/>
        </w:rPr>
        <w:t xml:space="preserve"> Lin (0000-0001-7299-6159); </w:t>
      </w:r>
      <w:proofErr w:type="spellStart"/>
      <w:r>
        <w:rPr>
          <w:rFonts w:ascii="Book Antiqua" w:hAnsi="Book Antiqua" w:cs="Times New Roman"/>
          <w:sz w:val="24"/>
        </w:rPr>
        <w:t>Ru</w:t>
      </w:r>
      <w:proofErr w:type="spellEnd"/>
      <w:r>
        <w:rPr>
          <w:rFonts w:ascii="Book Antiqua" w:hAnsi="Book Antiqua" w:cs="Times New Roman"/>
          <w:sz w:val="24"/>
        </w:rPr>
        <w:t xml:space="preserve">-Hong </w:t>
      </w:r>
      <w:proofErr w:type="spellStart"/>
      <w:r>
        <w:rPr>
          <w:rFonts w:ascii="Book Antiqua" w:hAnsi="Book Antiqua" w:cs="Times New Roman"/>
          <w:sz w:val="24"/>
        </w:rPr>
        <w:t>Tu</w:t>
      </w:r>
      <w:proofErr w:type="spellEnd"/>
      <w:r>
        <w:rPr>
          <w:rFonts w:ascii="Book Antiqua" w:hAnsi="Book Antiqua" w:cs="Times New Roman"/>
          <w:sz w:val="24"/>
        </w:rPr>
        <w:t xml:space="preserve"> (0000-0002-7491-3879); Chang-Ming Huang (0000-0002-0019-885X); Ping Li (0000-0002-9418-9339); Chao-</w:t>
      </w:r>
      <w:proofErr w:type="spellStart"/>
      <w:r>
        <w:rPr>
          <w:rFonts w:ascii="Book Antiqua" w:hAnsi="Book Antiqua" w:cs="Times New Roman"/>
          <w:sz w:val="24"/>
        </w:rPr>
        <w:t>Hui</w:t>
      </w:r>
      <w:proofErr w:type="spellEnd"/>
      <w:r>
        <w:rPr>
          <w:rFonts w:ascii="Book Antiqua" w:hAnsi="Book Antiqua" w:cs="Times New Roman"/>
          <w:sz w:val="24"/>
        </w:rPr>
        <w:t xml:space="preserve"> </w:t>
      </w:r>
      <w:proofErr w:type="spellStart"/>
      <w:r>
        <w:rPr>
          <w:rFonts w:ascii="Book Antiqua" w:hAnsi="Book Antiqua" w:cs="Times New Roman"/>
          <w:sz w:val="24"/>
        </w:rPr>
        <w:t>Zheng</w:t>
      </w:r>
      <w:proofErr w:type="spellEnd"/>
      <w:r>
        <w:rPr>
          <w:rFonts w:ascii="Book Antiqua" w:hAnsi="Book Antiqua" w:cs="Times New Roman"/>
          <w:sz w:val="24"/>
        </w:rPr>
        <w:t xml:space="preserve"> (0000-0003-0157-5167); </w:t>
      </w:r>
      <w:proofErr w:type="spellStart"/>
      <w:r>
        <w:rPr>
          <w:rFonts w:ascii="Book Antiqua" w:hAnsi="Book Antiqua" w:cs="Times New Roman"/>
          <w:sz w:val="24"/>
        </w:rPr>
        <w:t>Jian</w:t>
      </w:r>
      <w:proofErr w:type="spellEnd"/>
      <w:r>
        <w:rPr>
          <w:rFonts w:ascii="Book Antiqua" w:hAnsi="Book Antiqua" w:cs="Times New Roman"/>
          <w:sz w:val="24"/>
        </w:rPr>
        <w:t xml:space="preserve">-Wei </w:t>
      </w:r>
      <w:proofErr w:type="spellStart"/>
      <w:r>
        <w:rPr>
          <w:rFonts w:ascii="Book Antiqua" w:hAnsi="Book Antiqua" w:cs="Times New Roman"/>
          <w:sz w:val="24"/>
        </w:rPr>
        <w:t>Xie</w:t>
      </w:r>
      <w:proofErr w:type="spellEnd"/>
      <w:r>
        <w:rPr>
          <w:rFonts w:ascii="Book Antiqua" w:hAnsi="Book Antiqua" w:cs="Times New Roman"/>
          <w:sz w:val="24"/>
        </w:rPr>
        <w:t xml:space="preserve"> (0000-0001-9000-5638). </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 xml:space="preserve">Author contributions: </w:t>
      </w:r>
      <w:r>
        <w:rPr>
          <w:rFonts w:ascii="Book Antiqua" w:hAnsi="Book Antiqua" w:cs="Times New Roman"/>
          <w:sz w:val="24"/>
        </w:rPr>
        <w:t xml:space="preserve">Lin JX and Tang YH contributed equally to his work and should be considered co-first authors; Li P, </w:t>
      </w:r>
      <w:proofErr w:type="spellStart"/>
      <w:r>
        <w:rPr>
          <w:rFonts w:ascii="Book Antiqua" w:hAnsi="Book Antiqua" w:cs="Times New Roman"/>
          <w:sz w:val="24"/>
        </w:rPr>
        <w:t>Zheng</w:t>
      </w:r>
      <w:proofErr w:type="spellEnd"/>
      <w:r>
        <w:rPr>
          <w:rFonts w:ascii="Book Antiqua" w:hAnsi="Book Antiqua" w:cs="Times New Roman"/>
          <w:sz w:val="24"/>
        </w:rPr>
        <w:t xml:space="preserve"> CH, </w:t>
      </w:r>
      <w:proofErr w:type="spellStart"/>
      <w:r>
        <w:rPr>
          <w:rFonts w:ascii="Book Antiqua" w:hAnsi="Book Antiqua" w:cs="Times New Roman"/>
          <w:sz w:val="24"/>
        </w:rPr>
        <w:t>Xie</w:t>
      </w:r>
      <w:proofErr w:type="spellEnd"/>
      <w:r>
        <w:rPr>
          <w:rFonts w:ascii="Book Antiqua" w:hAnsi="Book Antiqua" w:cs="Times New Roman"/>
          <w:sz w:val="24"/>
        </w:rPr>
        <w:t xml:space="preserve"> JW, Lin JX, and Tang YH conceived of the study and analyzed the data; Wang JB, Lu J, Chen QY, Cao LL, Lin M, and </w:t>
      </w:r>
      <w:proofErr w:type="spellStart"/>
      <w:r>
        <w:rPr>
          <w:rFonts w:ascii="Book Antiqua" w:hAnsi="Book Antiqua" w:cs="Times New Roman"/>
          <w:sz w:val="24"/>
        </w:rPr>
        <w:t>Tu</w:t>
      </w:r>
      <w:proofErr w:type="spellEnd"/>
      <w:r>
        <w:rPr>
          <w:rFonts w:ascii="Book Antiqua" w:hAnsi="Book Antiqua" w:cs="Times New Roman"/>
          <w:sz w:val="24"/>
        </w:rPr>
        <w:t xml:space="preserve"> RH helped collect the data and design the study; Lin JX and Tang YH wrote the manuscript; Li P, </w:t>
      </w:r>
      <w:proofErr w:type="spellStart"/>
      <w:r>
        <w:rPr>
          <w:rFonts w:ascii="Book Antiqua" w:hAnsi="Book Antiqua" w:cs="Times New Roman"/>
          <w:sz w:val="24"/>
        </w:rPr>
        <w:t>Zheng</w:t>
      </w:r>
      <w:proofErr w:type="spellEnd"/>
      <w:r>
        <w:rPr>
          <w:rFonts w:ascii="Book Antiqua" w:hAnsi="Book Antiqua" w:cs="Times New Roman"/>
          <w:sz w:val="24"/>
        </w:rPr>
        <w:t xml:space="preserve"> CH, </w:t>
      </w:r>
      <w:proofErr w:type="spellStart"/>
      <w:r>
        <w:rPr>
          <w:rFonts w:ascii="Book Antiqua" w:hAnsi="Book Antiqua" w:cs="Times New Roman"/>
          <w:sz w:val="24"/>
        </w:rPr>
        <w:t>Xie</w:t>
      </w:r>
      <w:proofErr w:type="spellEnd"/>
      <w:r>
        <w:rPr>
          <w:rFonts w:ascii="Book Antiqua" w:hAnsi="Book Antiqua" w:cs="Times New Roman"/>
          <w:sz w:val="24"/>
        </w:rPr>
        <w:t xml:space="preserve"> JW, Lin JX, Wang JB, Lu J, and Chen QY helped revise the manuscript critically for important intellectual content; all authors read and approved the final manuscript. </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sz w:val="24"/>
        </w:rPr>
      </w:pPr>
      <w:bookmarkStart w:id="41" w:name="OLE_LINK391"/>
      <w:r>
        <w:rPr>
          <w:rFonts w:ascii="Book Antiqua" w:hAnsi="Book Antiqua" w:cs="Times New Roman"/>
          <w:b/>
          <w:bCs/>
          <w:sz w:val="24"/>
        </w:rPr>
        <w:t xml:space="preserve">Supported by </w:t>
      </w:r>
      <w:r>
        <w:rPr>
          <w:rFonts w:ascii="Book Antiqua" w:hAnsi="Book Antiqua" w:cs="Times New Roman"/>
          <w:sz w:val="24"/>
        </w:rPr>
        <w:t>the</w:t>
      </w:r>
      <w:r>
        <w:rPr>
          <w:rFonts w:ascii="Book Antiqua" w:hAnsi="Book Antiqua" w:cs="Times New Roman"/>
          <w:b/>
          <w:bCs/>
          <w:sz w:val="24"/>
        </w:rPr>
        <w:t xml:space="preserve"> </w:t>
      </w:r>
      <w:r>
        <w:rPr>
          <w:rFonts w:ascii="Book Antiqua" w:hAnsi="Book Antiqua" w:cs="Times New Roman"/>
          <w:sz w:val="24"/>
        </w:rPr>
        <w:t xml:space="preserve">Scientific and </w:t>
      </w:r>
      <w:r>
        <w:rPr>
          <w:rFonts w:ascii="Book Antiqua" w:hAnsi="Book Antiqua" w:cs="Times New Roman"/>
          <w:caps/>
          <w:sz w:val="24"/>
        </w:rPr>
        <w:t>t</w:t>
      </w:r>
      <w:r>
        <w:rPr>
          <w:rFonts w:ascii="Book Antiqua" w:hAnsi="Book Antiqua" w:cs="Times New Roman"/>
          <w:sz w:val="24"/>
        </w:rPr>
        <w:t xml:space="preserve">echnological </w:t>
      </w:r>
      <w:r>
        <w:rPr>
          <w:rFonts w:ascii="Book Antiqua" w:hAnsi="Book Antiqua" w:cs="Times New Roman"/>
          <w:caps/>
          <w:sz w:val="24"/>
        </w:rPr>
        <w:t>i</w:t>
      </w:r>
      <w:r>
        <w:rPr>
          <w:rFonts w:ascii="Book Antiqua" w:hAnsi="Book Antiqua" w:cs="Times New Roman"/>
          <w:sz w:val="24"/>
        </w:rPr>
        <w:t xml:space="preserve">nnovation </w:t>
      </w:r>
      <w:r>
        <w:rPr>
          <w:rFonts w:ascii="Book Antiqua" w:hAnsi="Book Antiqua" w:cs="Times New Roman"/>
          <w:caps/>
          <w:sz w:val="24"/>
        </w:rPr>
        <w:t>j</w:t>
      </w:r>
      <w:r>
        <w:rPr>
          <w:rFonts w:ascii="Book Antiqua" w:hAnsi="Book Antiqua" w:cs="Times New Roman"/>
          <w:sz w:val="24"/>
        </w:rPr>
        <w:t xml:space="preserve">oint </w:t>
      </w:r>
      <w:r>
        <w:rPr>
          <w:rFonts w:ascii="Book Antiqua" w:hAnsi="Book Antiqua" w:cs="Times New Roman"/>
          <w:caps/>
          <w:sz w:val="24"/>
        </w:rPr>
        <w:t>c</w:t>
      </w:r>
      <w:r>
        <w:rPr>
          <w:rFonts w:ascii="Book Antiqua" w:hAnsi="Book Antiqua" w:cs="Times New Roman"/>
          <w:sz w:val="24"/>
        </w:rPr>
        <w:t xml:space="preserve">apital </w:t>
      </w:r>
      <w:r>
        <w:rPr>
          <w:rFonts w:ascii="Book Antiqua" w:hAnsi="Book Antiqua" w:cs="Times New Roman"/>
          <w:caps/>
          <w:sz w:val="24"/>
        </w:rPr>
        <w:t>p</w:t>
      </w:r>
      <w:r>
        <w:rPr>
          <w:rFonts w:ascii="Book Antiqua" w:hAnsi="Book Antiqua" w:cs="Times New Roman"/>
          <w:sz w:val="24"/>
        </w:rPr>
        <w:t xml:space="preserve">rojects of Fujian Province, No. 2016Y9031; the </w:t>
      </w:r>
      <w:r>
        <w:rPr>
          <w:rFonts w:ascii="Book Antiqua" w:hAnsi="Book Antiqua" w:cs="Times New Roman"/>
          <w:caps/>
          <w:sz w:val="24"/>
        </w:rPr>
        <w:t>m</w:t>
      </w:r>
      <w:r>
        <w:rPr>
          <w:rFonts w:ascii="Book Antiqua" w:hAnsi="Book Antiqua" w:cs="Times New Roman"/>
          <w:sz w:val="24"/>
        </w:rPr>
        <w:t>inimally</w:t>
      </w:r>
      <w:r>
        <w:rPr>
          <w:rFonts w:ascii="Book Antiqua" w:hAnsi="Book Antiqua" w:cs="Times New Roman"/>
          <w:caps/>
          <w:sz w:val="24"/>
        </w:rPr>
        <w:t xml:space="preserve"> i</w:t>
      </w:r>
      <w:r>
        <w:rPr>
          <w:rFonts w:ascii="Book Antiqua" w:hAnsi="Book Antiqua" w:cs="Times New Roman"/>
          <w:sz w:val="24"/>
        </w:rPr>
        <w:t xml:space="preserve">nvasive </w:t>
      </w:r>
      <w:r>
        <w:rPr>
          <w:rFonts w:ascii="Book Antiqua" w:hAnsi="Book Antiqua" w:cs="Times New Roman"/>
          <w:caps/>
          <w:sz w:val="24"/>
        </w:rPr>
        <w:t>m</w:t>
      </w:r>
      <w:r>
        <w:rPr>
          <w:rFonts w:ascii="Book Antiqua" w:hAnsi="Book Antiqua" w:cs="Times New Roman"/>
          <w:sz w:val="24"/>
        </w:rPr>
        <w:t xml:space="preserve">edical </w:t>
      </w:r>
      <w:r>
        <w:rPr>
          <w:rFonts w:ascii="Book Antiqua" w:hAnsi="Book Antiqua" w:cs="Times New Roman"/>
          <w:caps/>
          <w:sz w:val="24"/>
        </w:rPr>
        <w:t>c</w:t>
      </w:r>
      <w:r>
        <w:rPr>
          <w:rFonts w:ascii="Book Antiqua" w:hAnsi="Book Antiqua" w:cs="Times New Roman"/>
          <w:sz w:val="24"/>
        </w:rPr>
        <w:t xml:space="preserve">enter of Fujian Province, No. [2017]171; the Science Foundation of Fujian Province, No. 2018J01307; and the Startup Fund for </w:t>
      </w:r>
      <w:r>
        <w:rPr>
          <w:rFonts w:ascii="Book Antiqua" w:hAnsi="Book Antiqua" w:cs="Times New Roman"/>
          <w:caps/>
          <w:sz w:val="24"/>
        </w:rPr>
        <w:t>s</w:t>
      </w:r>
      <w:r>
        <w:rPr>
          <w:rFonts w:ascii="Book Antiqua" w:hAnsi="Book Antiqua" w:cs="Times New Roman"/>
          <w:sz w:val="24"/>
        </w:rPr>
        <w:t xml:space="preserve">cientific </w:t>
      </w:r>
      <w:r>
        <w:rPr>
          <w:rFonts w:ascii="Book Antiqua" w:hAnsi="Book Antiqua" w:cs="Times New Roman"/>
          <w:caps/>
          <w:sz w:val="24"/>
        </w:rPr>
        <w:t>r</w:t>
      </w:r>
      <w:r>
        <w:rPr>
          <w:rFonts w:ascii="Book Antiqua" w:hAnsi="Book Antiqua" w:cs="Times New Roman"/>
          <w:sz w:val="24"/>
        </w:rPr>
        <w:t xml:space="preserve">esearch, Fujian Medical University, No. 2016QH024. </w:t>
      </w:r>
    </w:p>
    <w:bookmarkEnd w:id="41"/>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eastAsia="Book Antiqua" w:hAnsi="Book Antiqua" w:cs="Book Antiqua"/>
          <w:kern w:val="0"/>
          <w:sz w:val="24"/>
          <w:lang w:bidi="ar"/>
        </w:rPr>
      </w:pPr>
      <w:bookmarkStart w:id="42" w:name="OLE_LINK1104"/>
      <w:bookmarkStart w:id="43" w:name="OLE_LINK270"/>
      <w:r>
        <w:rPr>
          <w:rFonts w:ascii="Book Antiqua" w:hAnsi="Book Antiqua" w:cs="Times New Roman"/>
          <w:b/>
          <w:bCs/>
          <w:sz w:val="24"/>
        </w:rPr>
        <w:t xml:space="preserve">Institutional review board statement: </w:t>
      </w:r>
      <w:r>
        <w:rPr>
          <w:rFonts w:ascii="Book Antiqua" w:eastAsia="Book Antiqua" w:hAnsi="Book Antiqua" w:cs="Book Antiqua"/>
          <w:kern w:val="0"/>
          <w:sz w:val="24"/>
          <w:lang w:bidi="ar"/>
        </w:rPr>
        <w:t xml:space="preserve">This study was reviewed and approved by the </w:t>
      </w:r>
      <w:r>
        <w:rPr>
          <w:rFonts w:ascii="Book Antiqua" w:hAnsi="Book Antiqua" w:cs="Times New Roman"/>
          <w:sz w:val="24"/>
        </w:rPr>
        <w:t>Fujian Medical University Union Hospital (</w:t>
      </w:r>
      <w:r>
        <w:rPr>
          <w:rFonts w:ascii="Book Antiqua" w:eastAsia="Book Antiqua" w:hAnsi="Book Antiqua" w:cs="Book Antiqua"/>
          <w:kern w:val="0"/>
          <w:sz w:val="24"/>
          <w:lang w:bidi="ar"/>
        </w:rPr>
        <w:t>FMUUH) Institutional Review Board.</w:t>
      </w:r>
    </w:p>
    <w:bookmarkEnd w:id="42"/>
    <w:bookmarkEnd w:id="43"/>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eastAsia="Book Antiqua" w:hAnsi="Book Antiqua" w:cs="Book Antiqua"/>
          <w:kern w:val="0"/>
          <w:sz w:val="24"/>
          <w:lang w:val="pl-PL" w:eastAsia="pl-PL" w:bidi="ar"/>
        </w:rPr>
      </w:pPr>
      <w:bookmarkStart w:id="44" w:name="OLE_LINK464"/>
      <w:r>
        <w:rPr>
          <w:rFonts w:ascii="Book Antiqua" w:eastAsia="Book Antiqua" w:hAnsi="Book Antiqua" w:cs="Book Antiqua"/>
          <w:b/>
          <w:kern w:val="0"/>
          <w:sz w:val="24"/>
          <w:lang w:bidi="ar"/>
        </w:rPr>
        <w:t xml:space="preserve">Informed consent statement: </w:t>
      </w:r>
      <w:r>
        <w:rPr>
          <w:rFonts w:ascii="Book Antiqua" w:eastAsia="Book Antiqua" w:hAnsi="Book Antiqua" w:cs="Book Antiqua"/>
          <w:kern w:val="0"/>
          <w:sz w:val="24"/>
          <w:lang w:val="pl-PL" w:eastAsia="pl-PL" w:bidi="ar"/>
        </w:rPr>
        <w:t>Patients were not required to give informed consent to the study because the analysis used anonymous clinical data that were obtained after each patient agreed to treatment by written consent.</w:t>
      </w:r>
      <w:r>
        <w:rPr>
          <w:rFonts w:ascii="Book Antiqua" w:hAnsi="Book Antiqua" w:cs="Book Antiqua"/>
          <w:kern w:val="0"/>
          <w:sz w:val="24"/>
          <w:lang w:bidi="ar"/>
        </w:rPr>
        <w:t xml:space="preserve"> </w:t>
      </w:r>
    </w:p>
    <w:bookmarkEnd w:id="44"/>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hAnsi="Book Antiqua"/>
          <w:sz w:val="24"/>
        </w:rPr>
      </w:pPr>
      <w:bookmarkStart w:id="45" w:name="OLE_LINK824"/>
      <w:bookmarkStart w:id="46" w:name="OLE_LINK825"/>
      <w:bookmarkStart w:id="47" w:name="OLE_LINK2"/>
      <w:bookmarkStart w:id="48" w:name="OLE_LINK5"/>
      <w:bookmarkStart w:id="49" w:name="OLE_LINK587"/>
      <w:bookmarkStart w:id="50" w:name="OLE_LINK765"/>
      <w:bookmarkStart w:id="51" w:name="OLE_LINK186"/>
      <w:r>
        <w:rPr>
          <w:rFonts w:ascii="Book Antiqua" w:eastAsia="Book Antiqua" w:hAnsi="Book Antiqua" w:cs="Book Antiqua"/>
          <w:b/>
          <w:kern w:val="0"/>
          <w:sz w:val="24"/>
          <w:lang w:bidi="ar"/>
        </w:rPr>
        <w:t xml:space="preserve">Conflict-of-interest statement: </w:t>
      </w:r>
      <w:r>
        <w:rPr>
          <w:rFonts w:ascii="Book Antiqua" w:eastAsia="Book Antiqua" w:hAnsi="Book Antiqua" w:cs="Book Antiqua"/>
          <w:kern w:val="0"/>
          <w:sz w:val="24"/>
          <w:lang w:bidi="ar"/>
        </w:rPr>
        <w:t>We have no financial relationships to disclose.</w:t>
      </w:r>
    </w:p>
    <w:p w:rsidR="00EA588F" w:rsidRDefault="00EA588F">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p>
    <w:bookmarkEnd w:id="45"/>
    <w:bookmarkEnd w:id="46"/>
    <w:bookmarkEnd w:id="47"/>
    <w:bookmarkEnd w:id="48"/>
    <w:p w:rsidR="00EA588F" w:rsidRDefault="00EA588F">
      <w:pPr>
        <w:widowControl/>
        <w:adjustRightInd w:val="0"/>
        <w:snapToGrid w:val="0"/>
        <w:spacing w:line="360" w:lineRule="auto"/>
        <w:rPr>
          <w:rFonts w:ascii="Book Antiqua" w:eastAsia="Book Antiqua" w:hAnsi="Book Antiqua" w:cs="Book Antiqua"/>
          <w:kern w:val="0"/>
          <w:sz w:val="24"/>
          <w:lang w:bidi="ar"/>
        </w:rPr>
      </w:pPr>
      <w:r>
        <w:rPr>
          <w:rFonts w:ascii="Book Antiqua" w:eastAsia="Book Antiqua" w:hAnsi="Book Antiqua" w:cs="Book Antiqua"/>
          <w:b/>
          <w:kern w:val="0"/>
          <w:sz w:val="24"/>
          <w:lang w:bidi="ar"/>
        </w:rPr>
        <w:t xml:space="preserve">Data sharing statement: </w:t>
      </w:r>
      <w:r>
        <w:rPr>
          <w:rFonts w:ascii="Book Antiqua" w:eastAsia="Book Antiqua" w:hAnsi="Book Antiqua" w:cs="Book Antiqua"/>
          <w:kern w:val="0"/>
          <w:sz w:val="24"/>
          <w:lang w:bidi="ar"/>
        </w:rPr>
        <w:t xml:space="preserve">No additional data are available. </w:t>
      </w:r>
    </w:p>
    <w:p w:rsidR="00EA588F" w:rsidRDefault="00EA588F">
      <w:pPr>
        <w:widowControl/>
        <w:adjustRightInd w:val="0"/>
        <w:snapToGrid w:val="0"/>
        <w:spacing w:line="360" w:lineRule="auto"/>
        <w:rPr>
          <w:rFonts w:ascii="Book Antiqua" w:eastAsia="等线" w:hAnsi="Book Antiqua" w:cs="Book Antiqua"/>
          <w:kern w:val="0"/>
          <w:sz w:val="24"/>
          <w:lang w:bidi="ar"/>
        </w:rPr>
      </w:pPr>
    </w:p>
    <w:p w:rsidR="00EA588F" w:rsidRDefault="00EA588F">
      <w:pPr>
        <w:widowControl/>
        <w:adjustRightInd w:val="0"/>
        <w:snapToGrid w:val="0"/>
        <w:spacing w:line="360" w:lineRule="auto"/>
        <w:rPr>
          <w:rFonts w:ascii="Book Antiqua" w:hAnsi="Book Antiqua" w:cs="Times New Roman"/>
          <w:kern w:val="0"/>
          <w:sz w:val="24"/>
        </w:rPr>
      </w:pPr>
      <w:bookmarkStart w:id="52" w:name="OLE_LINK32"/>
      <w:bookmarkStart w:id="53" w:name="OLE_LINK381"/>
      <w:bookmarkStart w:id="54" w:name="OLE_LINK413"/>
      <w:bookmarkStart w:id="55" w:name="OLE_LINK61"/>
      <w:bookmarkStart w:id="56" w:name="OLE_LINK615"/>
      <w:bookmarkStart w:id="57" w:name="OLE_LINK69"/>
      <w:bookmarkStart w:id="58" w:name="OLE_LINK140"/>
      <w:bookmarkStart w:id="59" w:name="OLE_LINK25"/>
      <w:bookmarkStart w:id="60" w:name="OLE_LINK26"/>
      <w:bookmarkStart w:id="61" w:name="OLE_LINK375"/>
      <w:r>
        <w:rPr>
          <w:rFonts w:ascii="Book Antiqua" w:hAnsi="Book Antiqua" w:cs="Times New Roman"/>
          <w:b/>
          <w:color w:val="000000"/>
          <w:kern w:val="0"/>
          <w:sz w:val="24"/>
        </w:rPr>
        <w:t xml:space="preserve">Open-Access: </w:t>
      </w:r>
      <w:r>
        <w:rPr>
          <w:rFonts w:ascii="Book Antiqua" w:hAnsi="Book Antiqua" w:cs="Times New Roman"/>
          <w:color w:val="000000"/>
          <w:kern w:val="0"/>
          <w:sz w:val="24"/>
        </w:rPr>
        <w:t xml:space="preserve">This is an </w:t>
      </w:r>
      <w:r>
        <w:rPr>
          <w:rFonts w:ascii="Book Antiqua" w:hAnsi="Book Antiqua"/>
          <w:kern w:val="0"/>
          <w:sz w:val="24"/>
        </w:rPr>
        <w:t xml:space="preserve">open-access article that was </w:t>
      </w:r>
      <w:r>
        <w:rPr>
          <w:rFonts w:ascii="Book Antiqua" w:hAnsi="Book Antiqua" w:cs="Times New Roman"/>
          <w:kern w:val="0"/>
          <w:sz w:val="24"/>
        </w:rPr>
        <w:t xml:space="preserve">selected by an in-house editor and fully peer-reviewed by external reviewers. It is </w:t>
      </w:r>
      <w:r>
        <w:rPr>
          <w:rFonts w:ascii="Book Antiqua" w:hAnsi="Book Antiqua"/>
          <w:kern w:val="0"/>
          <w:sz w:val="24"/>
        </w:rPr>
        <w:t xml:space="preserve">distributed in accordance with </w:t>
      </w:r>
      <w:r>
        <w:rPr>
          <w:rFonts w:ascii="Book Antiqua" w:hAnsi="Book Antiqua" w:cs="Times New Roman"/>
          <w:kern w:val="0"/>
          <w:sz w:val="24"/>
        </w:rPr>
        <w:t xml:space="preserve">the Creative Commons Attribution Non Commercial (CC </w:t>
      </w:r>
      <w:r>
        <w:rPr>
          <w:rFonts w:ascii="Book Antiqua" w:hAnsi="Book Antiqua" w:cs="Times New Roman"/>
          <w:kern w:val="0"/>
          <w:sz w:val="24"/>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7" w:history="1">
        <w:r>
          <w:rPr>
            <w:rFonts w:ascii="Book Antiqua" w:hAnsi="Book Antiqua" w:cs="Times New Roman"/>
            <w:color w:val="0000FF"/>
            <w:kern w:val="0"/>
            <w:sz w:val="24"/>
            <w:u w:val="single"/>
          </w:rPr>
          <w:t>http://creativecommons.org/licenses/by-nc/4.0/</w:t>
        </w:r>
      </w:hyperlink>
    </w:p>
    <w:p w:rsidR="00EA588F" w:rsidRDefault="00EA588F">
      <w:pPr>
        <w:widowControl/>
        <w:adjustRightInd w:val="0"/>
        <w:snapToGrid w:val="0"/>
        <w:spacing w:line="360" w:lineRule="auto"/>
        <w:rPr>
          <w:rFonts w:ascii="Book Antiqua" w:hAnsi="Book Antiqua" w:cs="Times New Roman"/>
          <w:kern w:val="0"/>
          <w:sz w:val="24"/>
        </w:rPr>
      </w:pPr>
    </w:p>
    <w:p w:rsidR="00EA588F" w:rsidRDefault="00EA588F">
      <w:pPr>
        <w:widowControl/>
        <w:adjustRightInd w:val="0"/>
        <w:snapToGrid w:val="0"/>
        <w:spacing w:line="360" w:lineRule="auto"/>
        <w:rPr>
          <w:rFonts w:ascii="Book Antiqua" w:eastAsia="等线" w:hAnsi="Book Antiqua"/>
          <w:sz w:val="24"/>
        </w:rPr>
      </w:pPr>
      <w:r>
        <w:rPr>
          <w:rFonts w:ascii="Book Antiqua" w:hAnsi="Book Antiqua" w:cs="Times New Roman"/>
          <w:b/>
          <w:bCs/>
          <w:kern w:val="0"/>
          <w:sz w:val="24"/>
          <w:highlight w:val="white"/>
        </w:rPr>
        <w:t xml:space="preserve">Manuscript source: </w:t>
      </w:r>
      <w:r>
        <w:rPr>
          <w:rFonts w:ascii="Book Antiqua" w:hAnsi="Book Antiqua" w:cs="Times New Roman"/>
          <w:bCs/>
          <w:kern w:val="0"/>
          <w:sz w:val="24"/>
          <w:highlight w:val="white"/>
        </w:rPr>
        <w:t>Unsolicited manuscript</w:t>
      </w:r>
      <w:bookmarkEnd w:id="52"/>
      <w:bookmarkEnd w:id="53"/>
      <w:bookmarkEnd w:id="54"/>
      <w:bookmarkEnd w:id="55"/>
      <w:bookmarkEnd w:id="56"/>
      <w:bookmarkEnd w:id="57"/>
      <w:bookmarkEnd w:id="58"/>
      <w:bookmarkEnd w:id="59"/>
      <w:bookmarkEnd w:id="60"/>
      <w:bookmarkEnd w:id="61"/>
    </w:p>
    <w:p w:rsidR="00EA588F" w:rsidRDefault="00EA588F">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p>
    <w:bookmarkEnd w:id="49"/>
    <w:bookmarkEnd w:id="50"/>
    <w:bookmarkEnd w:id="51"/>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sz w:val="24"/>
        </w:rPr>
        <w:t>Corresponding author:</w:t>
      </w:r>
      <w:r>
        <w:rPr>
          <w:rFonts w:ascii="Book Antiqua" w:hAnsi="Book Antiqua" w:cs="Times New Roman"/>
          <w:sz w:val="24"/>
        </w:rPr>
        <w:t xml:space="preserve"> </w:t>
      </w:r>
      <w:proofErr w:type="spellStart"/>
      <w:r>
        <w:rPr>
          <w:rFonts w:ascii="Book Antiqua" w:hAnsi="Book Antiqua" w:cs="Times New Roman"/>
          <w:b/>
          <w:bCs/>
          <w:sz w:val="24"/>
        </w:rPr>
        <w:t>Jian</w:t>
      </w:r>
      <w:proofErr w:type="spellEnd"/>
      <w:r>
        <w:rPr>
          <w:rFonts w:ascii="Book Antiqua" w:hAnsi="Book Antiqua" w:cs="Times New Roman"/>
          <w:b/>
          <w:bCs/>
          <w:sz w:val="24"/>
        </w:rPr>
        <w:t xml:space="preserve">-Wei </w:t>
      </w:r>
      <w:proofErr w:type="spellStart"/>
      <w:r>
        <w:rPr>
          <w:rFonts w:ascii="Book Antiqua" w:hAnsi="Book Antiqua" w:cs="Times New Roman"/>
          <w:b/>
          <w:bCs/>
          <w:sz w:val="24"/>
        </w:rPr>
        <w:t>Xie</w:t>
      </w:r>
      <w:proofErr w:type="spellEnd"/>
      <w:r>
        <w:rPr>
          <w:rFonts w:ascii="Book Antiqua" w:eastAsia="Book Antiqua" w:hAnsi="Book Antiqua" w:cs="Book Antiqua"/>
          <w:b/>
          <w:kern w:val="0"/>
          <w:sz w:val="24"/>
          <w:lang w:bidi="ar"/>
        </w:rPr>
        <w:t xml:space="preserve">, MD, PhD, Doctor, </w:t>
      </w:r>
      <w:r>
        <w:rPr>
          <w:rFonts w:ascii="Book Antiqua" w:hAnsi="Book Antiqua" w:cs="Times New Roman"/>
          <w:sz w:val="24"/>
        </w:rPr>
        <w:t xml:space="preserve">Department of Gastric Surgery, Fujian Medical University Union Hospital, No. 29, </w:t>
      </w:r>
      <w:proofErr w:type="spellStart"/>
      <w:r>
        <w:rPr>
          <w:rFonts w:ascii="Book Antiqua" w:hAnsi="Book Antiqua" w:cs="Times New Roman"/>
          <w:sz w:val="24"/>
        </w:rPr>
        <w:t>Xinquan</w:t>
      </w:r>
      <w:proofErr w:type="spellEnd"/>
      <w:r>
        <w:rPr>
          <w:rFonts w:ascii="Book Antiqua" w:hAnsi="Book Antiqua" w:cs="Times New Roman"/>
          <w:sz w:val="24"/>
        </w:rPr>
        <w:t xml:space="preserve"> Road, Fuzhou 350001, Fujian Province, China. xjwhw2019@163.com</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 xml:space="preserve">Telephone: </w:t>
      </w:r>
      <w:r>
        <w:rPr>
          <w:rFonts w:ascii="Book Antiqua" w:hAnsi="Book Antiqua" w:cs="Times New Roman"/>
          <w:sz w:val="24"/>
        </w:rPr>
        <w:t>+86-591-83363366</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 xml:space="preserve">Fax: </w:t>
      </w:r>
      <w:r>
        <w:rPr>
          <w:rFonts w:ascii="Book Antiqua" w:hAnsi="Book Antiqua" w:cs="Times New Roman"/>
          <w:sz w:val="24"/>
        </w:rPr>
        <w:t>+86-591-83363366</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Received:</w:t>
      </w:r>
      <w:r>
        <w:rPr>
          <w:rFonts w:ascii="Book Antiqua" w:hAnsi="Book Antiqua" w:cs="Times New Roman"/>
          <w:sz w:val="24"/>
        </w:rPr>
        <w:t xml:space="preserve"> July 11, 2019</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 xml:space="preserve">Peer-review started: </w:t>
      </w:r>
      <w:r>
        <w:rPr>
          <w:rFonts w:ascii="Book Antiqua" w:hAnsi="Book Antiqua" w:cs="Times New Roman"/>
          <w:sz w:val="24"/>
        </w:rPr>
        <w:t>July 12, 2019</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First decision:</w:t>
      </w:r>
      <w:r>
        <w:rPr>
          <w:rFonts w:ascii="Book Antiqua" w:hAnsi="Book Antiqua" w:cs="Times New Roman"/>
          <w:sz w:val="24"/>
        </w:rPr>
        <w:t xml:space="preserve"> August 18, 2019</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Revised:</w:t>
      </w:r>
      <w:r>
        <w:rPr>
          <w:rFonts w:ascii="Book Antiqua" w:hAnsi="Book Antiqua" w:cs="Times New Roman"/>
          <w:sz w:val="24"/>
        </w:rPr>
        <w:t xml:space="preserve"> September 6, 2019</w:t>
      </w: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t>Accepted:</w:t>
      </w:r>
      <w:r>
        <w:t xml:space="preserve"> </w:t>
      </w:r>
      <w:r>
        <w:rPr>
          <w:rFonts w:ascii="Book Antiqua" w:hAnsi="Book Antiqua" w:cs="Times New Roman"/>
          <w:bCs/>
          <w:sz w:val="24"/>
        </w:rPr>
        <w:t xml:space="preserve">September 11, 2019 </w:t>
      </w: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t>Article in press:</w:t>
      </w:r>
      <w:r w:rsidR="00CD5D5E">
        <w:rPr>
          <w:rFonts w:ascii="Book Antiqua" w:hAnsi="Book Antiqua" w:cs="Times New Roman" w:hint="eastAsia"/>
          <w:b/>
          <w:bCs/>
          <w:sz w:val="24"/>
        </w:rPr>
        <w:t xml:space="preserve"> </w:t>
      </w:r>
      <w:r w:rsidR="00CD5D5E">
        <w:rPr>
          <w:rFonts w:ascii="Book Antiqua" w:hAnsi="Book Antiqua" w:cs="Times New Roman"/>
          <w:bCs/>
          <w:sz w:val="24"/>
        </w:rPr>
        <w:t>September 11, 2019</w:t>
      </w: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t>Published online:</w:t>
      </w:r>
      <w:r w:rsidR="00CD5D5E">
        <w:rPr>
          <w:rFonts w:ascii="Book Antiqua" w:hAnsi="Book Antiqua" w:cs="Times New Roman" w:hint="eastAsia"/>
          <w:b/>
          <w:bCs/>
          <w:sz w:val="24"/>
        </w:rPr>
        <w:t xml:space="preserve"> </w:t>
      </w:r>
      <w:r w:rsidR="00CD5D5E">
        <w:rPr>
          <w:rFonts w:ascii="Book Antiqua" w:hAnsi="Book Antiqua" w:cs="Times New Roman" w:hint="eastAsia"/>
          <w:bCs/>
          <w:sz w:val="24"/>
        </w:rPr>
        <w:t>November</w:t>
      </w:r>
      <w:r w:rsidR="00CD5D5E">
        <w:rPr>
          <w:rFonts w:ascii="Book Antiqua" w:hAnsi="Book Antiqua" w:cs="Times New Roman"/>
          <w:bCs/>
          <w:sz w:val="24"/>
        </w:rPr>
        <w:t xml:space="preserve"> </w:t>
      </w:r>
      <w:r w:rsidR="00CD5D5E">
        <w:rPr>
          <w:rFonts w:ascii="Book Antiqua" w:hAnsi="Book Antiqua" w:cs="Times New Roman" w:hint="eastAsia"/>
          <w:bCs/>
          <w:sz w:val="24"/>
        </w:rPr>
        <w:t>7</w:t>
      </w:r>
      <w:r w:rsidR="00CD5D5E">
        <w:rPr>
          <w:rFonts w:ascii="Book Antiqua" w:hAnsi="Book Antiqua" w:cs="Times New Roman"/>
          <w:bCs/>
          <w:sz w:val="24"/>
        </w:rPr>
        <w:t>, 2019</w:t>
      </w: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br w:type="page"/>
      </w:r>
      <w:r>
        <w:rPr>
          <w:rFonts w:ascii="Book Antiqua" w:hAnsi="Book Antiqua" w:cs="Times New Roman"/>
          <w:b/>
          <w:bCs/>
          <w:sz w:val="24"/>
        </w:rPr>
        <w:lastRenderedPageBreak/>
        <w:t xml:space="preserve">Abstract </w:t>
      </w: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BACKGROUND</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Increasing numbers of laboratory blood parameters (BPM) have been reported to greatly affect the long-term outcomes of gastric cancer (GC) patients. However, the existing prognostic models do not comprehensively analyze these predictors. </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AIM</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To construct a new prognostic tool, based on all the prognostic BPM, to achieve more accurate prognosis prediction for GC. </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METHODS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We retrospectively assessed 850 consecutive patients who underwent curative resection for stage II-III GC from January 2010 to April 2013. The patients were classified into developing (</w:t>
      </w:r>
      <w:r>
        <w:rPr>
          <w:rFonts w:ascii="Book Antiqua" w:hAnsi="Book Antiqua" w:cs="Times New Roman"/>
          <w:i/>
          <w:iCs/>
          <w:sz w:val="24"/>
        </w:rPr>
        <w:t>n</w:t>
      </w:r>
      <w:r>
        <w:rPr>
          <w:rFonts w:ascii="Book Antiqua" w:hAnsi="Book Antiqua" w:cs="Times New Roman"/>
          <w:sz w:val="24"/>
        </w:rPr>
        <w:t xml:space="preserve"> = 567) and validation (</w:t>
      </w:r>
      <w:r>
        <w:rPr>
          <w:rFonts w:ascii="Book Antiqua" w:hAnsi="Book Antiqua" w:cs="Times New Roman"/>
          <w:i/>
          <w:iCs/>
          <w:sz w:val="24"/>
        </w:rPr>
        <w:t>n</w:t>
      </w:r>
      <w:r>
        <w:rPr>
          <w:rFonts w:ascii="Book Antiqua" w:hAnsi="Book Antiqua" w:cs="Times New Roman"/>
          <w:sz w:val="24"/>
        </w:rPr>
        <w:t xml:space="preserve"> = 283) cohorts using computer-generated random numbers. A scoring system, namely BPM score, was then constructed using least absolute shrinkage and selection operator (LASSO) Cox regression model in the developing cohort, and validated in the validation cohort. A </w:t>
      </w:r>
      <w:proofErr w:type="spellStart"/>
      <w:r>
        <w:rPr>
          <w:rFonts w:ascii="Book Antiqua" w:hAnsi="Book Antiqua" w:cs="Times New Roman"/>
          <w:sz w:val="24"/>
        </w:rPr>
        <w:t>nomogram</w:t>
      </w:r>
      <w:proofErr w:type="spellEnd"/>
      <w:r>
        <w:rPr>
          <w:rFonts w:ascii="Book Antiqua" w:hAnsi="Book Antiqua" w:cs="Times New Roman"/>
          <w:sz w:val="24"/>
        </w:rPr>
        <w:t xml:space="preserve"> consisting of BPM score and tumor-lymph node-metastasis (TNM) stage was further created. The discrimination and calibration of the </w:t>
      </w:r>
      <w:proofErr w:type="spellStart"/>
      <w:r>
        <w:rPr>
          <w:rFonts w:ascii="Book Antiqua" w:hAnsi="Book Antiqua" w:cs="Times New Roman"/>
          <w:sz w:val="24"/>
        </w:rPr>
        <w:t>nomogram</w:t>
      </w:r>
      <w:proofErr w:type="spellEnd"/>
      <w:r>
        <w:rPr>
          <w:rFonts w:ascii="Book Antiqua" w:hAnsi="Book Antiqua" w:cs="Times New Roman"/>
          <w:sz w:val="24"/>
        </w:rPr>
        <w:t xml:space="preserve"> were evaluated </w:t>
      </w:r>
      <w:r>
        <w:rPr>
          <w:rFonts w:ascii="Book Antiqua" w:hAnsi="Book Antiqua" w:cs="Times New Roman"/>
          <w:i/>
          <w:iCs/>
          <w:sz w:val="24"/>
        </w:rPr>
        <w:t>via</w:t>
      </w:r>
      <w:r>
        <w:rPr>
          <w:rFonts w:ascii="Book Antiqua" w:hAnsi="Book Antiqua" w:cs="Times New Roman"/>
          <w:sz w:val="24"/>
        </w:rPr>
        <w:t xml:space="preserve"> Harrell’s C-statistic and the </w:t>
      </w:r>
      <w:proofErr w:type="spellStart"/>
      <w:r>
        <w:rPr>
          <w:rFonts w:ascii="Book Antiqua" w:hAnsi="Book Antiqua" w:cs="Times New Roman"/>
          <w:sz w:val="24"/>
        </w:rPr>
        <w:t>Hosmer-Lemeshow</w:t>
      </w:r>
      <w:proofErr w:type="spellEnd"/>
      <w:r>
        <w:rPr>
          <w:rFonts w:ascii="Book Antiqua" w:hAnsi="Book Antiqua" w:cs="Times New Roman"/>
          <w:sz w:val="24"/>
        </w:rPr>
        <w:t xml:space="preserve"> test.</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RESULTS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Using the LASSO model, we established the BPM score based on five BPM: Albumin, lymphocyte-to-monocyte ratio, neutrophil-to-lymphocyte ratio, </w:t>
      </w:r>
      <w:proofErr w:type="spellStart"/>
      <w:r>
        <w:rPr>
          <w:rFonts w:ascii="Book Antiqua" w:hAnsi="Book Antiqua" w:cs="Times New Roman"/>
          <w:sz w:val="24"/>
        </w:rPr>
        <w:t>carcinoembryonic</w:t>
      </w:r>
      <w:proofErr w:type="spellEnd"/>
      <w:r>
        <w:rPr>
          <w:rFonts w:ascii="Book Antiqua" w:hAnsi="Book Antiqua" w:cs="Times New Roman"/>
          <w:sz w:val="24"/>
        </w:rPr>
        <w:t xml:space="preserve"> antigen, and carbohydrate antigen 19-9. The BPM scores were divided into high- and low-BPM groups based on a cut-off value of </w:t>
      </w:r>
      <w:r>
        <w:rPr>
          <w:rFonts w:ascii="Book Antiqua" w:hAnsi="Book Antiqua" w:cs="Times New Roman" w:hint="eastAsia"/>
          <w:sz w:val="24"/>
        </w:rPr>
        <w:t>-</w:t>
      </w:r>
      <w:r>
        <w:rPr>
          <w:rFonts w:ascii="Book Antiqua" w:hAnsi="Book Antiqua" w:cs="Times New Roman"/>
          <w:sz w:val="24"/>
        </w:rPr>
        <w:t xml:space="preserve">0.93. High-BPM patients were significantly older and had more advanced, larger tumors. In the developing cohort, significant differences were found in 5-year overall survival (OS) and 5-year disease-specific survival between the </w:t>
      </w:r>
      <w:r>
        <w:rPr>
          <w:rFonts w:ascii="Book Antiqua" w:hAnsi="Book Antiqua" w:cs="Times New Roman"/>
          <w:sz w:val="24"/>
        </w:rPr>
        <w:lastRenderedPageBreak/>
        <w:t xml:space="preserve">high-BPM and low-BPM patients. Similar results were found in the validation group. Multivariable analysis showed that the BPM score was an independent predictor of OS. High-BPM patients had a poorer 5-year OS for each subgroup. Furthermore, a </w:t>
      </w:r>
      <w:proofErr w:type="spellStart"/>
      <w:r>
        <w:rPr>
          <w:rFonts w:ascii="Book Antiqua" w:hAnsi="Book Antiqua" w:cs="Times New Roman"/>
          <w:sz w:val="24"/>
        </w:rPr>
        <w:t>nomogram</w:t>
      </w:r>
      <w:proofErr w:type="spellEnd"/>
      <w:r>
        <w:rPr>
          <w:rFonts w:ascii="Book Antiqua" w:hAnsi="Book Antiqua" w:cs="Times New Roman"/>
          <w:sz w:val="24"/>
        </w:rPr>
        <w:t xml:space="preserve"> that combined the BPM score and TNM stage had significantly better prognostic value compared with TNM stage alone. </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CONCLUSION</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The BPM score provides more accurate prognosis prediction in stage II-III GC patients and is an effective complement to the TNM staging system.</w:t>
      </w:r>
    </w:p>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hAnsi="Book Antiqua" w:cs="Times New Roman"/>
          <w:sz w:val="24"/>
        </w:rPr>
      </w:pPr>
      <w:r>
        <w:rPr>
          <w:rFonts w:ascii="Book Antiqua" w:eastAsia="Book Antiqua" w:hAnsi="Book Antiqua" w:cs="Book Antiqua"/>
          <w:b/>
          <w:kern w:val="0"/>
          <w:sz w:val="24"/>
          <w:lang w:bidi="ar"/>
        </w:rPr>
        <w:t xml:space="preserve">Key words: </w:t>
      </w:r>
      <w:r>
        <w:rPr>
          <w:rFonts w:ascii="Book Antiqua" w:hAnsi="Book Antiqua" w:cs="Times New Roman"/>
          <w:sz w:val="24"/>
        </w:rPr>
        <w:t xml:space="preserve">Blood parameters score; Gastric cancer; Long-term survival; </w:t>
      </w:r>
      <w:proofErr w:type="spellStart"/>
      <w:r>
        <w:rPr>
          <w:rFonts w:ascii="Book Antiqua" w:hAnsi="Book Antiqua" w:cs="Times New Roman"/>
          <w:sz w:val="24"/>
        </w:rPr>
        <w:t>Nomogram</w:t>
      </w:r>
      <w:proofErr w:type="spellEnd"/>
      <w:r>
        <w:rPr>
          <w:rFonts w:ascii="Book Antiqua" w:hAnsi="Book Antiqua" w:cs="Times New Roman"/>
          <w:sz w:val="24"/>
        </w:rPr>
        <w:t>; Discrimination and calibration</w:t>
      </w:r>
    </w:p>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hAnsi="Book Antiqua" w:cs="Times New Roman"/>
          <w:kern w:val="0"/>
          <w:sz w:val="24"/>
        </w:rPr>
      </w:pPr>
      <w:bookmarkStart w:id="62" w:name="OLE_LINK43"/>
      <w:bookmarkStart w:id="63" w:name="OLE_LINK44"/>
      <w:bookmarkStart w:id="64" w:name="OLE_LINK67"/>
      <w:bookmarkStart w:id="65" w:name="OLE_LINK65"/>
      <w:bookmarkStart w:id="66" w:name="OLE_LINK71"/>
      <w:bookmarkStart w:id="67" w:name="OLE_LINK58"/>
      <w:bookmarkStart w:id="68" w:name="OLE_LINK59"/>
      <w:r>
        <w:rPr>
          <w:rFonts w:ascii="Book Antiqua" w:hAnsi="Book Antiqua" w:cs="Times New Roman"/>
          <w:b/>
          <w:kern w:val="0"/>
          <w:sz w:val="24"/>
        </w:rPr>
        <w:t xml:space="preserve">© The Author(s) 2019. </w:t>
      </w:r>
      <w:r>
        <w:rPr>
          <w:rFonts w:ascii="Book Antiqua" w:hAnsi="Book Antiqua" w:cs="Times New Roman"/>
          <w:kern w:val="0"/>
          <w:sz w:val="24"/>
        </w:rPr>
        <w:t xml:space="preserve">Published by </w:t>
      </w:r>
      <w:proofErr w:type="spellStart"/>
      <w:r>
        <w:rPr>
          <w:rFonts w:ascii="Book Antiqua" w:hAnsi="Book Antiqua" w:cs="Times New Roman"/>
          <w:kern w:val="0"/>
          <w:sz w:val="24"/>
        </w:rPr>
        <w:t>Baishideng</w:t>
      </w:r>
      <w:proofErr w:type="spellEnd"/>
      <w:r>
        <w:rPr>
          <w:rFonts w:ascii="Book Antiqua" w:hAnsi="Book Antiqua" w:cs="Times New Roman"/>
          <w:kern w:val="0"/>
          <w:sz w:val="24"/>
        </w:rPr>
        <w:t xml:space="preserve"> Publishing Group Inc. All rights reserved.</w:t>
      </w:r>
      <w:bookmarkEnd w:id="62"/>
      <w:bookmarkEnd w:id="63"/>
      <w:bookmarkEnd w:id="64"/>
      <w:bookmarkEnd w:id="65"/>
      <w:bookmarkEnd w:id="66"/>
      <w:r>
        <w:rPr>
          <w:rFonts w:ascii="Book Antiqua" w:hAnsi="Book Antiqua" w:cs="Times New Roman"/>
          <w:kern w:val="0"/>
          <w:sz w:val="24"/>
        </w:rPr>
        <w:t xml:space="preserve"> </w:t>
      </w:r>
      <w:bookmarkEnd w:id="67"/>
      <w:bookmarkEnd w:id="68"/>
    </w:p>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hAnsi="Book Antiqua" w:cs="Times New Roman"/>
          <w:kern w:val="0"/>
          <w:sz w:val="24"/>
        </w:rPr>
      </w:pPr>
      <w:bookmarkStart w:id="69" w:name="OLE_LINK286"/>
      <w:bookmarkStart w:id="70" w:name="OLE_LINK287"/>
      <w:bookmarkStart w:id="71" w:name="OLE_LINK310"/>
      <w:bookmarkStart w:id="72" w:name="OLE_LINK579"/>
      <w:bookmarkStart w:id="73" w:name="OLE_LINK712"/>
      <w:r>
        <w:rPr>
          <w:rFonts w:ascii="Book Antiqua" w:hAnsi="Book Antiqua" w:cs="Times New Roman"/>
          <w:b/>
          <w:bCs/>
          <w:kern w:val="0"/>
          <w:sz w:val="24"/>
        </w:rPr>
        <w:t xml:space="preserve">Core tip: </w:t>
      </w:r>
      <w:r>
        <w:rPr>
          <w:rFonts w:ascii="Book Antiqua" w:hAnsi="Book Antiqua" w:cs="Times New Roman"/>
          <w:kern w:val="0"/>
          <w:sz w:val="24"/>
        </w:rPr>
        <w:t xml:space="preserve">The study aimed to select the optimal combination of blood parameters (BPM) and to establish a novel prognostic classifier. Using the least absolute shrinkage and selection operator model, we established the BPM score based on five BPM: Albumin, lymphocyte-to-monocyte ratio, neutrophil-to-lymphocyte ratio, </w:t>
      </w:r>
      <w:proofErr w:type="spellStart"/>
      <w:r>
        <w:rPr>
          <w:rFonts w:ascii="Book Antiqua" w:hAnsi="Book Antiqua" w:cs="Times New Roman"/>
          <w:kern w:val="0"/>
          <w:sz w:val="24"/>
        </w:rPr>
        <w:t>carcinoembryonic</w:t>
      </w:r>
      <w:proofErr w:type="spellEnd"/>
      <w:r>
        <w:rPr>
          <w:rFonts w:ascii="Book Antiqua" w:hAnsi="Book Antiqua" w:cs="Times New Roman"/>
          <w:kern w:val="0"/>
          <w:sz w:val="24"/>
        </w:rPr>
        <w:t xml:space="preserve"> antigen, and carbohydrate antigen 19-9. The BPM score provides more accurate prognosis prediction in stage II-III gastric cancer patients and is an effective complement to the tumor-lymph node-metastasis staging system.</w:t>
      </w:r>
    </w:p>
    <w:p w:rsidR="00EA588F" w:rsidRDefault="00EA588F">
      <w:pPr>
        <w:widowControl/>
        <w:adjustRightInd w:val="0"/>
        <w:snapToGrid w:val="0"/>
        <w:spacing w:line="360" w:lineRule="auto"/>
        <w:rPr>
          <w:rFonts w:ascii="Book Antiqua" w:hAnsi="Book Antiqua" w:cs="Times New Roman"/>
          <w:kern w:val="0"/>
          <w:sz w:val="24"/>
        </w:rPr>
      </w:pPr>
    </w:p>
    <w:bookmarkEnd w:id="69"/>
    <w:bookmarkEnd w:id="70"/>
    <w:bookmarkEnd w:id="71"/>
    <w:bookmarkEnd w:id="72"/>
    <w:bookmarkEnd w:id="73"/>
    <w:p w:rsidR="00CD5D5E" w:rsidRDefault="00CD5D5E" w:rsidP="00CD5D5E">
      <w:pPr>
        <w:adjustRightInd w:val="0"/>
        <w:snapToGrid w:val="0"/>
        <w:spacing w:line="360" w:lineRule="auto"/>
        <w:rPr>
          <w:rFonts w:ascii="Book Antiqua" w:hAnsi="Book Antiqua" w:cs="Times New Roman" w:hint="eastAsia"/>
          <w:sz w:val="24"/>
        </w:rPr>
      </w:pPr>
      <w:r w:rsidRPr="00CD5D5E">
        <w:rPr>
          <w:rFonts w:ascii="Book Antiqua" w:hAnsi="Book Antiqua" w:cs="Times New Roman" w:hint="eastAsia"/>
          <w:b/>
          <w:sz w:val="24"/>
          <w:lang w:val="pl-PL"/>
        </w:rPr>
        <w:t>Citation:</w:t>
      </w:r>
      <w:r>
        <w:rPr>
          <w:rFonts w:ascii="Book Antiqua" w:hAnsi="Book Antiqua" w:cs="Times New Roman" w:hint="eastAsia"/>
          <w:sz w:val="24"/>
          <w:lang w:val="pl-PL"/>
        </w:rPr>
        <w:t xml:space="preserve"> </w:t>
      </w:r>
      <w:r>
        <w:rPr>
          <w:rFonts w:ascii="Book Antiqua" w:hAnsi="Book Antiqua" w:cs="Times New Roman"/>
          <w:sz w:val="24"/>
          <w:lang w:val="pl-PL"/>
        </w:rPr>
        <w:t>Lin JX, Tang YH, Wang JB, Lu J, Chen QY, Cao LL, Lin M, Tu RH, Huang CM, Li P, Zheng CH,</w:t>
      </w:r>
      <w:r>
        <w:rPr>
          <w:rFonts w:ascii="Book Antiqua" w:hAnsi="Book Antiqua" w:cs="Times New Roman"/>
          <w:sz w:val="24"/>
        </w:rPr>
        <w:t xml:space="preserve"> </w:t>
      </w:r>
      <w:r>
        <w:rPr>
          <w:rFonts w:ascii="Book Antiqua" w:hAnsi="Book Antiqua" w:cs="Times New Roman"/>
          <w:sz w:val="24"/>
          <w:lang w:val="pl-PL"/>
        </w:rPr>
        <w:t>Xie JW</w:t>
      </w:r>
      <w:r>
        <w:rPr>
          <w:rFonts w:ascii="Book Antiqua" w:hAnsi="Book Antiqua" w:cs="Times New Roman"/>
          <w:sz w:val="24"/>
        </w:rPr>
        <w:t xml:space="preserve">. Blood parameters score predicts long-term outcomes in stage II-III gastric cancer patients. </w:t>
      </w:r>
      <w:r>
        <w:rPr>
          <w:rFonts w:ascii="Book Antiqua" w:hAnsi="Book Antiqua" w:cs="Times New Roman"/>
          <w:i/>
          <w:iCs/>
          <w:sz w:val="24"/>
        </w:rPr>
        <w:t xml:space="preserve">World J </w:t>
      </w:r>
      <w:proofErr w:type="spellStart"/>
      <w:r>
        <w:rPr>
          <w:rFonts w:ascii="Book Antiqua" w:hAnsi="Book Antiqua" w:cs="Times New Roman"/>
          <w:i/>
          <w:iCs/>
          <w:sz w:val="24"/>
        </w:rPr>
        <w:t>Gastroenterol</w:t>
      </w:r>
      <w:proofErr w:type="spellEnd"/>
      <w:r>
        <w:rPr>
          <w:rFonts w:ascii="Book Antiqua" w:hAnsi="Book Antiqua" w:cs="Times New Roman"/>
          <w:sz w:val="24"/>
        </w:rPr>
        <w:t xml:space="preserve"> 2019; </w:t>
      </w:r>
      <w:r w:rsidRPr="0034324B">
        <w:rPr>
          <w:rFonts w:ascii="Book Antiqua" w:hAnsi="Book Antiqua" w:cs="Times New Roman"/>
          <w:sz w:val="24"/>
        </w:rPr>
        <w:t xml:space="preserve">25(41): </w:t>
      </w:r>
      <w:r>
        <w:rPr>
          <w:rFonts w:ascii="Book Antiqua" w:hAnsi="Book Antiqua" w:cs="Times New Roman" w:hint="eastAsia"/>
          <w:sz w:val="24"/>
        </w:rPr>
        <w:t>6258</w:t>
      </w:r>
      <w:r w:rsidRPr="0034324B">
        <w:rPr>
          <w:rFonts w:ascii="Book Antiqua" w:hAnsi="Book Antiqua" w:cs="Times New Roman"/>
          <w:sz w:val="24"/>
        </w:rPr>
        <w:t>-</w:t>
      </w:r>
      <w:r>
        <w:rPr>
          <w:rFonts w:ascii="Book Antiqua" w:hAnsi="Book Antiqua" w:cs="Times New Roman" w:hint="eastAsia"/>
          <w:sz w:val="24"/>
        </w:rPr>
        <w:t>6272</w:t>
      </w:r>
      <w:r w:rsidRPr="0034324B">
        <w:rPr>
          <w:rFonts w:ascii="Book Antiqua" w:hAnsi="Book Antiqua" w:cs="Times New Roman"/>
          <w:sz w:val="24"/>
        </w:rPr>
        <w:t xml:space="preserve">  </w:t>
      </w:r>
    </w:p>
    <w:p w:rsidR="00CD5D5E" w:rsidRDefault="00CD5D5E" w:rsidP="00CD5D5E">
      <w:pPr>
        <w:adjustRightInd w:val="0"/>
        <w:snapToGrid w:val="0"/>
        <w:spacing w:line="360" w:lineRule="auto"/>
        <w:rPr>
          <w:rFonts w:ascii="Book Antiqua" w:hAnsi="Book Antiqua" w:cs="Times New Roman" w:hint="eastAsia"/>
          <w:sz w:val="24"/>
        </w:rPr>
      </w:pPr>
      <w:r w:rsidRPr="00CD5D5E">
        <w:rPr>
          <w:rFonts w:ascii="Book Antiqua" w:hAnsi="Book Antiqua" w:cs="Times New Roman"/>
          <w:b/>
          <w:sz w:val="24"/>
        </w:rPr>
        <w:t xml:space="preserve">URL: </w:t>
      </w:r>
      <w:r w:rsidRPr="0034324B">
        <w:rPr>
          <w:rFonts w:ascii="Book Antiqua" w:hAnsi="Book Antiqua" w:cs="Times New Roman"/>
          <w:sz w:val="24"/>
        </w:rPr>
        <w:t>https://www.wjgnet.com/1007-9327/full/v25/i41/</w:t>
      </w:r>
      <w:r>
        <w:rPr>
          <w:rFonts w:ascii="Book Antiqua" w:hAnsi="Book Antiqua" w:cs="Times New Roman" w:hint="eastAsia"/>
          <w:sz w:val="24"/>
        </w:rPr>
        <w:t>6258</w:t>
      </w:r>
      <w:r w:rsidRPr="0034324B">
        <w:rPr>
          <w:rFonts w:ascii="Book Antiqua" w:hAnsi="Book Antiqua" w:cs="Times New Roman"/>
          <w:sz w:val="24"/>
        </w:rPr>
        <w:t xml:space="preserve">.htm  </w:t>
      </w:r>
    </w:p>
    <w:p w:rsidR="00CD5D5E" w:rsidRDefault="00CD5D5E" w:rsidP="00CD5D5E">
      <w:pPr>
        <w:adjustRightInd w:val="0"/>
        <w:snapToGrid w:val="0"/>
        <w:spacing w:line="360" w:lineRule="auto"/>
        <w:rPr>
          <w:rFonts w:ascii="Book Antiqua" w:hAnsi="Book Antiqua" w:cs="Times New Roman"/>
          <w:sz w:val="24"/>
        </w:rPr>
      </w:pPr>
      <w:r w:rsidRPr="00CD5D5E">
        <w:rPr>
          <w:rFonts w:ascii="Book Antiqua" w:hAnsi="Book Antiqua" w:cs="Times New Roman"/>
          <w:b/>
          <w:sz w:val="24"/>
        </w:rPr>
        <w:t>DOI:</w:t>
      </w:r>
      <w:r w:rsidRPr="0034324B">
        <w:rPr>
          <w:rFonts w:ascii="Book Antiqua" w:hAnsi="Book Antiqua" w:cs="Times New Roman"/>
          <w:sz w:val="24"/>
        </w:rPr>
        <w:t xml:space="preserve"> https://dx.doi.org/10.3748/wjg.v25.i41.</w:t>
      </w:r>
      <w:r>
        <w:rPr>
          <w:rFonts w:ascii="Book Antiqua" w:hAnsi="Book Antiqua" w:cs="Times New Roman" w:hint="eastAsia"/>
          <w:sz w:val="24"/>
        </w:rPr>
        <w:t>6258</w:t>
      </w:r>
    </w:p>
    <w:p w:rsidR="00EA588F" w:rsidRDefault="00EA588F">
      <w:pPr>
        <w:widowControl/>
        <w:adjustRightInd w:val="0"/>
        <w:snapToGrid w:val="0"/>
        <w:spacing w:line="360" w:lineRule="auto"/>
        <w:rPr>
          <w:rFonts w:ascii="Book Antiqua" w:hAnsi="Book Antiqua" w:cs="Arial"/>
          <w:b/>
          <w:bCs/>
          <w:sz w:val="24"/>
        </w:rPr>
      </w:pPr>
      <w:r>
        <w:rPr>
          <w:rFonts w:ascii="Book Antiqua" w:hAnsi="Book Antiqua" w:cs="Times New Roman"/>
          <w:sz w:val="24"/>
        </w:rPr>
        <w:br w:type="page"/>
      </w:r>
      <w:r>
        <w:rPr>
          <w:rFonts w:ascii="Book Antiqua" w:eastAsia="Book Antiqua" w:hAnsi="Book Antiqua" w:cs="Book Antiqua"/>
          <w:b/>
          <w:kern w:val="0"/>
          <w:sz w:val="24"/>
          <w:lang w:bidi="ar"/>
        </w:rPr>
        <w:lastRenderedPageBreak/>
        <w:t>INTRODUCTION</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Gastric cancer (GC) remains an important malignancy worldwide; there were over 1000000 new cases of GC and an estimated 783000 deaths caused by GC (equating to 1 in every 12 deaths globally) in 2018, making it the fifth most frequently diagnosed cancer and the third leading cause of cancer death</w:t>
      </w:r>
      <w:r>
        <w:rPr>
          <w:rFonts w:ascii="Book Antiqua" w:hAnsi="Book Antiqua" w:cs="Times New Roman"/>
          <w:sz w:val="24"/>
          <w:vertAlign w:val="superscript"/>
        </w:rPr>
        <w:t>[1]</w:t>
      </w:r>
      <w:r>
        <w:rPr>
          <w:rFonts w:ascii="Book Antiqua" w:hAnsi="Book Antiqua" w:cs="Times New Roman"/>
          <w:sz w:val="24"/>
        </w:rPr>
        <w:t>. The tumor-lymph node-metastasis (TNM) staging system is the most commonly used criteria to predict GC patients’ long-term outcomes</w:t>
      </w:r>
      <w:r>
        <w:rPr>
          <w:rFonts w:ascii="Book Antiqua" w:hAnsi="Book Antiqua" w:cs="Times New Roman"/>
          <w:sz w:val="24"/>
          <w:vertAlign w:val="superscript"/>
        </w:rPr>
        <w:t>[2]</w:t>
      </w:r>
      <w:r>
        <w:rPr>
          <w:rFonts w:ascii="Book Antiqua" w:hAnsi="Book Antiqua" w:cs="Times New Roman"/>
          <w:sz w:val="24"/>
        </w:rPr>
        <w:t>. However, clinical outcomes can vary in patients with GC who have the same TNM stage and similar treatment regimens</w:t>
      </w:r>
      <w:r>
        <w:rPr>
          <w:rFonts w:ascii="Book Antiqua" w:hAnsi="Book Antiqua" w:cs="Times New Roman"/>
          <w:sz w:val="24"/>
          <w:vertAlign w:val="superscript"/>
        </w:rPr>
        <w:t>[3-5]</w:t>
      </w:r>
      <w:r>
        <w:rPr>
          <w:rFonts w:ascii="Book Antiqua" w:hAnsi="Book Antiqua" w:cs="Times New Roman"/>
          <w:sz w:val="24"/>
        </w:rPr>
        <w:t>, indicating that this anatomy-based system provides incomplete prognostic information. Hence, the identification of potential predictors of risk stratification and treatment selection has become a hot topic in recent years.</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There is growing evidence that the patient’s immune and nutritional statuses are closely related to long-term survival in patients with various malignancies</w:t>
      </w:r>
      <w:r>
        <w:rPr>
          <w:rFonts w:ascii="Book Antiqua" w:hAnsi="Book Antiqua" w:cs="Times New Roman"/>
          <w:sz w:val="24"/>
          <w:vertAlign w:val="superscript"/>
        </w:rPr>
        <w:t>[5-14]</w:t>
      </w:r>
      <w:r>
        <w:rPr>
          <w:rFonts w:ascii="Book Antiqua" w:hAnsi="Book Antiqua" w:cs="Times New Roman"/>
          <w:sz w:val="24"/>
        </w:rPr>
        <w:t>. Over the past decades, the lymphocyte count and serum albumin have been the most widely used biomarkers for defining the immune and nutritional statuses. As a result, several scoring systems, including the prognostic nutritional index (PNI), the modified Glasgow prognostic score (</w:t>
      </w:r>
      <w:proofErr w:type="spellStart"/>
      <w:r>
        <w:rPr>
          <w:rFonts w:ascii="Book Antiqua" w:hAnsi="Book Antiqua" w:cs="Times New Roman"/>
          <w:sz w:val="24"/>
        </w:rPr>
        <w:t>mGPS</w:t>
      </w:r>
      <w:proofErr w:type="spellEnd"/>
      <w:r>
        <w:rPr>
          <w:rFonts w:ascii="Book Antiqua" w:hAnsi="Book Antiqua" w:cs="Times New Roman"/>
          <w:sz w:val="24"/>
        </w:rPr>
        <w:t>), and the controlling nutritional status (CONUT) score, have been constructed and commonly used to predict the outcomes in patients with GC</w:t>
      </w:r>
      <w:r>
        <w:rPr>
          <w:rFonts w:ascii="Book Antiqua" w:hAnsi="Book Antiqua" w:cs="Times New Roman"/>
          <w:sz w:val="24"/>
          <w:vertAlign w:val="superscript"/>
        </w:rPr>
        <w:t>[9-11]</w:t>
      </w:r>
      <w:r>
        <w:rPr>
          <w:rFonts w:ascii="Book Antiqua" w:hAnsi="Book Antiqua" w:cs="Times New Roman"/>
          <w:sz w:val="24"/>
        </w:rPr>
        <w:t>. However, these scores contain limited blood parameters (</w:t>
      </w:r>
      <w:r>
        <w:rPr>
          <w:rFonts w:ascii="Book Antiqua" w:hAnsi="Book Antiqua" w:cs="Times New Roman"/>
          <w:kern w:val="0"/>
          <w:sz w:val="24"/>
        </w:rPr>
        <w:t>BPM)</w:t>
      </w:r>
      <w:r>
        <w:rPr>
          <w:rFonts w:ascii="Book Antiqua" w:hAnsi="Book Antiqua" w:cs="Times New Roman"/>
          <w:sz w:val="24"/>
        </w:rPr>
        <w:t xml:space="preserve"> and may provide inadequate prognostic information</w:t>
      </w:r>
      <w:r>
        <w:rPr>
          <w:rFonts w:ascii="Book Antiqua" w:hAnsi="Book Antiqua" w:cs="Times New Roman"/>
          <w:sz w:val="24"/>
          <w:vertAlign w:val="superscript"/>
        </w:rPr>
        <w:t>[11,15-16]</w:t>
      </w:r>
      <w:r>
        <w:rPr>
          <w:rFonts w:ascii="Book Antiqua" w:hAnsi="Book Antiqua" w:cs="Times New Roman"/>
          <w:sz w:val="24"/>
        </w:rPr>
        <w:t>. Ongoing work is seeking other prognostic biomarkers. To date, several ratios based on circulating blood cell counts, such as the neutrophil-to-lymphocyte ratio (NLR), lymphocyte-to-monocyte ratio (LMR), and platelet-to-lymphocyte ratio (PLR), have been developed to predict the outcome of GC</w:t>
      </w:r>
      <w:r>
        <w:rPr>
          <w:rFonts w:ascii="Book Antiqua" w:hAnsi="Book Antiqua" w:cs="Times New Roman"/>
          <w:sz w:val="24"/>
          <w:vertAlign w:val="superscript"/>
        </w:rPr>
        <w:t>[12-14]</w:t>
      </w:r>
      <w:r>
        <w:rPr>
          <w:rFonts w:ascii="Book Antiqua" w:hAnsi="Book Antiqua" w:cs="Times New Roman"/>
          <w:sz w:val="24"/>
        </w:rPr>
        <w:t xml:space="preserve">. In addition, tumor markers, including </w:t>
      </w:r>
      <w:proofErr w:type="spellStart"/>
      <w:r>
        <w:rPr>
          <w:rFonts w:ascii="Book Antiqua" w:hAnsi="Book Antiqua" w:cs="Times New Roman"/>
          <w:sz w:val="24"/>
        </w:rPr>
        <w:t>carcinoembryonic</w:t>
      </w:r>
      <w:proofErr w:type="spellEnd"/>
      <w:r>
        <w:rPr>
          <w:rFonts w:ascii="Book Antiqua" w:hAnsi="Book Antiqua" w:cs="Times New Roman"/>
          <w:sz w:val="24"/>
        </w:rPr>
        <w:t xml:space="preserve"> antigen (CEA) and carbohydrate antigen (CA) 19-9, are routinely applied in the early detection and postoperative follow-up of GC. Some studies have proved their prognostic value in GC</w:t>
      </w:r>
      <w:r>
        <w:rPr>
          <w:rFonts w:ascii="Book Antiqua" w:hAnsi="Book Antiqua" w:cs="Times New Roman"/>
          <w:sz w:val="24"/>
          <w:vertAlign w:val="superscript"/>
        </w:rPr>
        <w:t>[17-18]</w:t>
      </w:r>
      <w:r>
        <w:rPr>
          <w:rFonts w:ascii="Book Antiqua" w:hAnsi="Book Antiqua" w:cs="Times New Roman"/>
          <w:sz w:val="24"/>
        </w:rPr>
        <w:t xml:space="preserve">. Therefore, we hypothesized that a new scoring system, based on all available laboratory BPM, would provide more accurate </w:t>
      </w:r>
      <w:r>
        <w:rPr>
          <w:rFonts w:ascii="Book Antiqua" w:hAnsi="Book Antiqua" w:cs="Times New Roman"/>
          <w:sz w:val="24"/>
        </w:rPr>
        <w:lastRenderedPageBreak/>
        <w:t xml:space="preserve">prognostic information in patients with GC. </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In the present study, we used the least absolute shrinkage and selection operator (LASSO) Cox regression model to select the optimal combination of BPM and to establish a novel prognostic classifier, namely, the BPM score, in order to predict outcomes in patients with stage II-III GC.</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t>MATERIALS AND METHODS</w:t>
      </w: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Study population</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We retrospectively assessed patients undergoing curative resection for GC at the Fujian Medical University Union Hospital (FMUUH) between January 2010 and April 2013. Patients who met the following criteria were included: (1) Aged </w:t>
      </w:r>
      <w:r>
        <w:rPr>
          <w:rFonts w:ascii="Book Antiqua" w:hAnsi="Book Antiqua" w:cs="Arial"/>
          <w:sz w:val="24"/>
        </w:rPr>
        <w:t xml:space="preserve">≥ </w:t>
      </w:r>
      <w:r>
        <w:rPr>
          <w:rFonts w:ascii="Book Antiqua" w:hAnsi="Book Antiqua" w:cs="Times New Roman"/>
          <w:sz w:val="24"/>
        </w:rPr>
        <w:t xml:space="preserve">18 years; (2) stage II-III gastric adenocarcinoma confirmed by histopathology; and (3) no pre-operative </w:t>
      </w:r>
      <w:proofErr w:type="spellStart"/>
      <w:r>
        <w:rPr>
          <w:rFonts w:ascii="Book Antiqua" w:hAnsi="Book Antiqua" w:cs="Times New Roman"/>
          <w:sz w:val="24"/>
        </w:rPr>
        <w:t>chemoradiotherapy</w:t>
      </w:r>
      <w:proofErr w:type="spellEnd"/>
      <w:r>
        <w:rPr>
          <w:rFonts w:ascii="Book Antiqua" w:hAnsi="Book Antiqua" w:cs="Times New Roman"/>
          <w:sz w:val="24"/>
        </w:rPr>
        <w:t>. The following patients were excluded: (1) Distant metastasis; (2) malignant disease of other organs; (3) R1 resection; (4) acute infections or other inflammatory conditions within 7 days before surgery; and (5) incomplete medical records or follow-up data. Finally, 850 patients were enrolled in this study. All surviving patients had a follow-up period of at least 5 years. The patients were classified into developing (</w:t>
      </w:r>
      <w:r>
        <w:rPr>
          <w:rFonts w:ascii="Book Antiqua" w:hAnsi="Book Antiqua" w:cs="Times New Roman"/>
          <w:i/>
          <w:iCs/>
          <w:sz w:val="24"/>
        </w:rPr>
        <w:t>n</w:t>
      </w:r>
      <w:r>
        <w:rPr>
          <w:rFonts w:ascii="Book Antiqua" w:hAnsi="Book Antiqua" w:cs="Times New Roman"/>
          <w:sz w:val="24"/>
        </w:rPr>
        <w:t xml:space="preserve"> = 567) and validation (</w:t>
      </w:r>
      <w:r>
        <w:rPr>
          <w:rFonts w:ascii="Book Antiqua" w:hAnsi="Book Antiqua" w:cs="Times New Roman"/>
          <w:i/>
          <w:iCs/>
          <w:sz w:val="24"/>
        </w:rPr>
        <w:t>n</w:t>
      </w:r>
      <w:r>
        <w:rPr>
          <w:rFonts w:ascii="Book Antiqua" w:hAnsi="Book Antiqua" w:cs="Times New Roman"/>
          <w:sz w:val="24"/>
        </w:rPr>
        <w:t xml:space="preserve"> = 283) cohorts using computer-generated random numbers. All surgical procedures, including lymph node dissection, were performed according to the guidelines of the Japanese Research Society for the Study of GC</w:t>
      </w:r>
      <w:r>
        <w:rPr>
          <w:rFonts w:ascii="Book Antiqua" w:hAnsi="Book Antiqua" w:cs="Times New Roman"/>
          <w:sz w:val="24"/>
          <w:vertAlign w:val="superscript"/>
        </w:rPr>
        <w:t xml:space="preserve"> [19]</w:t>
      </w:r>
      <w:r>
        <w:rPr>
          <w:rFonts w:ascii="Book Antiqua" w:hAnsi="Book Antiqua" w:cs="Times New Roman"/>
          <w:sz w:val="24"/>
        </w:rPr>
        <w:t>, while staging was performed according to the TNM classification (AJCC, 8th edition). All patients were routinely recommend to receive 5-fluorouracil (5-FU) based adjuvant chemotherapy after surgery</w:t>
      </w:r>
      <w:r>
        <w:rPr>
          <w:rFonts w:ascii="Book Antiqua" w:hAnsi="Book Antiqua" w:cs="Times New Roman"/>
          <w:sz w:val="24"/>
          <w:vertAlign w:val="superscript"/>
        </w:rPr>
        <w:t>[4]</w:t>
      </w:r>
      <w:r>
        <w:rPr>
          <w:rFonts w:ascii="Book Antiqua" w:hAnsi="Book Antiqua" w:cs="Times New Roman"/>
          <w:sz w:val="24"/>
        </w:rPr>
        <w:t>.</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Data collection</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Data on patient demographics and pathological results were obtained from a large-scale prospective database. Routine blood tests were carried out during 1 </w:t>
      </w:r>
      <w:proofErr w:type="spellStart"/>
      <w:r>
        <w:rPr>
          <w:rFonts w:ascii="Book Antiqua" w:hAnsi="Book Antiqua" w:cs="Times New Roman"/>
          <w:sz w:val="24"/>
        </w:rPr>
        <w:t>wk</w:t>
      </w:r>
      <w:proofErr w:type="spellEnd"/>
      <w:r>
        <w:rPr>
          <w:rFonts w:ascii="Book Antiqua" w:hAnsi="Book Antiqua" w:cs="Times New Roman"/>
          <w:sz w:val="24"/>
        </w:rPr>
        <w:t xml:space="preserve"> before surgery, including hemoglobin, serum albumin, total cholesterol level, total peripheral neutrophils, lymphocyte count, monocyte count, </w:t>
      </w:r>
      <w:r>
        <w:rPr>
          <w:rFonts w:ascii="Book Antiqua" w:hAnsi="Book Antiqua" w:cs="Times New Roman"/>
          <w:sz w:val="24"/>
        </w:rPr>
        <w:lastRenderedPageBreak/>
        <w:t xml:space="preserve">platelet count, CEA, CA 19-9, and fibrinogen. LMR was calculated by dividing lymphocyte count by monocyte count. NLR was calculated by dividing neutrophil count by lymphocyte count. PLR was calculated by dividing platelet count by lymphocyte count. We used widely accepted thresholds to define the dichotomous forms of these BPM: hemoglobin (males 120 g/L; females 110 g/L), albumin (35 g/L), cholesterol (4.6 </w:t>
      </w:r>
      <w:proofErr w:type="spellStart"/>
      <w:r>
        <w:rPr>
          <w:rFonts w:ascii="Book Antiqua" w:hAnsi="Book Antiqua" w:cs="Times New Roman"/>
          <w:sz w:val="24"/>
        </w:rPr>
        <w:t>mmol</w:t>
      </w:r>
      <w:proofErr w:type="spellEnd"/>
      <w:r>
        <w:rPr>
          <w:rFonts w:ascii="Book Antiqua" w:hAnsi="Book Antiqua" w:cs="Times New Roman"/>
          <w:sz w:val="24"/>
        </w:rPr>
        <w:t>/L or 180 mg/</w:t>
      </w:r>
      <w:proofErr w:type="spellStart"/>
      <w:r>
        <w:rPr>
          <w:rFonts w:ascii="Book Antiqua" w:hAnsi="Book Antiqua" w:cs="Times New Roman"/>
          <w:sz w:val="24"/>
        </w:rPr>
        <w:t>dL</w:t>
      </w:r>
      <w:proofErr w:type="spellEnd"/>
      <w:r>
        <w:rPr>
          <w:rFonts w:ascii="Book Antiqua" w:hAnsi="Book Antiqua" w:cs="Times New Roman"/>
          <w:sz w:val="24"/>
        </w:rPr>
        <w:t xml:space="preserve">), CEA (5 </w:t>
      </w:r>
      <w:proofErr w:type="spellStart"/>
      <w:r>
        <w:rPr>
          <w:rFonts w:ascii="Book Antiqua" w:hAnsi="Book Antiqua" w:cs="Times New Roman"/>
          <w:sz w:val="24"/>
        </w:rPr>
        <w:t>ng</w:t>
      </w:r>
      <w:proofErr w:type="spellEnd"/>
      <w:r>
        <w:rPr>
          <w:rFonts w:ascii="Book Antiqua" w:hAnsi="Book Antiqua" w:cs="Times New Roman"/>
          <w:sz w:val="24"/>
        </w:rPr>
        <w:t>/mL), CA 19-9 (37 U/mL), and fibrinogen (400 mg/</w:t>
      </w:r>
      <w:proofErr w:type="spellStart"/>
      <w:r>
        <w:rPr>
          <w:rFonts w:ascii="Book Antiqua" w:hAnsi="Book Antiqua" w:cs="Times New Roman"/>
          <w:sz w:val="24"/>
        </w:rPr>
        <w:t>dL</w:t>
      </w:r>
      <w:proofErr w:type="spellEnd"/>
      <w:r>
        <w:rPr>
          <w:rFonts w:ascii="Book Antiqua" w:hAnsi="Book Antiqua" w:cs="Times New Roman"/>
          <w:sz w:val="24"/>
        </w:rPr>
        <w:t>)</w:t>
      </w:r>
      <w:r>
        <w:rPr>
          <w:rFonts w:ascii="Book Antiqua" w:hAnsi="Book Antiqua" w:cs="Times New Roman"/>
          <w:sz w:val="24"/>
          <w:vertAlign w:val="superscript"/>
        </w:rPr>
        <w:t>[8,17,21-22]</w:t>
      </w:r>
      <w:r>
        <w:rPr>
          <w:rFonts w:ascii="Book Antiqua" w:hAnsi="Book Antiqua" w:cs="Times New Roman"/>
          <w:sz w:val="24"/>
        </w:rPr>
        <w:t>. According to the X-tile program (3.6.1 software 20, http://medicine.yale.edu/lab/rimm/research/software.aspx), NLR, LMR, and PLR cut-off values for overall survival (OS) were 3.9, 3.2, and 161, respectively</w:t>
      </w:r>
      <w:r>
        <w:rPr>
          <w:rFonts w:ascii="Book Antiqua" w:hAnsi="Book Antiqua" w:cs="Times New Roman"/>
          <w:sz w:val="24"/>
          <w:vertAlign w:val="superscript"/>
        </w:rPr>
        <w:t>[23]</w:t>
      </w:r>
      <w:r>
        <w:rPr>
          <w:rFonts w:ascii="Book Antiqua" w:hAnsi="Book Antiqua" w:cs="Times New Roman"/>
          <w:sz w:val="24"/>
        </w:rPr>
        <w:t>. The utility of clinical data was approved by the FMUUH Institutional Review Board.</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Follow-up investigation</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All patients were followed postoperatively by physical examination and laboratory tests (including CEA, CA 19-9, and CA 72-4), every 3 </w:t>
      </w:r>
      <w:proofErr w:type="spellStart"/>
      <w:r>
        <w:rPr>
          <w:rFonts w:ascii="Book Antiqua" w:hAnsi="Book Antiqua" w:cs="Times New Roman"/>
          <w:sz w:val="24"/>
        </w:rPr>
        <w:t>mo</w:t>
      </w:r>
      <w:proofErr w:type="spellEnd"/>
      <w:r>
        <w:rPr>
          <w:rFonts w:ascii="Book Antiqua" w:hAnsi="Book Antiqua" w:cs="Times New Roman"/>
          <w:sz w:val="24"/>
        </w:rPr>
        <w:t xml:space="preserve"> for 2 years, every 6 </w:t>
      </w:r>
      <w:proofErr w:type="spellStart"/>
      <w:r>
        <w:rPr>
          <w:rFonts w:ascii="Book Antiqua" w:hAnsi="Book Antiqua" w:cs="Times New Roman"/>
          <w:sz w:val="24"/>
        </w:rPr>
        <w:t>mo</w:t>
      </w:r>
      <w:proofErr w:type="spellEnd"/>
      <w:r>
        <w:rPr>
          <w:rFonts w:ascii="Book Antiqua" w:hAnsi="Book Antiqua" w:cs="Times New Roman"/>
          <w:sz w:val="24"/>
        </w:rPr>
        <w:t xml:space="preserve"> during years 2-5, and annually thereafter. In addition, examinations, including chest radiography, abdominal computed tomography, and endoscopy, were performed at least once per year. The follow-up period was completed in April 2018 or to the date of death of patients. OS was defined as the time interval from surgery to death from any cause or to the last follow-up. Disease-specific survival (DSS) was defined as the time interval from surgery to death from GC or to the follow-up. </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i/>
          <w:iCs/>
          <w:sz w:val="24"/>
        </w:rPr>
        <w:t>Model development</w:t>
      </w:r>
      <w:r>
        <w:rPr>
          <w:rFonts w:ascii="Book Antiqua" w:hAnsi="Book Antiqua" w:cs="Times New Roman"/>
          <w:b/>
          <w:bCs/>
          <w:sz w:val="24"/>
        </w:rPr>
        <w:t xml:space="preserve"> </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As assays may vary between hospitals, all the BPM are expressed as ratio of lower limit of normal (including hemoglobin, albumin, and cholesterol), upper limit of normal (including fibrinogen, CEA, and CA 19-9), or cut-off values (including NLR, LMR, and PLR). The relation between the BPM (as continuous variables) and OS was investigated in </w:t>
      </w:r>
      <w:proofErr w:type="spellStart"/>
      <w:r>
        <w:rPr>
          <w:rFonts w:ascii="Book Antiqua" w:hAnsi="Book Antiqua" w:cs="Times New Roman"/>
          <w:sz w:val="24"/>
        </w:rPr>
        <w:t>univariate</w:t>
      </w:r>
      <w:proofErr w:type="spellEnd"/>
      <w:r>
        <w:rPr>
          <w:rFonts w:ascii="Book Antiqua" w:hAnsi="Book Antiqua" w:cs="Times New Roman"/>
          <w:sz w:val="24"/>
        </w:rPr>
        <w:t xml:space="preserve"> Cox models with restricted cubic splines (RCS)</w:t>
      </w:r>
      <w:r>
        <w:rPr>
          <w:rFonts w:ascii="Book Antiqua" w:hAnsi="Book Antiqua" w:cs="Times New Roman"/>
          <w:sz w:val="24"/>
          <w:vertAlign w:val="superscript"/>
        </w:rPr>
        <w:t>[24]</w:t>
      </w:r>
      <w:r>
        <w:rPr>
          <w:rFonts w:ascii="Book Antiqua" w:hAnsi="Book Antiqua" w:cs="Times New Roman"/>
          <w:sz w:val="24"/>
        </w:rPr>
        <w:t xml:space="preserve">. Additional variable transformation was </w:t>
      </w:r>
      <w:r>
        <w:rPr>
          <w:rFonts w:ascii="Book Antiqua" w:hAnsi="Book Antiqua" w:cs="Times New Roman"/>
          <w:sz w:val="24"/>
        </w:rPr>
        <w:lastRenderedPageBreak/>
        <w:t xml:space="preserve">performed if strong nonlinear effects were shown. Next, we calculated the </w:t>
      </w:r>
      <w:proofErr w:type="spellStart"/>
      <w:r>
        <w:rPr>
          <w:rFonts w:ascii="Book Antiqua" w:hAnsi="Book Antiqua" w:cs="Times New Roman"/>
          <w:sz w:val="24"/>
        </w:rPr>
        <w:t>Akaike</w:t>
      </w:r>
      <w:proofErr w:type="spellEnd"/>
      <w:r>
        <w:rPr>
          <w:rFonts w:ascii="Book Antiqua" w:hAnsi="Book Antiqua" w:cs="Times New Roman"/>
          <w:sz w:val="24"/>
        </w:rPr>
        <w:t xml:space="preserve"> information criterion (AIC) scores of the continuous form and the dichotomous form of each blood parameter to determine the form in which the blood parameter was analyzed</w:t>
      </w:r>
      <w:r>
        <w:rPr>
          <w:rFonts w:ascii="Book Antiqua" w:hAnsi="Book Antiqua" w:cs="Times New Roman"/>
          <w:sz w:val="24"/>
          <w:vertAlign w:val="superscript"/>
        </w:rPr>
        <w:t>[25]</w:t>
      </w:r>
      <w:r>
        <w:rPr>
          <w:rFonts w:ascii="Book Antiqua" w:hAnsi="Book Antiqua" w:cs="Times New Roman"/>
          <w:sz w:val="24"/>
        </w:rPr>
        <w:t xml:space="preserve">. Finally, we used the LASSO Cox regression model to select the most useful predictors among the candidate </w:t>
      </w:r>
      <w:r>
        <w:rPr>
          <w:rFonts w:ascii="Book Antiqua" w:hAnsi="Book Antiqua"/>
          <w:sz w:val="24"/>
        </w:rPr>
        <w:t>BPM</w:t>
      </w:r>
      <w:r>
        <w:rPr>
          <w:rFonts w:ascii="Book Antiqua" w:hAnsi="Book Antiqua" w:cs="Times New Roman"/>
          <w:sz w:val="24"/>
        </w:rPr>
        <w:t xml:space="preserve"> in the developing cohort</w:t>
      </w:r>
      <w:r>
        <w:rPr>
          <w:rFonts w:ascii="Book Antiqua" w:hAnsi="Book Antiqua" w:cs="Times New Roman"/>
          <w:sz w:val="24"/>
          <w:vertAlign w:val="superscript"/>
        </w:rPr>
        <w:t>[26,27]</w:t>
      </w:r>
      <w:r>
        <w:rPr>
          <w:rFonts w:ascii="Book Antiqua" w:hAnsi="Book Antiqua" w:cs="Times New Roman"/>
          <w:sz w:val="24"/>
        </w:rPr>
        <w:t xml:space="preserve">. A risk score based on multiple </w:t>
      </w:r>
      <w:r>
        <w:rPr>
          <w:rFonts w:ascii="Book Antiqua" w:hAnsi="Book Antiqua"/>
          <w:sz w:val="24"/>
        </w:rPr>
        <w:t>BPM</w:t>
      </w:r>
      <w:r>
        <w:rPr>
          <w:rFonts w:ascii="Book Antiqua" w:hAnsi="Book Antiqua" w:cs="Times New Roman"/>
          <w:sz w:val="24"/>
        </w:rPr>
        <w:t>, the BPM score, was then constructed to predict the prognosis of GC. Details of methods are described in the Supplementary Materials.</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Statistical methods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Continuous variables were compared using the Student’s </w:t>
      </w:r>
      <w:r>
        <w:rPr>
          <w:rFonts w:ascii="Book Antiqua" w:hAnsi="Book Antiqua" w:cs="Times New Roman"/>
          <w:i/>
          <w:sz w:val="24"/>
        </w:rPr>
        <w:t>t</w:t>
      </w:r>
      <w:r>
        <w:rPr>
          <w:rFonts w:ascii="Book Antiqua" w:hAnsi="Book Antiqua" w:cs="Times New Roman"/>
          <w:sz w:val="24"/>
        </w:rPr>
        <w:t>-test, and categorical variables were assessed using the χ</w:t>
      </w:r>
      <w:r>
        <w:rPr>
          <w:rFonts w:ascii="Book Antiqua" w:hAnsi="Book Antiqua" w:cs="Times New Roman"/>
          <w:sz w:val="24"/>
          <w:vertAlign w:val="superscript"/>
        </w:rPr>
        <w:t>2</w:t>
      </w:r>
      <w:r>
        <w:rPr>
          <w:rFonts w:ascii="Book Antiqua" w:hAnsi="Book Antiqua" w:cs="Times New Roman"/>
          <w:sz w:val="24"/>
        </w:rPr>
        <w:t xml:space="preserve"> test or the Fisher exact test. The Kaplan-Meier method was used to analyze OS and DSS, and the differences were assessed by log-rank tests. The time-dependent receiver operating characteristic (ROC) curve was generated to assess the discriminatory power of indicators for time-dependent disease outcomes</w:t>
      </w:r>
      <w:r>
        <w:rPr>
          <w:rFonts w:ascii="Book Antiqua" w:hAnsi="Book Antiqua" w:cs="Times New Roman"/>
          <w:sz w:val="24"/>
          <w:vertAlign w:val="superscript"/>
        </w:rPr>
        <w:t>[28]</w:t>
      </w:r>
      <w:r>
        <w:rPr>
          <w:rFonts w:ascii="Book Antiqua" w:hAnsi="Book Antiqua" w:cs="Times New Roman"/>
          <w:sz w:val="24"/>
        </w:rPr>
        <w:t xml:space="preserve">. </w:t>
      </w:r>
      <w:proofErr w:type="spellStart"/>
      <w:r>
        <w:rPr>
          <w:rFonts w:ascii="Book Antiqua" w:hAnsi="Book Antiqua" w:cs="Times New Roman"/>
          <w:sz w:val="24"/>
        </w:rPr>
        <w:t>Univariate</w:t>
      </w:r>
      <w:proofErr w:type="spellEnd"/>
      <w:r>
        <w:rPr>
          <w:rFonts w:ascii="Book Antiqua" w:hAnsi="Book Antiqua" w:cs="Times New Roman"/>
          <w:sz w:val="24"/>
        </w:rPr>
        <w:t xml:space="preserve"> and multivariate analyses were performed using the Cox proportional hazards model. A </w:t>
      </w:r>
      <w:proofErr w:type="spellStart"/>
      <w:r>
        <w:rPr>
          <w:rFonts w:ascii="Book Antiqua" w:hAnsi="Book Antiqua" w:cs="Times New Roman"/>
          <w:sz w:val="24"/>
        </w:rPr>
        <w:t>nomogram</w:t>
      </w:r>
      <w:proofErr w:type="spellEnd"/>
      <w:r>
        <w:rPr>
          <w:rFonts w:ascii="Book Antiqua" w:hAnsi="Book Antiqua" w:cs="Times New Roman"/>
          <w:sz w:val="24"/>
        </w:rPr>
        <w:t xml:space="preserve"> consisting of the BPM score and TNM stage was created to translate model parameter estimates into a visual scoring system to calculate the estimated survival probability. The discriminative power of the </w:t>
      </w:r>
      <w:proofErr w:type="spellStart"/>
      <w:r>
        <w:rPr>
          <w:rFonts w:ascii="Book Antiqua" w:hAnsi="Book Antiqua" w:cs="Times New Roman"/>
          <w:sz w:val="24"/>
        </w:rPr>
        <w:t>nomogram</w:t>
      </w:r>
      <w:proofErr w:type="spellEnd"/>
      <w:r>
        <w:rPr>
          <w:rFonts w:ascii="Book Antiqua" w:hAnsi="Book Antiqua" w:cs="Times New Roman"/>
          <w:sz w:val="24"/>
        </w:rPr>
        <w:t xml:space="preserve"> was assessed </w:t>
      </w:r>
      <w:r>
        <w:rPr>
          <w:rFonts w:ascii="Book Antiqua" w:hAnsi="Book Antiqua" w:cs="Times New Roman"/>
          <w:i/>
          <w:iCs/>
          <w:sz w:val="24"/>
        </w:rPr>
        <w:t>via</w:t>
      </w:r>
      <w:r>
        <w:rPr>
          <w:rFonts w:ascii="Book Antiqua" w:hAnsi="Book Antiqua" w:cs="Times New Roman"/>
          <w:sz w:val="24"/>
        </w:rPr>
        <w:t xml:space="preserve"> Harrell’s C-statistic</w:t>
      </w:r>
      <w:r>
        <w:rPr>
          <w:rFonts w:ascii="Book Antiqua" w:hAnsi="Book Antiqua" w:cs="Times New Roman"/>
          <w:sz w:val="24"/>
          <w:vertAlign w:val="superscript"/>
        </w:rPr>
        <w:t>[29]</w:t>
      </w:r>
      <w:r>
        <w:rPr>
          <w:rFonts w:ascii="Book Antiqua" w:hAnsi="Book Antiqua" w:cs="Times New Roman"/>
          <w:sz w:val="24"/>
        </w:rPr>
        <w:t xml:space="preserve">. The calibration of the </w:t>
      </w:r>
      <w:proofErr w:type="spellStart"/>
      <w:r>
        <w:rPr>
          <w:rFonts w:ascii="Book Antiqua" w:hAnsi="Book Antiqua" w:cs="Times New Roman"/>
          <w:sz w:val="24"/>
        </w:rPr>
        <w:t>nomogram</w:t>
      </w:r>
      <w:proofErr w:type="spellEnd"/>
      <w:r>
        <w:rPr>
          <w:rFonts w:ascii="Book Antiqua" w:hAnsi="Book Antiqua" w:cs="Times New Roman"/>
          <w:sz w:val="24"/>
        </w:rPr>
        <w:t xml:space="preserve"> was evaluated by the </w:t>
      </w:r>
      <w:proofErr w:type="spellStart"/>
      <w:r>
        <w:rPr>
          <w:rFonts w:ascii="Book Antiqua" w:hAnsi="Book Antiqua" w:cs="Times New Roman"/>
          <w:sz w:val="24"/>
        </w:rPr>
        <w:t>Hosmer-Lemeshow</w:t>
      </w:r>
      <w:proofErr w:type="spellEnd"/>
      <w:r>
        <w:rPr>
          <w:rFonts w:ascii="Book Antiqua" w:hAnsi="Book Antiqua" w:cs="Times New Roman"/>
          <w:sz w:val="24"/>
        </w:rPr>
        <w:t xml:space="preserve"> test to assess the goodness of fit</w:t>
      </w:r>
      <w:r>
        <w:rPr>
          <w:rFonts w:ascii="Book Antiqua" w:hAnsi="Book Antiqua" w:cs="Times New Roman"/>
          <w:sz w:val="24"/>
          <w:vertAlign w:val="superscript"/>
        </w:rPr>
        <w:t>[30]</w:t>
      </w:r>
      <w:r>
        <w:rPr>
          <w:rFonts w:ascii="Book Antiqua" w:hAnsi="Book Antiqua" w:cs="Times New Roman"/>
          <w:sz w:val="24"/>
        </w:rPr>
        <w:t xml:space="preserve">. Decision curve analysis was used to examine the usefulness and benefit of the </w:t>
      </w:r>
      <w:proofErr w:type="spellStart"/>
      <w:r>
        <w:rPr>
          <w:rFonts w:ascii="Book Antiqua" w:hAnsi="Book Antiqua" w:cs="Times New Roman"/>
          <w:sz w:val="24"/>
        </w:rPr>
        <w:t>nomogram</w:t>
      </w:r>
      <w:proofErr w:type="spellEnd"/>
      <w:r>
        <w:rPr>
          <w:rFonts w:ascii="Book Antiqua" w:hAnsi="Book Antiqua" w:cs="Times New Roman"/>
          <w:sz w:val="24"/>
          <w:vertAlign w:val="superscript"/>
        </w:rPr>
        <w:t>[31]</w:t>
      </w:r>
      <w:r>
        <w:rPr>
          <w:rFonts w:ascii="Book Antiqua" w:hAnsi="Book Antiqua" w:cs="Times New Roman"/>
          <w:sz w:val="24"/>
        </w:rPr>
        <w:t xml:space="preserve">. Two-tailed </w:t>
      </w:r>
      <w:r>
        <w:rPr>
          <w:rFonts w:ascii="Book Antiqua" w:hAnsi="Book Antiqua" w:cs="Times New Roman"/>
          <w:i/>
          <w:iCs/>
          <w:sz w:val="24"/>
        </w:rPr>
        <w:t>P-</w:t>
      </w:r>
      <w:r>
        <w:rPr>
          <w:rFonts w:ascii="Book Antiqua" w:hAnsi="Book Antiqua" w:cs="Times New Roman"/>
          <w:sz w:val="24"/>
        </w:rPr>
        <w:t xml:space="preserve">values &lt; 0.05 were considered statistically significant. All statistical analyses were conducted with SPSS software, version 18.0 (SPSS Inc., Chicago, IL, United States) and R software, version 3.1.2 (R Foundation for Statistical Computing, Vienna, Austria). </w:t>
      </w:r>
    </w:p>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hAnsi="Book Antiqua"/>
          <w:sz w:val="24"/>
        </w:rPr>
      </w:pPr>
      <w:r>
        <w:rPr>
          <w:rFonts w:ascii="Book Antiqua" w:eastAsia="Book Antiqua" w:hAnsi="Book Antiqua" w:cs="Book Antiqua"/>
          <w:b/>
          <w:kern w:val="0"/>
          <w:sz w:val="24"/>
          <w:lang w:bidi="ar"/>
        </w:rPr>
        <w:t>RESULTS</w:t>
      </w: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Patient characteristics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lastRenderedPageBreak/>
        <w:t>Overall, 850 patients were included in the study. There were 656 (77.2%) males and 194 (22.8%) females. The median age at the time of surgery was 62 years (range, 20-91 years). According to the TNM classification, 285 (33.5%) were classified as having stage II and 565 (66.5%) as having stage III, respectively. The majority of the patients (</w:t>
      </w:r>
      <w:r>
        <w:rPr>
          <w:rFonts w:ascii="Book Antiqua" w:hAnsi="Book Antiqua" w:cs="Times New Roman"/>
          <w:i/>
          <w:iCs/>
          <w:sz w:val="24"/>
        </w:rPr>
        <w:t xml:space="preserve">n </w:t>
      </w:r>
      <w:r>
        <w:rPr>
          <w:rFonts w:ascii="Book Antiqua" w:hAnsi="Book Antiqua" w:cs="Times New Roman"/>
          <w:sz w:val="24"/>
        </w:rPr>
        <w:t xml:space="preserve">= 645, 75.8%) received adjuvant chemotherapy. The median follow-up time was 61 </w:t>
      </w:r>
      <w:proofErr w:type="spellStart"/>
      <w:r>
        <w:rPr>
          <w:rFonts w:ascii="Book Antiqua" w:hAnsi="Book Antiqua" w:cs="Times New Roman"/>
          <w:sz w:val="24"/>
        </w:rPr>
        <w:t>mo</w:t>
      </w:r>
      <w:proofErr w:type="spellEnd"/>
      <w:r>
        <w:rPr>
          <w:rFonts w:ascii="Book Antiqua" w:hAnsi="Book Antiqua" w:cs="Times New Roman"/>
          <w:sz w:val="24"/>
        </w:rPr>
        <w:t xml:space="preserve"> (range, 1-102 </w:t>
      </w:r>
      <w:proofErr w:type="spellStart"/>
      <w:r>
        <w:rPr>
          <w:rFonts w:ascii="Book Antiqua" w:hAnsi="Book Antiqua" w:cs="Times New Roman"/>
          <w:sz w:val="24"/>
        </w:rPr>
        <w:t>mo</w:t>
      </w:r>
      <w:proofErr w:type="spellEnd"/>
      <w:r>
        <w:rPr>
          <w:rFonts w:ascii="Book Antiqua" w:hAnsi="Book Antiqua" w:cs="Times New Roman"/>
          <w:sz w:val="24"/>
        </w:rPr>
        <w:t>). Patient characteristics in the developing and validation cohorts are detailed in Table 1.</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i/>
          <w:iCs/>
          <w:sz w:val="24"/>
        </w:rPr>
      </w:pPr>
      <w:r>
        <w:rPr>
          <w:rFonts w:ascii="Book Antiqua" w:hAnsi="Book Antiqua" w:cs="Times New Roman"/>
          <w:b/>
          <w:i/>
          <w:iCs/>
          <w:sz w:val="24"/>
        </w:rPr>
        <w:t>Derivation of the BPM score</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It was observed that the relationship between total cholesterol level and OS followed a U-shaped pattern, with a turning point approximately 1.5 × LLN. Therefore, the values for this variable were transformed by taking the absolute distance between cholesterol (in unit × LLN) and the turning point. Similarly, CEA and CA 19-9 were transformed to the form of </w:t>
      </w:r>
      <w:proofErr w:type="spellStart"/>
      <w:r>
        <w:rPr>
          <w:rFonts w:ascii="Book Antiqua" w:hAnsi="Book Antiqua" w:cs="Times New Roman"/>
          <w:sz w:val="24"/>
        </w:rPr>
        <w:t>ln</w:t>
      </w:r>
      <w:proofErr w:type="spellEnd"/>
      <w:r>
        <w:rPr>
          <w:rFonts w:ascii="Book Antiqua" w:hAnsi="Book Antiqua" w:cs="Times New Roman"/>
          <w:sz w:val="24"/>
        </w:rPr>
        <w:t xml:space="preserve"> CEA and </w:t>
      </w:r>
      <w:proofErr w:type="spellStart"/>
      <w:r>
        <w:rPr>
          <w:rFonts w:ascii="Book Antiqua" w:hAnsi="Book Antiqua" w:cs="Times New Roman"/>
          <w:sz w:val="24"/>
        </w:rPr>
        <w:t>ln</w:t>
      </w:r>
      <w:proofErr w:type="spellEnd"/>
      <w:r>
        <w:rPr>
          <w:rFonts w:ascii="Book Antiqua" w:hAnsi="Book Antiqua" w:cs="Times New Roman"/>
          <w:sz w:val="24"/>
        </w:rPr>
        <w:t xml:space="preserve"> CA 19-9. After transforming, no strong nonlinear effect was observed in all BPM (</w:t>
      </w:r>
      <w:r>
        <w:rPr>
          <w:rFonts w:ascii="Book Antiqua" w:hAnsi="Book Antiqua"/>
          <w:sz w:val="24"/>
        </w:rPr>
        <w:t>Supplementary</w:t>
      </w:r>
      <w:r>
        <w:rPr>
          <w:rFonts w:ascii="Book Antiqua" w:hAnsi="Book Antiqua" w:cs="Times New Roman"/>
          <w:sz w:val="24"/>
        </w:rPr>
        <w:t xml:space="preserve"> Figure 1). Then, we calculated AIC scores and Harrell’s C-statistics of 9 BPM as continuous variables (</w:t>
      </w:r>
      <w:r>
        <w:rPr>
          <w:rFonts w:ascii="Book Antiqua" w:hAnsi="Book Antiqua"/>
          <w:sz w:val="24"/>
        </w:rPr>
        <w:t>Supplementary</w:t>
      </w:r>
      <w:r>
        <w:rPr>
          <w:rFonts w:ascii="Book Antiqua" w:hAnsi="Book Antiqua" w:cs="Times New Roman"/>
          <w:sz w:val="24"/>
        </w:rPr>
        <w:t xml:space="preserve"> Table 1) and as dichotomous variables. It was found that only hemoglobin, albumin, </w:t>
      </w:r>
      <w:proofErr w:type="spellStart"/>
      <w:r>
        <w:rPr>
          <w:rFonts w:ascii="Book Antiqua" w:hAnsi="Book Antiqua" w:cs="Times New Roman"/>
          <w:sz w:val="24"/>
        </w:rPr>
        <w:t>ln</w:t>
      </w:r>
      <w:proofErr w:type="spellEnd"/>
      <w:r>
        <w:rPr>
          <w:rFonts w:ascii="Book Antiqua" w:hAnsi="Book Antiqua" w:cs="Times New Roman"/>
          <w:sz w:val="24"/>
        </w:rPr>
        <w:t xml:space="preserve"> CEA, and fibrinogen had smaller AIC scores as well as significantly higher Harrell’s C-statistics in their continuous forms (Supplementary Table 2). So, they were further analyzed as continuous variables, with the others analyzed as dichotomous variables. </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 xml:space="preserve">Using LASSO Cox regression analysis, we identified </w:t>
      </w:r>
      <w:r w:rsidR="00E672D7">
        <w:rPr>
          <w:rFonts w:ascii="Book Antiqua" w:hAnsi="Book Antiqua" w:cs="Times New Roman"/>
          <w:sz w:val="24"/>
        </w:rPr>
        <w:t>five</w:t>
      </w:r>
      <w:r>
        <w:rPr>
          <w:rFonts w:ascii="Book Antiqua" w:hAnsi="Book Antiqua" w:cs="Times New Roman"/>
          <w:sz w:val="24"/>
        </w:rPr>
        <w:t xml:space="preserve"> out of the </w:t>
      </w:r>
      <w:r w:rsidR="00E672D7">
        <w:rPr>
          <w:rFonts w:ascii="Book Antiqua" w:hAnsi="Book Antiqua" w:cs="Times New Roman"/>
          <w:sz w:val="24"/>
        </w:rPr>
        <w:t>nine</w:t>
      </w:r>
      <w:r>
        <w:rPr>
          <w:rFonts w:ascii="Book Antiqua" w:hAnsi="Book Antiqua" w:cs="Times New Roman"/>
          <w:sz w:val="24"/>
        </w:rPr>
        <w:t xml:space="preserve"> BPM in the developing cohort: Albumin, LMR, NLR, CEA, and CA 19-9, and derived a formula to calculate the BPM score for each patient: BPM = </w:t>
      </w:r>
      <w:r>
        <w:rPr>
          <w:rFonts w:ascii="Book Antiqua" w:hAnsi="Book Antiqua" w:cs="Times New Roman" w:hint="eastAsia"/>
          <w:sz w:val="24"/>
        </w:rPr>
        <w:t>-</w:t>
      </w:r>
      <w:r>
        <w:rPr>
          <w:rFonts w:ascii="Book Antiqua" w:hAnsi="Book Antiqua" w:cs="Times New Roman"/>
          <w:sz w:val="24"/>
        </w:rPr>
        <w:t xml:space="preserve">0.86259331 × Albumin (× LLN) + 0.08074780 × </w:t>
      </w:r>
      <w:proofErr w:type="spellStart"/>
      <w:r>
        <w:rPr>
          <w:rFonts w:ascii="Book Antiqua" w:hAnsi="Book Antiqua" w:cs="Times New Roman"/>
          <w:sz w:val="24"/>
        </w:rPr>
        <w:t>Low_LMR</w:t>
      </w:r>
      <w:proofErr w:type="spellEnd"/>
      <w:r>
        <w:rPr>
          <w:rFonts w:ascii="Book Antiqua" w:hAnsi="Book Antiqua" w:cs="Times New Roman"/>
          <w:sz w:val="24"/>
        </w:rPr>
        <w:t xml:space="preserve"> + 0.06002645 × </w:t>
      </w:r>
      <w:proofErr w:type="spellStart"/>
      <w:r>
        <w:rPr>
          <w:rFonts w:ascii="Book Antiqua" w:hAnsi="Book Antiqua" w:cs="Times New Roman"/>
          <w:sz w:val="24"/>
        </w:rPr>
        <w:t>High_NLR</w:t>
      </w:r>
      <w:proofErr w:type="spellEnd"/>
      <w:r>
        <w:rPr>
          <w:rFonts w:ascii="Book Antiqua" w:hAnsi="Book Antiqua" w:cs="Times New Roman"/>
          <w:sz w:val="24"/>
        </w:rPr>
        <w:t xml:space="preserve"> + 0.05939068 × High_CA19-9 + 0.04007563 × </w:t>
      </w:r>
      <w:proofErr w:type="spellStart"/>
      <w:r>
        <w:rPr>
          <w:rFonts w:ascii="Book Antiqua" w:hAnsi="Book Antiqua" w:cs="Times New Roman"/>
          <w:sz w:val="24"/>
        </w:rPr>
        <w:t>ln</w:t>
      </w:r>
      <w:proofErr w:type="spellEnd"/>
      <w:r>
        <w:rPr>
          <w:rFonts w:ascii="Book Antiqua" w:hAnsi="Book Antiqua" w:cs="Times New Roman"/>
          <w:sz w:val="24"/>
        </w:rPr>
        <w:t xml:space="preserve"> CEA (× ULN).</w:t>
      </w:r>
    </w:p>
    <w:p w:rsidR="00EA588F" w:rsidRDefault="00EA588F">
      <w:pPr>
        <w:adjustRightInd w:val="0"/>
        <w:snapToGrid w:val="0"/>
        <w:spacing w:line="360" w:lineRule="auto"/>
        <w:ind w:firstLineChars="100" w:firstLine="240"/>
        <w:rPr>
          <w:rFonts w:ascii="Book Antiqua" w:hAnsi="Book Antiqua"/>
          <w:sz w:val="24"/>
        </w:rPr>
      </w:pPr>
      <w:r>
        <w:rPr>
          <w:rFonts w:ascii="Book Antiqua" w:hAnsi="Book Antiqua" w:cs="Times New Roman"/>
          <w:sz w:val="24"/>
        </w:rPr>
        <w:t xml:space="preserve">In this formula, LMR, NLR, and CA 19-9 were valued as 0 or 1; LMR </w:t>
      </w:r>
      <w:r>
        <w:rPr>
          <w:rFonts w:ascii="Book Antiqua" w:hAnsi="Book Antiqua" w:cs="Arial"/>
          <w:sz w:val="24"/>
        </w:rPr>
        <w:t xml:space="preserve">≤ </w:t>
      </w:r>
      <w:r>
        <w:rPr>
          <w:rFonts w:ascii="Book Antiqua" w:hAnsi="Book Antiqua" w:cs="Times New Roman"/>
          <w:sz w:val="24"/>
        </w:rPr>
        <w:t xml:space="preserve">3.2, NLR ≥ 3.9, and CA 19-9 ≥ 37 U/mL were assigned a score of 1, and a value of 0 otherwise. </w:t>
      </w:r>
      <w:r>
        <w:rPr>
          <w:rFonts w:ascii="Book Antiqua" w:hAnsi="Book Antiqua" w:cs="Book Antiqua"/>
          <w:sz w:val="24"/>
        </w:rPr>
        <w:t xml:space="preserve">The optimum cutoff value for BPM score was selected on the </w:t>
      </w:r>
      <w:r>
        <w:rPr>
          <w:rFonts w:ascii="Book Antiqua" w:hAnsi="Book Antiqua" w:cs="Book Antiqua"/>
          <w:sz w:val="24"/>
        </w:rPr>
        <w:lastRenderedPageBreak/>
        <w:t>basis of the association with the patients’ OS by using X-tile plots (</w:t>
      </w:r>
      <w:r>
        <w:rPr>
          <w:rFonts w:ascii="Book Antiqua" w:hAnsi="Book Antiqua" w:cs="Book Antiqua" w:hint="eastAsia"/>
          <w:sz w:val="24"/>
        </w:rPr>
        <w:t>-</w:t>
      </w:r>
      <w:r>
        <w:rPr>
          <w:rFonts w:ascii="Book Antiqua" w:hAnsi="Book Antiqua" w:cs="Book Antiqua"/>
          <w:sz w:val="24"/>
        </w:rPr>
        <w:t xml:space="preserve">0.93). </w:t>
      </w:r>
      <w:r>
        <w:rPr>
          <w:rFonts w:ascii="Book Antiqua" w:hAnsi="Book Antiqua"/>
          <w:sz w:val="24"/>
        </w:rPr>
        <w:t xml:space="preserve">We then assigned patients to a high- (BPM score </w:t>
      </w:r>
      <w:r>
        <w:rPr>
          <w:rFonts w:ascii="Book Antiqua" w:hAnsi="Book Antiqua" w:cs="Arial"/>
          <w:sz w:val="24"/>
        </w:rPr>
        <w:t xml:space="preserve">≥ </w:t>
      </w:r>
      <w:r>
        <w:rPr>
          <w:rFonts w:ascii="Book Antiqua" w:hAnsi="Book Antiqua" w:hint="eastAsia"/>
          <w:sz w:val="24"/>
        </w:rPr>
        <w:t>-</w:t>
      </w:r>
      <w:r>
        <w:rPr>
          <w:rFonts w:ascii="Book Antiqua" w:hAnsi="Book Antiqua"/>
          <w:sz w:val="24"/>
        </w:rPr>
        <w:t xml:space="preserve">0.93) or low-BPM (BPM score </w:t>
      </w:r>
      <w:r>
        <w:rPr>
          <w:rFonts w:ascii="Book Antiqua" w:hAnsi="Book Antiqua" w:cs="Arial"/>
          <w:sz w:val="24"/>
        </w:rPr>
        <w:t xml:space="preserve">&lt; </w:t>
      </w:r>
      <w:r>
        <w:rPr>
          <w:rFonts w:ascii="Book Antiqua" w:hAnsi="Book Antiqua" w:hint="eastAsia"/>
          <w:sz w:val="24"/>
        </w:rPr>
        <w:t>-</w:t>
      </w:r>
      <w:r>
        <w:rPr>
          <w:rFonts w:ascii="Book Antiqua" w:hAnsi="Book Antiqua"/>
          <w:sz w:val="24"/>
        </w:rPr>
        <w:t xml:space="preserve">0.93) group by this value. </w:t>
      </w:r>
    </w:p>
    <w:p w:rsidR="00EA588F" w:rsidRDefault="00EA588F">
      <w:pPr>
        <w:adjustRightInd w:val="0"/>
        <w:snapToGrid w:val="0"/>
        <w:spacing w:line="360" w:lineRule="auto"/>
        <w:ind w:firstLineChars="100" w:firstLine="240"/>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 xml:space="preserve">Correlations between </w:t>
      </w:r>
      <w:proofErr w:type="spellStart"/>
      <w:r>
        <w:rPr>
          <w:rFonts w:ascii="Book Antiqua" w:hAnsi="Book Antiqua" w:cs="Times New Roman"/>
          <w:b/>
          <w:bCs/>
          <w:i/>
          <w:iCs/>
          <w:sz w:val="24"/>
        </w:rPr>
        <w:t>clinicopathological</w:t>
      </w:r>
      <w:proofErr w:type="spellEnd"/>
      <w:r>
        <w:rPr>
          <w:rFonts w:ascii="Book Antiqua" w:hAnsi="Book Antiqua" w:cs="Times New Roman"/>
          <w:b/>
          <w:bCs/>
          <w:i/>
          <w:iCs/>
          <w:sz w:val="24"/>
        </w:rPr>
        <w:t xml:space="preserve"> findings and BPM score</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Table 1 shows the relationship between </w:t>
      </w:r>
      <w:proofErr w:type="spellStart"/>
      <w:r>
        <w:rPr>
          <w:rFonts w:ascii="Book Antiqua" w:hAnsi="Book Antiqua" w:cs="Times New Roman"/>
          <w:sz w:val="24"/>
        </w:rPr>
        <w:t>clinicopathological</w:t>
      </w:r>
      <w:proofErr w:type="spellEnd"/>
      <w:r>
        <w:rPr>
          <w:rFonts w:ascii="Book Antiqua" w:hAnsi="Book Antiqua" w:cs="Times New Roman"/>
          <w:sz w:val="24"/>
        </w:rPr>
        <w:t xml:space="preserve"> factors and the BPM score. In both the developing and validation cohorts, high-BPM status was related to older age (</w:t>
      </w:r>
      <w:r>
        <w:rPr>
          <w:rFonts w:ascii="Book Antiqua" w:hAnsi="Book Antiqua" w:cs="Times New Roman"/>
          <w:i/>
          <w:iCs/>
          <w:sz w:val="24"/>
        </w:rPr>
        <w:t>P</w:t>
      </w:r>
      <w:r>
        <w:rPr>
          <w:rFonts w:ascii="Book Antiqua" w:hAnsi="Book Antiqua" w:cs="Times New Roman"/>
          <w:sz w:val="24"/>
        </w:rPr>
        <w:t xml:space="preserve"> &lt; 0.001 for both), higher tumor stage (</w:t>
      </w:r>
      <w:r>
        <w:rPr>
          <w:rFonts w:ascii="Book Antiqua" w:hAnsi="Book Antiqua" w:cs="Times New Roman"/>
          <w:i/>
          <w:iCs/>
          <w:sz w:val="24"/>
        </w:rPr>
        <w:t>P</w:t>
      </w:r>
      <w:r>
        <w:rPr>
          <w:rFonts w:ascii="Book Antiqua" w:hAnsi="Book Antiqua" w:cs="Times New Roman"/>
          <w:sz w:val="24"/>
        </w:rPr>
        <w:t xml:space="preserve"> &lt; 0.001 and </w:t>
      </w:r>
      <w:r>
        <w:rPr>
          <w:rFonts w:ascii="Book Antiqua" w:hAnsi="Book Antiqua" w:cs="Times New Roman"/>
          <w:i/>
          <w:iCs/>
          <w:sz w:val="24"/>
        </w:rPr>
        <w:t>P</w:t>
      </w:r>
      <w:r>
        <w:rPr>
          <w:rFonts w:ascii="Book Antiqua" w:hAnsi="Book Antiqua" w:cs="Times New Roman"/>
          <w:sz w:val="24"/>
        </w:rPr>
        <w:t xml:space="preserve"> = 0.004, respectively), and larger tumor size (</w:t>
      </w:r>
      <w:r>
        <w:rPr>
          <w:rFonts w:ascii="Book Antiqua" w:hAnsi="Book Antiqua" w:cs="Times New Roman"/>
          <w:i/>
          <w:iCs/>
          <w:sz w:val="24"/>
        </w:rPr>
        <w:t>P</w:t>
      </w:r>
      <w:r>
        <w:rPr>
          <w:rFonts w:ascii="Book Antiqua" w:hAnsi="Book Antiqua" w:cs="Times New Roman"/>
          <w:sz w:val="24"/>
        </w:rPr>
        <w:t xml:space="preserve"> &lt; 0.001 and </w:t>
      </w:r>
      <w:r>
        <w:rPr>
          <w:rFonts w:ascii="Book Antiqua" w:hAnsi="Book Antiqua" w:cs="Times New Roman"/>
          <w:i/>
          <w:iCs/>
          <w:sz w:val="24"/>
        </w:rPr>
        <w:t>P</w:t>
      </w:r>
      <w:r>
        <w:rPr>
          <w:rFonts w:ascii="Book Antiqua" w:hAnsi="Book Antiqua" w:cs="Times New Roman"/>
          <w:sz w:val="24"/>
        </w:rPr>
        <w:t xml:space="preserve"> = 0.014, respectively), compared with low-BPM status. In addition, although the high-BPM patients had a smaller body mass index (BMI) (</w:t>
      </w:r>
      <w:r>
        <w:rPr>
          <w:rFonts w:ascii="Book Antiqua" w:hAnsi="Book Antiqua" w:cs="Times New Roman"/>
          <w:i/>
          <w:iCs/>
          <w:sz w:val="24"/>
        </w:rPr>
        <w:t>P</w:t>
      </w:r>
      <w:r>
        <w:rPr>
          <w:rFonts w:ascii="Book Antiqua" w:hAnsi="Book Antiqua" w:cs="Times New Roman"/>
          <w:sz w:val="24"/>
        </w:rPr>
        <w:t xml:space="preserve"> = 0.038) than the low-BPM patients in the developing cohort, it did not reach statistical significance in the validation cohort (</w:t>
      </w:r>
      <w:r>
        <w:rPr>
          <w:rFonts w:ascii="Book Antiqua" w:hAnsi="Book Antiqua" w:cs="Times New Roman"/>
          <w:i/>
          <w:iCs/>
          <w:sz w:val="24"/>
        </w:rPr>
        <w:t>P</w:t>
      </w:r>
      <w:r>
        <w:rPr>
          <w:rFonts w:ascii="Book Antiqua" w:hAnsi="Book Antiqua" w:cs="Times New Roman"/>
          <w:sz w:val="24"/>
        </w:rPr>
        <w:t xml:space="preserve"> = 0.285).</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i/>
          <w:iCs/>
          <w:sz w:val="24"/>
        </w:rPr>
      </w:pPr>
      <w:r>
        <w:rPr>
          <w:rFonts w:ascii="Book Antiqua" w:hAnsi="Book Antiqua" w:cs="Times New Roman"/>
          <w:b/>
          <w:i/>
          <w:iCs/>
          <w:sz w:val="24"/>
        </w:rPr>
        <w:t>Prognostic value of BPM score</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In the developing cohort, the 5-year OS rates in the low-BPM and high-BPM groups were 70.0% and 41.6%, and the 5-year DSS rates were 72.4% and 46.4% (log-rank </w:t>
      </w:r>
      <w:r>
        <w:rPr>
          <w:rFonts w:ascii="Book Antiqua" w:hAnsi="Book Antiqua" w:cs="Times New Roman"/>
          <w:i/>
          <w:iCs/>
          <w:sz w:val="24"/>
        </w:rPr>
        <w:t>P</w:t>
      </w:r>
      <w:r>
        <w:rPr>
          <w:rFonts w:ascii="Book Antiqua" w:hAnsi="Book Antiqua" w:cs="Times New Roman"/>
          <w:sz w:val="24"/>
        </w:rPr>
        <w:t xml:space="preserve"> &lt; 0.001, Figure 2A). We performed the same analyses in the validation cohort. The 5-year OS rates in the low-BPM and high-BPM groups were 67.3% and 39.7%, and the 5-year DSS rates were 70.1% and 41.9% (log-rank </w:t>
      </w:r>
      <w:r>
        <w:rPr>
          <w:rFonts w:ascii="Book Antiqua" w:hAnsi="Book Antiqua" w:cs="Times New Roman"/>
          <w:i/>
          <w:iCs/>
          <w:sz w:val="24"/>
        </w:rPr>
        <w:t>P</w:t>
      </w:r>
      <w:r>
        <w:rPr>
          <w:rFonts w:ascii="Book Antiqua" w:hAnsi="Book Antiqua" w:cs="Times New Roman"/>
          <w:sz w:val="24"/>
        </w:rPr>
        <w:t xml:space="preserve"> &lt; 0.001, Figure 2B). In the multivariate analysis, BPM score remained an independent prognostic factor for OS (</w:t>
      </w:r>
      <w:r>
        <w:rPr>
          <w:rFonts w:ascii="Book Antiqua" w:hAnsi="Book Antiqua" w:cs="Times New Roman"/>
          <w:i/>
          <w:iCs/>
          <w:sz w:val="24"/>
        </w:rPr>
        <w:t>P</w:t>
      </w:r>
      <w:r>
        <w:rPr>
          <w:rFonts w:ascii="Book Antiqua" w:hAnsi="Book Antiqua" w:cs="Times New Roman"/>
          <w:sz w:val="24"/>
        </w:rPr>
        <w:t xml:space="preserve"> &lt; 0.001 and </w:t>
      </w:r>
      <w:r>
        <w:rPr>
          <w:rFonts w:ascii="Book Antiqua" w:hAnsi="Book Antiqua" w:cs="Times New Roman"/>
          <w:i/>
          <w:iCs/>
          <w:sz w:val="24"/>
        </w:rPr>
        <w:t>P</w:t>
      </w:r>
      <w:r>
        <w:rPr>
          <w:rFonts w:ascii="Book Antiqua" w:hAnsi="Book Antiqua" w:cs="Times New Roman"/>
          <w:sz w:val="24"/>
        </w:rPr>
        <w:t xml:space="preserve"> = 0.004, respectively) in both the developing and validation cohorts (Table 2). </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Book Antiqua"/>
          <w:sz w:val="24"/>
        </w:rPr>
        <w:t xml:space="preserve">To confirm whether the BPM score has more benefits than using only one marker, we compared their areas under the curves (AUC) using ROC analysis in the entire cohort. The BPM score exhibited a higher prognostic accuracy (0.680) than each individual marker, including albumin (0.640, </w:t>
      </w:r>
      <w:r>
        <w:rPr>
          <w:rFonts w:ascii="Book Antiqua" w:hAnsi="Book Antiqua" w:cs="Book Antiqua"/>
          <w:i/>
          <w:iCs/>
          <w:sz w:val="24"/>
        </w:rPr>
        <w:t>P</w:t>
      </w:r>
      <w:r>
        <w:rPr>
          <w:rFonts w:ascii="Book Antiqua" w:hAnsi="Book Antiqua" w:cs="Book Antiqua"/>
          <w:sz w:val="24"/>
        </w:rPr>
        <w:t xml:space="preserve"> &lt; 0.001), LMR (0.580, </w:t>
      </w:r>
      <w:r>
        <w:rPr>
          <w:rFonts w:ascii="Book Antiqua" w:hAnsi="Book Antiqua" w:cs="Book Antiqua"/>
          <w:i/>
          <w:iCs/>
          <w:sz w:val="24"/>
        </w:rPr>
        <w:t>P</w:t>
      </w:r>
      <w:r>
        <w:rPr>
          <w:rFonts w:ascii="Book Antiqua" w:hAnsi="Book Antiqua" w:cs="Book Antiqua"/>
          <w:sz w:val="24"/>
        </w:rPr>
        <w:t xml:space="preserve"> &lt; 0.001), NLR (0.546, </w:t>
      </w:r>
      <w:r>
        <w:rPr>
          <w:rFonts w:ascii="Book Antiqua" w:hAnsi="Book Antiqua" w:cs="Book Antiqua"/>
          <w:i/>
          <w:iCs/>
          <w:sz w:val="24"/>
        </w:rPr>
        <w:t>P</w:t>
      </w:r>
      <w:r>
        <w:rPr>
          <w:rFonts w:ascii="Book Antiqua" w:hAnsi="Book Antiqua" w:cs="Book Antiqua"/>
          <w:sz w:val="24"/>
        </w:rPr>
        <w:t xml:space="preserve"> &lt; 0.001), CEA (0.578, P &lt; 0.001), and CA 19-9 (0.565, </w:t>
      </w:r>
      <w:r>
        <w:rPr>
          <w:rFonts w:ascii="Book Antiqua" w:hAnsi="Book Antiqua" w:cs="Book Antiqua"/>
          <w:i/>
          <w:iCs/>
          <w:sz w:val="24"/>
        </w:rPr>
        <w:t>P</w:t>
      </w:r>
      <w:r>
        <w:rPr>
          <w:rFonts w:ascii="Book Antiqua" w:hAnsi="Book Antiqua" w:cs="Book Antiqua"/>
          <w:sz w:val="24"/>
        </w:rPr>
        <w:t xml:space="preserve"> &lt; 0.001). </w:t>
      </w:r>
      <w:r>
        <w:rPr>
          <w:rFonts w:ascii="Book Antiqua" w:hAnsi="Book Antiqua" w:cs="Times New Roman"/>
          <w:sz w:val="24"/>
        </w:rPr>
        <w:t xml:space="preserve">Furthermore, the time-dependent ROC curves calculated at different time points for BPM score (as a dichotomous variable) and other scoring systems [including PNI, CONUT score, and modified </w:t>
      </w:r>
      <w:r>
        <w:rPr>
          <w:rFonts w:ascii="Book Antiqua" w:hAnsi="Book Antiqua" w:cs="Times New Roman"/>
          <w:sz w:val="24"/>
        </w:rPr>
        <w:lastRenderedPageBreak/>
        <w:t>systemic inflammation score (</w:t>
      </w:r>
      <w:proofErr w:type="spellStart"/>
      <w:r>
        <w:rPr>
          <w:rFonts w:ascii="Book Antiqua" w:hAnsi="Book Antiqua" w:cs="Times New Roman"/>
          <w:sz w:val="24"/>
        </w:rPr>
        <w:t>mSIS</w:t>
      </w:r>
      <w:proofErr w:type="spellEnd"/>
      <w:r>
        <w:rPr>
          <w:rFonts w:ascii="Book Antiqua" w:hAnsi="Book Antiqua" w:cs="Times New Roman"/>
          <w:sz w:val="24"/>
        </w:rPr>
        <w:t>)</w:t>
      </w:r>
      <w:r>
        <w:rPr>
          <w:rFonts w:ascii="Book Antiqua" w:hAnsi="Book Antiqua" w:cs="Times New Roman"/>
          <w:sz w:val="24"/>
          <w:vertAlign w:val="superscript"/>
        </w:rPr>
        <w:t>[32]</w:t>
      </w:r>
      <w:r>
        <w:rPr>
          <w:rFonts w:ascii="Book Antiqua" w:hAnsi="Book Antiqua" w:cs="Times New Roman"/>
          <w:sz w:val="24"/>
        </w:rPr>
        <w:t xml:space="preserve">] clearly showed that the BPM score was continuously superior to the other scoring systems at each time point (Figure 2C). </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 xml:space="preserve">Next, we used multivariate Cox models by means of RCS to further analyze the relationship between BPM score and OS with adjustment for the </w:t>
      </w:r>
      <w:proofErr w:type="spellStart"/>
      <w:r>
        <w:rPr>
          <w:rFonts w:ascii="Book Antiqua" w:hAnsi="Book Antiqua" w:cs="Times New Roman"/>
          <w:sz w:val="24"/>
        </w:rPr>
        <w:t>clinicopathologic</w:t>
      </w:r>
      <w:proofErr w:type="spellEnd"/>
      <w:r>
        <w:rPr>
          <w:rFonts w:ascii="Book Antiqua" w:hAnsi="Book Antiqua" w:cs="Times New Roman"/>
          <w:sz w:val="24"/>
        </w:rPr>
        <w:t xml:space="preserve"> factors (including age, BMI, tumor stage, tumor size, </w:t>
      </w:r>
      <w:proofErr w:type="spellStart"/>
      <w:r>
        <w:rPr>
          <w:rFonts w:ascii="Book Antiqua" w:hAnsi="Book Antiqua" w:cs="Times New Roman"/>
          <w:sz w:val="24"/>
        </w:rPr>
        <w:t>lymphovascular</w:t>
      </w:r>
      <w:proofErr w:type="spellEnd"/>
      <w:r>
        <w:rPr>
          <w:rFonts w:ascii="Book Antiqua" w:hAnsi="Book Antiqua" w:cs="Times New Roman"/>
          <w:sz w:val="24"/>
        </w:rPr>
        <w:t xml:space="preserve"> invasion, and adjuvant chemotherapy, which reached statistical significance in the </w:t>
      </w:r>
      <w:proofErr w:type="spellStart"/>
      <w:r>
        <w:rPr>
          <w:rFonts w:ascii="Book Antiqua" w:hAnsi="Book Antiqua" w:cs="Times New Roman"/>
          <w:sz w:val="24"/>
        </w:rPr>
        <w:t>univariate</w:t>
      </w:r>
      <w:proofErr w:type="spellEnd"/>
      <w:r>
        <w:rPr>
          <w:rFonts w:ascii="Book Antiqua" w:hAnsi="Book Antiqua" w:cs="Times New Roman"/>
          <w:sz w:val="24"/>
        </w:rPr>
        <w:t xml:space="preserve"> analysis). A continuous linear association between BPM score and OS was observed in the analysis of the developing, validation, and entire cohorts (</w:t>
      </w:r>
      <w:r>
        <w:rPr>
          <w:rFonts w:ascii="Book Antiqua" w:hAnsi="Book Antiqua"/>
          <w:sz w:val="24"/>
        </w:rPr>
        <w:t>Supplementary</w:t>
      </w:r>
      <w:r>
        <w:rPr>
          <w:rFonts w:ascii="Book Antiqua" w:hAnsi="Book Antiqua" w:cs="Times New Roman"/>
          <w:sz w:val="24"/>
        </w:rPr>
        <w:t xml:space="preserve"> Figure 2). </w:t>
      </w:r>
    </w:p>
    <w:p w:rsidR="00EA588F" w:rsidRDefault="00EA588F">
      <w:pPr>
        <w:adjustRightInd w:val="0"/>
        <w:snapToGrid w:val="0"/>
        <w:spacing w:line="360" w:lineRule="auto"/>
        <w:ind w:firstLineChars="100" w:firstLine="240"/>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b/>
          <w:i/>
          <w:iCs/>
          <w:sz w:val="24"/>
        </w:rPr>
      </w:pPr>
      <w:r>
        <w:rPr>
          <w:rFonts w:ascii="Book Antiqua" w:hAnsi="Book Antiqua" w:cs="Times New Roman"/>
          <w:b/>
          <w:i/>
          <w:iCs/>
          <w:sz w:val="24"/>
        </w:rPr>
        <w:t>BPM score has stable prognostic value in different subgroups of patients</w:t>
      </w:r>
    </w:p>
    <w:p w:rsidR="00EA588F" w:rsidRDefault="00EA588F">
      <w:pPr>
        <w:adjustRightInd w:val="0"/>
        <w:snapToGrid w:val="0"/>
        <w:spacing w:line="360" w:lineRule="auto"/>
        <w:rPr>
          <w:rFonts w:ascii="Book Antiqua" w:hAnsi="Book Antiqua"/>
          <w:sz w:val="24"/>
        </w:rPr>
      </w:pPr>
      <w:r>
        <w:rPr>
          <w:rFonts w:ascii="Book Antiqua" w:hAnsi="Book Antiqua" w:cs="Times New Roman"/>
          <w:sz w:val="24"/>
        </w:rPr>
        <w:t xml:space="preserve">We performed stratified analyses of GC patients in the entire cohort. High-BPM patients with stages </w:t>
      </w:r>
      <w:proofErr w:type="spellStart"/>
      <w:r>
        <w:rPr>
          <w:rFonts w:ascii="Book Antiqua" w:hAnsi="Book Antiqua" w:cs="Times New Roman"/>
          <w:sz w:val="24"/>
        </w:rPr>
        <w:t>IIa</w:t>
      </w:r>
      <w:proofErr w:type="spellEnd"/>
      <w:r>
        <w:rPr>
          <w:rFonts w:ascii="Book Antiqua" w:hAnsi="Book Antiqua" w:cs="Times New Roman"/>
          <w:sz w:val="24"/>
        </w:rPr>
        <w:t xml:space="preserve">, </w:t>
      </w:r>
      <w:proofErr w:type="spellStart"/>
      <w:r>
        <w:rPr>
          <w:rFonts w:ascii="Book Antiqua" w:hAnsi="Book Antiqua" w:cs="Times New Roman"/>
          <w:sz w:val="24"/>
        </w:rPr>
        <w:t>IIb</w:t>
      </w:r>
      <w:proofErr w:type="spellEnd"/>
      <w:r>
        <w:rPr>
          <w:rFonts w:ascii="Book Antiqua" w:hAnsi="Book Antiqua" w:cs="Times New Roman"/>
          <w:sz w:val="24"/>
        </w:rPr>
        <w:t xml:space="preserve">, </w:t>
      </w:r>
      <w:proofErr w:type="spellStart"/>
      <w:r>
        <w:rPr>
          <w:rFonts w:ascii="Book Antiqua" w:hAnsi="Book Antiqua" w:cs="Times New Roman"/>
          <w:sz w:val="24"/>
        </w:rPr>
        <w:t>IIIa</w:t>
      </w:r>
      <w:proofErr w:type="spellEnd"/>
      <w:r>
        <w:rPr>
          <w:rFonts w:ascii="Book Antiqua" w:hAnsi="Book Antiqua" w:cs="Times New Roman"/>
          <w:sz w:val="24"/>
        </w:rPr>
        <w:t xml:space="preserve">, </w:t>
      </w:r>
      <w:proofErr w:type="spellStart"/>
      <w:r>
        <w:rPr>
          <w:rFonts w:ascii="Book Antiqua" w:hAnsi="Book Antiqua" w:cs="Times New Roman"/>
          <w:sz w:val="24"/>
        </w:rPr>
        <w:t>IIIb</w:t>
      </w:r>
      <w:proofErr w:type="spellEnd"/>
      <w:r>
        <w:rPr>
          <w:rFonts w:ascii="Book Antiqua" w:hAnsi="Book Antiqua" w:cs="Times New Roman"/>
          <w:sz w:val="24"/>
        </w:rPr>
        <w:t xml:space="preserve">, and </w:t>
      </w:r>
      <w:proofErr w:type="spellStart"/>
      <w:r>
        <w:rPr>
          <w:rFonts w:ascii="Book Antiqua" w:hAnsi="Book Antiqua" w:cs="Times New Roman"/>
          <w:sz w:val="24"/>
        </w:rPr>
        <w:t>IIIc</w:t>
      </w:r>
      <w:proofErr w:type="spellEnd"/>
      <w:r>
        <w:rPr>
          <w:rFonts w:ascii="Book Antiqua" w:hAnsi="Book Antiqua" w:cs="Times New Roman"/>
          <w:sz w:val="24"/>
        </w:rPr>
        <w:t xml:space="preserve"> disease had a shorter OS and DSS compared with low-BPM patients (log-rank </w:t>
      </w:r>
      <w:r>
        <w:rPr>
          <w:rFonts w:ascii="Book Antiqua" w:hAnsi="Book Antiqua" w:cs="Times New Roman"/>
          <w:i/>
          <w:iCs/>
          <w:sz w:val="24"/>
        </w:rPr>
        <w:t>P</w:t>
      </w:r>
      <w:r>
        <w:rPr>
          <w:rFonts w:ascii="Book Antiqua" w:hAnsi="Book Antiqua" w:cs="Times New Roman"/>
          <w:sz w:val="24"/>
        </w:rPr>
        <w:t xml:space="preserve"> &lt; 0.05 for all, Figure 3). A forest plot based on 5-year OS was further established, and the results confirmed that high-BPM patients had a poor prognosis among each subgroup (Figure 4). Furthermore, </w:t>
      </w:r>
      <w:r>
        <w:rPr>
          <w:rFonts w:ascii="Book Antiqua" w:hAnsi="Book Antiqua" w:cs="Book Antiqua"/>
          <w:sz w:val="24"/>
        </w:rPr>
        <w:t xml:space="preserve">we assigned patients to an </w:t>
      </w:r>
      <w:r>
        <w:rPr>
          <w:rStyle w:val="copied"/>
          <w:rFonts w:ascii="Book Antiqua" w:hAnsi="Book Antiqua"/>
          <w:sz w:val="24"/>
        </w:rPr>
        <w:t xml:space="preserve">adjuvant chemotherapy (AC) or a non-AC group based on </w:t>
      </w:r>
      <w:r>
        <w:rPr>
          <w:rFonts w:ascii="Book Antiqua" w:hAnsi="Book Antiqua" w:cs="Book Antiqua"/>
          <w:sz w:val="24"/>
        </w:rPr>
        <w:t xml:space="preserve">the receipt of postoperative adjuvant chemotherapy and then performed the Kaplan-Meier </w:t>
      </w:r>
      <w:hyperlink r:id="rId8" w:tgtFrame="https://www.baidu.com/_blank" w:history="1">
        <w:r>
          <w:rPr>
            <w:rFonts w:ascii="Book Antiqua" w:hAnsi="Book Antiqua" w:cs="Book Antiqua"/>
            <w:sz w:val="24"/>
          </w:rPr>
          <w:t>survival analysis</w:t>
        </w:r>
      </w:hyperlink>
      <w:r>
        <w:rPr>
          <w:rFonts w:ascii="Book Antiqua" w:hAnsi="Book Antiqua" w:cs="Book Antiqua"/>
          <w:sz w:val="24"/>
        </w:rPr>
        <w:t xml:space="preserve">. </w:t>
      </w:r>
      <w:r>
        <w:rPr>
          <w:rFonts w:ascii="Book Antiqua" w:hAnsi="Book Antiqua"/>
          <w:sz w:val="24"/>
        </w:rPr>
        <w:t xml:space="preserve">The results revealed that high-BPM patients had a poorer prognosis compared with low-BPM patients in both the AC and non-AC groups (log-rank </w:t>
      </w:r>
      <w:r>
        <w:rPr>
          <w:rFonts w:ascii="Book Antiqua" w:hAnsi="Book Antiqua"/>
          <w:i/>
          <w:iCs/>
          <w:sz w:val="24"/>
        </w:rPr>
        <w:t>P</w:t>
      </w:r>
      <w:r>
        <w:rPr>
          <w:rFonts w:ascii="Book Antiqua" w:hAnsi="Book Antiqua"/>
          <w:sz w:val="24"/>
        </w:rPr>
        <w:t xml:space="preserve"> &lt; 0.001 for all, Supplementary Figure 3). </w:t>
      </w:r>
    </w:p>
    <w:p w:rsidR="00EA588F" w:rsidRDefault="00EA588F">
      <w:pPr>
        <w:adjustRightInd w:val="0"/>
        <w:snapToGrid w:val="0"/>
        <w:spacing w:line="360" w:lineRule="auto"/>
        <w:rPr>
          <w:rFonts w:ascii="Book Antiqua" w:hAnsi="Book Antiqua" w:cs="Times New Roman"/>
          <w:sz w:val="24"/>
        </w:rPr>
      </w:pPr>
    </w:p>
    <w:p w:rsidR="00EA588F" w:rsidRDefault="00EA588F">
      <w:pPr>
        <w:adjustRightInd w:val="0"/>
        <w:snapToGrid w:val="0"/>
        <w:spacing w:line="360" w:lineRule="auto"/>
        <w:rPr>
          <w:rFonts w:ascii="Book Antiqua" w:hAnsi="Book Antiqua" w:cs="Times New Roman"/>
          <w:i/>
          <w:iCs/>
          <w:sz w:val="24"/>
        </w:rPr>
      </w:pPr>
      <w:r>
        <w:rPr>
          <w:rFonts w:ascii="Book Antiqua" w:hAnsi="Book Antiqua" w:cs="Times New Roman"/>
          <w:b/>
          <w:i/>
          <w:iCs/>
          <w:sz w:val="24"/>
        </w:rPr>
        <w:t>Prognostic value of TNM + BPM</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To make individualized prediction of the survival probability in stages II and III GC patients, we established a </w:t>
      </w:r>
      <w:proofErr w:type="spellStart"/>
      <w:r>
        <w:rPr>
          <w:rFonts w:ascii="Book Antiqua" w:hAnsi="Book Antiqua" w:cs="Times New Roman"/>
          <w:sz w:val="24"/>
        </w:rPr>
        <w:t>nomogram</w:t>
      </w:r>
      <w:proofErr w:type="spellEnd"/>
      <w:r>
        <w:rPr>
          <w:rFonts w:ascii="Book Antiqua" w:hAnsi="Book Antiqua" w:cs="Times New Roman"/>
          <w:sz w:val="24"/>
        </w:rPr>
        <w:t xml:space="preserve"> that combined the BPM score and TNM stage in the entire cohort (Figure 5A). The Harrell’s C-statistic of this </w:t>
      </w:r>
      <w:proofErr w:type="spellStart"/>
      <w:r>
        <w:rPr>
          <w:rFonts w:ascii="Book Antiqua" w:hAnsi="Book Antiqua" w:cs="Times New Roman"/>
          <w:sz w:val="24"/>
        </w:rPr>
        <w:t>nomogram</w:t>
      </w:r>
      <w:proofErr w:type="spellEnd"/>
      <w:r>
        <w:rPr>
          <w:rFonts w:ascii="Book Antiqua" w:hAnsi="Book Antiqua" w:cs="Times New Roman"/>
          <w:sz w:val="24"/>
        </w:rPr>
        <w:t xml:space="preserve"> was significantly higher than that of TNM stage alone (0.727 </w:t>
      </w:r>
      <w:proofErr w:type="spellStart"/>
      <w:r>
        <w:rPr>
          <w:rFonts w:ascii="Book Antiqua" w:hAnsi="Book Antiqua" w:cs="Times New Roman"/>
          <w:i/>
          <w:iCs/>
          <w:sz w:val="24"/>
        </w:rPr>
        <w:t>vs</w:t>
      </w:r>
      <w:proofErr w:type="spellEnd"/>
      <w:r>
        <w:rPr>
          <w:rFonts w:ascii="Book Antiqua" w:hAnsi="Book Antiqua" w:cs="Times New Roman"/>
          <w:sz w:val="24"/>
        </w:rPr>
        <w:t xml:space="preserve"> 0.697, </w:t>
      </w:r>
      <w:r>
        <w:rPr>
          <w:rFonts w:ascii="Book Antiqua" w:hAnsi="Book Antiqua" w:cs="Times New Roman"/>
          <w:i/>
          <w:iCs/>
          <w:sz w:val="24"/>
        </w:rPr>
        <w:t xml:space="preserve">P </w:t>
      </w:r>
      <w:r>
        <w:rPr>
          <w:rFonts w:ascii="Book Antiqua" w:hAnsi="Book Antiqua" w:cs="Times New Roman"/>
          <w:sz w:val="24"/>
        </w:rPr>
        <w:t xml:space="preserve">&lt; 0.001). The </w:t>
      </w:r>
      <w:proofErr w:type="spellStart"/>
      <w:r>
        <w:rPr>
          <w:rFonts w:ascii="Book Antiqua" w:hAnsi="Book Antiqua" w:cs="Times New Roman"/>
          <w:sz w:val="24"/>
        </w:rPr>
        <w:t>Hosmer-Lemeshow</w:t>
      </w:r>
      <w:proofErr w:type="spellEnd"/>
      <w:r>
        <w:rPr>
          <w:rFonts w:ascii="Book Antiqua" w:hAnsi="Book Antiqua" w:cs="Times New Roman"/>
          <w:sz w:val="24"/>
        </w:rPr>
        <w:t xml:space="preserve"> test showed that the model had good fit for 1-, 3-, and 5-year OS (</w:t>
      </w:r>
      <w:r>
        <w:rPr>
          <w:rFonts w:ascii="Book Antiqua" w:hAnsi="Book Antiqua" w:cs="Times New Roman"/>
          <w:i/>
          <w:iCs/>
          <w:sz w:val="24"/>
        </w:rPr>
        <w:t>P</w:t>
      </w:r>
      <w:r>
        <w:rPr>
          <w:rFonts w:ascii="Book Antiqua" w:hAnsi="Book Antiqua" w:cs="Times New Roman"/>
          <w:sz w:val="24"/>
        </w:rPr>
        <w:t xml:space="preserve"> = 0.979, </w:t>
      </w:r>
      <w:r>
        <w:rPr>
          <w:rFonts w:ascii="Book Antiqua" w:hAnsi="Book Antiqua" w:cs="Times New Roman"/>
          <w:i/>
          <w:iCs/>
          <w:sz w:val="24"/>
        </w:rPr>
        <w:t>P</w:t>
      </w:r>
      <w:r>
        <w:rPr>
          <w:rFonts w:ascii="Book Antiqua" w:hAnsi="Book Antiqua" w:cs="Times New Roman"/>
          <w:sz w:val="24"/>
        </w:rPr>
        <w:t xml:space="preserve"> = 0.853, and </w:t>
      </w:r>
      <w:r>
        <w:rPr>
          <w:rFonts w:ascii="Book Antiqua" w:hAnsi="Book Antiqua" w:cs="Times New Roman"/>
          <w:i/>
          <w:iCs/>
          <w:sz w:val="24"/>
        </w:rPr>
        <w:t>P</w:t>
      </w:r>
      <w:r>
        <w:rPr>
          <w:rFonts w:ascii="Book Antiqua" w:hAnsi="Book Antiqua" w:cs="Times New Roman"/>
          <w:sz w:val="24"/>
        </w:rPr>
        <w:t xml:space="preserve"> = 0.655, </w:t>
      </w:r>
      <w:r>
        <w:rPr>
          <w:rFonts w:ascii="Book Antiqua" w:hAnsi="Book Antiqua" w:cs="Times New Roman"/>
          <w:sz w:val="24"/>
        </w:rPr>
        <w:lastRenderedPageBreak/>
        <w:t xml:space="preserve">respectively). The decision curve analysis revealed that TNM + BPM had better clinical utility than TNM stage alone at 1, 3, and 5 years (Figure 5 B–D). </w:t>
      </w:r>
    </w:p>
    <w:p w:rsidR="00EA588F" w:rsidRDefault="00EA588F">
      <w:pPr>
        <w:adjustRightInd w:val="0"/>
        <w:snapToGrid w:val="0"/>
        <w:spacing w:line="360" w:lineRule="auto"/>
        <w:rPr>
          <w:rFonts w:ascii="Book Antiqua" w:hAnsi="Book Antiqua" w:cs="Times New Roman"/>
          <w:b/>
          <w:sz w:val="24"/>
        </w:rPr>
      </w:pP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t>DISCUSSION</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A growing body of evidence has demonstrated the potential of some laboratory BPM as prognostic markers to predict the oncologic outcomes in human malignancies</w:t>
      </w:r>
      <w:r>
        <w:rPr>
          <w:rFonts w:ascii="Book Antiqua" w:hAnsi="Book Antiqua" w:cs="Times New Roman"/>
          <w:sz w:val="24"/>
          <w:vertAlign w:val="superscript"/>
        </w:rPr>
        <w:t>[5-14,17-18,21-22]</w:t>
      </w:r>
      <w:r>
        <w:rPr>
          <w:rFonts w:ascii="Book Antiqua" w:hAnsi="Book Antiqua" w:cs="Times New Roman"/>
          <w:sz w:val="24"/>
        </w:rPr>
        <w:t xml:space="preserve">. However, how to comprehensively use these predictors to predict the long-term prognosis of patients with GC remains unclear. So far, researchers have established PNI, </w:t>
      </w:r>
      <w:proofErr w:type="spellStart"/>
      <w:r>
        <w:rPr>
          <w:rFonts w:ascii="Book Antiqua" w:hAnsi="Book Antiqua" w:cs="Times New Roman"/>
          <w:sz w:val="24"/>
        </w:rPr>
        <w:t>mGPS</w:t>
      </w:r>
      <w:proofErr w:type="spellEnd"/>
      <w:r>
        <w:rPr>
          <w:rFonts w:ascii="Book Antiqua" w:hAnsi="Book Antiqua" w:cs="Times New Roman"/>
          <w:sz w:val="24"/>
        </w:rPr>
        <w:t xml:space="preserve">, CONUT, and </w:t>
      </w:r>
      <w:proofErr w:type="spellStart"/>
      <w:r>
        <w:rPr>
          <w:rFonts w:ascii="Book Antiqua" w:hAnsi="Book Antiqua" w:cs="Times New Roman"/>
          <w:sz w:val="24"/>
        </w:rPr>
        <w:t>mSIS</w:t>
      </w:r>
      <w:proofErr w:type="spellEnd"/>
      <w:r>
        <w:rPr>
          <w:rFonts w:ascii="Book Antiqua" w:hAnsi="Book Antiqua" w:cs="Times New Roman"/>
          <w:sz w:val="24"/>
        </w:rPr>
        <w:t xml:space="preserve"> as scoring systems that reflect immunological and nutritional statuses to more accurately predict clinical outcomes and to administer individualized treatment</w:t>
      </w:r>
      <w:r>
        <w:rPr>
          <w:rFonts w:ascii="Book Antiqua" w:hAnsi="Book Antiqua" w:cs="Times New Roman"/>
          <w:sz w:val="24"/>
          <w:vertAlign w:val="superscript"/>
        </w:rPr>
        <w:t>[9-11,32]</w:t>
      </w:r>
      <w:r>
        <w:rPr>
          <w:rFonts w:ascii="Book Antiqua" w:hAnsi="Book Antiqua" w:cs="Times New Roman"/>
          <w:sz w:val="24"/>
        </w:rPr>
        <w:t xml:space="preserve">. However, the clinical usefulness of these scoring systems is still controversial. Liu </w:t>
      </w:r>
      <w:r>
        <w:rPr>
          <w:rFonts w:ascii="Book Antiqua" w:hAnsi="Book Antiqua" w:cs="Times New Roman"/>
          <w:i/>
          <w:iCs/>
          <w:sz w:val="24"/>
        </w:rPr>
        <w:t>et al</w:t>
      </w:r>
      <w:r>
        <w:rPr>
          <w:rFonts w:ascii="Book Antiqua" w:hAnsi="Book Antiqua" w:cs="Times New Roman"/>
          <w:sz w:val="24"/>
          <w:vertAlign w:val="superscript"/>
        </w:rPr>
        <w:t>[15]</w:t>
      </w:r>
      <w:r>
        <w:rPr>
          <w:rFonts w:ascii="Book Antiqua" w:hAnsi="Book Antiqua" w:cs="Times New Roman"/>
          <w:sz w:val="24"/>
        </w:rPr>
        <w:t xml:space="preserve"> found that low PNI was marginally associated with 5-year OS in patients with stage III GC, but the prognostic value was not significant in stages I and II GC. A retrospective study of 416 patients reported that a high CONUT score was strongly associated with 5-year OS in both </w:t>
      </w:r>
      <w:proofErr w:type="spellStart"/>
      <w:r>
        <w:rPr>
          <w:rFonts w:ascii="Book Antiqua" w:hAnsi="Book Antiqua" w:cs="Times New Roman"/>
          <w:sz w:val="24"/>
        </w:rPr>
        <w:t>pStage</w:t>
      </w:r>
      <w:proofErr w:type="spellEnd"/>
      <w:r>
        <w:rPr>
          <w:rFonts w:ascii="Book Antiqua" w:hAnsi="Book Antiqua" w:cs="Times New Roman"/>
          <w:sz w:val="24"/>
        </w:rPr>
        <w:t xml:space="preserve"> I and </w:t>
      </w:r>
      <w:proofErr w:type="spellStart"/>
      <w:r>
        <w:rPr>
          <w:rFonts w:ascii="Book Antiqua" w:hAnsi="Book Antiqua" w:cs="Times New Roman"/>
          <w:sz w:val="24"/>
        </w:rPr>
        <w:t>pStage</w:t>
      </w:r>
      <w:proofErr w:type="spellEnd"/>
      <w:r>
        <w:rPr>
          <w:rFonts w:ascii="Book Antiqua" w:hAnsi="Book Antiqua" w:cs="Times New Roman"/>
          <w:sz w:val="24"/>
        </w:rPr>
        <w:t xml:space="preserve"> II patients but not in </w:t>
      </w:r>
      <w:proofErr w:type="spellStart"/>
      <w:r>
        <w:rPr>
          <w:rFonts w:ascii="Book Antiqua" w:hAnsi="Book Antiqua" w:cs="Times New Roman"/>
          <w:sz w:val="24"/>
        </w:rPr>
        <w:t>pStage</w:t>
      </w:r>
      <w:proofErr w:type="spellEnd"/>
      <w:r>
        <w:rPr>
          <w:rFonts w:ascii="Book Antiqua" w:hAnsi="Book Antiqua" w:cs="Times New Roman"/>
          <w:sz w:val="24"/>
        </w:rPr>
        <w:t xml:space="preserve"> III patients</w:t>
      </w:r>
      <w:r>
        <w:rPr>
          <w:rFonts w:ascii="Book Antiqua" w:hAnsi="Book Antiqua" w:cs="Times New Roman"/>
          <w:sz w:val="24"/>
          <w:vertAlign w:val="superscript"/>
        </w:rPr>
        <w:t>[11]</w:t>
      </w:r>
      <w:r>
        <w:rPr>
          <w:rFonts w:ascii="Book Antiqua" w:hAnsi="Book Antiqua" w:cs="Times New Roman"/>
          <w:sz w:val="24"/>
        </w:rPr>
        <w:t xml:space="preserve">. Similarly, previous studies showed that the utility of </w:t>
      </w:r>
      <w:proofErr w:type="spellStart"/>
      <w:r>
        <w:rPr>
          <w:rFonts w:ascii="Book Antiqua" w:hAnsi="Book Antiqua" w:cs="Times New Roman"/>
          <w:sz w:val="24"/>
        </w:rPr>
        <w:t>mGPS</w:t>
      </w:r>
      <w:proofErr w:type="spellEnd"/>
      <w:r>
        <w:rPr>
          <w:rFonts w:ascii="Book Antiqua" w:hAnsi="Book Antiqua" w:cs="Times New Roman"/>
          <w:sz w:val="24"/>
        </w:rPr>
        <w:t xml:space="preserve"> and </w:t>
      </w:r>
      <w:proofErr w:type="spellStart"/>
      <w:r>
        <w:rPr>
          <w:rFonts w:ascii="Book Antiqua" w:hAnsi="Book Antiqua" w:cs="Times New Roman"/>
          <w:sz w:val="24"/>
        </w:rPr>
        <w:t>mSIS</w:t>
      </w:r>
      <w:proofErr w:type="spellEnd"/>
      <w:r>
        <w:rPr>
          <w:rFonts w:ascii="Book Antiqua" w:hAnsi="Book Antiqua" w:cs="Times New Roman"/>
          <w:sz w:val="24"/>
        </w:rPr>
        <w:t xml:space="preserve"> in patients with GC was also controversial</w:t>
      </w:r>
      <w:r>
        <w:rPr>
          <w:rFonts w:ascii="Book Antiqua" w:hAnsi="Book Antiqua" w:cs="Times New Roman"/>
          <w:sz w:val="24"/>
          <w:vertAlign w:val="superscript"/>
        </w:rPr>
        <w:t>[16,32]</w:t>
      </w:r>
      <w:r>
        <w:rPr>
          <w:rFonts w:ascii="Book Antiqua" w:hAnsi="Book Antiqua" w:cs="Times New Roman"/>
          <w:sz w:val="24"/>
        </w:rPr>
        <w:t xml:space="preserve">. A possible explanation was that these scores did not include all valuable </w:t>
      </w:r>
      <w:r>
        <w:rPr>
          <w:rFonts w:ascii="Book Antiqua" w:hAnsi="Book Antiqua"/>
          <w:sz w:val="24"/>
        </w:rPr>
        <w:t>BPM</w:t>
      </w:r>
      <w:r>
        <w:rPr>
          <w:rFonts w:ascii="Book Antiqua" w:hAnsi="Book Antiqua" w:cs="Times New Roman"/>
          <w:sz w:val="24"/>
        </w:rPr>
        <w:t xml:space="preserve"> for comprehensive analysis, resulting in their limited prognostic value. </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 xml:space="preserve">In addition, in the pursuit of simplicity, some of the current scoring systems handle the </w:t>
      </w:r>
      <w:r>
        <w:rPr>
          <w:rFonts w:ascii="Book Antiqua" w:hAnsi="Book Antiqua"/>
          <w:sz w:val="24"/>
        </w:rPr>
        <w:t>BPM</w:t>
      </w:r>
      <w:r>
        <w:rPr>
          <w:rFonts w:ascii="Book Antiqua" w:hAnsi="Book Antiqua" w:cs="Times New Roman"/>
          <w:sz w:val="24"/>
        </w:rPr>
        <w:t xml:space="preserve"> in a categorical manner when they are, in fact, generated as continuous variables. It was reported that </w:t>
      </w:r>
      <w:proofErr w:type="spellStart"/>
      <w:r>
        <w:rPr>
          <w:rFonts w:ascii="Book Antiqua" w:hAnsi="Book Antiqua" w:cs="Times New Roman"/>
          <w:sz w:val="24"/>
        </w:rPr>
        <w:t>dichotomisation</w:t>
      </w:r>
      <w:proofErr w:type="spellEnd"/>
      <w:r>
        <w:rPr>
          <w:rFonts w:ascii="Book Antiqua" w:hAnsi="Book Antiqua" w:cs="Times New Roman"/>
          <w:sz w:val="24"/>
        </w:rPr>
        <w:t xml:space="preserve"> of continuous variables in a multiple regression procedure may be associated with considerable loss of statistical power and introduction of bias</w:t>
      </w:r>
      <w:r>
        <w:rPr>
          <w:rFonts w:ascii="Book Antiqua" w:hAnsi="Book Antiqua" w:cs="Times New Roman"/>
          <w:sz w:val="24"/>
          <w:vertAlign w:val="superscript"/>
        </w:rPr>
        <w:t>[33,34]</w:t>
      </w:r>
      <w:r>
        <w:rPr>
          <w:rFonts w:ascii="Book Antiqua" w:hAnsi="Book Antiqua" w:cs="Times New Roman"/>
          <w:sz w:val="24"/>
        </w:rPr>
        <w:t>. However, we should acknowledge that considering an indicator as a continuous variable does not necessarily improve the prediction accuracy. At the same time, it may not be easy to use in the clinical decision-making process</w:t>
      </w:r>
      <w:r>
        <w:rPr>
          <w:rFonts w:ascii="Book Antiqua" w:hAnsi="Book Antiqua" w:cs="Times New Roman"/>
          <w:sz w:val="24"/>
          <w:vertAlign w:val="superscript"/>
        </w:rPr>
        <w:t>[35]</w:t>
      </w:r>
      <w:r>
        <w:rPr>
          <w:rFonts w:ascii="Book Antiqua" w:hAnsi="Book Antiqua" w:cs="Times New Roman"/>
          <w:sz w:val="24"/>
        </w:rPr>
        <w:t xml:space="preserve">. Therefore, in the present study, we separately calculated and compared the AIC score and Harrell’s C-statistic of each blood parameter in the </w:t>
      </w:r>
      <w:r>
        <w:rPr>
          <w:rFonts w:ascii="Book Antiqua" w:hAnsi="Book Antiqua" w:cs="Times New Roman"/>
          <w:sz w:val="24"/>
        </w:rPr>
        <w:lastRenderedPageBreak/>
        <w:t>dichotomous and continuous forms to determine which form was better for this indicator. It was found that only the continuous form of hemoglobin, albumin, fibrinogen, and CEA had smaller AIC scores than their dichotomous form, with significantly stronger discriminative power. So, we further analyzed them as continuous variables, while the remaining indicators (including cholesterol, LMR, NLR, PLR, and CA 19-9) were valued as 0 or 1 according to their cut-off values.</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 xml:space="preserve">The prognostic influence of perioperative laboratory </w:t>
      </w:r>
      <w:r>
        <w:rPr>
          <w:rFonts w:ascii="Book Antiqua" w:hAnsi="Book Antiqua"/>
          <w:sz w:val="24"/>
        </w:rPr>
        <w:t>BPM</w:t>
      </w:r>
      <w:r>
        <w:rPr>
          <w:rFonts w:ascii="Book Antiqua" w:hAnsi="Book Antiqua" w:cs="Times New Roman"/>
          <w:sz w:val="24"/>
        </w:rPr>
        <w:t xml:space="preserve"> may be difficult to discern in patients with stage I GC, who experience fewer cases of DSS, and in patients with stage IV GC, who experience extremely lower survival rates</w:t>
      </w:r>
      <w:r>
        <w:rPr>
          <w:rFonts w:ascii="Book Antiqua" w:hAnsi="Book Antiqua" w:cs="Times New Roman"/>
          <w:sz w:val="24"/>
          <w:vertAlign w:val="superscript"/>
        </w:rPr>
        <w:t>[5]</w:t>
      </w:r>
      <w:r>
        <w:rPr>
          <w:rFonts w:ascii="Book Antiqua" w:hAnsi="Book Antiqua" w:cs="Times New Roman"/>
          <w:sz w:val="24"/>
        </w:rPr>
        <w:t xml:space="preserve">. Therefore, the present study enrolled stage II-III GC patients based on a prospectively collected database of a high-volume center in order to provide a novel prognostic model for these patients with </w:t>
      </w:r>
      <w:proofErr w:type="spellStart"/>
      <w:r>
        <w:rPr>
          <w:rFonts w:ascii="Book Antiqua" w:hAnsi="Book Antiqua" w:cs="Times New Roman"/>
          <w:sz w:val="24"/>
        </w:rPr>
        <w:t>resectable</w:t>
      </w:r>
      <w:proofErr w:type="spellEnd"/>
      <w:r>
        <w:rPr>
          <w:rFonts w:ascii="Book Antiqua" w:hAnsi="Book Antiqua" w:cs="Times New Roman"/>
          <w:sz w:val="24"/>
        </w:rPr>
        <w:t xml:space="preserve"> locally advanced GC. Using LASSO Cox regression analysis, we established the BPM score based on five objectively measured, easily obtained </w:t>
      </w:r>
      <w:r>
        <w:rPr>
          <w:rFonts w:ascii="Book Antiqua" w:hAnsi="Book Antiqua"/>
          <w:sz w:val="24"/>
        </w:rPr>
        <w:t>BPM</w:t>
      </w:r>
      <w:r>
        <w:rPr>
          <w:rFonts w:ascii="Book Antiqua" w:hAnsi="Book Antiqua" w:cs="Times New Roman"/>
          <w:sz w:val="24"/>
        </w:rPr>
        <w:t xml:space="preserve"> covering inflammatory, nutritional, and tumor markers: Albumin, LMR, NLR, CEA, and CA 19-9. To our knowledge, the link of malnutrition and systemic inflammation with carcinogenesis, tumor growth, and cancer progression has been demonstrated in several cancers, including GC</w:t>
      </w:r>
      <w:r>
        <w:rPr>
          <w:rFonts w:ascii="Book Antiqua" w:hAnsi="Book Antiqua" w:cs="Times New Roman"/>
          <w:sz w:val="24"/>
          <w:vertAlign w:val="superscript"/>
        </w:rPr>
        <w:t>[5-16,36-39]</w:t>
      </w:r>
      <w:r>
        <w:rPr>
          <w:rFonts w:ascii="Book Antiqua" w:hAnsi="Book Antiqua" w:cs="Times New Roman"/>
          <w:sz w:val="24"/>
        </w:rPr>
        <w:t>. In addition, tumor markers, as circulating substances that can be measured quantitatively, have a causal relationship with malignant diseases and are currently applied in prognosis prediction of GC patients</w:t>
      </w:r>
      <w:r>
        <w:rPr>
          <w:rFonts w:ascii="Book Antiqua" w:hAnsi="Book Antiqua" w:cs="Times New Roman"/>
          <w:sz w:val="24"/>
          <w:vertAlign w:val="superscript"/>
        </w:rPr>
        <w:t>[17,18,40]</w:t>
      </w:r>
      <w:r>
        <w:rPr>
          <w:rFonts w:ascii="Book Antiqua" w:hAnsi="Book Antiqua" w:cs="Times New Roman"/>
          <w:sz w:val="24"/>
        </w:rPr>
        <w:t xml:space="preserve">. A comparison of the </w:t>
      </w:r>
      <w:proofErr w:type="spellStart"/>
      <w:r>
        <w:rPr>
          <w:rFonts w:ascii="Book Antiqua" w:hAnsi="Book Antiqua" w:cs="Times New Roman"/>
          <w:sz w:val="24"/>
        </w:rPr>
        <w:t>clinicopathological</w:t>
      </w:r>
      <w:proofErr w:type="spellEnd"/>
      <w:r>
        <w:rPr>
          <w:rFonts w:ascii="Book Antiqua" w:hAnsi="Book Antiqua" w:cs="Times New Roman"/>
          <w:sz w:val="24"/>
        </w:rPr>
        <w:t xml:space="preserve"> variables between high-BPM and low-BPM patients revealed that a high BPM score was associated with older age, higher tumor stage, and larger tumor size. Multivariate analysis showed that the BPM score was an independent risk factor, had a stable prognostic ability among patients in each subgroup, and had better predictive accuracy than the traditional scoring systems. More importantly, the BPM score proved to be a supplement to the TNM staging system. Therefore, we recommend the use of the TNM + BPM scoring system incorporating preoperative albumin, LMR, NLR, CEA, and CA 19-9 levels for multimodality treatment planning and risk </w:t>
      </w:r>
      <w:r>
        <w:rPr>
          <w:rFonts w:ascii="Book Antiqua" w:hAnsi="Book Antiqua" w:cs="Times New Roman"/>
          <w:sz w:val="24"/>
        </w:rPr>
        <w:lastRenderedPageBreak/>
        <w:t>stratification in prospective studies.</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Book Antiqua"/>
          <w:sz w:val="24"/>
        </w:rPr>
        <w:t>In this study, we found that the BPM score, a novel scoring system based on five BPM, was predictive of long-term outcomes in</w:t>
      </w:r>
      <w:r>
        <w:rPr>
          <w:rFonts w:ascii="Book Antiqua" w:hAnsi="Book Antiqua"/>
          <w:sz w:val="24"/>
        </w:rPr>
        <w:t xml:space="preserve"> stage II-III GC patients. This tool may have important uses in prognostic stratification, therapeutic intervention, and postoperative surveillance strategies, especially after incorporating TNM stage. For example, patients with a high BPM score will be recommended to receive postoperative multimodality treatment, such as chemotherapy, immunotherapy, and targeted therapy. And more regular follow-up schedule will be offered to early detect recurrence, which may provide survival benefit</w:t>
      </w:r>
      <w:r>
        <w:rPr>
          <w:rFonts w:ascii="Book Antiqua" w:hAnsi="Book Antiqua"/>
          <w:sz w:val="24"/>
          <w:vertAlign w:val="superscript"/>
        </w:rPr>
        <w:t>[41]</w:t>
      </w:r>
      <w:r>
        <w:rPr>
          <w:rFonts w:ascii="Book Antiqua" w:hAnsi="Book Antiqua"/>
          <w:sz w:val="24"/>
        </w:rPr>
        <w:t>. A patient example of how the model can be used in clinical practice is provided in the Supplementary Materials.</w:t>
      </w:r>
    </w:p>
    <w:p w:rsidR="00EA588F" w:rsidRDefault="00EA588F">
      <w:pPr>
        <w:adjustRightInd w:val="0"/>
        <w:snapToGrid w:val="0"/>
        <w:spacing w:line="360" w:lineRule="auto"/>
        <w:ind w:firstLineChars="100" w:firstLine="240"/>
        <w:rPr>
          <w:rFonts w:ascii="Book Antiqua" w:hAnsi="Book Antiqua" w:cs="Times New Roman"/>
          <w:sz w:val="24"/>
        </w:rPr>
      </w:pPr>
      <w:r>
        <w:rPr>
          <w:rFonts w:ascii="Book Antiqua" w:hAnsi="Book Antiqua" w:cs="Times New Roman"/>
          <w:sz w:val="24"/>
        </w:rPr>
        <w:t xml:space="preserve">This study has some limitations. First, as a retrospective, single-institution study, it may have been subject to selection bias. However, all data were derived from a prospectively collected database of a high-volume center, which can reduce this bias. Second, because C-reactive protein and </w:t>
      </w:r>
      <w:proofErr w:type="spellStart"/>
      <w:r>
        <w:rPr>
          <w:rFonts w:ascii="Book Antiqua" w:hAnsi="Book Antiqua" w:cs="Times New Roman"/>
          <w:sz w:val="24"/>
        </w:rPr>
        <w:t>prealbumin</w:t>
      </w:r>
      <w:proofErr w:type="spellEnd"/>
      <w:r>
        <w:rPr>
          <w:rFonts w:ascii="Book Antiqua" w:hAnsi="Book Antiqua" w:cs="Times New Roman"/>
          <w:sz w:val="24"/>
        </w:rPr>
        <w:t xml:space="preserve"> were not routinely tested before surgery in our institution, we did not include these potentially valuable biomarkers. Third, the validity and generalizability of the BPM score need to be established by testing it in other locations and groups of patients</w:t>
      </w:r>
      <w:r>
        <w:rPr>
          <w:rFonts w:ascii="Book Antiqua" w:hAnsi="Book Antiqua" w:cs="Times New Roman"/>
          <w:sz w:val="24"/>
          <w:vertAlign w:val="superscript"/>
        </w:rPr>
        <w:t>[42]</w:t>
      </w:r>
      <w:r>
        <w:rPr>
          <w:rFonts w:ascii="Book Antiqua" w:hAnsi="Book Antiqua" w:cs="Times New Roman"/>
          <w:sz w:val="24"/>
        </w:rPr>
        <w:t xml:space="preserve">. </w:t>
      </w:r>
    </w:p>
    <w:p w:rsidR="00EA588F" w:rsidRDefault="00EA588F">
      <w:pPr>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hAnsi="Book Antiqua"/>
          <w:b/>
          <w:caps/>
          <w:kern w:val="0"/>
          <w:sz w:val="24"/>
        </w:rPr>
      </w:pPr>
      <w:bookmarkStart w:id="74" w:name="OLE_LINK151"/>
      <w:bookmarkStart w:id="75" w:name="OLE_LINK259"/>
      <w:bookmarkStart w:id="76" w:name="OLE_LINK158"/>
      <w:bookmarkStart w:id="77" w:name="OLE_LINK159"/>
      <w:bookmarkStart w:id="78" w:name="OLE_LINK205"/>
      <w:bookmarkStart w:id="79" w:name="OLE_LINK206"/>
      <w:bookmarkStart w:id="80" w:name="OLE_LINK244"/>
      <w:bookmarkStart w:id="81" w:name="OLE_LINK245"/>
      <w:bookmarkStart w:id="82" w:name="OLE_LINK11"/>
      <w:bookmarkStart w:id="83" w:name="OLE_LINK12"/>
      <w:bookmarkStart w:id="84" w:name="OLE_LINK23"/>
      <w:bookmarkStart w:id="85" w:name="OLE_LINK24"/>
      <w:bookmarkStart w:id="86" w:name="OLE_LINK316"/>
      <w:bookmarkStart w:id="87" w:name="OLE_LINK332"/>
      <w:bookmarkStart w:id="88" w:name="OLE_LINK521"/>
      <w:bookmarkStart w:id="89" w:name="OLE_LINK403"/>
      <w:bookmarkStart w:id="90" w:name="OLE_LINK560"/>
      <w:r>
        <w:rPr>
          <w:rFonts w:ascii="Book Antiqua" w:hAnsi="Book Antiqua" w:cs="Segoe UI"/>
          <w:b/>
          <w:caps/>
          <w:kern w:val="0"/>
          <w:sz w:val="24"/>
          <w:shd w:val="clear" w:color="auto" w:fill="FFFFFF"/>
        </w:rPr>
        <w:t xml:space="preserve">Article Highlights </w:t>
      </w:r>
    </w:p>
    <w:p w:rsidR="00EA588F" w:rsidRDefault="00EA588F">
      <w:pPr>
        <w:widowControl/>
        <w:adjustRightInd w:val="0"/>
        <w:snapToGrid w:val="0"/>
        <w:spacing w:line="360" w:lineRule="auto"/>
        <w:rPr>
          <w:rFonts w:ascii="Book Antiqua" w:hAnsi="Book Antiqua"/>
          <w:b/>
          <w:i/>
          <w:kern w:val="0"/>
          <w:sz w:val="24"/>
        </w:rPr>
      </w:pPr>
      <w:r>
        <w:rPr>
          <w:rFonts w:ascii="Book Antiqua" w:hAnsi="Book Antiqua"/>
          <w:b/>
          <w:i/>
          <w:kern w:val="0"/>
          <w:sz w:val="24"/>
        </w:rPr>
        <w:t>Research background</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Increasing numbers of laboratory blood parameters (BPM) have been reported to greatly affect the long-term outcomes of gastric cancer (GC) patients. However, the existing prognostic models, including the prognostic nutritional index, the modified Glasgow prognostic score, and the controlling nutritional status score, contain limited </w:t>
      </w:r>
      <w:r>
        <w:rPr>
          <w:rFonts w:ascii="Book Antiqua" w:hAnsi="Book Antiqua"/>
          <w:sz w:val="24"/>
        </w:rPr>
        <w:t>BPM</w:t>
      </w:r>
      <w:r>
        <w:rPr>
          <w:rFonts w:ascii="Book Antiqua" w:hAnsi="Book Antiqua" w:cs="Times New Roman"/>
          <w:sz w:val="24"/>
        </w:rPr>
        <w:t xml:space="preserve"> and provide inadequate prognostic information. </w:t>
      </w:r>
    </w:p>
    <w:p w:rsidR="00EA588F" w:rsidRDefault="00EA588F">
      <w:pPr>
        <w:widowControl/>
        <w:adjustRightInd w:val="0"/>
        <w:snapToGrid w:val="0"/>
        <w:spacing w:line="360" w:lineRule="auto"/>
        <w:rPr>
          <w:rFonts w:ascii="Book Antiqua" w:hAnsi="Book Antiqua"/>
          <w:kern w:val="0"/>
          <w:sz w:val="24"/>
        </w:rPr>
      </w:pPr>
    </w:p>
    <w:p w:rsidR="00EA588F" w:rsidRDefault="00EA588F">
      <w:pPr>
        <w:widowControl/>
        <w:adjustRightInd w:val="0"/>
        <w:snapToGrid w:val="0"/>
        <w:spacing w:line="360" w:lineRule="auto"/>
        <w:rPr>
          <w:rFonts w:ascii="Book Antiqua" w:hAnsi="Book Antiqua"/>
          <w:b/>
          <w:i/>
          <w:kern w:val="0"/>
          <w:sz w:val="24"/>
        </w:rPr>
      </w:pPr>
      <w:r>
        <w:rPr>
          <w:rFonts w:ascii="Book Antiqua" w:hAnsi="Book Antiqua"/>
          <w:b/>
          <w:i/>
          <w:kern w:val="0"/>
          <w:sz w:val="24"/>
        </w:rPr>
        <w:t>Research motivation</w:t>
      </w:r>
    </w:p>
    <w:p w:rsidR="00EA588F" w:rsidRDefault="00EA588F">
      <w:pPr>
        <w:widowControl/>
        <w:adjustRightInd w:val="0"/>
        <w:snapToGrid w:val="0"/>
        <w:spacing w:line="360" w:lineRule="auto"/>
        <w:rPr>
          <w:rFonts w:ascii="Book Antiqua" w:hAnsi="Book Antiqua" w:cs="Times New Roman"/>
          <w:sz w:val="24"/>
        </w:rPr>
      </w:pPr>
      <w:r>
        <w:rPr>
          <w:rFonts w:ascii="Book Antiqua" w:hAnsi="Book Antiqua" w:cs="Times New Roman"/>
          <w:sz w:val="24"/>
        </w:rPr>
        <w:lastRenderedPageBreak/>
        <w:t xml:space="preserve">We hypothesized that a new scoring system, based on all available </w:t>
      </w:r>
      <w:r>
        <w:rPr>
          <w:rFonts w:ascii="Book Antiqua" w:hAnsi="Book Antiqua"/>
          <w:sz w:val="24"/>
        </w:rPr>
        <w:t>BPM</w:t>
      </w:r>
      <w:r>
        <w:rPr>
          <w:rFonts w:ascii="Book Antiqua" w:hAnsi="Book Antiqua" w:cs="Times New Roman"/>
          <w:sz w:val="24"/>
        </w:rPr>
        <w:t xml:space="preserve">, would provide more accurate prognostic information in patients with GC. </w:t>
      </w:r>
    </w:p>
    <w:p w:rsidR="00EA588F" w:rsidRDefault="00EA588F">
      <w:pPr>
        <w:widowControl/>
        <w:adjustRightInd w:val="0"/>
        <w:snapToGrid w:val="0"/>
        <w:spacing w:line="360" w:lineRule="auto"/>
        <w:rPr>
          <w:rFonts w:ascii="Book Antiqua" w:hAnsi="Book Antiqua" w:cs="Times New Roman"/>
          <w:sz w:val="24"/>
        </w:rPr>
      </w:pPr>
    </w:p>
    <w:p w:rsidR="00EA588F" w:rsidRDefault="00EA588F">
      <w:pPr>
        <w:widowControl/>
        <w:adjustRightInd w:val="0"/>
        <w:snapToGrid w:val="0"/>
        <w:spacing w:line="360" w:lineRule="auto"/>
        <w:rPr>
          <w:rFonts w:ascii="Book Antiqua" w:hAnsi="Book Antiqua"/>
          <w:b/>
          <w:i/>
          <w:kern w:val="0"/>
          <w:sz w:val="24"/>
        </w:rPr>
      </w:pPr>
      <w:r>
        <w:rPr>
          <w:rFonts w:ascii="Book Antiqua" w:hAnsi="Book Antiqua"/>
          <w:b/>
          <w:i/>
          <w:kern w:val="0"/>
          <w:sz w:val="24"/>
        </w:rPr>
        <w:t>Research objectives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The present study aimed to construct a new prognostic tool, based on all the prognostic </w:t>
      </w:r>
      <w:r>
        <w:rPr>
          <w:rFonts w:ascii="Book Antiqua" w:hAnsi="Book Antiqua"/>
          <w:sz w:val="24"/>
        </w:rPr>
        <w:t>BPM</w:t>
      </w:r>
      <w:r>
        <w:rPr>
          <w:rFonts w:ascii="Book Antiqua" w:hAnsi="Book Antiqua" w:cs="Times New Roman"/>
          <w:sz w:val="24"/>
        </w:rPr>
        <w:t xml:space="preserve">, to achieve more accurate prognosis prediction for GC. </w:t>
      </w:r>
    </w:p>
    <w:p w:rsidR="00EA588F" w:rsidRDefault="00EA588F">
      <w:pPr>
        <w:widowControl/>
        <w:adjustRightInd w:val="0"/>
        <w:snapToGrid w:val="0"/>
        <w:spacing w:line="360" w:lineRule="auto"/>
        <w:rPr>
          <w:rFonts w:ascii="Book Antiqua" w:hAnsi="Book Antiqua"/>
          <w:b/>
          <w:kern w:val="0"/>
          <w:sz w:val="24"/>
        </w:rPr>
      </w:pPr>
    </w:p>
    <w:p w:rsidR="00EA588F" w:rsidRDefault="00EA588F">
      <w:pPr>
        <w:widowControl/>
        <w:adjustRightInd w:val="0"/>
        <w:snapToGrid w:val="0"/>
        <w:spacing w:line="360" w:lineRule="auto"/>
        <w:rPr>
          <w:rFonts w:ascii="Book Antiqua" w:hAnsi="Book Antiqua"/>
          <w:b/>
          <w:bCs/>
          <w:i/>
          <w:iCs/>
          <w:kern w:val="0"/>
          <w:sz w:val="24"/>
        </w:rPr>
      </w:pPr>
      <w:r>
        <w:rPr>
          <w:rFonts w:ascii="Book Antiqua" w:hAnsi="Book Antiqua"/>
          <w:b/>
          <w:bCs/>
          <w:i/>
          <w:iCs/>
          <w:kern w:val="0"/>
          <w:sz w:val="24"/>
        </w:rPr>
        <w:t>Research methods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We retrospectively assessed 850 consecutive patients who underwent curative resection for stage II-III GC from January 2010 to April 2013. The patients were classified into developing (</w:t>
      </w:r>
      <w:r>
        <w:rPr>
          <w:rFonts w:ascii="Book Antiqua" w:hAnsi="Book Antiqua" w:cs="Times New Roman"/>
          <w:i/>
          <w:iCs/>
          <w:sz w:val="24"/>
        </w:rPr>
        <w:t>n</w:t>
      </w:r>
      <w:r>
        <w:rPr>
          <w:rFonts w:ascii="Book Antiqua" w:hAnsi="Book Antiqua" w:cs="Times New Roman"/>
          <w:sz w:val="24"/>
        </w:rPr>
        <w:t xml:space="preserve"> = 567) and validation (</w:t>
      </w:r>
      <w:r>
        <w:rPr>
          <w:rFonts w:ascii="Book Antiqua" w:hAnsi="Book Antiqua" w:cs="Times New Roman"/>
          <w:i/>
          <w:iCs/>
          <w:sz w:val="24"/>
        </w:rPr>
        <w:t>n</w:t>
      </w:r>
      <w:r>
        <w:rPr>
          <w:rFonts w:ascii="Book Antiqua" w:hAnsi="Book Antiqua" w:cs="Times New Roman"/>
          <w:sz w:val="24"/>
        </w:rPr>
        <w:t xml:space="preserve"> = 283) cohorts using computer-generated random numbers. A scoring system, namely </w:t>
      </w:r>
      <w:r>
        <w:rPr>
          <w:rFonts w:ascii="Book Antiqua" w:hAnsi="Book Antiqua"/>
          <w:sz w:val="24"/>
        </w:rPr>
        <w:t>BPM</w:t>
      </w:r>
      <w:r>
        <w:rPr>
          <w:rFonts w:ascii="Book Antiqua" w:hAnsi="Book Antiqua" w:cs="Times New Roman"/>
          <w:sz w:val="24"/>
        </w:rPr>
        <w:t xml:space="preserve"> score, was then constructed using the least absolute shrinkage and selection operator (LASSO) Cox regression model. A </w:t>
      </w:r>
      <w:proofErr w:type="spellStart"/>
      <w:r>
        <w:rPr>
          <w:rFonts w:ascii="Book Antiqua" w:hAnsi="Book Antiqua" w:cs="Times New Roman"/>
          <w:sz w:val="24"/>
        </w:rPr>
        <w:t>nomogram</w:t>
      </w:r>
      <w:proofErr w:type="spellEnd"/>
      <w:r>
        <w:rPr>
          <w:rFonts w:ascii="Book Antiqua" w:hAnsi="Book Antiqua" w:cs="Times New Roman"/>
          <w:sz w:val="24"/>
        </w:rPr>
        <w:t xml:space="preserve"> consisting of the BPM score and tumor-lymph node-metastasis (TNM) stage was created. The discrimination and calibration of the </w:t>
      </w:r>
      <w:proofErr w:type="spellStart"/>
      <w:r>
        <w:rPr>
          <w:rFonts w:ascii="Book Antiqua" w:hAnsi="Book Antiqua" w:cs="Times New Roman"/>
          <w:sz w:val="24"/>
        </w:rPr>
        <w:t>nomogram</w:t>
      </w:r>
      <w:proofErr w:type="spellEnd"/>
      <w:r>
        <w:rPr>
          <w:rFonts w:ascii="Book Antiqua" w:hAnsi="Book Antiqua" w:cs="Times New Roman"/>
          <w:sz w:val="24"/>
        </w:rPr>
        <w:t xml:space="preserve"> were evaluated </w:t>
      </w:r>
      <w:r>
        <w:rPr>
          <w:rFonts w:ascii="Book Antiqua" w:hAnsi="Book Antiqua" w:cs="Times New Roman"/>
          <w:i/>
          <w:iCs/>
          <w:sz w:val="24"/>
        </w:rPr>
        <w:t>via</w:t>
      </w:r>
      <w:r>
        <w:rPr>
          <w:rFonts w:ascii="Book Antiqua" w:hAnsi="Book Antiqua" w:cs="Times New Roman"/>
          <w:sz w:val="24"/>
        </w:rPr>
        <w:t xml:space="preserve"> Harrell’s C-statistic and the </w:t>
      </w:r>
      <w:proofErr w:type="spellStart"/>
      <w:r>
        <w:rPr>
          <w:rFonts w:ascii="Book Antiqua" w:hAnsi="Book Antiqua" w:cs="Times New Roman"/>
          <w:sz w:val="24"/>
        </w:rPr>
        <w:t>Hosmer-Lemeshow</w:t>
      </w:r>
      <w:proofErr w:type="spellEnd"/>
      <w:r>
        <w:rPr>
          <w:rFonts w:ascii="Book Antiqua" w:hAnsi="Book Antiqua" w:cs="Times New Roman"/>
          <w:sz w:val="24"/>
        </w:rPr>
        <w:t xml:space="preserve"> test.</w:t>
      </w:r>
    </w:p>
    <w:p w:rsidR="00EA588F" w:rsidRDefault="00EA588F">
      <w:pPr>
        <w:widowControl/>
        <w:adjustRightInd w:val="0"/>
        <w:snapToGrid w:val="0"/>
        <w:spacing w:line="360" w:lineRule="auto"/>
        <w:rPr>
          <w:rFonts w:ascii="Book Antiqua" w:hAnsi="Book Antiqua"/>
          <w:b/>
          <w:kern w:val="0"/>
          <w:sz w:val="24"/>
        </w:rPr>
      </w:pPr>
    </w:p>
    <w:p w:rsidR="00EA588F" w:rsidRDefault="00EA588F">
      <w:pPr>
        <w:widowControl/>
        <w:adjustRightInd w:val="0"/>
        <w:snapToGrid w:val="0"/>
        <w:spacing w:line="360" w:lineRule="auto"/>
        <w:rPr>
          <w:rFonts w:ascii="Book Antiqua" w:hAnsi="Book Antiqua"/>
          <w:b/>
          <w:bCs/>
          <w:i/>
          <w:iCs/>
          <w:kern w:val="0"/>
          <w:sz w:val="24"/>
        </w:rPr>
      </w:pPr>
      <w:r>
        <w:rPr>
          <w:rFonts w:ascii="Book Antiqua" w:hAnsi="Book Antiqua"/>
          <w:b/>
          <w:bCs/>
          <w:i/>
          <w:iCs/>
          <w:kern w:val="0"/>
          <w:sz w:val="24"/>
        </w:rPr>
        <w:t>Research results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Using the LASSO model, we established the BPM score based on five </w:t>
      </w:r>
      <w:r>
        <w:rPr>
          <w:rFonts w:ascii="Book Antiqua" w:hAnsi="Book Antiqua"/>
          <w:sz w:val="24"/>
        </w:rPr>
        <w:t>BPM</w:t>
      </w:r>
      <w:r>
        <w:rPr>
          <w:rFonts w:ascii="Book Antiqua" w:hAnsi="Book Antiqua" w:cs="Times New Roman"/>
          <w:sz w:val="24"/>
        </w:rPr>
        <w:t xml:space="preserve">: Albumin, lymphocyte-to-monocyte ratio, neutrophil-to-lymphocyte ratio, </w:t>
      </w:r>
      <w:proofErr w:type="spellStart"/>
      <w:r>
        <w:rPr>
          <w:rFonts w:ascii="Book Antiqua" w:hAnsi="Book Antiqua" w:cs="Times New Roman"/>
          <w:sz w:val="24"/>
        </w:rPr>
        <w:t>carcinoembryonic</w:t>
      </w:r>
      <w:proofErr w:type="spellEnd"/>
      <w:r>
        <w:rPr>
          <w:rFonts w:ascii="Book Antiqua" w:hAnsi="Book Antiqua" w:cs="Times New Roman"/>
          <w:sz w:val="24"/>
        </w:rPr>
        <w:t xml:space="preserve"> antigen, and carbohydrate antigen 19-9. The BPM scores were divided into high-BPM and low-BPM groups based on a cut-off value of </w:t>
      </w:r>
      <w:r>
        <w:rPr>
          <w:rFonts w:ascii="Book Antiqua" w:hAnsi="Book Antiqua" w:cs="Times New Roman" w:hint="eastAsia"/>
          <w:sz w:val="24"/>
        </w:rPr>
        <w:t>-</w:t>
      </w:r>
      <w:r>
        <w:rPr>
          <w:rFonts w:ascii="Book Antiqua" w:hAnsi="Book Antiqua" w:cs="Times New Roman"/>
          <w:sz w:val="24"/>
        </w:rPr>
        <w:t xml:space="preserve">0.93. High-BPM patients were significantly older and had more advanced, larger tumors. In the developing cohort, significant differences were found in 5-year overall survival (OS) and 5-year disease-specific survival between the high-BPM and low-BPM patients. Similar results were found in the validation group. Multivariable analysis showed that the BPM score was an independent predictor of OS. High-BPM patients had a poorer 5-year OS for each subgroup. Furthermore, a </w:t>
      </w:r>
      <w:proofErr w:type="spellStart"/>
      <w:r>
        <w:rPr>
          <w:rFonts w:ascii="Book Antiqua" w:hAnsi="Book Antiqua" w:cs="Times New Roman"/>
          <w:sz w:val="24"/>
        </w:rPr>
        <w:t>nomogram</w:t>
      </w:r>
      <w:proofErr w:type="spellEnd"/>
      <w:r>
        <w:rPr>
          <w:rFonts w:ascii="Book Antiqua" w:hAnsi="Book Antiqua" w:cs="Times New Roman"/>
          <w:sz w:val="24"/>
        </w:rPr>
        <w:t xml:space="preserve"> that combined the BPM score and TNM stage had significantly better prognostic value compared with TNM stage alone. </w:t>
      </w:r>
    </w:p>
    <w:p w:rsidR="00EA588F" w:rsidRDefault="00EA588F">
      <w:pPr>
        <w:widowControl/>
        <w:adjustRightInd w:val="0"/>
        <w:snapToGrid w:val="0"/>
        <w:spacing w:line="360" w:lineRule="auto"/>
        <w:rPr>
          <w:rFonts w:ascii="Book Antiqua" w:hAnsi="Book Antiqua" w:cs="Segoe UI"/>
          <w:kern w:val="0"/>
          <w:sz w:val="24"/>
          <w:shd w:val="clear" w:color="auto" w:fill="FFFFFF"/>
        </w:rPr>
      </w:pPr>
    </w:p>
    <w:p w:rsidR="00EA588F" w:rsidRDefault="00EA588F">
      <w:pPr>
        <w:adjustRightInd w:val="0"/>
        <w:snapToGrid w:val="0"/>
        <w:spacing w:line="360" w:lineRule="auto"/>
        <w:rPr>
          <w:rFonts w:ascii="Book Antiqua" w:hAnsi="Book Antiqua" w:cs="Times New Roman"/>
          <w:b/>
          <w:bCs/>
          <w:i/>
          <w:iCs/>
          <w:sz w:val="24"/>
        </w:rPr>
      </w:pPr>
      <w:r>
        <w:rPr>
          <w:rFonts w:ascii="Book Antiqua" w:hAnsi="Book Antiqua" w:cs="Times New Roman"/>
          <w:b/>
          <w:bCs/>
          <w:i/>
          <w:iCs/>
          <w:sz w:val="24"/>
        </w:rPr>
        <w:t>Research conclusions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The BPM score provides more accurate prognosis prediction in stage II-III GC patients and is an effective complement to the TNM staging system. Therefore, we recommend the use of the BPM score for multimodality treatment planning and risk stratification in the future clinical work.</w:t>
      </w:r>
    </w:p>
    <w:p w:rsidR="00EA588F" w:rsidRDefault="00EA588F">
      <w:pPr>
        <w:widowControl/>
        <w:adjustRightInd w:val="0"/>
        <w:snapToGrid w:val="0"/>
        <w:spacing w:line="360" w:lineRule="auto"/>
        <w:rPr>
          <w:rFonts w:ascii="Book Antiqua" w:hAnsi="Book Antiqua" w:cs="Segoe UI"/>
          <w:kern w:val="0"/>
          <w:sz w:val="24"/>
          <w:shd w:val="clear" w:color="auto" w:fill="FFFFFF"/>
        </w:rPr>
      </w:pPr>
    </w:p>
    <w:p w:rsidR="00EA588F" w:rsidRDefault="00EA588F">
      <w:pPr>
        <w:widowControl/>
        <w:adjustRightInd w:val="0"/>
        <w:snapToGrid w:val="0"/>
        <w:spacing w:line="360" w:lineRule="auto"/>
        <w:rPr>
          <w:rFonts w:ascii="Book Antiqua" w:hAnsi="Book Antiqua" w:cs="Segoe UI"/>
          <w:b/>
          <w:bCs/>
          <w:i/>
          <w:iCs/>
          <w:kern w:val="0"/>
          <w:sz w:val="24"/>
          <w:shd w:val="clear" w:color="auto" w:fill="FFFFFF"/>
        </w:rPr>
      </w:pPr>
      <w:r>
        <w:rPr>
          <w:rFonts w:ascii="Book Antiqua" w:hAnsi="Book Antiqua" w:cs="Segoe UI"/>
          <w:b/>
          <w:bCs/>
          <w:i/>
          <w:iCs/>
          <w:kern w:val="0"/>
          <w:sz w:val="24"/>
          <w:shd w:val="clear" w:color="auto" w:fill="FFFFFF"/>
        </w:rPr>
        <w:t>Research perspectives</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EA588F" w:rsidRDefault="00EA588F">
      <w:pPr>
        <w:widowControl/>
        <w:adjustRightInd w:val="0"/>
        <w:snapToGrid w:val="0"/>
        <w:spacing w:line="360" w:lineRule="auto"/>
        <w:rPr>
          <w:rFonts w:ascii="Book Antiqua" w:hAnsi="Book Antiqua" w:cs="Times New Roman"/>
          <w:b/>
          <w:bCs/>
          <w:sz w:val="24"/>
        </w:rPr>
      </w:pPr>
      <w:r>
        <w:rPr>
          <w:rFonts w:ascii="Book Antiqua" w:hAnsi="Book Antiqua" w:cs="Times New Roman"/>
          <w:sz w:val="24"/>
        </w:rPr>
        <w:t xml:space="preserve">Although we confirmed that the BPM score can accurately predict the outcomes in stage II-III GC patients, the efficiency of this novel scoring system need to be investigated in a prospective multicenter trial. </w:t>
      </w:r>
      <w:r>
        <w:rPr>
          <w:rFonts w:ascii="Book Antiqua" w:hAnsi="Book Antiqua"/>
          <w:b/>
          <w:kern w:val="0"/>
          <w:sz w:val="24"/>
        </w:rPr>
        <w:br w:type="page"/>
      </w:r>
      <w:r>
        <w:rPr>
          <w:rFonts w:ascii="Book Antiqua" w:eastAsia="Book Antiqua" w:hAnsi="Book Antiqua" w:cs="Book Antiqua"/>
          <w:b/>
          <w:kern w:val="0"/>
          <w:sz w:val="24"/>
          <w:lang w:bidi="ar"/>
        </w:rPr>
        <w:lastRenderedPageBreak/>
        <w:t>REFERENCES</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 </w:t>
      </w:r>
      <w:r>
        <w:rPr>
          <w:rFonts w:ascii="Book Antiqua" w:hAnsi="Book Antiqua"/>
          <w:b/>
          <w:bCs/>
          <w:kern w:val="0"/>
          <w:sz w:val="24"/>
        </w:rPr>
        <w:t>Bray F</w:t>
      </w:r>
      <w:r>
        <w:rPr>
          <w:rFonts w:ascii="Book Antiqua" w:hAnsi="Book Antiqua"/>
          <w:kern w:val="0"/>
          <w:sz w:val="24"/>
        </w:rPr>
        <w:t xml:space="preserve">, </w:t>
      </w:r>
      <w:proofErr w:type="spellStart"/>
      <w:r>
        <w:rPr>
          <w:rFonts w:ascii="Book Antiqua" w:hAnsi="Book Antiqua"/>
          <w:kern w:val="0"/>
          <w:sz w:val="24"/>
        </w:rPr>
        <w:t>Ferlay</w:t>
      </w:r>
      <w:proofErr w:type="spellEnd"/>
      <w:r>
        <w:rPr>
          <w:rFonts w:ascii="Book Antiqua" w:hAnsi="Book Antiqua"/>
          <w:kern w:val="0"/>
          <w:sz w:val="24"/>
        </w:rPr>
        <w:t xml:space="preserve"> J, </w:t>
      </w:r>
      <w:proofErr w:type="spellStart"/>
      <w:r>
        <w:rPr>
          <w:rFonts w:ascii="Book Antiqua" w:hAnsi="Book Antiqua"/>
          <w:kern w:val="0"/>
          <w:sz w:val="24"/>
        </w:rPr>
        <w:t>Soerjomataram</w:t>
      </w:r>
      <w:proofErr w:type="spellEnd"/>
      <w:r>
        <w:rPr>
          <w:rFonts w:ascii="Book Antiqua" w:hAnsi="Book Antiqua"/>
          <w:kern w:val="0"/>
          <w:sz w:val="24"/>
        </w:rPr>
        <w:t xml:space="preserve"> I, Siegel RL, Torre LA, </w:t>
      </w:r>
      <w:proofErr w:type="spellStart"/>
      <w:r>
        <w:rPr>
          <w:rFonts w:ascii="Book Antiqua" w:hAnsi="Book Antiqua"/>
          <w:kern w:val="0"/>
          <w:sz w:val="24"/>
        </w:rPr>
        <w:t>Jemal</w:t>
      </w:r>
      <w:proofErr w:type="spellEnd"/>
      <w:r>
        <w:rPr>
          <w:rFonts w:ascii="Book Antiqua" w:hAnsi="Book Antiqua"/>
          <w:kern w:val="0"/>
          <w:sz w:val="24"/>
        </w:rPr>
        <w:t xml:space="preserve"> A. Global cancer statistics 2018: GLOBOCAN estimates of incidence and mortality worldwide for 36 cancers in 185 countries. </w:t>
      </w:r>
      <w:r>
        <w:rPr>
          <w:rFonts w:ascii="Book Antiqua" w:hAnsi="Book Antiqua"/>
          <w:i/>
          <w:iCs/>
          <w:kern w:val="0"/>
          <w:sz w:val="24"/>
        </w:rPr>
        <w:t xml:space="preserve">CA Cancer J </w:t>
      </w:r>
      <w:proofErr w:type="spellStart"/>
      <w:r>
        <w:rPr>
          <w:rFonts w:ascii="Book Antiqua" w:hAnsi="Book Antiqua"/>
          <w:i/>
          <w:iCs/>
          <w:kern w:val="0"/>
          <w:sz w:val="24"/>
        </w:rPr>
        <w:t>Clin</w:t>
      </w:r>
      <w:proofErr w:type="spellEnd"/>
      <w:r>
        <w:rPr>
          <w:rFonts w:ascii="Book Antiqua" w:hAnsi="Book Antiqua"/>
          <w:kern w:val="0"/>
          <w:sz w:val="24"/>
        </w:rPr>
        <w:t xml:space="preserve"> 2018; </w:t>
      </w:r>
      <w:r>
        <w:rPr>
          <w:rFonts w:ascii="Book Antiqua" w:hAnsi="Book Antiqua"/>
          <w:b/>
          <w:bCs/>
          <w:kern w:val="0"/>
          <w:sz w:val="24"/>
        </w:rPr>
        <w:t>68</w:t>
      </w:r>
      <w:r>
        <w:rPr>
          <w:rFonts w:ascii="Book Antiqua" w:hAnsi="Book Antiqua"/>
          <w:kern w:val="0"/>
          <w:sz w:val="24"/>
        </w:rPr>
        <w:t>: 394-424 [PMID: 30207593 DOI: 10.3322/caac.21492]</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 </w:t>
      </w:r>
      <w:r>
        <w:rPr>
          <w:rFonts w:ascii="Book Antiqua" w:hAnsi="Book Antiqua"/>
          <w:b/>
          <w:bCs/>
          <w:kern w:val="0"/>
          <w:sz w:val="24"/>
        </w:rPr>
        <w:t xml:space="preserve">Van </w:t>
      </w:r>
      <w:proofErr w:type="spellStart"/>
      <w:r>
        <w:rPr>
          <w:rFonts w:ascii="Book Antiqua" w:hAnsi="Book Antiqua"/>
          <w:b/>
          <w:bCs/>
          <w:kern w:val="0"/>
          <w:sz w:val="24"/>
        </w:rPr>
        <w:t>Cutsem</w:t>
      </w:r>
      <w:proofErr w:type="spellEnd"/>
      <w:r>
        <w:rPr>
          <w:rFonts w:ascii="Book Antiqua" w:hAnsi="Book Antiqua"/>
          <w:b/>
          <w:bCs/>
          <w:kern w:val="0"/>
          <w:sz w:val="24"/>
        </w:rPr>
        <w:t xml:space="preserve"> E</w:t>
      </w:r>
      <w:r>
        <w:rPr>
          <w:rFonts w:ascii="Book Antiqua" w:hAnsi="Book Antiqua"/>
          <w:kern w:val="0"/>
          <w:sz w:val="24"/>
        </w:rPr>
        <w:t xml:space="preserve">, </w:t>
      </w:r>
      <w:proofErr w:type="spellStart"/>
      <w:r>
        <w:rPr>
          <w:rFonts w:ascii="Book Antiqua" w:hAnsi="Book Antiqua"/>
          <w:kern w:val="0"/>
          <w:sz w:val="24"/>
        </w:rPr>
        <w:t>Sagaert</w:t>
      </w:r>
      <w:proofErr w:type="spellEnd"/>
      <w:r>
        <w:rPr>
          <w:rFonts w:ascii="Book Antiqua" w:hAnsi="Book Antiqua"/>
          <w:kern w:val="0"/>
          <w:sz w:val="24"/>
        </w:rPr>
        <w:t xml:space="preserve"> X, </w:t>
      </w:r>
      <w:proofErr w:type="spellStart"/>
      <w:r>
        <w:rPr>
          <w:rFonts w:ascii="Book Antiqua" w:hAnsi="Book Antiqua"/>
          <w:kern w:val="0"/>
          <w:sz w:val="24"/>
        </w:rPr>
        <w:t>Topal</w:t>
      </w:r>
      <w:proofErr w:type="spellEnd"/>
      <w:r>
        <w:rPr>
          <w:rFonts w:ascii="Book Antiqua" w:hAnsi="Book Antiqua"/>
          <w:kern w:val="0"/>
          <w:sz w:val="24"/>
        </w:rPr>
        <w:t xml:space="preserve"> B, </w:t>
      </w:r>
      <w:proofErr w:type="spellStart"/>
      <w:r>
        <w:rPr>
          <w:rFonts w:ascii="Book Antiqua" w:hAnsi="Book Antiqua"/>
          <w:kern w:val="0"/>
          <w:sz w:val="24"/>
        </w:rPr>
        <w:t>Haustermans</w:t>
      </w:r>
      <w:proofErr w:type="spellEnd"/>
      <w:r>
        <w:rPr>
          <w:rFonts w:ascii="Book Antiqua" w:hAnsi="Book Antiqua"/>
          <w:kern w:val="0"/>
          <w:sz w:val="24"/>
        </w:rPr>
        <w:t xml:space="preserve"> K, </w:t>
      </w:r>
      <w:proofErr w:type="spellStart"/>
      <w:r>
        <w:rPr>
          <w:rFonts w:ascii="Book Antiqua" w:hAnsi="Book Antiqua"/>
          <w:kern w:val="0"/>
          <w:sz w:val="24"/>
        </w:rPr>
        <w:t>Prenen</w:t>
      </w:r>
      <w:proofErr w:type="spellEnd"/>
      <w:r>
        <w:rPr>
          <w:rFonts w:ascii="Book Antiqua" w:hAnsi="Book Antiqua"/>
          <w:kern w:val="0"/>
          <w:sz w:val="24"/>
        </w:rPr>
        <w:t xml:space="preserve"> H. Gastric cancer. </w:t>
      </w:r>
      <w:r>
        <w:rPr>
          <w:rFonts w:ascii="Book Antiqua" w:hAnsi="Book Antiqua"/>
          <w:i/>
          <w:iCs/>
          <w:kern w:val="0"/>
          <w:sz w:val="24"/>
        </w:rPr>
        <w:t>Lancet</w:t>
      </w:r>
      <w:r>
        <w:rPr>
          <w:rFonts w:ascii="Book Antiqua" w:hAnsi="Book Antiqua"/>
          <w:kern w:val="0"/>
          <w:sz w:val="24"/>
        </w:rPr>
        <w:t xml:space="preserve"> 2016; </w:t>
      </w:r>
      <w:r>
        <w:rPr>
          <w:rFonts w:ascii="Book Antiqua" w:hAnsi="Book Antiqua"/>
          <w:b/>
          <w:bCs/>
          <w:kern w:val="0"/>
          <w:sz w:val="24"/>
        </w:rPr>
        <w:t>388</w:t>
      </w:r>
      <w:r>
        <w:rPr>
          <w:rFonts w:ascii="Book Antiqua" w:hAnsi="Book Antiqua"/>
          <w:kern w:val="0"/>
          <w:sz w:val="24"/>
        </w:rPr>
        <w:t>: 2654-2664 [PMID: 27156933 DOI: 10.1016/S0140-6736(16)30354-3]</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 </w:t>
      </w:r>
      <w:proofErr w:type="spellStart"/>
      <w:r>
        <w:rPr>
          <w:rFonts w:ascii="Book Antiqua" w:hAnsi="Book Antiqua"/>
          <w:b/>
          <w:bCs/>
          <w:kern w:val="0"/>
          <w:sz w:val="24"/>
        </w:rPr>
        <w:t>Sasako</w:t>
      </w:r>
      <w:proofErr w:type="spellEnd"/>
      <w:r>
        <w:rPr>
          <w:rFonts w:ascii="Book Antiqua" w:hAnsi="Book Antiqua"/>
          <w:b/>
          <w:bCs/>
          <w:kern w:val="0"/>
          <w:sz w:val="24"/>
        </w:rPr>
        <w:t xml:space="preserve"> M</w:t>
      </w:r>
      <w:r>
        <w:rPr>
          <w:rFonts w:ascii="Book Antiqua" w:hAnsi="Book Antiqua"/>
          <w:kern w:val="0"/>
          <w:sz w:val="24"/>
        </w:rPr>
        <w:t xml:space="preserve">, Inoue M, Lin JT, </w:t>
      </w:r>
      <w:proofErr w:type="spellStart"/>
      <w:r>
        <w:rPr>
          <w:rFonts w:ascii="Book Antiqua" w:hAnsi="Book Antiqua"/>
          <w:kern w:val="0"/>
          <w:sz w:val="24"/>
        </w:rPr>
        <w:t>Khor</w:t>
      </w:r>
      <w:proofErr w:type="spellEnd"/>
      <w:r>
        <w:rPr>
          <w:rFonts w:ascii="Book Antiqua" w:hAnsi="Book Antiqua"/>
          <w:kern w:val="0"/>
          <w:sz w:val="24"/>
        </w:rPr>
        <w:t xml:space="preserve"> C, Yang HK, </w:t>
      </w:r>
      <w:proofErr w:type="spellStart"/>
      <w:r>
        <w:rPr>
          <w:rFonts w:ascii="Book Antiqua" w:hAnsi="Book Antiqua"/>
          <w:kern w:val="0"/>
          <w:sz w:val="24"/>
        </w:rPr>
        <w:t>Ohtsu</w:t>
      </w:r>
      <w:proofErr w:type="spellEnd"/>
      <w:r>
        <w:rPr>
          <w:rFonts w:ascii="Book Antiqua" w:hAnsi="Book Antiqua"/>
          <w:kern w:val="0"/>
          <w:sz w:val="24"/>
        </w:rPr>
        <w:t xml:space="preserve"> A. Gastric Cancer Working Group report. </w:t>
      </w:r>
      <w:proofErr w:type="spellStart"/>
      <w:r>
        <w:rPr>
          <w:rFonts w:ascii="Book Antiqua" w:hAnsi="Book Antiqua"/>
          <w:i/>
          <w:iCs/>
          <w:kern w:val="0"/>
          <w:sz w:val="24"/>
        </w:rPr>
        <w:t>Jpn</w:t>
      </w:r>
      <w:proofErr w:type="spellEnd"/>
      <w:r>
        <w:rPr>
          <w:rFonts w:ascii="Book Antiqua" w:hAnsi="Book Antiqua"/>
          <w:i/>
          <w:iCs/>
          <w:kern w:val="0"/>
          <w:sz w:val="24"/>
        </w:rPr>
        <w:t xml:space="preserve"> J </w:t>
      </w:r>
      <w:proofErr w:type="spellStart"/>
      <w:r>
        <w:rPr>
          <w:rFonts w:ascii="Book Antiqua" w:hAnsi="Book Antiqua"/>
          <w:i/>
          <w:iCs/>
          <w:kern w:val="0"/>
          <w:sz w:val="24"/>
        </w:rPr>
        <w:t>Clin</w:t>
      </w:r>
      <w:proofErr w:type="spellEnd"/>
      <w:r>
        <w:rPr>
          <w:rFonts w:ascii="Book Antiqua" w:hAnsi="Book Antiqua"/>
          <w:i/>
          <w:iCs/>
          <w:kern w:val="0"/>
          <w:sz w:val="24"/>
        </w:rPr>
        <w:t xml:space="preserve"> </w:t>
      </w:r>
      <w:proofErr w:type="spellStart"/>
      <w:r>
        <w:rPr>
          <w:rFonts w:ascii="Book Antiqua" w:hAnsi="Book Antiqua"/>
          <w:i/>
          <w:iCs/>
          <w:kern w:val="0"/>
          <w:sz w:val="24"/>
        </w:rPr>
        <w:t>Oncol</w:t>
      </w:r>
      <w:proofErr w:type="spellEnd"/>
      <w:r>
        <w:rPr>
          <w:rFonts w:ascii="Book Antiqua" w:hAnsi="Book Antiqua"/>
          <w:kern w:val="0"/>
          <w:sz w:val="24"/>
        </w:rPr>
        <w:t xml:space="preserve"> 2010; </w:t>
      </w:r>
      <w:r>
        <w:rPr>
          <w:rFonts w:ascii="Book Antiqua" w:hAnsi="Book Antiqua"/>
          <w:b/>
          <w:bCs/>
          <w:kern w:val="0"/>
          <w:sz w:val="24"/>
        </w:rPr>
        <w:t>40</w:t>
      </w:r>
      <w:r>
        <w:rPr>
          <w:rFonts w:ascii="Book Antiqua" w:hAnsi="Book Antiqua"/>
          <w:kern w:val="0"/>
          <w:sz w:val="24"/>
        </w:rPr>
        <w:t>: i28-i37 [PMID: 20870917 DOI: 10.1093/</w:t>
      </w:r>
      <w:proofErr w:type="spellStart"/>
      <w:r>
        <w:rPr>
          <w:rFonts w:ascii="Book Antiqua" w:hAnsi="Book Antiqua"/>
          <w:kern w:val="0"/>
          <w:sz w:val="24"/>
        </w:rPr>
        <w:t>jjco</w:t>
      </w:r>
      <w:proofErr w:type="spellEnd"/>
      <w:r>
        <w:rPr>
          <w:rFonts w:ascii="Book Antiqua" w:hAnsi="Book Antiqua"/>
          <w:kern w:val="0"/>
          <w:sz w:val="24"/>
        </w:rPr>
        <w:t>/hyq124]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4 </w:t>
      </w:r>
      <w:r>
        <w:rPr>
          <w:rFonts w:ascii="Book Antiqua" w:hAnsi="Book Antiqua"/>
          <w:b/>
          <w:bCs/>
          <w:kern w:val="0"/>
          <w:sz w:val="24"/>
        </w:rPr>
        <w:t>Noh SH</w:t>
      </w:r>
      <w:r>
        <w:rPr>
          <w:rFonts w:ascii="Book Antiqua" w:hAnsi="Book Antiqua"/>
          <w:kern w:val="0"/>
          <w:sz w:val="24"/>
        </w:rPr>
        <w:t xml:space="preserve">, Park SR, Yang HK, Chung HC, Chung IJ, Kim SW, Kim HH, Choi JH, Kim HK, Yu W, Lee JI, Shin DB, </w:t>
      </w:r>
      <w:proofErr w:type="spellStart"/>
      <w:r>
        <w:rPr>
          <w:rFonts w:ascii="Book Antiqua" w:hAnsi="Book Antiqua"/>
          <w:kern w:val="0"/>
          <w:sz w:val="24"/>
        </w:rPr>
        <w:t>Ji</w:t>
      </w:r>
      <w:proofErr w:type="spellEnd"/>
      <w:r>
        <w:rPr>
          <w:rFonts w:ascii="Book Antiqua" w:hAnsi="Book Antiqua"/>
          <w:kern w:val="0"/>
          <w:sz w:val="24"/>
        </w:rPr>
        <w:t xml:space="preserve"> J, Chen JS, Lim Y, Ha S, Bang YJ; CLASSIC trial investigators. Adjuvant </w:t>
      </w:r>
      <w:proofErr w:type="spellStart"/>
      <w:r>
        <w:rPr>
          <w:rFonts w:ascii="Book Antiqua" w:hAnsi="Book Antiqua"/>
          <w:kern w:val="0"/>
          <w:sz w:val="24"/>
        </w:rPr>
        <w:t>capecitabine</w:t>
      </w:r>
      <w:proofErr w:type="spellEnd"/>
      <w:r>
        <w:rPr>
          <w:rFonts w:ascii="Book Antiqua" w:hAnsi="Book Antiqua"/>
          <w:kern w:val="0"/>
          <w:sz w:val="24"/>
        </w:rPr>
        <w:t xml:space="preserve"> plus </w:t>
      </w:r>
      <w:proofErr w:type="spellStart"/>
      <w:r>
        <w:rPr>
          <w:rFonts w:ascii="Book Antiqua" w:hAnsi="Book Antiqua"/>
          <w:kern w:val="0"/>
          <w:sz w:val="24"/>
        </w:rPr>
        <w:t>oxaliplatin</w:t>
      </w:r>
      <w:proofErr w:type="spellEnd"/>
      <w:r>
        <w:rPr>
          <w:rFonts w:ascii="Book Antiqua" w:hAnsi="Book Antiqua"/>
          <w:kern w:val="0"/>
          <w:sz w:val="24"/>
        </w:rPr>
        <w:t xml:space="preserve"> for gastric cancer after D2 </w:t>
      </w:r>
      <w:proofErr w:type="spellStart"/>
      <w:r>
        <w:rPr>
          <w:rFonts w:ascii="Book Antiqua" w:hAnsi="Book Antiqua"/>
          <w:kern w:val="0"/>
          <w:sz w:val="24"/>
        </w:rPr>
        <w:t>gastrectomy</w:t>
      </w:r>
      <w:proofErr w:type="spellEnd"/>
      <w:r>
        <w:rPr>
          <w:rFonts w:ascii="Book Antiqua" w:hAnsi="Book Antiqua"/>
          <w:kern w:val="0"/>
          <w:sz w:val="24"/>
        </w:rPr>
        <w:t xml:space="preserve"> (CLASSIC): 5-year follow-up of an open-label, </w:t>
      </w:r>
      <w:proofErr w:type="spellStart"/>
      <w:r>
        <w:rPr>
          <w:rFonts w:ascii="Book Antiqua" w:hAnsi="Book Antiqua"/>
          <w:kern w:val="0"/>
          <w:sz w:val="24"/>
        </w:rPr>
        <w:t>randomised</w:t>
      </w:r>
      <w:proofErr w:type="spellEnd"/>
      <w:r>
        <w:rPr>
          <w:rFonts w:ascii="Book Antiqua" w:hAnsi="Book Antiqua"/>
          <w:kern w:val="0"/>
          <w:sz w:val="24"/>
        </w:rPr>
        <w:t xml:space="preserve"> phase 3 trial. </w:t>
      </w:r>
      <w:r>
        <w:rPr>
          <w:rFonts w:ascii="Book Antiqua" w:hAnsi="Book Antiqua"/>
          <w:i/>
          <w:iCs/>
          <w:kern w:val="0"/>
          <w:sz w:val="24"/>
        </w:rPr>
        <w:t xml:space="preserve">Lancet </w:t>
      </w:r>
      <w:proofErr w:type="spellStart"/>
      <w:r>
        <w:rPr>
          <w:rFonts w:ascii="Book Antiqua" w:hAnsi="Book Antiqua"/>
          <w:i/>
          <w:iCs/>
          <w:kern w:val="0"/>
          <w:sz w:val="24"/>
        </w:rPr>
        <w:t>Oncol</w:t>
      </w:r>
      <w:proofErr w:type="spellEnd"/>
      <w:r>
        <w:rPr>
          <w:rFonts w:ascii="Book Antiqua" w:hAnsi="Book Antiqua"/>
          <w:kern w:val="0"/>
          <w:sz w:val="24"/>
        </w:rPr>
        <w:t xml:space="preserve"> 2014; </w:t>
      </w:r>
      <w:r>
        <w:rPr>
          <w:rFonts w:ascii="Book Antiqua" w:hAnsi="Book Antiqua"/>
          <w:b/>
          <w:bCs/>
          <w:kern w:val="0"/>
          <w:sz w:val="24"/>
        </w:rPr>
        <w:t>15</w:t>
      </w:r>
      <w:r>
        <w:rPr>
          <w:rFonts w:ascii="Book Antiqua" w:hAnsi="Book Antiqua"/>
          <w:kern w:val="0"/>
          <w:sz w:val="24"/>
        </w:rPr>
        <w:t>: 1389-1396 [PMID: 25439693 DOI: 10.1016/S1470-2045(14)70473-5]</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5 </w:t>
      </w:r>
      <w:proofErr w:type="spellStart"/>
      <w:r>
        <w:rPr>
          <w:rFonts w:ascii="Book Antiqua" w:hAnsi="Book Antiqua"/>
          <w:b/>
          <w:bCs/>
          <w:kern w:val="0"/>
          <w:sz w:val="24"/>
        </w:rPr>
        <w:t>Shen</w:t>
      </w:r>
      <w:proofErr w:type="spellEnd"/>
      <w:r>
        <w:rPr>
          <w:rFonts w:ascii="Book Antiqua" w:hAnsi="Book Antiqua"/>
          <w:b/>
          <w:bCs/>
          <w:kern w:val="0"/>
          <w:sz w:val="24"/>
        </w:rPr>
        <w:t xml:space="preserve"> Q</w:t>
      </w:r>
      <w:r>
        <w:rPr>
          <w:rFonts w:ascii="Book Antiqua" w:hAnsi="Book Antiqua"/>
          <w:kern w:val="0"/>
          <w:sz w:val="24"/>
        </w:rPr>
        <w:t xml:space="preserve">, Liu W, </w:t>
      </w:r>
      <w:proofErr w:type="spellStart"/>
      <w:r>
        <w:rPr>
          <w:rFonts w:ascii="Book Antiqua" w:hAnsi="Book Antiqua"/>
          <w:kern w:val="0"/>
          <w:sz w:val="24"/>
        </w:rPr>
        <w:t>Quan</w:t>
      </w:r>
      <w:proofErr w:type="spellEnd"/>
      <w:r>
        <w:rPr>
          <w:rFonts w:ascii="Book Antiqua" w:hAnsi="Book Antiqua"/>
          <w:kern w:val="0"/>
          <w:sz w:val="24"/>
        </w:rPr>
        <w:t xml:space="preserve"> H, Pan S, Li S, Zhou T, </w:t>
      </w:r>
      <w:proofErr w:type="spellStart"/>
      <w:r>
        <w:rPr>
          <w:rFonts w:ascii="Book Antiqua" w:hAnsi="Book Antiqua"/>
          <w:kern w:val="0"/>
          <w:sz w:val="24"/>
        </w:rPr>
        <w:t>Ouyang</w:t>
      </w:r>
      <w:proofErr w:type="spellEnd"/>
      <w:r>
        <w:rPr>
          <w:rFonts w:ascii="Book Antiqua" w:hAnsi="Book Antiqua"/>
          <w:kern w:val="0"/>
          <w:sz w:val="24"/>
        </w:rPr>
        <w:t xml:space="preserve"> Y, Xiao H. </w:t>
      </w:r>
      <w:proofErr w:type="spellStart"/>
      <w:r>
        <w:rPr>
          <w:rFonts w:ascii="Book Antiqua" w:hAnsi="Book Antiqua"/>
          <w:kern w:val="0"/>
          <w:sz w:val="24"/>
        </w:rPr>
        <w:t>Prealbumin</w:t>
      </w:r>
      <w:proofErr w:type="spellEnd"/>
      <w:r>
        <w:rPr>
          <w:rFonts w:ascii="Book Antiqua" w:hAnsi="Book Antiqua"/>
          <w:kern w:val="0"/>
          <w:sz w:val="24"/>
        </w:rPr>
        <w:t xml:space="preserve"> and lymphocyte-based prognostic score, a new tool for predicting long-term survival after curative resection of stage II/III gastric cancer. </w:t>
      </w:r>
      <w:r>
        <w:rPr>
          <w:rFonts w:ascii="Book Antiqua" w:hAnsi="Book Antiqua"/>
          <w:i/>
          <w:iCs/>
          <w:kern w:val="0"/>
          <w:sz w:val="24"/>
        </w:rPr>
        <w:t xml:space="preserve">Br J </w:t>
      </w:r>
      <w:proofErr w:type="spellStart"/>
      <w:r>
        <w:rPr>
          <w:rFonts w:ascii="Book Antiqua" w:hAnsi="Book Antiqua"/>
          <w:i/>
          <w:iCs/>
          <w:kern w:val="0"/>
          <w:sz w:val="24"/>
        </w:rPr>
        <w:t>Nutr</w:t>
      </w:r>
      <w:proofErr w:type="spellEnd"/>
      <w:r>
        <w:rPr>
          <w:rFonts w:ascii="Book Antiqua" w:hAnsi="Book Antiqua"/>
          <w:kern w:val="0"/>
          <w:sz w:val="24"/>
        </w:rPr>
        <w:t xml:space="preserve"> 2018; </w:t>
      </w:r>
      <w:r>
        <w:rPr>
          <w:rFonts w:ascii="Book Antiqua" w:hAnsi="Book Antiqua"/>
          <w:b/>
          <w:bCs/>
          <w:kern w:val="0"/>
          <w:sz w:val="24"/>
        </w:rPr>
        <w:t>120</w:t>
      </w:r>
      <w:r>
        <w:rPr>
          <w:rFonts w:ascii="Book Antiqua" w:hAnsi="Book Antiqua"/>
          <w:kern w:val="0"/>
          <w:sz w:val="24"/>
        </w:rPr>
        <w:t>: 1359-1369 [PMID: 30370885 DOI: 10.1017/S0007114518002854]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6 </w:t>
      </w:r>
      <w:r>
        <w:rPr>
          <w:rFonts w:ascii="Book Antiqua" w:hAnsi="Book Antiqua"/>
          <w:b/>
          <w:bCs/>
          <w:kern w:val="0"/>
          <w:sz w:val="24"/>
        </w:rPr>
        <w:t>Dolan RD</w:t>
      </w:r>
      <w:r>
        <w:rPr>
          <w:rFonts w:ascii="Book Antiqua" w:hAnsi="Book Antiqua"/>
          <w:kern w:val="0"/>
          <w:sz w:val="24"/>
        </w:rPr>
        <w:t xml:space="preserve">, </w:t>
      </w:r>
      <w:proofErr w:type="spellStart"/>
      <w:r>
        <w:rPr>
          <w:rFonts w:ascii="Book Antiqua" w:hAnsi="Book Antiqua"/>
          <w:kern w:val="0"/>
          <w:sz w:val="24"/>
        </w:rPr>
        <w:t>McSorley</w:t>
      </w:r>
      <w:proofErr w:type="spellEnd"/>
      <w:r>
        <w:rPr>
          <w:rFonts w:ascii="Book Antiqua" w:hAnsi="Book Antiqua"/>
          <w:kern w:val="0"/>
          <w:sz w:val="24"/>
        </w:rPr>
        <w:t xml:space="preserve"> ST, Park JH, Watt DG, </w:t>
      </w:r>
      <w:proofErr w:type="spellStart"/>
      <w:r>
        <w:rPr>
          <w:rFonts w:ascii="Book Antiqua" w:hAnsi="Book Antiqua"/>
          <w:kern w:val="0"/>
          <w:sz w:val="24"/>
        </w:rPr>
        <w:t>Roxburgh</w:t>
      </w:r>
      <w:proofErr w:type="spellEnd"/>
      <w:r>
        <w:rPr>
          <w:rFonts w:ascii="Book Antiqua" w:hAnsi="Book Antiqua"/>
          <w:kern w:val="0"/>
          <w:sz w:val="24"/>
        </w:rPr>
        <w:t xml:space="preserve"> CS, </w:t>
      </w:r>
      <w:proofErr w:type="spellStart"/>
      <w:r>
        <w:rPr>
          <w:rFonts w:ascii="Book Antiqua" w:hAnsi="Book Antiqua"/>
          <w:kern w:val="0"/>
          <w:sz w:val="24"/>
        </w:rPr>
        <w:t>Horgan</w:t>
      </w:r>
      <w:proofErr w:type="spellEnd"/>
      <w:r>
        <w:rPr>
          <w:rFonts w:ascii="Book Antiqua" w:hAnsi="Book Antiqua"/>
          <w:kern w:val="0"/>
          <w:sz w:val="24"/>
        </w:rPr>
        <w:t xml:space="preserve"> PG, McMillan DC. The prognostic value of systemic inflammation in patients undergoing surgery for colon cancer: comparison of composite ratios and cumulative scores. </w:t>
      </w:r>
      <w:r>
        <w:rPr>
          <w:rFonts w:ascii="Book Antiqua" w:hAnsi="Book Antiqua"/>
          <w:i/>
          <w:iCs/>
          <w:kern w:val="0"/>
          <w:sz w:val="24"/>
        </w:rPr>
        <w:t>Br J Cancer</w:t>
      </w:r>
      <w:r>
        <w:rPr>
          <w:rFonts w:ascii="Book Antiqua" w:hAnsi="Book Antiqua"/>
          <w:kern w:val="0"/>
          <w:sz w:val="24"/>
        </w:rPr>
        <w:t xml:space="preserve"> 2018; </w:t>
      </w:r>
      <w:r>
        <w:rPr>
          <w:rFonts w:ascii="Book Antiqua" w:hAnsi="Book Antiqua"/>
          <w:b/>
          <w:bCs/>
          <w:kern w:val="0"/>
          <w:sz w:val="24"/>
        </w:rPr>
        <w:t>119</w:t>
      </w:r>
      <w:r>
        <w:rPr>
          <w:rFonts w:ascii="Book Antiqua" w:hAnsi="Book Antiqua"/>
          <w:kern w:val="0"/>
          <w:sz w:val="24"/>
        </w:rPr>
        <w:t>: 40-51 [PMID: 29789606 DOI: 10.1038/s41416-018-0095-9]</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7 </w:t>
      </w:r>
      <w:proofErr w:type="spellStart"/>
      <w:r>
        <w:rPr>
          <w:rFonts w:ascii="Book Antiqua" w:hAnsi="Book Antiqua"/>
          <w:b/>
          <w:bCs/>
          <w:kern w:val="0"/>
          <w:sz w:val="24"/>
        </w:rPr>
        <w:t>Hirahara</w:t>
      </w:r>
      <w:proofErr w:type="spellEnd"/>
      <w:r>
        <w:rPr>
          <w:rFonts w:ascii="Book Antiqua" w:hAnsi="Book Antiqua"/>
          <w:b/>
          <w:bCs/>
          <w:kern w:val="0"/>
          <w:sz w:val="24"/>
        </w:rPr>
        <w:t xml:space="preserve"> N</w:t>
      </w:r>
      <w:r>
        <w:rPr>
          <w:rFonts w:ascii="Book Antiqua" w:hAnsi="Book Antiqua"/>
          <w:kern w:val="0"/>
          <w:sz w:val="24"/>
        </w:rPr>
        <w:t xml:space="preserve">, Tajima Y, </w:t>
      </w:r>
      <w:proofErr w:type="spellStart"/>
      <w:r>
        <w:rPr>
          <w:rFonts w:ascii="Book Antiqua" w:hAnsi="Book Antiqua"/>
          <w:kern w:val="0"/>
          <w:sz w:val="24"/>
        </w:rPr>
        <w:t>Fujii</w:t>
      </w:r>
      <w:proofErr w:type="spellEnd"/>
      <w:r>
        <w:rPr>
          <w:rFonts w:ascii="Book Antiqua" w:hAnsi="Book Antiqua"/>
          <w:kern w:val="0"/>
          <w:sz w:val="24"/>
        </w:rPr>
        <w:t xml:space="preserve"> Y, </w:t>
      </w:r>
      <w:proofErr w:type="spellStart"/>
      <w:r>
        <w:rPr>
          <w:rFonts w:ascii="Book Antiqua" w:hAnsi="Book Antiqua"/>
          <w:kern w:val="0"/>
          <w:sz w:val="24"/>
        </w:rPr>
        <w:t>Kaji</w:t>
      </w:r>
      <w:proofErr w:type="spellEnd"/>
      <w:r>
        <w:rPr>
          <w:rFonts w:ascii="Book Antiqua" w:hAnsi="Book Antiqua"/>
          <w:kern w:val="0"/>
          <w:sz w:val="24"/>
        </w:rPr>
        <w:t xml:space="preserve"> S, Yamamoto T, </w:t>
      </w:r>
      <w:proofErr w:type="spellStart"/>
      <w:r>
        <w:rPr>
          <w:rFonts w:ascii="Book Antiqua" w:hAnsi="Book Antiqua"/>
          <w:kern w:val="0"/>
          <w:sz w:val="24"/>
        </w:rPr>
        <w:t>Hyakudomi</w:t>
      </w:r>
      <w:proofErr w:type="spellEnd"/>
      <w:r>
        <w:rPr>
          <w:rFonts w:ascii="Book Antiqua" w:hAnsi="Book Antiqua"/>
          <w:kern w:val="0"/>
          <w:sz w:val="24"/>
        </w:rPr>
        <w:t xml:space="preserve"> R, </w:t>
      </w:r>
      <w:proofErr w:type="spellStart"/>
      <w:r>
        <w:rPr>
          <w:rFonts w:ascii="Book Antiqua" w:hAnsi="Book Antiqua"/>
          <w:kern w:val="0"/>
          <w:sz w:val="24"/>
        </w:rPr>
        <w:t>Taniura</w:t>
      </w:r>
      <w:proofErr w:type="spellEnd"/>
      <w:r>
        <w:rPr>
          <w:rFonts w:ascii="Book Antiqua" w:hAnsi="Book Antiqua"/>
          <w:kern w:val="0"/>
          <w:sz w:val="24"/>
        </w:rPr>
        <w:t xml:space="preserve"> T, Miyazaki Y, </w:t>
      </w:r>
      <w:proofErr w:type="spellStart"/>
      <w:r>
        <w:rPr>
          <w:rFonts w:ascii="Book Antiqua" w:hAnsi="Book Antiqua"/>
          <w:kern w:val="0"/>
          <w:sz w:val="24"/>
        </w:rPr>
        <w:t>Kishi</w:t>
      </w:r>
      <w:proofErr w:type="spellEnd"/>
      <w:r>
        <w:rPr>
          <w:rFonts w:ascii="Book Antiqua" w:hAnsi="Book Antiqua"/>
          <w:kern w:val="0"/>
          <w:sz w:val="24"/>
        </w:rPr>
        <w:t xml:space="preserve"> T, Kawabata Y. Preoperative Prognostic Nutritional Index Predicts Long-Term Surgical Outcomes in Patients with Esophageal Squamous Cell Carcinoma. </w:t>
      </w:r>
      <w:r>
        <w:rPr>
          <w:rFonts w:ascii="Book Antiqua" w:hAnsi="Book Antiqua"/>
          <w:i/>
          <w:iCs/>
          <w:kern w:val="0"/>
          <w:sz w:val="24"/>
        </w:rPr>
        <w:t xml:space="preserve">World J </w:t>
      </w:r>
      <w:proofErr w:type="spellStart"/>
      <w:r>
        <w:rPr>
          <w:rFonts w:ascii="Book Antiqua" w:hAnsi="Book Antiqua"/>
          <w:i/>
          <w:iCs/>
          <w:kern w:val="0"/>
          <w:sz w:val="24"/>
        </w:rPr>
        <w:t>Surg</w:t>
      </w:r>
      <w:proofErr w:type="spellEnd"/>
      <w:r>
        <w:rPr>
          <w:rFonts w:ascii="Book Antiqua" w:hAnsi="Book Antiqua"/>
          <w:kern w:val="0"/>
          <w:sz w:val="24"/>
        </w:rPr>
        <w:t xml:space="preserve"> 2018; </w:t>
      </w:r>
      <w:r>
        <w:rPr>
          <w:rFonts w:ascii="Book Antiqua" w:hAnsi="Book Antiqua"/>
          <w:b/>
          <w:bCs/>
          <w:kern w:val="0"/>
          <w:sz w:val="24"/>
        </w:rPr>
        <w:t>42</w:t>
      </w:r>
      <w:r>
        <w:rPr>
          <w:rFonts w:ascii="Book Antiqua" w:hAnsi="Book Antiqua"/>
          <w:kern w:val="0"/>
          <w:sz w:val="24"/>
        </w:rPr>
        <w:t>: 2199-2208 [PMID: 29290069 DOI: 10.1007/s00268-017-4437-1]</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lastRenderedPageBreak/>
        <w:t xml:space="preserve">8 </w:t>
      </w:r>
      <w:proofErr w:type="spellStart"/>
      <w:r>
        <w:rPr>
          <w:rFonts w:ascii="Book Antiqua" w:hAnsi="Book Antiqua"/>
          <w:b/>
          <w:bCs/>
          <w:kern w:val="0"/>
          <w:sz w:val="24"/>
        </w:rPr>
        <w:t>Harimoto</w:t>
      </w:r>
      <w:proofErr w:type="spellEnd"/>
      <w:r>
        <w:rPr>
          <w:rFonts w:ascii="Book Antiqua" w:hAnsi="Book Antiqua"/>
          <w:b/>
          <w:bCs/>
          <w:kern w:val="0"/>
          <w:sz w:val="24"/>
        </w:rPr>
        <w:t xml:space="preserve"> N</w:t>
      </w:r>
      <w:r>
        <w:rPr>
          <w:rFonts w:ascii="Book Antiqua" w:hAnsi="Book Antiqua"/>
          <w:kern w:val="0"/>
          <w:sz w:val="24"/>
        </w:rPr>
        <w:t xml:space="preserve">, </w:t>
      </w:r>
      <w:proofErr w:type="spellStart"/>
      <w:r>
        <w:rPr>
          <w:rFonts w:ascii="Book Antiqua" w:hAnsi="Book Antiqua"/>
          <w:kern w:val="0"/>
          <w:sz w:val="24"/>
        </w:rPr>
        <w:t>Yoshizumi</w:t>
      </w:r>
      <w:proofErr w:type="spellEnd"/>
      <w:r>
        <w:rPr>
          <w:rFonts w:ascii="Book Antiqua" w:hAnsi="Book Antiqua"/>
          <w:kern w:val="0"/>
          <w:sz w:val="24"/>
        </w:rPr>
        <w:t xml:space="preserve"> T, </w:t>
      </w:r>
      <w:proofErr w:type="spellStart"/>
      <w:r>
        <w:rPr>
          <w:rFonts w:ascii="Book Antiqua" w:hAnsi="Book Antiqua"/>
          <w:kern w:val="0"/>
          <w:sz w:val="24"/>
        </w:rPr>
        <w:t>Inokuchi</w:t>
      </w:r>
      <w:proofErr w:type="spellEnd"/>
      <w:r>
        <w:rPr>
          <w:rFonts w:ascii="Book Antiqua" w:hAnsi="Book Antiqua"/>
          <w:kern w:val="0"/>
          <w:sz w:val="24"/>
        </w:rPr>
        <w:t xml:space="preserve"> S, </w:t>
      </w:r>
      <w:proofErr w:type="spellStart"/>
      <w:r>
        <w:rPr>
          <w:rFonts w:ascii="Book Antiqua" w:hAnsi="Book Antiqua"/>
          <w:kern w:val="0"/>
          <w:sz w:val="24"/>
        </w:rPr>
        <w:t>Itoh</w:t>
      </w:r>
      <w:proofErr w:type="spellEnd"/>
      <w:r>
        <w:rPr>
          <w:rFonts w:ascii="Book Antiqua" w:hAnsi="Book Antiqua"/>
          <w:kern w:val="0"/>
          <w:sz w:val="24"/>
        </w:rPr>
        <w:t xml:space="preserve"> S, Adachi E, Ikeda Y, Uchiyama H, Utsunomiya T, </w:t>
      </w:r>
      <w:proofErr w:type="spellStart"/>
      <w:r>
        <w:rPr>
          <w:rFonts w:ascii="Book Antiqua" w:hAnsi="Book Antiqua"/>
          <w:kern w:val="0"/>
          <w:sz w:val="24"/>
        </w:rPr>
        <w:t>Kajiyama</w:t>
      </w:r>
      <w:proofErr w:type="spellEnd"/>
      <w:r>
        <w:rPr>
          <w:rFonts w:ascii="Book Antiqua" w:hAnsi="Book Antiqua"/>
          <w:kern w:val="0"/>
          <w:sz w:val="24"/>
        </w:rPr>
        <w:t xml:space="preserve"> K, Kimura K, </w:t>
      </w:r>
      <w:proofErr w:type="spellStart"/>
      <w:r>
        <w:rPr>
          <w:rFonts w:ascii="Book Antiqua" w:hAnsi="Book Antiqua"/>
          <w:kern w:val="0"/>
          <w:sz w:val="24"/>
        </w:rPr>
        <w:t>Kishihara</w:t>
      </w:r>
      <w:proofErr w:type="spellEnd"/>
      <w:r>
        <w:rPr>
          <w:rFonts w:ascii="Book Antiqua" w:hAnsi="Book Antiqua"/>
          <w:kern w:val="0"/>
          <w:sz w:val="24"/>
        </w:rPr>
        <w:t xml:space="preserve"> F, </w:t>
      </w:r>
      <w:proofErr w:type="spellStart"/>
      <w:r>
        <w:rPr>
          <w:rFonts w:ascii="Book Antiqua" w:hAnsi="Book Antiqua"/>
          <w:kern w:val="0"/>
          <w:sz w:val="24"/>
        </w:rPr>
        <w:t>Sugimachi</w:t>
      </w:r>
      <w:proofErr w:type="spellEnd"/>
      <w:r>
        <w:rPr>
          <w:rFonts w:ascii="Book Antiqua" w:hAnsi="Book Antiqua"/>
          <w:kern w:val="0"/>
          <w:sz w:val="24"/>
        </w:rPr>
        <w:t xml:space="preserve"> K, </w:t>
      </w:r>
      <w:proofErr w:type="spellStart"/>
      <w:r>
        <w:rPr>
          <w:rFonts w:ascii="Book Antiqua" w:hAnsi="Book Antiqua"/>
          <w:kern w:val="0"/>
          <w:sz w:val="24"/>
        </w:rPr>
        <w:t>Tsujita</w:t>
      </w:r>
      <w:proofErr w:type="spellEnd"/>
      <w:r>
        <w:rPr>
          <w:rFonts w:ascii="Book Antiqua" w:hAnsi="Book Antiqua"/>
          <w:kern w:val="0"/>
          <w:sz w:val="24"/>
        </w:rPr>
        <w:t xml:space="preserve"> E, </w:t>
      </w:r>
      <w:proofErr w:type="spellStart"/>
      <w:r>
        <w:rPr>
          <w:rFonts w:ascii="Book Antiqua" w:hAnsi="Book Antiqua"/>
          <w:kern w:val="0"/>
          <w:sz w:val="24"/>
        </w:rPr>
        <w:t>Ninomiya</w:t>
      </w:r>
      <w:proofErr w:type="spellEnd"/>
      <w:r>
        <w:rPr>
          <w:rFonts w:ascii="Book Antiqua" w:hAnsi="Book Antiqua"/>
          <w:kern w:val="0"/>
          <w:sz w:val="24"/>
        </w:rPr>
        <w:t xml:space="preserve"> M, </w:t>
      </w:r>
      <w:proofErr w:type="spellStart"/>
      <w:r>
        <w:rPr>
          <w:rFonts w:ascii="Book Antiqua" w:hAnsi="Book Antiqua"/>
          <w:kern w:val="0"/>
          <w:sz w:val="24"/>
        </w:rPr>
        <w:t>Fukuzawa</w:t>
      </w:r>
      <w:proofErr w:type="spellEnd"/>
      <w:r>
        <w:rPr>
          <w:rFonts w:ascii="Book Antiqua" w:hAnsi="Book Antiqua"/>
          <w:kern w:val="0"/>
          <w:sz w:val="24"/>
        </w:rPr>
        <w:t xml:space="preserve"> K, Maeda T, </w:t>
      </w:r>
      <w:proofErr w:type="spellStart"/>
      <w:r>
        <w:rPr>
          <w:rFonts w:ascii="Book Antiqua" w:hAnsi="Book Antiqua"/>
          <w:kern w:val="0"/>
          <w:sz w:val="24"/>
        </w:rPr>
        <w:t>Shirabe</w:t>
      </w:r>
      <w:proofErr w:type="spellEnd"/>
      <w:r>
        <w:rPr>
          <w:rFonts w:ascii="Book Antiqua" w:hAnsi="Book Antiqua"/>
          <w:kern w:val="0"/>
          <w:sz w:val="24"/>
        </w:rPr>
        <w:t xml:space="preserve"> K, </w:t>
      </w:r>
      <w:proofErr w:type="spellStart"/>
      <w:r>
        <w:rPr>
          <w:rFonts w:ascii="Book Antiqua" w:hAnsi="Book Antiqua"/>
          <w:kern w:val="0"/>
          <w:sz w:val="24"/>
        </w:rPr>
        <w:t>Maehara</w:t>
      </w:r>
      <w:proofErr w:type="spellEnd"/>
      <w:r>
        <w:rPr>
          <w:rFonts w:ascii="Book Antiqua" w:hAnsi="Book Antiqua"/>
          <w:kern w:val="0"/>
          <w:sz w:val="24"/>
        </w:rPr>
        <w:t xml:space="preserve"> Y. Prognostic Significance of Preoperative Controlling Nutritional Status (CONUT) Score in Patients Undergoing Hepatic Resection for Hepatocellular Carcinoma: A Multi-institutional Study. </w:t>
      </w:r>
      <w:r>
        <w:rPr>
          <w:rFonts w:ascii="Book Antiqua" w:hAnsi="Book Antiqua"/>
          <w:i/>
          <w:iCs/>
          <w:kern w:val="0"/>
          <w:sz w:val="24"/>
        </w:rPr>
        <w:t xml:space="preserve">Ann </w:t>
      </w:r>
      <w:proofErr w:type="spellStart"/>
      <w:r>
        <w:rPr>
          <w:rFonts w:ascii="Book Antiqua" w:hAnsi="Book Antiqua"/>
          <w:i/>
          <w:iCs/>
          <w:kern w:val="0"/>
          <w:sz w:val="24"/>
        </w:rPr>
        <w:t>Surg</w:t>
      </w:r>
      <w:proofErr w:type="spellEnd"/>
      <w:r>
        <w:rPr>
          <w:rFonts w:ascii="Book Antiqua" w:hAnsi="Book Antiqua"/>
          <w:i/>
          <w:iCs/>
          <w:kern w:val="0"/>
          <w:sz w:val="24"/>
        </w:rPr>
        <w:t xml:space="preserve"> </w:t>
      </w:r>
      <w:proofErr w:type="spellStart"/>
      <w:r>
        <w:rPr>
          <w:rFonts w:ascii="Book Antiqua" w:hAnsi="Book Antiqua"/>
          <w:i/>
          <w:iCs/>
          <w:kern w:val="0"/>
          <w:sz w:val="24"/>
        </w:rPr>
        <w:t>Oncol</w:t>
      </w:r>
      <w:proofErr w:type="spellEnd"/>
      <w:r>
        <w:rPr>
          <w:rFonts w:ascii="Book Antiqua" w:hAnsi="Book Antiqua"/>
          <w:kern w:val="0"/>
          <w:sz w:val="24"/>
        </w:rPr>
        <w:t xml:space="preserve"> 2018; </w:t>
      </w:r>
      <w:r>
        <w:rPr>
          <w:rFonts w:ascii="Book Antiqua" w:hAnsi="Book Antiqua"/>
          <w:b/>
          <w:bCs/>
          <w:kern w:val="0"/>
          <w:sz w:val="24"/>
        </w:rPr>
        <w:t>25</w:t>
      </w:r>
      <w:r>
        <w:rPr>
          <w:rFonts w:ascii="Book Antiqua" w:hAnsi="Book Antiqua"/>
          <w:kern w:val="0"/>
          <w:sz w:val="24"/>
        </w:rPr>
        <w:t>: 3316-3323 [PMID: 30051372 DOI: 10.1245/s10434-018-6672-6]</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9 </w:t>
      </w:r>
      <w:r>
        <w:rPr>
          <w:rFonts w:ascii="Book Antiqua" w:hAnsi="Book Antiqua"/>
          <w:b/>
          <w:bCs/>
          <w:kern w:val="0"/>
          <w:sz w:val="24"/>
        </w:rPr>
        <w:t>Yang Y</w:t>
      </w:r>
      <w:r>
        <w:rPr>
          <w:rFonts w:ascii="Book Antiqua" w:hAnsi="Book Antiqua"/>
          <w:kern w:val="0"/>
          <w:sz w:val="24"/>
        </w:rPr>
        <w:t xml:space="preserve">, </w:t>
      </w:r>
      <w:proofErr w:type="spellStart"/>
      <w:r>
        <w:rPr>
          <w:rFonts w:ascii="Book Antiqua" w:hAnsi="Book Antiqua"/>
          <w:kern w:val="0"/>
          <w:sz w:val="24"/>
        </w:rPr>
        <w:t>Gao</w:t>
      </w:r>
      <w:proofErr w:type="spellEnd"/>
      <w:r>
        <w:rPr>
          <w:rFonts w:ascii="Book Antiqua" w:hAnsi="Book Antiqua"/>
          <w:kern w:val="0"/>
          <w:sz w:val="24"/>
        </w:rPr>
        <w:t xml:space="preserve"> P, Song Y, Sun J, Chen X, Zhao J, Ma B, Wang Z. The prognostic nutritional index is a predictive indicator of prognosis and postoperative complications in gastric cancer: A meta-analysis. </w:t>
      </w:r>
      <w:proofErr w:type="spellStart"/>
      <w:r>
        <w:rPr>
          <w:rFonts w:ascii="Book Antiqua" w:hAnsi="Book Antiqua"/>
          <w:i/>
          <w:iCs/>
          <w:kern w:val="0"/>
          <w:sz w:val="24"/>
        </w:rPr>
        <w:t>Eur</w:t>
      </w:r>
      <w:proofErr w:type="spellEnd"/>
      <w:r>
        <w:rPr>
          <w:rFonts w:ascii="Book Antiqua" w:hAnsi="Book Antiqua"/>
          <w:i/>
          <w:iCs/>
          <w:kern w:val="0"/>
          <w:sz w:val="24"/>
        </w:rPr>
        <w:t xml:space="preserve"> J </w:t>
      </w:r>
      <w:proofErr w:type="spellStart"/>
      <w:r>
        <w:rPr>
          <w:rFonts w:ascii="Book Antiqua" w:hAnsi="Book Antiqua"/>
          <w:i/>
          <w:iCs/>
          <w:kern w:val="0"/>
          <w:sz w:val="24"/>
        </w:rPr>
        <w:t>Surg</w:t>
      </w:r>
      <w:proofErr w:type="spellEnd"/>
      <w:r>
        <w:rPr>
          <w:rFonts w:ascii="Book Antiqua" w:hAnsi="Book Antiqua"/>
          <w:i/>
          <w:iCs/>
          <w:kern w:val="0"/>
          <w:sz w:val="24"/>
        </w:rPr>
        <w:t xml:space="preserve"> </w:t>
      </w:r>
      <w:proofErr w:type="spellStart"/>
      <w:r>
        <w:rPr>
          <w:rFonts w:ascii="Book Antiqua" w:hAnsi="Book Antiqua"/>
          <w:i/>
          <w:iCs/>
          <w:kern w:val="0"/>
          <w:sz w:val="24"/>
        </w:rPr>
        <w:t>Oncol</w:t>
      </w:r>
      <w:proofErr w:type="spellEnd"/>
      <w:r>
        <w:rPr>
          <w:rFonts w:ascii="Book Antiqua" w:hAnsi="Book Antiqua"/>
          <w:kern w:val="0"/>
          <w:sz w:val="24"/>
        </w:rPr>
        <w:t xml:space="preserve"> 2016; </w:t>
      </w:r>
      <w:r>
        <w:rPr>
          <w:rFonts w:ascii="Book Antiqua" w:hAnsi="Book Antiqua"/>
          <w:b/>
          <w:bCs/>
          <w:kern w:val="0"/>
          <w:sz w:val="24"/>
        </w:rPr>
        <w:t>42</w:t>
      </w:r>
      <w:r>
        <w:rPr>
          <w:rFonts w:ascii="Book Antiqua" w:hAnsi="Book Antiqua"/>
          <w:kern w:val="0"/>
          <w:sz w:val="24"/>
        </w:rPr>
        <w:t>: 1176-1182 [PMID: 27293109 DOI: 10.1016/j.ejso.2016.05.029]</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10 </w:t>
      </w:r>
      <w:proofErr w:type="spellStart"/>
      <w:r>
        <w:rPr>
          <w:rFonts w:ascii="Book Antiqua" w:hAnsi="Book Antiqua"/>
          <w:b/>
          <w:bCs/>
          <w:kern w:val="0"/>
          <w:sz w:val="24"/>
        </w:rPr>
        <w:t>Nozoe</w:t>
      </w:r>
      <w:proofErr w:type="spellEnd"/>
      <w:r>
        <w:rPr>
          <w:rFonts w:ascii="Book Antiqua" w:hAnsi="Book Antiqua"/>
          <w:b/>
          <w:bCs/>
          <w:kern w:val="0"/>
          <w:sz w:val="24"/>
        </w:rPr>
        <w:t xml:space="preserve"> T</w:t>
      </w:r>
      <w:r>
        <w:rPr>
          <w:rFonts w:ascii="Book Antiqua" w:hAnsi="Book Antiqua"/>
          <w:kern w:val="0"/>
          <w:sz w:val="24"/>
        </w:rPr>
        <w:t xml:space="preserve">, Iguchi T, </w:t>
      </w:r>
      <w:proofErr w:type="spellStart"/>
      <w:r>
        <w:rPr>
          <w:rFonts w:ascii="Book Antiqua" w:hAnsi="Book Antiqua"/>
          <w:kern w:val="0"/>
          <w:sz w:val="24"/>
        </w:rPr>
        <w:t>Egashira</w:t>
      </w:r>
      <w:proofErr w:type="spellEnd"/>
      <w:r>
        <w:rPr>
          <w:rFonts w:ascii="Book Antiqua" w:hAnsi="Book Antiqua"/>
          <w:kern w:val="0"/>
          <w:sz w:val="24"/>
        </w:rPr>
        <w:t xml:space="preserve"> A, Adachi E, </w:t>
      </w:r>
      <w:proofErr w:type="spellStart"/>
      <w:r>
        <w:rPr>
          <w:rFonts w:ascii="Book Antiqua" w:hAnsi="Book Antiqua"/>
          <w:kern w:val="0"/>
          <w:sz w:val="24"/>
        </w:rPr>
        <w:t>Matsukuma</w:t>
      </w:r>
      <w:proofErr w:type="spellEnd"/>
      <w:r>
        <w:rPr>
          <w:rFonts w:ascii="Book Antiqua" w:hAnsi="Book Antiqua"/>
          <w:kern w:val="0"/>
          <w:sz w:val="24"/>
        </w:rPr>
        <w:t xml:space="preserve"> A, Ezaki T. Significance of modified Glasgow prognostic score as a useful indicator for prognosis of patients with gastric carcinoma. </w:t>
      </w:r>
      <w:r>
        <w:rPr>
          <w:rFonts w:ascii="Book Antiqua" w:hAnsi="Book Antiqua"/>
          <w:i/>
          <w:iCs/>
          <w:kern w:val="0"/>
          <w:sz w:val="24"/>
        </w:rPr>
        <w:t xml:space="preserve">Am J </w:t>
      </w:r>
      <w:proofErr w:type="spellStart"/>
      <w:r>
        <w:rPr>
          <w:rFonts w:ascii="Book Antiqua" w:hAnsi="Book Antiqua"/>
          <w:i/>
          <w:iCs/>
          <w:kern w:val="0"/>
          <w:sz w:val="24"/>
        </w:rPr>
        <w:t>Surg</w:t>
      </w:r>
      <w:proofErr w:type="spellEnd"/>
      <w:r>
        <w:rPr>
          <w:rFonts w:ascii="Book Antiqua" w:hAnsi="Book Antiqua"/>
          <w:kern w:val="0"/>
          <w:sz w:val="24"/>
        </w:rPr>
        <w:t xml:space="preserve"> 2011; </w:t>
      </w:r>
      <w:r>
        <w:rPr>
          <w:rFonts w:ascii="Book Antiqua" w:hAnsi="Book Antiqua"/>
          <w:b/>
          <w:bCs/>
          <w:kern w:val="0"/>
          <w:sz w:val="24"/>
        </w:rPr>
        <w:t>201</w:t>
      </w:r>
      <w:r>
        <w:rPr>
          <w:rFonts w:ascii="Book Antiqua" w:hAnsi="Book Antiqua"/>
          <w:kern w:val="0"/>
          <w:sz w:val="24"/>
        </w:rPr>
        <w:t>: 186-191 [PMID: 20832047 DOI: 10.1016/j.amjsurg.2010.01.030]</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11 </w:t>
      </w:r>
      <w:r>
        <w:rPr>
          <w:rFonts w:ascii="Book Antiqua" w:hAnsi="Book Antiqua"/>
          <w:b/>
          <w:bCs/>
          <w:kern w:val="0"/>
          <w:sz w:val="24"/>
        </w:rPr>
        <w:t>Kuroda D</w:t>
      </w:r>
      <w:r>
        <w:rPr>
          <w:rFonts w:ascii="Book Antiqua" w:hAnsi="Book Antiqua"/>
          <w:kern w:val="0"/>
          <w:sz w:val="24"/>
        </w:rPr>
        <w:t xml:space="preserve">, </w:t>
      </w:r>
      <w:proofErr w:type="spellStart"/>
      <w:r>
        <w:rPr>
          <w:rFonts w:ascii="Book Antiqua" w:hAnsi="Book Antiqua"/>
          <w:kern w:val="0"/>
          <w:sz w:val="24"/>
        </w:rPr>
        <w:t>Sawayama</w:t>
      </w:r>
      <w:proofErr w:type="spellEnd"/>
      <w:r>
        <w:rPr>
          <w:rFonts w:ascii="Book Antiqua" w:hAnsi="Book Antiqua"/>
          <w:kern w:val="0"/>
          <w:sz w:val="24"/>
        </w:rPr>
        <w:t xml:space="preserve"> H, </w:t>
      </w:r>
      <w:proofErr w:type="spellStart"/>
      <w:r>
        <w:rPr>
          <w:rFonts w:ascii="Book Antiqua" w:hAnsi="Book Antiqua"/>
          <w:kern w:val="0"/>
          <w:sz w:val="24"/>
        </w:rPr>
        <w:t>Kurashige</w:t>
      </w:r>
      <w:proofErr w:type="spellEnd"/>
      <w:r>
        <w:rPr>
          <w:rFonts w:ascii="Book Antiqua" w:hAnsi="Book Antiqua"/>
          <w:kern w:val="0"/>
          <w:sz w:val="24"/>
        </w:rPr>
        <w:t xml:space="preserve"> J, </w:t>
      </w:r>
      <w:proofErr w:type="spellStart"/>
      <w:r>
        <w:rPr>
          <w:rFonts w:ascii="Book Antiqua" w:hAnsi="Book Antiqua"/>
          <w:kern w:val="0"/>
          <w:sz w:val="24"/>
        </w:rPr>
        <w:t>Iwatsuki</w:t>
      </w:r>
      <w:proofErr w:type="spellEnd"/>
      <w:r>
        <w:rPr>
          <w:rFonts w:ascii="Book Antiqua" w:hAnsi="Book Antiqua"/>
          <w:kern w:val="0"/>
          <w:sz w:val="24"/>
        </w:rPr>
        <w:t xml:space="preserve"> M, </w:t>
      </w:r>
      <w:proofErr w:type="spellStart"/>
      <w:r>
        <w:rPr>
          <w:rFonts w:ascii="Book Antiqua" w:hAnsi="Book Antiqua"/>
          <w:kern w:val="0"/>
          <w:sz w:val="24"/>
        </w:rPr>
        <w:t>Eto</w:t>
      </w:r>
      <w:proofErr w:type="spellEnd"/>
      <w:r>
        <w:rPr>
          <w:rFonts w:ascii="Book Antiqua" w:hAnsi="Book Antiqua"/>
          <w:kern w:val="0"/>
          <w:sz w:val="24"/>
        </w:rPr>
        <w:t xml:space="preserve"> T, Tokunaga R, Kitano Y, Yamamura K, </w:t>
      </w:r>
      <w:proofErr w:type="spellStart"/>
      <w:r>
        <w:rPr>
          <w:rFonts w:ascii="Book Antiqua" w:hAnsi="Book Antiqua"/>
          <w:kern w:val="0"/>
          <w:sz w:val="24"/>
        </w:rPr>
        <w:t>Ouchi</w:t>
      </w:r>
      <w:proofErr w:type="spellEnd"/>
      <w:r>
        <w:rPr>
          <w:rFonts w:ascii="Book Antiqua" w:hAnsi="Book Antiqua"/>
          <w:kern w:val="0"/>
          <w:sz w:val="24"/>
        </w:rPr>
        <w:t xml:space="preserve"> M, Nakamura K, Baba Y, Sakamoto Y, Yamashita Y, Yoshida N, </w:t>
      </w:r>
      <w:proofErr w:type="spellStart"/>
      <w:r>
        <w:rPr>
          <w:rFonts w:ascii="Book Antiqua" w:hAnsi="Book Antiqua"/>
          <w:kern w:val="0"/>
          <w:sz w:val="24"/>
        </w:rPr>
        <w:t>Chikamoto</w:t>
      </w:r>
      <w:proofErr w:type="spellEnd"/>
      <w:r>
        <w:rPr>
          <w:rFonts w:ascii="Book Antiqua" w:hAnsi="Book Antiqua"/>
          <w:kern w:val="0"/>
          <w:sz w:val="24"/>
        </w:rPr>
        <w:t xml:space="preserve"> A, Baba H. Controlling Nutritional Status (CONUT) score is a prognostic marker for gastric cancer patients after curative resection. </w:t>
      </w:r>
      <w:r>
        <w:rPr>
          <w:rFonts w:ascii="Book Antiqua" w:hAnsi="Book Antiqua"/>
          <w:i/>
          <w:iCs/>
          <w:kern w:val="0"/>
          <w:sz w:val="24"/>
        </w:rPr>
        <w:t>Gastric Cancer</w:t>
      </w:r>
      <w:r>
        <w:rPr>
          <w:rFonts w:ascii="Book Antiqua" w:hAnsi="Book Antiqua"/>
          <w:kern w:val="0"/>
          <w:sz w:val="24"/>
        </w:rPr>
        <w:t xml:space="preserve"> 2018; </w:t>
      </w:r>
      <w:r>
        <w:rPr>
          <w:rFonts w:ascii="Book Antiqua" w:hAnsi="Book Antiqua"/>
          <w:b/>
          <w:bCs/>
          <w:kern w:val="0"/>
          <w:sz w:val="24"/>
        </w:rPr>
        <w:t>21</w:t>
      </w:r>
      <w:r>
        <w:rPr>
          <w:rFonts w:ascii="Book Antiqua" w:hAnsi="Book Antiqua"/>
          <w:kern w:val="0"/>
          <w:sz w:val="24"/>
        </w:rPr>
        <w:t>: 204-212 [PMID: 28656485 DOI: 10.1007/s10120-017-0744-3]</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12 </w:t>
      </w:r>
      <w:r>
        <w:rPr>
          <w:rFonts w:ascii="Book Antiqua" w:hAnsi="Book Antiqua"/>
          <w:b/>
          <w:bCs/>
          <w:kern w:val="0"/>
          <w:sz w:val="24"/>
        </w:rPr>
        <w:t>Wang SC</w:t>
      </w:r>
      <w:r>
        <w:rPr>
          <w:rFonts w:ascii="Book Antiqua" w:hAnsi="Book Antiqua"/>
          <w:kern w:val="0"/>
          <w:sz w:val="24"/>
        </w:rPr>
        <w:t xml:space="preserve">, Chou JF, Strong VE, Brennan MF, </w:t>
      </w:r>
      <w:proofErr w:type="spellStart"/>
      <w:r>
        <w:rPr>
          <w:rFonts w:ascii="Book Antiqua" w:hAnsi="Book Antiqua"/>
          <w:kern w:val="0"/>
          <w:sz w:val="24"/>
        </w:rPr>
        <w:t>Capanu</w:t>
      </w:r>
      <w:proofErr w:type="spellEnd"/>
      <w:r>
        <w:rPr>
          <w:rFonts w:ascii="Book Antiqua" w:hAnsi="Book Antiqua"/>
          <w:kern w:val="0"/>
          <w:sz w:val="24"/>
        </w:rPr>
        <w:t xml:space="preserve"> M, </w:t>
      </w:r>
      <w:proofErr w:type="spellStart"/>
      <w:r>
        <w:rPr>
          <w:rFonts w:ascii="Book Antiqua" w:hAnsi="Book Antiqua"/>
          <w:kern w:val="0"/>
          <w:sz w:val="24"/>
        </w:rPr>
        <w:t>Coit</w:t>
      </w:r>
      <w:proofErr w:type="spellEnd"/>
      <w:r>
        <w:rPr>
          <w:rFonts w:ascii="Book Antiqua" w:hAnsi="Book Antiqua"/>
          <w:kern w:val="0"/>
          <w:sz w:val="24"/>
        </w:rPr>
        <w:t xml:space="preserve"> DG. Pretreatment Neutrophil to Lymphocyte Ratio Independently Predicts Disease-specific Survival in </w:t>
      </w:r>
      <w:proofErr w:type="spellStart"/>
      <w:r>
        <w:rPr>
          <w:rFonts w:ascii="Book Antiqua" w:hAnsi="Book Antiqua"/>
          <w:kern w:val="0"/>
          <w:sz w:val="24"/>
        </w:rPr>
        <w:t>Resectable</w:t>
      </w:r>
      <w:proofErr w:type="spellEnd"/>
      <w:r>
        <w:rPr>
          <w:rFonts w:ascii="Book Antiqua" w:hAnsi="Book Antiqua"/>
          <w:kern w:val="0"/>
          <w:sz w:val="24"/>
        </w:rPr>
        <w:t xml:space="preserve"> </w:t>
      </w:r>
      <w:proofErr w:type="spellStart"/>
      <w:r>
        <w:rPr>
          <w:rFonts w:ascii="Book Antiqua" w:hAnsi="Book Antiqua"/>
          <w:kern w:val="0"/>
          <w:sz w:val="24"/>
        </w:rPr>
        <w:t>Gastroesophageal</w:t>
      </w:r>
      <w:proofErr w:type="spellEnd"/>
      <w:r>
        <w:rPr>
          <w:rFonts w:ascii="Book Antiqua" w:hAnsi="Book Antiqua"/>
          <w:kern w:val="0"/>
          <w:sz w:val="24"/>
        </w:rPr>
        <w:t xml:space="preserve"> Junction and Gastric Adenocarcinoma. </w:t>
      </w:r>
      <w:r>
        <w:rPr>
          <w:rFonts w:ascii="Book Antiqua" w:hAnsi="Book Antiqua"/>
          <w:i/>
          <w:iCs/>
          <w:kern w:val="0"/>
          <w:sz w:val="24"/>
        </w:rPr>
        <w:t xml:space="preserve">Ann </w:t>
      </w:r>
      <w:proofErr w:type="spellStart"/>
      <w:r>
        <w:rPr>
          <w:rFonts w:ascii="Book Antiqua" w:hAnsi="Book Antiqua"/>
          <w:i/>
          <w:iCs/>
          <w:kern w:val="0"/>
          <w:sz w:val="24"/>
        </w:rPr>
        <w:t>Surg</w:t>
      </w:r>
      <w:proofErr w:type="spellEnd"/>
      <w:r>
        <w:rPr>
          <w:rFonts w:ascii="Book Antiqua" w:hAnsi="Book Antiqua"/>
          <w:kern w:val="0"/>
          <w:sz w:val="24"/>
        </w:rPr>
        <w:t xml:space="preserve"> 2016; </w:t>
      </w:r>
      <w:r>
        <w:rPr>
          <w:rFonts w:ascii="Book Antiqua" w:hAnsi="Book Antiqua"/>
          <w:b/>
          <w:bCs/>
          <w:kern w:val="0"/>
          <w:sz w:val="24"/>
        </w:rPr>
        <w:t>263</w:t>
      </w:r>
      <w:r>
        <w:rPr>
          <w:rFonts w:ascii="Book Antiqua" w:hAnsi="Book Antiqua"/>
          <w:kern w:val="0"/>
          <w:sz w:val="24"/>
        </w:rPr>
        <w:t>: 292-297 [PMID: 25915915 DOI: 10.1097/SLA.0000000000001189]</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13 </w:t>
      </w:r>
      <w:r>
        <w:rPr>
          <w:rFonts w:ascii="Book Antiqua" w:hAnsi="Book Antiqua"/>
          <w:b/>
          <w:bCs/>
          <w:kern w:val="0"/>
          <w:sz w:val="24"/>
        </w:rPr>
        <w:t>Hsu JT</w:t>
      </w:r>
      <w:r>
        <w:rPr>
          <w:rFonts w:ascii="Book Antiqua" w:hAnsi="Book Antiqua"/>
          <w:kern w:val="0"/>
          <w:sz w:val="24"/>
        </w:rPr>
        <w:t xml:space="preserve">, Wang CC, Le PH, Chen TH, </w:t>
      </w:r>
      <w:proofErr w:type="spellStart"/>
      <w:r>
        <w:rPr>
          <w:rFonts w:ascii="Book Antiqua" w:hAnsi="Book Antiqua"/>
          <w:kern w:val="0"/>
          <w:sz w:val="24"/>
        </w:rPr>
        <w:t>Kuo</w:t>
      </w:r>
      <w:proofErr w:type="spellEnd"/>
      <w:r>
        <w:rPr>
          <w:rFonts w:ascii="Book Antiqua" w:hAnsi="Book Antiqua"/>
          <w:kern w:val="0"/>
          <w:sz w:val="24"/>
        </w:rPr>
        <w:t xml:space="preserve"> CJ, Lin CJ, Chou WC, </w:t>
      </w:r>
      <w:proofErr w:type="spellStart"/>
      <w:r>
        <w:rPr>
          <w:rFonts w:ascii="Book Antiqua" w:hAnsi="Book Antiqua"/>
          <w:kern w:val="0"/>
          <w:sz w:val="24"/>
        </w:rPr>
        <w:t>Yeh</w:t>
      </w:r>
      <w:proofErr w:type="spellEnd"/>
      <w:r>
        <w:rPr>
          <w:rFonts w:ascii="Book Antiqua" w:hAnsi="Book Antiqua"/>
          <w:kern w:val="0"/>
          <w:sz w:val="24"/>
        </w:rPr>
        <w:t xml:space="preserve"> TS. Lymphocyte-to-monocyte ratios predict gastric cancer surgical outcomes. </w:t>
      </w:r>
      <w:r>
        <w:rPr>
          <w:rFonts w:ascii="Book Antiqua" w:hAnsi="Book Antiqua"/>
          <w:i/>
          <w:iCs/>
          <w:kern w:val="0"/>
          <w:sz w:val="24"/>
        </w:rPr>
        <w:t xml:space="preserve">J </w:t>
      </w:r>
      <w:proofErr w:type="spellStart"/>
      <w:r>
        <w:rPr>
          <w:rFonts w:ascii="Book Antiqua" w:hAnsi="Book Antiqua"/>
          <w:i/>
          <w:iCs/>
          <w:kern w:val="0"/>
          <w:sz w:val="24"/>
        </w:rPr>
        <w:t>Surg</w:t>
      </w:r>
      <w:proofErr w:type="spellEnd"/>
      <w:r>
        <w:rPr>
          <w:rFonts w:ascii="Book Antiqua" w:hAnsi="Book Antiqua"/>
          <w:i/>
          <w:iCs/>
          <w:kern w:val="0"/>
          <w:sz w:val="24"/>
        </w:rPr>
        <w:t xml:space="preserve"> Res</w:t>
      </w:r>
      <w:r>
        <w:rPr>
          <w:rFonts w:ascii="Book Antiqua" w:hAnsi="Book Antiqua"/>
          <w:kern w:val="0"/>
          <w:sz w:val="24"/>
        </w:rPr>
        <w:t xml:space="preserve"> 2016; </w:t>
      </w:r>
      <w:r>
        <w:rPr>
          <w:rFonts w:ascii="Book Antiqua" w:hAnsi="Book Antiqua"/>
          <w:b/>
          <w:bCs/>
          <w:kern w:val="0"/>
          <w:sz w:val="24"/>
        </w:rPr>
        <w:t>202</w:t>
      </w:r>
      <w:r>
        <w:rPr>
          <w:rFonts w:ascii="Book Antiqua" w:hAnsi="Book Antiqua"/>
          <w:kern w:val="0"/>
          <w:sz w:val="24"/>
        </w:rPr>
        <w:t>: 284-290 [PMID: 27229102 DOI: 10.1016/j.jss.2016.01.005]</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14 </w:t>
      </w:r>
      <w:proofErr w:type="spellStart"/>
      <w:r>
        <w:rPr>
          <w:rFonts w:ascii="Book Antiqua" w:hAnsi="Book Antiqua"/>
          <w:b/>
          <w:bCs/>
          <w:kern w:val="0"/>
          <w:sz w:val="24"/>
        </w:rPr>
        <w:t>Gu</w:t>
      </w:r>
      <w:proofErr w:type="spellEnd"/>
      <w:r>
        <w:rPr>
          <w:rFonts w:ascii="Book Antiqua" w:hAnsi="Book Antiqua"/>
          <w:b/>
          <w:bCs/>
          <w:kern w:val="0"/>
          <w:sz w:val="24"/>
        </w:rPr>
        <w:t xml:space="preserve"> X</w:t>
      </w:r>
      <w:r>
        <w:rPr>
          <w:rFonts w:ascii="Book Antiqua" w:hAnsi="Book Antiqua"/>
          <w:kern w:val="0"/>
          <w:sz w:val="24"/>
        </w:rPr>
        <w:t xml:space="preserve">, </w:t>
      </w:r>
      <w:proofErr w:type="spellStart"/>
      <w:r>
        <w:rPr>
          <w:rFonts w:ascii="Book Antiqua" w:hAnsi="Book Antiqua"/>
          <w:kern w:val="0"/>
          <w:sz w:val="24"/>
        </w:rPr>
        <w:t>Gao</w:t>
      </w:r>
      <w:proofErr w:type="spellEnd"/>
      <w:r>
        <w:rPr>
          <w:rFonts w:ascii="Book Antiqua" w:hAnsi="Book Antiqua"/>
          <w:kern w:val="0"/>
          <w:sz w:val="24"/>
        </w:rPr>
        <w:t xml:space="preserve"> XS, Cui M, </w:t>
      </w:r>
      <w:proofErr w:type="spellStart"/>
      <w:r>
        <w:rPr>
          <w:rFonts w:ascii="Book Antiqua" w:hAnsi="Book Antiqua"/>
          <w:kern w:val="0"/>
          <w:sz w:val="24"/>
        </w:rPr>
        <w:t>Xie</w:t>
      </w:r>
      <w:proofErr w:type="spellEnd"/>
      <w:r>
        <w:rPr>
          <w:rFonts w:ascii="Book Antiqua" w:hAnsi="Book Antiqua"/>
          <w:kern w:val="0"/>
          <w:sz w:val="24"/>
        </w:rPr>
        <w:t xml:space="preserve"> M, </w:t>
      </w:r>
      <w:proofErr w:type="spellStart"/>
      <w:r>
        <w:rPr>
          <w:rFonts w:ascii="Book Antiqua" w:hAnsi="Book Antiqua"/>
          <w:kern w:val="0"/>
          <w:sz w:val="24"/>
        </w:rPr>
        <w:t>Peng</w:t>
      </w:r>
      <w:proofErr w:type="spellEnd"/>
      <w:r>
        <w:rPr>
          <w:rFonts w:ascii="Book Antiqua" w:hAnsi="Book Antiqua"/>
          <w:kern w:val="0"/>
          <w:sz w:val="24"/>
        </w:rPr>
        <w:t xml:space="preserve"> C, </w:t>
      </w:r>
      <w:proofErr w:type="spellStart"/>
      <w:r>
        <w:rPr>
          <w:rFonts w:ascii="Book Antiqua" w:hAnsi="Book Antiqua"/>
          <w:kern w:val="0"/>
          <w:sz w:val="24"/>
        </w:rPr>
        <w:t>Bai</w:t>
      </w:r>
      <w:proofErr w:type="spellEnd"/>
      <w:r>
        <w:rPr>
          <w:rFonts w:ascii="Book Antiqua" w:hAnsi="Book Antiqua"/>
          <w:kern w:val="0"/>
          <w:sz w:val="24"/>
        </w:rPr>
        <w:t xml:space="preserve"> Y, </w:t>
      </w:r>
      <w:proofErr w:type="spellStart"/>
      <w:r>
        <w:rPr>
          <w:rFonts w:ascii="Book Antiqua" w:hAnsi="Book Antiqua"/>
          <w:kern w:val="0"/>
          <w:sz w:val="24"/>
        </w:rPr>
        <w:t>Guo</w:t>
      </w:r>
      <w:proofErr w:type="spellEnd"/>
      <w:r>
        <w:rPr>
          <w:rFonts w:ascii="Book Antiqua" w:hAnsi="Book Antiqua"/>
          <w:kern w:val="0"/>
          <w:sz w:val="24"/>
        </w:rPr>
        <w:t xml:space="preserve"> W, Han L, </w:t>
      </w:r>
      <w:proofErr w:type="spellStart"/>
      <w:r>
        <w:rPr>
          <w:rFonts w:ascii="Book Antiqua" w:hAnsi="Book Antiqua"/>
          <w:kern w:val="0"/>
          <w:sz w:val="24"/>
        </w:rPr>
        <w:t>Gu</w:t>
      </w:r>
      <w:proofErr w:type="spellEnd"/>
      <w:r>
        <w:rPr>
          <w:rFonts w:ascii="Book Antiqua" w:hAnsi="Book Antiqua"/>
          <w:kern w:val="0"/>
          <w:sz w:val="24"/>
        </w:rPr>
        <w:t xml:space="preserve"> X, </w:t>
      </w:r>
      <w:proofErr w:type="spellStart"/>
      <w:r>
        <w:rPr>
          <w:rFonts w:ascii="Book Antiqua" w:hAnsi="Book Antiqua"/>
          <w:kern w:val="0"/>
          <w:sz w:val="24"/>
        </w:rPr>
        <w:t>Xiong</w:t>
      </w:r>
      <w:proofErr w:type="spellEnd"/>
      <w:r>
        <w:rPr>
          <w:rFonts w:ascii="Book Antiqua" w:hAnsi="Book Antiqua"/>
          <w:kern w:val="0"/>
          <w:sz w:val="24"/>
        </w:rPr>
        <w:t xml:space="preserve"> W. </w:t>
      </w:r>
      <w:proofErr w:type="spellStart"/>
      <w:r>
        <w:rPr>
          <w:rFonts w:ascii="Book Antiqua" w:hAnsi="Book Antiqua"/>
          <w:kern w:val="0"/>
          <w:sz w:val="24"/>
        </w:rPr>
        <w:t>Clinicopathological</w:t>
      </w:r>
      <w:proofErr w:type="spellEnd"/>
      <w:r>
        <w:rPr>
          <w:rFonts w:ascii="Book Antiqua" w:hAnsi="Book Antiqua"/>
          <w:kern w:val="0"/>
          <w:sz w:val="24"/>
        </w:rPr>
        <w:t xml:space="preserve"> and prognostic significance of platelet to lymphocyte </w:t>
      </w:r>
      <w:r>
        <w:rPr>
          <w:rFonts w:ascii="Book Antiqua" w:hAnsi="Book Antiqua"/>
          <w:kern w:val="0"/>
          <w:sz w:val="24"/>
        </w:rPr>
        <w:lastRenderedPageBreak/>
        <w:t xml:space="preserve">ratio in patients with gastric cancer. </w:t>
      </w:r>
      <w:proofErr w:type="spellStart"/>
      <w:r>
        <w:rPr>
          <w:rFonts w:ascii="Book Antiqua" w:hAnsi="Book Antiqua"/>
          <w:i/>
          <w:iCs/>
          <w:kern w:val="0"/>
          <w:sz w:val="24"/>
        </w:rPr>
        <w:t>Oncotarget</w:t>
      </w:r>
      <w:proofErr w:type="spellEnd"/>
      <w:r>
        <w:rPr>
          <w:rFonts w:ascii="Book Antiqua" w:hAnsi="Book Antiqua"/>
          <w:kern w:val="0"/>
          <w:sz w:val="24"/>
        </w:rPr>
        <w:t xml:space="preserve"> 2016; </w:t>
      </w:r>
      <w:r>
        <w:rPr>
          <w:rFonts w:ascii="Book Antiqua" w:hAnsi="Book Antiqua"/>
          <w:b/>
          <w:bCs/>
          <w:kern w:val="0"/>
          <w:sz w:val="24"/>
        </w:rPr>
        <w:t>7</w:t>
      </w:r>
      <w:r>
        <w:rPr>
          <w:rFonts w:ascii="Book Antiqua" w:hAnsi="Book Antiqua"/>
          <w:kern w:val="0"/>
          <w:sz w:val="24"/>
        </w:rPr>
        <w:t>: 49878-49887 [PMID: 27409665 DOI: 10.18632/oncotarget.10490]</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15 </w:t>
      </w:r>
      <w:r>
        <w:rPr>
          <w:rFonts w:ascii="Book Antiqua" w:hAnsi="Book Antiqua"/>
          <w:b/>
          <w:bCs/>
          <w:kern w:val="0"/>
          <w:sz w:val="24"/>
        </w:rPr>
        <w:t>Liu X</w:t>
      </w:r>
      <w:r>
        <w:rPr>
          <w:rFonts w:ascii="Book Antiqua" w:hAnsi="Book Antiqua"/>
          <w:kern w:val="0"/>
          <w:sz w:val="24"/>
        </w:rPr>
        <w:t xml:space="preserve">, </w:t>
      </w:r>
      <w:proofErr w:type="spellStart"/>
      <w:r>
        <w:rPr>
          <w:rFonts w:ascii="Book Antiqua" w:hAnsi="Book Antiqua"/>
          <w:kern w:val="0"/>
          <w:sz w:val="24"/>
        </w:rPr>
        <w:t>Qiu</w:t>
      </w:r>
      <w:proofErr w:type="spellEnd"/>
      <w:r>
        <w:rPr>
          <w:rFonts w:ascii="Book Antiqua" w:hAnsi="Book Antiqua"/>
          <w:kern w:val="0"/>
          <w:sz w:val="24"/>
        </w:rPr>
        <w:t xml:space="preserve"> H, Kong P, Zhou Z, Sun X. Gastric cancer, nutritional status, and outcome. </w:t>
      </w:r>
      <w:proofErr w:type="spellStart"/>
      <w:r>
        <w:rPr>
          <w:rFonts w:ascii="Book Antiqua" w:hAnsi="Book Antiqua"/>
          <w:i/>
          <w:iCs/>
          <w:kern w:val="0"/>
          <w:sz w:val="24"/>
        </w:rPr>
        <w:t>Onco</w:t>
      </w:r>
      <w:proofErr w:type="spellEnd"/>
      <w:r>
        <w:rPr>
          <w:rFonts w:ascii="Book Antiqua" w:hAnsi="Book Antiqua"/>
          <w:i/>
          <w:iCs/>
          <w:kern w:val="0"/>
          <w:sz w:val="24"/>
        </w:rPr>
        <w:t xml:space="preserve"> Targets </w:t>
      </w:r>
      <w:proofErr w:type="spellStart"/>
      <w:r>
        <w:rPr>
          <w:rFonts w:ascii="Book Antiqua" w:hAnsi="Book Antiqua"/>
          <w:i/>
          <w:iCs/>
          <w:kern w:val="0"/>
          <w:sz w:val="24"/>
        </w:rPr>
        <w:t>Ther</w:t>
      </w:r>
      <w:proofErr w:type="spellEnd"/>
      <w:r>
        <w:rPr>
          <w:rFonts w:ascii="Book Antiqua" w:hAnsi="Book Antiqua"/>
          <w:kern w:val="0"/>
          <w:sz w:val="24"/>
        </w:rPr>
        <w:t xml:space="preserve"> 2017; </w:t>
      </w:r>
      <w:r>
        <w:rPr>
          <w:rFonts w:ascii="Book Antiqua" w:hAnsi="Book Antiqua"/>
          <w:b/>
          <w:bCs/>
          <w:kern w:val="0"/>
          <w:sz w:val="24"/>
        </w:rPr>
        <w:t>10</w:t>
      </w:r>
      <w:r>
        <w:rPr>
          <w:rFonts w:ascii="Book Antiqua" w:hAnsi="Book Antiqua"/>
          <w:kern w:val="0"/>
          <w:sz w:val="24"/>
        </w:rPr>
        <w:t>: 2107-2114 [PMID: 28442919 DOI: 10.2147/OTT.S132432]</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16 </w:t>
      </w:r>
      <w:r>
        <w:rPr>
          <w:rFonts w:ascii="Book Antiqua" w:hAnsi="Book Antiqua"/>
          <w:b/>
          <w:bCs/>
          <w:kern w:val="0"/>
          <w:sz w:val="24"/>
        </w:rPr>
        <w:t>Wen J</w:t>
      </w:r>
      <w:r>
        <w:rPr>
          <w:rFonts w:ascii="Book Antiqua" w:hAnsi="Book Antiqua"/>
          <w:kern w:val="0"/>
          <w:sz w:val="24"/>
        </w:rPr>
        <w:t xml:space="preserve">, Bedford M, Begum R, Mitchell H, </w:t>
      </w:r>
      <w:proofErr w:type="spellStart"/>
      <w:r>
        <w:rPr>
          <w:rFonts w:ascii="Book Antiqua" w:hAnsi="Book Antiqua"/>
          <w:kern w:val="0"/>
          <w:sz w:val="24"/>
        </w:rPr>
        <w:t>Hodson</w:t>
      </w:r>
      <w:proofErr w:type="spellEnd"/>
      <w:r>
        <w:rPr>
          <w:rFonts w:ascii="Book Antiqua" w:hAnsi="Book Antiqua"/>
          <w:kern w:val="0"/>
          <w:sz w:val="24"/>
        </w:rPr>
        <w:t xml:space="preserve"> J, Whiting J, Griffiths E. The value of inflammation based prognostic scores in patients undergoing surgical resection for </w:t>
      </w:r>
      <w:proofErr w:type="spellStart"/>
      <w:r>
        <w:rPr>
          <w:rFonts w:ascii="Book Antiqua" w:hAnsi="Book Antiqua"/>
          <w:kern w:val="0"/>
          <w:sz w:val="24"/>
        </w:rPr>
        <w:t>oesophageal</w:t>
      </w:r>
      <w:proofErr w:type="spellEnd"/>
      <w:r>
        <w:rPr>
          <w:rFonts w:ascii="Book Antiqua" w:hAnsi="Book Antiqua"/>
          <w:kern w:val="0"/>
          <w:sz w:val="24"/>
        </w:rPr>
        <w:t xml:space="preserve"> and gastric carcinoma. </w:t>
      </w:r>
      <w:r>
        <w:rPr>
          <w:rFonts w:ascii="Book Antiqua" w:hAnsi="Book Antiqua"/>
          <w:i/>
          <w:iCs/>
          <w:kern w:val="0"/>
          <w:sz w:val="24"/>
        </w:rPr>
        <w:t xml:space="preserve">J </w:t>
      </w:r>
      <w:proofErr w:type="spellStart"/>
      <w:r>
        <w:rPr>
          <w:rFonts w:ascii="Book Antiqua" w:hAnsi="Book Antiqua"/>
          <w:i/>
          <w:iCs/>
          <w:kern w:val="0"/>
          <w:sz w:val="24"/>
        </w:rPr>
        <w:t>Surg</w:t>
      </w:r>
      <w:proofErr w:type="spellEnd"/>
      <w:r>
        <w:rPr>
          <w:rFonts w:ascii="Book Antiqua" w:hAnsi="Book Antiqua"/>
          <w:i/>
          <w:iCs/>
          <w:kern w:val="0"/>
          <w:sz w:val="24"/>
        </w:rPr>
        <w:t xml:space="preserve"> </w:t>
      </w:r>
      <w:proofErr w:type="spellStart"/>
      <w:r>
        <w:rPr>
          <w:rFonts w:ascii="Book Antiqua" w:hAnsi="Book Antiqua"/>
          <w:i/>
          <w:iCs/>
          <w:kern w:val="0"/>
          <w:sz w:val="24"/>
        </w:rPr>
        <w:t>Oncol</w:t>
      </w:r>
      <w:proofErr w:type="spellEnd"/>
      <w:r>
        <w:rPr>
          <w:rFonts w:ascii="Book Antiqua" w:hAnsi="Book Antiqua"/>
          <w:kern w:val="0"/>
          <w:sz w:val="24"/>
        </w:rPr>
        <w:t xml:space="preserve"> 2018; </w:t>
      </w:r>
      <w:r>
        <w:rPr>
          <w:rFonts w:ascii="Book Antiqua" w:hAnsi="Book Antiqua"/>
          <w:b/>
          <w:bCs/>
          <w:kern w:val="0"/>
          <w:sz w:val="24"/>
        </w:rPr>
        <w:t>117</w:t>
      </w:r>
      <w:r>
        <w:rPr>
          <w:rFonts w:ascii="Book Antiqua" w:hAnsi="Book Antiqua"/>
          <w:kern w:val="0"/>
          <w:sz w:val="24"/>
        </w:rPr>
        <w:t>: 1697-1707 [PMID: 29761518 DOI: 10.1002/jso.25057]</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17 </w:t>
      </w:r>
      <w:r>
        <w:rPr>
          <w:rFonts w:ascii="Book Antiqua" w:hAnsi="Book Antiqua"/>
          <w:b/>
          <w:bCs/>
          <w:kern w:val="0"/>
          <w:sz w:val="24"/>
        </w:rPr>
        <w:t>Kochi M</w:t>
      </w:r>
      <w:r>
        <w:rPr>
          <w:rFonts w:ascii="Book Antiqua" w:hAnsi="Book Antiqua"/>
          <w:kern w:val="0"/>
          <w:sz w:val="24"/>
        </w:rPr>
        <w:t xml:space="preserve">, </w:t>
      </w:r>
      <w:proofErr w:type="spellStart"/>
      <w:r>
        <w:rPr>
          <w:rFonts w:ascii="Book Antiqua" w:hAnsi="Book Antiqua"/>
          <w:kern w:val="0"/>
          <w:sz w:val="24"/>
        </w:rPr>
        <w:t>Fujii</w:t>
      </w:r>
      <w:proofErr w:type="spellEnd"/>
      <w:r>
        <w:rPr>
          <w:rFonts w:ascii="Book Antiqua" w:hAnsi="Book Antiqua"/>
          <w:kern w:val="0"/>
          <w:sz w:val="24"/>
        </w:rPr>
        <w:t xml:space="preserve"> M, </w:t>
      </w:r>
      <w:proofErr w:type="spellStart"/>
      <w:r>
        <w:rPr>
          <w:rFonts w:ascii="Book Antiqua" w:hAnsi="Book Antiqua"/>
          <w:kern w:val="0"/>
          <w:sz w:val="24"/>
        </w:rPr>
        <w:t>Kanamori</w:t>
      </w:r>
      <w:proofErr w:type="spellEnd"/>
      <w:r>
        <w:rPr>
          <w:rFonts w:ascii="Book Antiqua" w:hAnsi="Book Antiqua"/>
          <w:kern w:val="0"/>
          <w:sz w:val="24"/>
        </w:rPr>
        <w:t xml:space="preserve"> N, </w:t>
      </w:r>
      <w:proofErr w:type="spellStart"/>
      <w:r>
        <w:rPr>
          <w:rFonts w:ascii="Book Antiqua" w:hAnsi="Book Antiqua"/>
          <w:kern w:val="0"/>
          <w:sz w:val="24"/>
        </w:rPr>
        <w:t>Kaiga</w:t>
      </w:r>
      <w:proofErr w:type="spellEnd"/>
      <w:r>
        <w:rPr>
          <w:rFonts w:ascii="Book Antiqua" w:hAnsi="Book Antiqua"/>
          <w:kern w:val="0"/>
          <w:sz w:val="24"/>
        </w:rPr>
        <w:t xml:space="preserve"> T, Kawakami T, </w:t>
      </w:r>
      <w:proofErr w:type="spellStart"/>
      <w:r>
        <w:rPr>
          <w:rFonts w:ascii="Book Antiqua" w:hAnsi="Book Antiqua"/>
          <w:kern w:val="0"/>
          <w:sz w:val="24"/>
        </w:rPr>
        <w:t>Aizaki</w:t>
      </w:r>
      <w:proofErr w:type="spellEnd"/>
      <w:r>
        <w:rPr>
          <w:rFonts w:ascii="Book Antiqua" w:hAnsi="Book Antiqua"/>
          <w:kern w:val="0"/>
          <w:sz w:val="24"/>
        </w:rPr>
        <w:t xml:space="preserve"> K, </w:t>
      </w:r>
      <w:proofErr w:type="spellStart"/>
      <w:r>
        <w:rPr>
          <w:rFonts w:ascii="Book Antiqua" w:hAnsi="Book Antiqua"/>
          <w:kern w:val="0"/>
          <w:sz w:val="24"/>
        </w:rPr>
        <w:t>Kasahara</w:t>
      </w:r>
      <w:proofErr w:type="spellEnd"/>
      <w:r>
        <w:rPr>
          <w:rFonts w:ascii="Book Antiqua" w:hAnsi="Book Antiqua"/>
          <w:kern w:val="0"/>
          <w:sz w:val="24"/>
        </w:rPr>
        <w:t xml:space="preserve"> M, Mochizuki F, </w:t>
      </w:r>
      <w:proofErr w:type="spellStart"/>
      <w:r>
        <w:rPr>
          <w:rFonts w:ascii="Book Antiqua" w:hAnsi="Book Antiqua"/>
          <w:kern w:val="0"/>
          <w:sz w:val="24"/>
        </w:rPr>
        <w:t>Kasakura</w:t>
      </w:r>
      <w:proofErr w:type="spellEnd"/>
      <w:r>
        <w:rPr>
          <w:rFonts w:ascii="Book Antiqua" w:hAnsi="Book Antiqua"/>
          <w:kern w:val="0"/>
          <w:sz w:val="24"/>
        </w:rPr>
        <w:t xml:space="preserve"> Y, Yamagata M. Evaluation of serum CEA and CA19-9 levels as prognostic factors in patients with gastric cancer. </w:t>
      </w:r>
      <w:r>
        <w:rPr>
          <w:rFonts w:ascii="Book Antiqua" w:hAnsi="Book Antiqua"/>
          <w:i/>
          <w:iCs/>
          <w:kern w:val="0"/>
          <w:sz w:val="24"/>
        </w:rPr>
        <w:t>Gastric Cancer</w:t>
      </w:r>
      <w:r>
        <w:rPr>
          <w:rFonts w:ascii="Book Antiqua" w:hAnsi="Book Antiqua"/>
          <w:kern w:val="0"/>
          <w:sz w:val="24"/>
        </w:rPr>
        <w:t xml:space="preserve"> 2000; </w:t>
      </w:r>
      <w:r>
        <w:rPr>
          <w:rFonts w:ascii="Book Antiqua" w:hAnsi="Book Antiqua"/>
          <w:b/>
          <w:bCs/>
          <w:kern w:val="0"/>
          <w:sz w:val="24"/>
        </w:rPr>
        <w:t>3</w:t>
      </w:r>
      <w:r>
        <w:rPr>
          <w:rFonts w:ascii="Book Antiqua" w:hAnsi="Book Antiqua"/>
          <w:kern w:val="0"/>
          <w:sz w:val="24"/>
        </w:rPr>
        <w:t>: 177-186 [PMID: 11984734]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18 </w:t>
      </w:r>
      <w:r>
        <w:rPr>
          <w:rFonts w:ascii="Book Antiqua" w:hAnsi="Book Antiqua"/>
          <w:b/>
          <w:bCs/>
          <w:kern w:val="0"/>
          <w:sz w:val="24"/>
        </w:rPr>
        <w:t>Zhou YC</w:t>
      </w:r>
      <w:r>
        <w:rPr>
          <w:rFonts w:ascii="Book Antiqua" w:hAnsi="Book Antiqua"/>
          <w:kern w:val="0"/>
          <w:sz w:val="24"/>
        </w:rPr>
        <w:t xml:space="preserve">, Zhao HJ, </w:t>
      </w:r>
      <w:proofErr w:type="spellStart"/>
      <w:r>
        <w:rPr>
          <w:rFonts w:ascii="Book Antiqua" w:hAnsi="Book Antiqua"/>
          <w:kern w:val="0"/>
          <w:sz w:val="24"/>
        </w:rPr>
        <w:t>Shen</w:t>
      </w:r>
      <w:proofErr w:type="spellEnd"/>
      <w:r>
        <w:rPr>
          <w:rFonts w:ascii="Book Antiqua" w:hAnsi="Book Antiqua"/>
          <w:kern w:val="0"/>
          <w:sz w:val="24"/>
        </w:rPr>
        <w:t xml:space="preserve"> LZ. Preoperative serum CEA and CA19-9 in gastric cancer--a single tertiary hospital study of 1,075 cases. </w:t>
      </w:r>
      <w:r>
        <w:rPr>
          <w:rFonts w:ascii="Book Antiqua" w:hAnsi="Book Antiqua"/>
          <w:i/>
          <w:iCs/>
          <w:kern w:val="0"/>
          <w:sz w:val="24"/>
        </w:rPr>
        <w:t xml:space="preserve">Asian Pac J Cancer </w:t>
      </w:r>
      <w:proofErr w:type="spellStart"/>
      <w:r>
        <w:rPr>
          <w:rFonts w:ascii="Book Antiqua" w:hAnsi="Book Antiqua"/>
          <w:i/>
          <w:iCs/>
          <w:kern w:val="0"/>
          <w:sz w:val="24"/>
        </w:rPr>
        <w:t>Prev</w:t>
      </w:r>
      <w:proofErr w:type="spellEnd"/>
      <w:r>
        <w:rPr>
          <w:rFonts w:ascii="Book Antiqua" w:hAnsi="Book Antiqua"/>
          <w:kern w:val="0"/>
          <w:sz w:val="24"/>
        </w:rPr>
        <w:t xml:space="preserve"> 2015; </w:t>
      </w:r>
      <w:r>
        <w:rPr>
          <w:rFonts w:ascii="Book Antiqua" w:hAnsi="Book Antiqua"/>
          <w:b/>
          <w:bCs/>
          <w:kern w:val="0"/>
          <w:sz w:val="24"/>
        </w:rPr>
        <w:t>16</w:t>
      </w:r>
      <w:r>
        <w:rPr>
          <w:rFonts w:ascii="Book Antiqua" w:hAnsi="Book Antiqua"/>
          <w:kern w:val="0"/>
          <w:sz w:val="24"/>
        </w:rPr>
        <w:t>: 2685-2691 [PMID: 25854347 DOI: 10.7314/apjcp.2015.16.7.2685]</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19 </w:t>
      </w:r>
      <w:r>
        <w:rPr>
          <w:rFonts w:ascii="Book Antiqua" w:hAnsi="Book Antiqua"/>
          <w:b/>
          <w:bCs/>
          <w:kern w:val="0"/>
          <w:sz w:val="24"/>
        </w:rPr>
        <w:t>Japanese Gastric Cancer Association</w:t>
      </w:r>
      <w:r>
        <w:rPr>
          <w:rFonts w:ascii="Book Antiqua" w:hAnsi="Book Antiqua"/>
          <w:kern w:val="0"/>
          <w:sz w:val="24"/>
        </w:rPr>
        <w:t xml:space="preserve">. Japanese gastric cancer treatment guidelines 2014 (ver. 4). </w:t>
      </w:r>
      <w:r>
        <w:rPr>
          <w:rFonts w:ascii="Book Antiqua" w:hAnsi="Book Antiqua"/>
          <w:i/>
          <w:iCs/>
          <w:kern w:val="0"/>
          <w:sz w:val="24"/>
        </w:rPr>
        <w:t>Gastric Cancer</w:t>
      </w:r>
      <w:r>
        <w:rPr>
          <w:rFonts w:ascii="Book Antiqua" w:hAnsi="Book Antiqua"/>
          <w:kern w:val="0"/>
          <w:sz w:val="24"/>
        </w:rPr>
        <w:t xml:space="preserve"> 2017; </w:t>
      </w:r>
      <w:r>
        <w:rPr>
          <w:rFonts w:ascii="Book Antiqua" w:hAnsi="Book Antiqua"/>
          <w:b/>
          <w:bCs/>
          <w:kern w:val="0"/>
          <w:sz w:val="24"/>
        </w:rPr>
        <w:t>20</w:t>
      </w:r>
      <w:r>
        <w:rPr>
          <w:rFonts w:ascii="Book Antiqua" w:hAnsi="Book Antiqua"/>
          <w:kern w:val="0"/>
          <w:sz w:val="24"/>
        </w:rPr>
        <w:t>: 1-19 [PMID: 27342689 DOI: 10.1007/s10120-016-0622-4]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20 </w:t>
      </w:r>
      <w:r>
        <w:rPr>
          <w:rFonts w:ascii="Book Antiqua" w:hAnsi="Book Antiqua" w:hint="eastAsia"/>
          <w:b/>
          <w:bCs/>
          <w:kern w:val="0"/>
          <w:sz w:val="24"/>
        </w:rPr>
        <w:t>Ajani JA</w:t>
      </w:r>
      <w:r>
        <w:rPr>
          <w:rFonts w:ascii="Book Antiqua" w:hAnsi="Book Antiqua" w:hint="eastAsia"/>
          <w:kern w:val="0"/>
          <w:sz w:val="24"/>
        </w:rPr>
        <w:t xml:space="preserve">, In H, Sano T, Gaspar LE, Erasmus JJ, Tang LH, Washington MK, </w:t>
      </w:r>
      <w:proofErr w:type="spellStart"/>
      <w:r>
        <w:rPr>
          <w:rFonts w:ascii="Book Antiqua" w:hAnsi="Book Antiqua" w:hint="eastAsia"/>
          <w:kern w:val="0"/>
          <w:sz w:val="24"/>
        </w:rPr>
        <w:t>Gerdes</w:t>
      </w:r>
      <w:proofErr w:type="spellEnd"/>
      <w:r>
        <w:rPr>
          <w:rFonts w:ascii="Book Antiqua" w:hAnsi="Book Antiqua" w:hint="eastAsia"/>
          <w:kern w:val="0"/>
          <w:sz w:val="24"/>
        </w:rPr>
        <w:t xml:space="preserve"> H, </w:t>
      </w:r>
      <w:proofErr w:type="spellStart"/>
      <w:r>
        <w:rPr>
          <w:rFonts w:ascii="Book Antiqua" w:hAnsi="Book Antiqua" w:hint="eastAsia"/>
          <w:kern w:val="0"/>
          <w:sz w:val="24"/>
        </w:rPr>
        <w:t>Wittekind</w:t>
      </w:r>
      <w:proofErr w:type="spellEnd"/>
      <w:r>
        <w:rPr>
          <w:rFonts w:ascii="Book Antiqua" w:hAnsi="Book Antiqua" w:hint="eastAsia"/>
          <w:kern w:val="0"/>
          <w:sz w:val="24"/>
        </w:rPr>
        <w:t xml:space="preserve"> CW, Mansfield PF, </w:t>
      </w:r>
      <w:proofErr w:type="spellStart"/>
      <w:r>
        <w:rPr>
          <w:rFonts w:ascii="Book Antiqua" w:hAnsi="Book Antiqua" w:hint="eastAsia"/>
          <w:kern w:val="0"/>
          <w:sz w:val="24"/>
        </w:rPr>
        <w:t>Rimmer</w:t>
      </w:r>
      <w:proofErr w:type="spellEnd"/>
      <w:r>
        <w:rPr>
          <w:rFonts w:ascii="Book Antiqua" w:hAnsi="Book Antiqua" w:hint="eastAsia"/>
          <w:kern w:val="0"/>
          <w:sz w:val="24"/>
        </w:rPr>
        <w:t xml:space="preserve"> C, </w:t>
      </w:r>
      <w:proofErr w:type="spellStart"/>
      <w:r>
        <w:rPr>
          <w:rFonts w:ascii="Book Antiqua" w:hAnsi="Book Antiqua" w:hint="eastAsia"/>
          <w:kern w:val="0"/>
          <w:sz w:val="24"/>
        </w:rPr>
        <w:t>Hofstetter</w:t>
      </w:r>
      <w:proofErr w:type="spellEnd"/>
      <w:r>
        <w:rPr>
          <w:rFonts w:ascii="Book Antiqua" w:hAnsi="Book Antiqua" w:hint="eastAsia"/>
          <w:kern w:val="0"/>
          <w:sz w:val="24"/>
        </w:rPr>
        <w:t xml:space="preserve"> WL, </w:t>
      </w:r>
      <w:proofErr w:type="spellStart"/>
      <w:r>
        <w:rPr>
          <w:rFonts w:ascii="Book Antiqua" w:hAnsi="Book Antiqua" w:hint="eastAsia"/>
          <w:kern w:val="0"/>
          <w:sz w:val="24"/>
        </w:rPr>
        <w:t>Kelsen</w:t>
      </w:r>
      <w:proofErr w:type="spellEnd"/>
      <w:r>
        <w:rPr>
          <w:rFonts w:ascii="Book Antiqua" w:hAnsi="Book Antiqua" w:hint="eastAsia"/>
          <w:kern w:val="0"/>
          <w:sz w:val="24"/>
        </w:rPr>
        <w:t xml:space="preserve"> D. Stomach</w:t>
      </w:r>
      <w:r>
        <w:rPr>
          <w:rFonts w:ascii="Book Antiqua" w:hAnsi="Book Antiqua" w:cs="Arial"/>
          <w:bCs/>
          <w:sz w:val="24"/>
        </w:rPr>
        <w:t xml:space="preserve">. In: </w:t>
      </w:r>
      <w:r>
        <w:rPr>
          <w:rFonts w:ascii="Book Antiqua" w:hAnsi="Book Antiqua"/>
          <w:kern w:val="0"/>
          <w:sz w:val="24"/>
        </w:rPr>
        <w:t xml:space="preserve">Amin MB, Edge SB, Greene FL, </w:t>
      </w:r>
      <w:proofErr w:type="spellStart"/>
      <w:r>
        <w:rPr>
          <w:rFonts w:ascii="Book Antiqua" w:hAnsi="Book Antiqua"/>
          <w:kern w:val="0"/>
          <w:sz w:val="24"/>
        </w:rPr>
        <w:t>Brierley</w:t>
      </w:r>
      <w:proofErr w:type="spellEnd"/>
      <w:r>
        <w:rPr>
          <w:rFonts w:ascii="Book Antiqua" w:hAnsi="Book Antiqua"/>
          <w:kern w:val="0"/>
          <w:sz w:val="24"/>
        </w:rPr>
        <w:t xml:space="preserve"> JD. AJCC cancer staging manual. 8th ed. New York: Springer</w:t>
      </w:r>
      <w:r>
        <w:rPr>
          <w:rFonts w:ascii="Book Antiqua" w:hAnsi="Book Antiqua" w:hint="eastAsia"/>
          <w:kern w:val="0"/>
          <w:sz w:val="24"/>
        </w:rPr>
        <w:t xml:space="preserve">, </w:t>
      </w:r>
      <w:r>
        <w:rPr>
          <w:rFonts w:ascii="Book Antiqua" w:hAnsi="Book Antiqua"/>
          <w:kern w:val="0"/>
          <w:sz w:val="24"/>
        </w:rPr>
        <w:t>2017: 203-350</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21 </w:t>
      </w:r>
      <w:r>
        <w:rPr>
          <w:rFonts w:ascii="Book Antiqua" w:hAnsi="Book Antiqua"/>
          <w:b/>
          <w:bCs/>
          <w:kern w:val="0"/>
          <w:sz w:val="24"/>
        </w:rPr>
        <w:t>Liu X</w:t>
      </w:r>
      <w:r>
        <w:rPr>
          <w:rFonts w:ascii="Book Antiqua" w:hAnsi="Book Antiqua"/>
          <w:kern w:val="0"/>
          <w:sz w:val="24"/>
        </w:rPr>
        <w:t xml:space="preserve">, </w:t>
      </w:r>
      <w:proofErr w:type="spellStart"/>
      <w:r>
        <w:rPr>
          <w:rFonts w:ascii="Book Antiqua" w:hAnsi="Book Antiqua"/>
          <w:kern w:val="0"/>
          <w:sz w:val="24"/>
        </w:rPr>
        <w:t>Qiu</w:t>
      </w:r>
      <w:proofErr w:type="spellEnd"/>
      <w:r>
        <w:rPr>
          <w:rFonts w:ascii="Book Antiqua" w:hAnsi="Book Antiqua"/>
          <w:kern w:val="0"/>
          <w:sz w:val="24"/>
        </w:rPr>
        <w:t xml:space="preserve"> H, Huang Y, </w:t>
      </w:r>
      <w:proofErr w:type="spellStart"/>
      <w:r>
        <w:rPr>
          <w:rFonts w:ascii="Book Antiqua" w:hAnsi="Book Antiqua"/>
          <w:kern w:val="0"/>
          <w:sz w:val="24"/>
        </w:rPr>
        <w:t>Xu</w:t>
      </w:r>
      <w:proofErr w:type="spellEnd"/>
      <w:r>
        <w:rPr>
          <w:rFonts w:ascii="Book Antiqua" w:hAnsi="Book Antiqua"/>
          <w:kern w:val="0"/>
          <w:sz w:val="24"/>
        </w:rPr>
        <w:t xml:space="preserve"> D, Li W, Li Y, Chen Y, Zhou Z, Sun X. Impact of preoperative anemia on outcomes in patients undergoing curative resection for gastric cancer: a single-institution retrospective analysis of 2163 Chinese patients. </w:t>
      </w:r>
      <w:r>
        <w:rPr>
          <w:rFonts w:ascii="Book Antiqua" w:hAnsi="Book Antiqua"/>
          <w:i/>
          <w:iCs/>
          <w:kern w:val="0"/>
          <w:sz w:val="24"/>
        </w:rPr>
        <w:t>Cancer Med</w:t>
      </w:r>
      <w:r>
        <w:rPr>
          <w:rFonts w:ascii="Book Antiqua" w:hAnsi="Book Antiqua"/>
          <w:kern w:val="0"/>
          <w:sz w:val="24"/>
        </w:rPr>
        <w:t xml:space="preserve"> 2018; </w:t>
      </w:r>
      <w:r>
        <w:rPr>
          <w:rFonts w:ascii="Book Antiqua" w:hAnsi="Book Antiqua"/>
          <w:b/>
          <w:bCs/>
          <w:kern w:val="0"/>
          <w:sz w:val="24"/>
        </w:rPr>
        <w:t>7</w:t>
      </w:r>
      <w:r>
        <w:rPr>
          <w:rFonts w:ascii="Book Antiqua" w:hAnsi="Book Antiqua"/>
          <w:kern w:val="0"/>
          <w:sz w:val="24"/>
        </w:rPr>
        <w:t>: 360-369 [PMID: 29341506 DOI: 10.1002/cam4.1309]</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22 </w:t>
      </w:r>
      <w:r>
        <w:rPr>
          <w:rFonts w:ascii="Book Antiqua" w:hAnsi="Book Antiqua"/>
          <w:b/>
          <w:bCs/>
          <w:kern w:val="0"/>
          <w:sz w:val="24"/>
        </w:rPr>
        <w:t>Yu W</w:t>
      </w:r>
      <w:r>
        <w:rPr>
          <w:rFonts w:ascii="Book Antiqua" w:hAnsi="Book Antiqua"/>
          <w:kern w:val="0"/>
          <w:sz w:val="24"/>
        </w:rPr>
        <w:t xml:space="preserve">, Wang Y, </w:t>
      </w:r>
      <w:proofErr w:type="spellStart"/>
      <w:r>
        <w:rPr>
          <w:rFonts w:ascii="Book Antiqua" w:hAnsi="Book Antiqua"/>
          <w:kern w:val="0"/>
          <w:sz w:val="24"/>
        </w:rPr>
        <w:t>Shen</w:t>
      </w:r>
      <w:proofErr w:type="spellEnd"/>
      <w:r>
        <w:rPr>
          <w:rFonts w:ascii="Book Antiqua" w:hAnsi="Book Antiqua"/>
          <w:kern w:val="0"/>
          <w:sz w:val="24"/>
        </w:rPr>
        <w:t xml:space="preserve"> B. An elevated preoperative plasma fibrinogen level is associated with poor overall survival in Chinese gastric cancer patients. </w:t>
      </w:r>
      <w:r>
        <w:rPr>
          <w:rFonts w:ascii="Book Antiqua" w:hAnsi="Book Antiqua"/>
          <w:i/>
          <w:iCs/>
          <w:kern w:val="0"/>
          <w:sz w:val="24"/>
        </w:rPr>
        <w:lastRenderedPageBreak/>
        <w:t xml:space="preserve">Cancer </w:t>
      </w:r>
      <w:proofErr w:type="spellStart"/>
      <w:r>
        <w:rPr>
          <w:rFonts w:ascii="Book Antiqua" w:hAnsi="Book Antiqua"/>
          <w:i/>
          <w:iCs/>
          <w:kern w:val="0"/>
          <w:sz w:val="24"/>
        </w:rPr>
        <w:t>Epidemiol</w:t>
      </w:r>
      <w:proofErr w:type="spellEnd"/>
      <w:r>
        <w:rPr>
          <w:rFonts w:ascii="Book Antiqua" w:hAnsi="Book Antiqua"/>
          <w:kern w:val="0"/>
          <w:sz w:val="24"/>
        </w:rPr>
        <w:t xml:space="preserve"> 2016; </w:t>
      </w:r>
      <w:r>
        <w:rPr>
          <w:rFonts w:ascii="Book Antiqua" w:hAnsi="Book Antiqua"/>
          <w:b/>
          <w:bCs/>
          <w:kern w:val="0"/>
          <w:sz w:val="24"/>
        </w:rPr>
        <w:t>42</w:t>
      </w:r>
      <w:r>
        <w:rPr>
          <w:rFonts w:ascii="Book Antiqua" w:hAnsi="Book Antiqua"/>
          <w:kern w:val="0"/>
          <w:sz w:val="24"/>
        </w:rPr>
        <w:t>: 39-45 [PMID: 27010728 DOI: 10.1016/j.canep.2016.03.004]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23 </w:t>
      </w:r>
      <w:r>
        <w:rPr>
          <w:rFonts w:ascii="Book Antiqua" w:hAnsi="Book Antiqua"/>
          <w:b/>
          <w:bCs/>
          <w:kern w:val="0"/>
          <w:sz w:val="24"/>
        </w:rPr>
        <w:t>Camp RL</w:t>
      </w:r>
      <w:r>
        <w:rPr>
          <w:rFonts w:ascii="Book Antiqua" w:hAnsi="Book Antiqua"/>
          <w:kern w:val="0"/>
          <w:sz w:val="24"/>
        </w:rPr>
        <w:t>, Dolled-</w:t>
      </w:r>
      <w:proofErr w:type="spellStart"/>
      <w:r>
        <w:rPr>
          <w:rFonts w:ascii="Book Antiqua" w:hAnsi="Book Antiqua"/>
          <w:kern w:val="0"/>
          <w:sz w:val="24"/>
        </w:rPr>
        <w:t>Filhart</w:t>
      </w:r>
      <w:proofErr w:type="spellEnd"/>
      <w:r>
        <w:rPr>
          <w:rFonts w:ascii="Book Antiqua" w:hAnsi="Book Antiqua"/>
          <w:kern w:val="0"/>
          <w:sz w:val="24"/>
        </w:rPr>
        <w:t xml:space="preserve"> M, </w:t>
      </w:r>
      <w:proofErr w:type="spellStart"/>
      <w:r>
        <w:rPr>
          <w:rFonts w:ascii="Book Antiqua" w:hAnsi="Book Antiqua"/>
          <w:kern w:val="0"/>
          <w:sz w:val="24"/>
        </w:rPr>
        <w:t>Rimm</w:t>
      </w:r>
      <w:proofErr w:type="spellEnd"/>
      <w:r>
        <w:rPr>
          <w:rFonts w:ascii="Book Antiqua" w:hAnsi="Book Antiqua"/>
          <w:kern w:val="0"/>
          <w:sz w:val="24"/>
        </w:rPr>
        <w:t xml:space="preserve"> DL. X-tile: a new bio-informatics tool for biomarker assessment and outcome-based cut-point optimization. </w:t>
      </w:r>
      <w:proofErr w:type="spellStart"/>
      <w:r>
        <w:rPr>
          <w:rFonts w:ascii="Book Antiqua" w:hAnsi="Book Antiqua"/>
          <w:i/>
          <w:iCs/>
          <w:kern w:val="0"/>
          <w:sz w:val="24"/>
        </w:rPr>
        <w:t>Clin</w:t>
      </w:r>
      <w:proofErr w:type="spellEnd"/>
      <w:r>
        <w:rPr>
          <w:rFonts w:ascii="Book Antiqua" w:hAnsi="Book Antiqua"/>
          <w:i/>
          <w:iCs/>
          <w:kern w:val="0"/>
          <w:sz w:val="24"/>
        </w:rPr>
        <w:t xml:space="preserve"> Cancer Res</w:t>
      </w:r>
      <w:r>
        <w:rPr>
          <w:rFonts w:ascii="Book Antiqua" w:hAnsi="Book Antiqua"/>
          <w:kern w:val="0"/>
          <w:sz w:val="24"/>
        </w:rPr>
        <w:t xml:space="preserve"> 2004; </w:t>
      </w:r>
      <w:r>
        <w:rPr>
          <w:rFonts w:ascii="Book Antiqua" w:hAnsi="Book Antiqua"/>
          <w:b/>
          <w:bCs/>
          <w:kern w:val="0"/>
          <w:sz w:val="24"/>
        </w:rPr>
        <w:t>10</w:t>
      </w:r>
      <w:r>
        <w:rPr>
          <w:rFonts w:ascii="Book Antiqua" w:hAnsi="Book Antiqua"/>
          <w:kern w:val="0"/>
          <w:sz w:val="24"/>
        </w:rPr>
        <w:t>: 7252-7259 [PMID: 15534099 DOI: 10.1158/1078-0432.CCR-04-0713]</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24 </w:t>
      </w:r>
      <w:proofErr w:type="spellStart"/>
      <w:r>
        <w:rPr>
          <w:rFonts w:ascii="Book Antiqua" w:hAnsi="Book Antiqua"/>
          <w:b/>
          <w:bCs/>
          <w:kern w:val="0"/>
          <w:sz w:val="24"/>
        </w:rPr>
        <w:t>Durrleman</w:t>
      </w:r>
      <w:proofErr w:type="spellEnd"/>
      <w:r>
        <w:rPr>
          <w:rFonts w:ascii="Book Antiqua" w:hAnsi="Book Antiqua"/>
          <w:b/>
          <w:bCs/>
          <w:kern w:val="0"/>
          <w:sz w:val="24"/>
        </w:rPr>
        <w:t xml:space="preserve"> S</w:t>
      </w:r>
      <w:r>
        <w:rPr>
          <w:rFonts w:ascii="Book Antiqua" w:hAnsi="Book Antiqua"/>
          <w:kern w:val="0"/>
          <w:sz w:val="24"/>
        </w:rPr>
        <w:t xml:space="preserve">, Simon R. Flexible regression models with cubic splines. </w:t>
      </w:r>
      <w:r>
        <w:rPr>
          <w:rFonts w:ascii="Book Antiqua" w:hAnsi="Book Antiqua"/>
          <w:i/>
          <w:iCs/>
          <w:kern w:val="0"/>
          <w:sz w:val="24"/>
        </w:rPr>
        <w:t>Stat Med</w:t>
      </w:r>
      <w:r>
        <w:rPr>
          <w:rFonts w:ascii="Book Antiqua" w:hAnsi="Book Antiqua"/>
          <w:kern w:val="0"/>
          <w:sz w:val="24"/>
        </w:rPr>
        <w:t xml:space="preserve"> 1989; </w:t>
      </w:r>
      <w:r>
        <w:rPr>
          <w:rFonts w:ascii="Book Antiqua" w:hAnsi="Book Antiqua"/>
          <w:b/>
          <w:bCs/>
          <w:kern w:val="0"/>
          <w:sz w:val="24"/>
        </w:rPr>
        <w:t>8</w:t>
      </w:r>
      <w:r>
        <w:rPr>
          <w:rFonts w:ascii="Book Antiqua" w:hAnsi="Book Antiqua"/>
          <w:kern w:val="0"/>
          <w:sz w:val="24"/>
        </w:rPr>
        <w:t>: 551-561 [PMID: 2657958 DOI: 10.1002/sim.4780080504]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25 </w:t>
      </w:r>
      <w:proofErr w:type="spellStart"/>
      <w:r>
        <w:rPr>
          <w:rFonts w:ascii="Book Antiqua" w:hAnsi="Book Antiqua"/>
          <w:b/>
          <w:bCs/>
          <w:kern w:val="0"/>
          <w:sz w:val="24"/>
        </w:rPr>
        <w:t>Akaike</w:t>
      </w:r>
      <w:proofErr w:type="spellEnd"/>
      <w:r>
        <w:rPr>
          <w:rFonts w:ascii="Book Antiqua" w:hAnsi="Book Antiqua"/>
          <w:b/>
          <w:bCs/>
          <w:kern w:val="0"/>
          <w:sz w:val="24"/>
        </w:rPr>
        <w:t xml:space="preserve"> H</w:t>
      </w:r>
      <w:r>
        <w:rPr>
          <w:rFonts w:ascii="Book Antiqua" w:hAnsi="Book Antiqua"/>
          <w:kern w:val="0"/>
          <w:sz w:val="24"/>
        </w:rPr>
        <w:t xml:space="preserve">. A new look at the statistical model identification. IEEE Trans </w:t>
      </w:r>
      <w:proofErr w:type="spellStart"/>
      <w:r>
        <w:rPr>
          <w:rFonts w:ascii="Book Antiqua" w:hAnsi="Book Antiqua"/>
          <w:kern w:val="0"/>
          <w:sz w:val="24"/>
        </w:rPr>
        <w:t>Autom</w:t>
      </w:r>
      <w:proofErr w:type="spellEnd"/>
      <w:r>
        <w:rPr>
          <w:rFonts w:ascii="Book Antiqua" w:hAnsi="Book Antiqua"/>
          <w:kern w:val="0"/>
          <w:sz w:val="24"/>
        </w:rPr>
        <w:t xml:space="preserve"> </w:t>
      </w:r>
      <w:proofErr w:type="spellStart"/>
      <w:r>
        <w:rPr>
          <w:rFonts w:ascii="Book Antiqua" w:hAnsi="Book Antiqua"/>
          <w:kern w:val="0"/>
          <w:sz w:val="24"/>
        </w:rPr>
        <w:t>Contr</w:t>
      </w:r>
      <w:proofErr w:type="spellEnd"/>
      <w:r>
        <w:rPr>
          <w:rFonts w:ascii="Book Antiqua" w:hAnsi="Book Antiqua"/>
          <w:kern w:val="0"/>
          <w:sz w:val="24"/>
        </w:rPr>
        <w:t xml:space="preserve"> 1974; </w:t>
      </w:r>
      <w:r>
        <w:rPr>
          <w:rFonts w:ascii="Book Antiqua" w:hAnsi="Book Antiqua"/>
          <w:i/>
          <w:iCs/>
          <w:kern w:val="0"/>
          <w:sz w:val="24"/>
        </w:rPr>
        <w:t>CA</w:t>
      </w:r>
      <w:r>
        <w:rPr>
          <w:rFonts w:ascii="Book Antiqua" w:hAnsi="Book Antiqua"/>
          <w:kern w:val="0"/>
          <w:sz w:val="24"/>
        </w:rPr>
        <w:t xml:space="preserve"> </w:t>
      </w:r>
      <w:r>
        <w:rPr>
          <w:rFonts w:ascii="Book Antiqua" w:hAnsi="Book Antiqua"/>
          <w:b/>
          <w:bCs/>
          <w:kern w:val="0"/>
          <w:sz w:val="24"/>
        </w:rPr>
        <w:t>19</w:t>
      </w:r>
      <w:r>
        <w:rPr>
          <w:rFonts w:ascii="Book Antiqua" w:hAnsi="Book Antiqua"/>
          <w:kern w:val="0"/>
          <w:sz w:val="24"/>
        </w:rPr>
        <w:t>: 716–723 [DOI: 10.1109/TAC.1974.1100705]</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26 </w:t>
      </w:r>
      <w:r>
        <w:rPr>
          <w:rFonts w:ascii="Book Antiqua" w:hAnsi="Book Antiqua"/>
          <w:b/>
          <w:bCs/>
          <w:kern w:val="0"/>
          <w:sz w:val="24"/>
        </w:rPr>
        <w:t>Jiang Y</w:t>
      </w:r>
      <w:r>
        <w:rPr>
          <w:rFonts w:ascii="Book Antiqua" w:hAnsi="Book Antiqua"/>
          <w:kern w:val="0"/>
          <w:sz w:val="24"/>
        </w:rPr>
        <w:t xml:space="preserve">, Zhang Q, Hu Y, Li T, Yu J, Zhao L, Ye G, Deng H, </w:t>
      </w:r>
      <w:proofErr w:type="spellStart"/>
      <w:r>
        <w:rPr>
          <w:rFonts w:ascii="Book Antiqua" w:hAnsi="Book Antiqua"/>
          <w:kern w:val="0"/>
          <w:sz w:val="24"/>
        </w:rPr>
        <w:t>Mou</w:t>
      </w:r>
      <w:proofErr w:type="spellEnd"/>
      <w:r>
        <w:rPr>
          <w:rFonts w:ascii="Book Antiqua" w:hAnsi="Book Antiqua"/>
          <w:kern w:val="0"/>
          <w:sz w:val="24"/>
        </w:rPr>
        <w:t xml:space="preserve"> T, </w:t>
      </w:r>
      <w:proofErr w:type="spellStart"/>
      <w:r>
        <w:rPr>
          <w:rFonts w:ascii="Book Antiqua" w:hAnsi="Book Antiqua"/>
          <w:kern w:val="0"/>
          <w:sz w:val="24"/>
        </w:rPr>
        <w:t>Cai</w:t>
      </w:r>
      <w:proofErr w:type="spellEnd"/>
      <w:r>
        <w:rPr>
          <w:rFonts w:ascii="Book Antiqua" w:hAnsi="Book Antiqua"/>
          <w:kern w:val="0"/>
          <w:sz w:val="24"/>
        </w:rPr>
        <w:t xml:space="preserve"> S, Zhou Z, Liu H, Chen G, Li G, Qi X. </w:t>
      </w:r>
      <w:proofErr w:type="spellStart"/>
      <w:r>
        <w:rPr>
          <w:rFonts w:ascii="Book Antiqua" w:hAnsi="Book Antiqua"/>
          <w:kern w:val="0"/>
          <w:sz w:val="24"/>
        </w:rPr>
        <w:t>ImmunoScore</w:t>
      </w:r>
      <w:proofErr w:type="spellEnd"/>
      <w:r>
        <w:rPr>
          <w:rFonts w:ascii="Book Antiqua" w:hAnsi="Book Antiqua"/>
          <w:kern w:val="0"/>
          <w:sz w:val="24"/>
        </w:rPr>
        <w:t xml:space="preserve"> Signature: A Prognostic and Predictive Tool in Gastric Cancer. </w:t>
      </w:r>
      <w:r>
        <w:rPr>
          <w:rFonts w:ascii="Book Antiqua" w:hAnsi="Book Antiqua"/>
          <w:i/>
          <w:iCs/>
          <w:kern w:val="0"/>
          <w:sz w:val="24"/>
        </w:rPr>
        <w:t xml:space="preserve">Ann </w:t>
      </w:r>
      <w:proofErr w:type="spellStart"/>
      <w:r>
        <w:rPr>
          <w:rFonts w:ascii="Book Antiqua" w:hAnsi="Book Antiqua"/>
          <w:i/>
          <w:iCs/>
          <w:kern w:val="0"/>
          <w:sz w:val="24"/>
        </w:rPr>
        <w:t>Surg</w:t>
      </w:r>
      <w:proofErr w:type="spellEnd"/>
      <w:r>
        <w:rPr>
          <w:rFonts w:ascii="Book Antiqua" w:hAnsi="Book Antiqua"/>
          <w:kern w:val="0"/>
          <w:sz w:val="24"/>
        </w:rPr>
        <w:t xml:space="preserve"> 2018; </w:t>
      </w:r>
      <w:r>
        <w:rPr>
          <w:rFonts w:ascii="Book Antiqua" w:hAnsi="Book Antiqua"/>
          <w:b/>
          <w:bCs/>
          <w:kern w:val="0"/>
          <w:sz w:val="24"/>
        </w:rPr>
        <w:t>267</w:t>
      </w:r>
      <w:r>
        <w:rPr>
          <w:rFonts w:ascii="Book Antiqua" w:hAnsi="Book Antiqua"/>
          <w:kern w:val="0"/>
          <w:sz w:val="24"/>
        </w:rPr>
        <w:t>: 504-513 [PMID: 28002059 DOI: 10.1097/SLA.0000000000002116]</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27 </w:t>
      </w:r>
      <w:r>
        <w:rPr>
          <w:rFonts w:ascii="Book Antiqua" w:hAnsi="Book Antiqua"/>
          <w:b/>
          <w:bCs/>
          <w:kern w:val="0"/>
          <w:sz w:val="24"/>
        </w:rPr>
        <w:t xml:space="preserve">de </w:t>
      </w:r>
      <w:proofErr w:type="spellStart"/>
      <w:r>
        <w:rPr>
          <w:rFonts w:ascii="Book Antiqua" w:hAnsi="Book Antiqua"/>
          <w:b/>
          <w:bCs/>
          <w:kern w:val="0"/>
          <w:sz w:val="24"/>
        </w:rPr>
        <w:t>Vries</w:t>
      </w:r>
      <w:proofErr w:type="spellEnd"/>
      <w:r>
        <w:rPr>
          <w:rFonts w:ascii="Book Antiqua" w:hAnsi="Book Antiqua"/>
          <w:b/>
          <w:bCs/>
          <w:kern w:val="0"/>
          <w:sz w:val="24"/>
        </w:rPr>
        <w:t xml:space="preserve"> EM</w:t>
      </w:r>
      <w:r>
        <w:rPr>
          <w:rFonts w:ascii="Book Antiqua" w:hAnsi="Book Antiqua"/>
          <w:kern w:val="0"/>
          <w:sz w:val="24"/>
        </w:rPr>
        <w:t xml:space="preserve">, Wang J, Williamson KD, </w:t>
      </w:r>
      <w:proofErr w:type="spellStart"/>
      <w:r>
        <w:rPr>
          <w:rFonts w:ascii="Book Antiqua" w:hAnsi="Book Antiqua"/>
          <w:kern w:val="0"/>
          <w:sz w:val="24"/>
        </w:rPr>
        <w:t>Leeflang</w:t>
      </w:r>
      <w:proofErr w:type="spellEnd"/>
      <w:r>
        <w:rPr>
          <w:rFonts w:ascii="Book Antiqua" w:hAnsi="Book Antiqua"/>
          <w:kern w:val="0"/>
          <w:sz w:val="24"/>
        </w:rPr>
        <w:t xml:space="preserve"> MM, </w:t>
      </w:r>
      <w:proofErr w:type="spellStart"/>
      <w:r>
        <w:rPr>
          <w:rFonts w:ascii="Book Antiqua" w:hAnsi="Book Antiqua"/>
          <w:kern w:val="0"/>
          <w:sz w:val="24"/>
        </w:rPr>
        <w:t>Boonstra</w:t>
      </w:r>
      <w:proofErr w:type="spellEnd"/>
      <w:r>
        <w:rPr>
          <w:rFonts w:ascii="Book Antiqua" w:hAnsi="Book Antiqua"/>
          <w:kern w:val="0"/>
          <w:sz w:val="24"/>
        </w:rPr>
        <w:t xml:space="preserve"> K, </w:t>
      </w:r>
      <w:proofErr w:type="spellStart"/>
      <w:r>
        <w:rPr>
          <w:rFonts w:ascii="Book Antiqua" w:hAnsi="Book Antiqua"/>
          <w:kern w:val="0"/>
          <w:sz w:val="24"/>
        </w:rPr>
        <w:t>Weersma</w:t>
      </w:r>
      <w:proofErr w:type="spellEnd"/>
      <w:r>
        <w:rPr>
          <w:rFonts w:ascii="Book Antiqua" w:hAnsi="Book Antiqua"/>
          <w:kern w:val="0"/>
          <w:sz w:val="24"/>
        </w:rPr>
        <w:t xml:space="preserve"> RK, </w:t>
      </w:r>
      <w:proofErr w:type="spellStart"/>
      <w:r>
        <w:rPr>
          <w:rFonts w:ascii="Book Antiqua" w:hAnsi="Book Antiqua"/>
          <w:kern w:val="0"/>
          <w:sz w:val="24"/>
        </w:rPr>
        <w:t>Beuers</w:t>
      </w:r>
      <w:proofErr w:type="spellEnd"/>
      <w:r>
        <w:rPr>
          <w:rFonts w:ascii="Book Antiqua" w:hAnsi="Book Antiqua"/>
          <w:kern w:val="0"/>
          <w:sz w:val="24"/>
        </w:rPr>
        <w:t xml:space="preserve"> U, Chapman RW, </w:t>
      </w:r>
      <w:proofErr w:type="spellStart"/>
      <w:r>
        <w:rPr>
          <w:rFonts w:ascii="Book Antiqua" w:hAnsi="Book Antiqua"/>
          <w:kern w:val="0"/>
          <w:sz w:val="24"/>
        </w:rPr>
        <w:t>Geskus</w:t>
      </w:r>
      <w:proofErr w:type="spellEnd"/>
      <w:r>
        <w:rPr>
          <w:rFonts w:ascii="Book Antiqua" w:hAnsi="Book Antiqua"/>
          <w:kern w:val="0"/>
          <w:sz w:val="24"/>
        </w:rPr>
        <w:t xml:space="preserve"> RB, </w:t>
      </w:r>
      <w:proofErr w:type="spellStart"/>
      <w:r>
        <w:rPr>
          <w:rFonts w:ascii="Book Antiqua" w:hAnsi="Book Antiqua"/>
          <w:kern w:val="0"/>
          <w:sz w:val="24"/>
        </w:rPr>
        <w:t>Ponsioen</w:t>
      </w:r>
      <w:proofErr w:type="spellEnd"/>
      <w:r>
        <w:rPr>
          <w:rFonts w:ascii="Book Antiqua" w:hAnsi="Book Antiqua"/>
          <w:kern w:val="0"/>
          <w:sz w:val="24"/>
        </w:rPr>
        <w:t xml:space="preserve"> CY. A novel prognostic model for transplant-free survival in primary </w:t>
      </w:r>
      <w:proofErr w:type="spellStart"/>
      <w:r>
        <w:rPr>
          <w:rFonts w:ascii="Book Antiqua" w:hAnsi="Book Antiqua"/>
          <w:kern w:val="0"/>
          <w:sz w:val="24"/>
        </w:rPr>
        <w:t>sclerosing</w:t>
      </w:r>
      <w:proofErr w:type="spellEnd"/>
      <w:r>
        <w:rPr>
          <w:rFonts w:ascii="Book Antiqua" w:hAnsi="Book Antiqua"/>
          <w:kern w:val="0"/>
          <w:sz w:val="24"/>
        </w:rPr>
        <w:t xml:space="preserve"> cholangitis. </w:t>
      </w:r>
      <w:r>
        <w:rPr>
          <w:rFonts w:ascii="Book Antiqua" w:hAnsi="Book Antiqua"/>
          <w:i/>
          <w:iCs/>
          <w:kern w:val="0"/>
          <w:sz w:val="24"/>
        </w:rPr>
        <w:t>Gut</w:t>
      </w:r>
      <w:r>
        <w:rPr>
          <w:rFonts w:ascii="Book Antiqua" w:hAnsi="Book Antiqua"/>
          <w:kern w:val="0"/>
          <w:sz w:val="24"/>
        </w:rPr>
        <w:t xml:space="preserve"> 2018; </w:t>
      </w:r>
      <w:r>
        <w:rPr>
          <w:rFonts w:ascii="Book Antiqua" w:hAnsi="Book Antiqua"/>
          <w:b/>
          <w:bCs/>
          <w:kern w:val="0"/>
          <w:sz w:val="24"/>
        </w:rPr>
        <w:t>67</w:t>
      </w:r>
      <w:r>
        <w:rPr>
          <w:rFonts w:ascii="Book Antiqua" w:hAnsi="Book Antiqua"/>
          <w:kern w:val="0"/>
          <w:sz w:val="24"/>
        </w:rPr>
        <w:t>: 1864-1869 [PMID: 28739581 DOI: 10.1136/gutjnl-2016-313681]</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28 </w:t>
      </w:r>
      <w:proofErr w:type="spellStart"/>
      <w:r>
        <w:rPr>
          <w:rFonts w:ascii="Book Antiqua" w:hAnsi="Book Antiqua"/>
          <w:b/>
          <w:bCs/>
          <w:kern w:val="0"/>
          <w:sz w:val="24"/>
        </w:rPr>
        <w:t>Heagerty</w:t>
      </w:r>
      <w:proofErr w:type="spellEnd"/>
      <w:r>
        <w:rPr>
          <w:rFonts w:ascii="Book Antiqua" w:hAnsi="Book Antiqua"/>
          <w:b/>
          <w:bCs/>
          <w:kern w:val="0"/>
          <w:sz w:val="24"/>
        </w:rPr>
        <w:t xml:space="preserve"> PJ</w:t>
      </w:r>
      <w:r>
        <w:rPr>
          <w:rFonts w:ascii="Book Antiqua" w:hAnsi="Book Antiqua"/>
          <w:kern w:val="0"/>
          <w:sz w:val="24"/>
        </w:rPr>
        <w:t xml:space="preserve">, Lumley T, </w:t>
      </w:r>
      <w:proofErr w:type="spellStart"/>
      <w:r>
        <w:rPr>
          <w:rFonts w:ascii="Book Antiqua" w:hAnsi="Book Antiqua"/>
          <w:kern w:val="0"/>
          <w:sz w:val="24"/>
        </w:rPr>
        <w:t>Pepe</w:t>
      </w:r>
      <w:proofErr w:type="spellEnd"/>
      <w:r>
        <w:rPr>
          <w:rFonts w:ascii="Book Antiqua" w:hAnsi="Book Antiqua"/>
          <w:kern w:val="0"/>
          <w:sz w:val="24"/>
        </w:rPr>
        <w:t xml:space="preserve"> MS. Time-dependent ROC curves for censored survival data and a diagnostic marker. </w:t>
      </w:r>
      <w:r>
        <w:rPr>
          <w:rFonts w:ascii="Book Antiqua" w:hAnsi="Book Antiqua"/>
          <w:i/>
          <w:iCs/>
          <w:kern w:val="0"/>
          <w:sz w:val="24"/>
        </w:rPr>
        <w:t>Biometrics</w:t>
      </w:r>
      <w:r>
        <w:rPr>
          <w:rFonts w:ascii="Book Antiqua" w:hAnsi="Book Antiqua"/>
          <w:kern w:val="0"/>
          <w:sz w:val="24"/>
        </w:rPr>
        <w:t xml:space="preserve"> 2000; </w:t>
      </w:r>
      <w:r>
        <w:rPr>
          <w:rFonts w:ascii="Book Antiqua" w:hAnsi="Book Antiqua"/>
          <w:b/>
          <w:bCs/>
          <w:kern w:val="0"/>
          <w:sz w:val="24"/>
        </w:rPr>
        <w:t>56</w:t>
      </w:r>
      <w:r>
        <w:rPr>
          <w:rFonts w:ascii="Book Antiqua" w:hAnsi="Book Antiqua"/>
          <w:kern w:val="0"/>
          <w:sz w:val="24"/>
        </w:rPr>
        <w:t>: 337-344 [PMID: 10877287 DOI: 10.1111/j.0006-341X.2000.00337.x]</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29 </w:t>
      </w:r>
      <w:r>
        <w:rPr>
          <w:rFonts w:ascii="Book Antiqua" w:hAnsi="Book Antiqua"/>
          <w:b/>
          <w:bCs/>
          <w:kern w:val="0"/>
          <w:sz w:val="24"/>
        </w:rPr>
        <w:t xml:space="preserve">Harrell FE </w:t>
      </w:r>
      <w:proofErr w:type="spellStart"/>
      <w:r>
        <w:rPr>
          <w:rFonts w:ascii="Book Antiqua" w:hAnsi="Book Antiqua"/>
          <w:b/>
          <w:bCs/>
          <w:kern w:val="0"/>
          <w:sz w:val="24"/>
        </w:rPr>
        <w:t>Jr</w:t>
      </w:r>
      <w:proofErr w:type="spellEnd"/>
      <w:r>
        <w:rPr>
          <w:rFonts w:ascii="Book Antiqua" w:hAnsi="Book Antiqua"/>
          <w:kern w:val="0"/>
          <w:sz w:val="24"/>
        </w:rPr>
        <w:t xml:space="preserve">, Lee KL, Mark DB. Multivariable prognostic models: issues in developing models, evaluating assumptions and adequacy, and measuring and reducing errors. </w:t>
      </w:r>
      <w:r>
        <w:rPr>
          <w:rFonts w:ascii="Book Antiqua" w:hAnsi="Book Antiqua"/>
          <w:i/>
          <w:iCs/>
          <w:kern w:val="0"/>
          <w:sz w:val="24"/>
        </w:rPr>
        <w:t>Stat Med</w:t>
      </w:r>
      <w:r>
        <w:rPr>
          <w:rFonts w:ascii="Book Antiqua" w:hAnsi="Book Antiqua"/>
          <w:kern w:val="0"/>
          <w:sz w:val="24"/>
        </w:rPr>
        <w:t xml:space="preserve"> 1996; </w:t>
      </w:r>
      <w:r>
        <w:rPr>
          <w:rFonts w:ascii="Book Antiqua" w:hAnsi="Book Antiqua"/>
          <w:b/>
          <w:bCs/>
          <w:kern w:val="0"/>
          <w:sz w:val="24"/>
        </w:rPr>
        <w:t>15</w:t>
      </w:r>
      <w:r>
        <w:rPr>
          <w:rFonts w:ascii="Book Antiqua" w:hAnsi="Book Antiqua"/>
          <w:kern w:val="0"/>
          <w:sz w:val="24"/>
        </w:rPr>
        <w:t>: 361-387 [PMID: 8668867 DOI: 10.1002/(SICI)1097-0258(19960229)15:4&lt;361::AID-SIM168&gt;3.0.CO;2-4]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30 </w:t>
      </w:r>
      <w:proofErr w:type="spellStart"/>
      <w:r>
        <w:rPr>
          <w:rFonts w:ascii="Book Antiqua" w:hAnsi="Book Antiqua"/>
          <w:b/>
          <w:bCs/>
          <w:kern w:val="0"/>
          <w:sz w:val="24"/>
        </w:rPr>
        <w:t>Lemeshow</w:t>
      </w:r>
      <w:proofErr w:type="spellEnd"/>
      <w:r>
        <w:rPr>
          <w:rFonts w:ascii="Book Antiqua" w:hAnsi="Book Antiqua"/>
          <w:b/>
          <w:bCs/>
          <w:kern w:val="0"/>
          <w:sz w:val="24"/>
        </w:rPr>
        <w:t xml:space="preserve"> S</w:t>
      </w:r>
      <w:r>
        <w:rPr>
          <w:rFonts w:ascii="Book Antiqua" w:hAnsi="Book Antiqua"/>
          <w:kern w:val="0"/>
          <w:sz w:val="24"/>
        </w:rPr>
        <w:t xml:space="preserve">, </w:t>
      </w:r>
      <w:proofErr w:type="spellStart"/>
      <w:r>
        <w:rPr>
          <w:rFonts w:ascii="Book Antiqua" w:hAnsi="Book Antiqua"/>
          <w:kern w:val="0"/>
          <w:sz w:val="24"/>
        </w:rPr>
        <w:t>Hosmer</w:t>
      </w:r>
      <w:proofErr w:type="spellEnd"/>
      <w:r>
        <w:rPr>
          <w:rFonts w:ascii="Book Antiqua" w:hAnsi="Book Antiqua"/>
          <w:kern w:val="0"/>
          <w:sz w:val="24"/>
        </w:rPr>
        <w:t xml:space="preserve"> DW Jr. A review of goodness of fit statistics for use in the development of logistic regression models. </w:t>
      </w:r>
      <w:r>
        <w:rPr>
          <w:rFonts w:ascii="Book Antiqua" w:hAnsi="Book Antiqua"/>
          <w:i/>
          <w:iCs/>
          <w:kern w:val="0"/>
          <w:sz w:val="24"/>
        </w:rPr>
        <w:t xml:space="preserve">Am J </w:t>
      </w:r>
      <w:proofErr w:type="spellStart"/>
      <w:r>
        <w:rPr>
          <w:rFonts w:ascii="Book Antiqua" w:hAnsi="Book Antiqua"/>
          <w:i/>
          <w:iCs/>
          <w:kern w:val="0"/>
          <w:sz w:val="24"/>
        </w:rPr>
        <w:t>Epidemiol</w:t>
      </w:r>
      <w:proofErr w:type="spellEnd"/>
      <w:r>
        <w:rPr>
          <w:rFonts w:ascii="Book Antiqua" w:hAnsi="Book Antiqua"/>
          <w:kern w:val="0"/>
          <w:sz w:val="24"/>
        </w:rPr>
        <w:t xml:space="preserve"> 1982; </w:t>
      </w:r>
      <w:r>
        <w:rPr>
          <w:rFonts w:ascii="Book Antiqua" w:hAnsi="Book Antiqua"/>
          <w:b/>
          <w:bCs/>
          <w:kern w:val="0"/>
          <w:sz w:val="24"/>
        </w:rPr>
        <w:t>115</w:t>
      </w:r>
      <w:r>
        <w:rPr>
          <w:rFonts w:ascii="Book Antiqua" w:hAnsi="Book Antiqua"/>
          <w:kern w:val="0"/>
          <w:sz w:val="24"/>
        </w:rPr>
        <w:t>: 92-106 [PMID: 7055134 DOI: 10.1093/oxfordjournals.aje.a113284]</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31 </w:t>
      </w:r>
      <w:r>
        <w:rPr>
          <w:rFonts w:ascii="Book Antiqua" w:hAnsi="Book Antiqua"/>
          <w:b/>
          <w:bCs/>
          <w:kern w:val="0"/>
          <w:sz w:val="24"/>
        </w:rPr>
        <w:t>Vickers AJ</w:t>
      </w:r>
      <w:r>
        <w:rPr>
          <w:rFonts w:ascii="Book Antiqua" w:hAnsi="Book Antiqua"/>
          <w:kern w:val="0"/>
          <w:sz w:val="24"/>
        </w:rPr>
        <w:t xml:space="preserve">, Elkin EB. Decision curve analysis: a novel method for evaluating prediction models. </w:t>
      </w:r>
      <w:r>
        <w:rPr>
          <w:rFonts w:ascii="Book Antiqua" w:hAnsi="Book Antiqua"/>
          <w:i/>
          <w:iCs/>
          <w:kern w:val="0"/>
          <w:sz w:val="24"/>
        </w:rPr>
        <w:t xml:space="preserve">Med </w:t>
      </w:r>
      <w:proofErr w:type="spellStart"/>
      <w:r>
        <w:rPr>
          <w:rFonts w:ascii="Book Antiqua" w:hAnsi="Book Antiqua"/>
          <w:i/>
          <w:iCs/>
          <w:kern w:val="0"/>
          <w:sz w:val="24"/>
        </w:rPr>
        <w:t>Decis</w:t>
      </w:r>
      <w:proofErr w:type="spellEnd"/>
      <w:r>
        <w:rPr>
          <w:rFonts w:ascii="Book Antiqua" w:hAnsi="Book Antiqua"/>
          <w:i/>
          <w:iCs/>
          <w:kern w:val="0"/>
          <w:sz w:val="24"/>
        </w:rPr>
        <w:t xml:space="preserve"> Making</w:t>
      </w:r>
      <w:r>
        <w:rPr>
          <w:rFonts w:ascii="Book Antiqua" w:hAnsi="Book Antiqua"/>
          <w:kern w:val="0"/>
          <w:sz w:val="24"/>
        </w:rPr>
        <w:t xml:space="preserve"> 2006; </w:t>
      </w:r>
      <w:r>
        <w:rPr>
          <w:rFonts w:ascii="Book Antiqua" w:hAnsi="Book Antiqua"/>
          <w:b/>
          <w:bCs/>
          <w:kern w:val="0"/>
          <w:sz w:val="24"/>
        </w:rPr>
        <w:t>26</w:t>
      </w:r>
      <w:r>
        <w:rPr>
          <w:rFonts w:ascii="Book Antiqua" w:hAnsi="Book Antiqua"/>
          <w:kern w:val="0"/>
          <w:sz w:val="24"/>
        </w:rPr>
        <w:t>: 565-574 [PMID: 17099194 DOI: 10.1177/0272989X06295361]</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lastRenderedPageBreak/>
        <w:t xml:space="preserve">32 </w:t>
      </w:r>
      <w:r>
        <w:rPr>
          <w:rFonts w:ascii="Book Antiqua" w:hAnsi="Book Antiqua"/>
          <w:b/>
          <w:bCs/>
          <w:kern w:val="0"/>
          <w:sz w:val="24"/>
        </w:rPr>
        <w:t>Lin JX</w:t>
      </w:r>
      <w:r>
        <w:rPr>
          <w:rFonts w:ascii="Book Antiqua" w:hAnsi="Book Antiqua"/>
          <w:kern w:val="0"/>
          <w:sz w:val="24"/>
        </w:rPr>
        <w:t xml:space="preserve">, Lin JP, </w:t>
      </w:r>
      <w:proofErr w:type="spellStart"/>
      <w:r>
        <w:rPr>
          <w:rFonts w:ascii="Book Antiqua" w:hAnsi="Book Antiqua"/>
          <w:kern w:val="0"/>
          <w:sz w:val="24"/>
        </w:rPr>
        <w:t>Xie</w:t>
      </w:r>
      <w:proofErr w:type="spellEnd"/>
      <w:r>
        <w:rPr>
          <w:rFonts w:ascii="Book Antiqua" w:hAnsi="Book Antiqua"/>
          <w:kern w:val="0"/>
          <w:sz w:val="24"/>
        </w:rPr>
        <w:t xml:space="preserve"> JW, Wang JB, Lu J, Chen QY, Cao LL, Lin M, </w:t>
      </w:r>
      <w:proofErr w:type="spellStart"/>
      <w:r>
        <w:rPr>
          <w:rFonts w:ascii="Book Antiqua" w:hAnsi="Book Antiqua"/>
          <w:kern w:val="0"/>
          <w:sz w:val="24"/>
        </w:rPr>
        <w:t>Tu</w:t>
      </w:r>
      <w:proofErr w:type="spellEnd"/>
      <w:r>
        <w:rPr>
          <w:rFonts w:ascii="Book Antiqua" w:hAnsi="Book Antiqua"/>
          <w:kern w:val="0"/>
          <w:sz w:val="24"/>
        </w:rPr>
        <w:t xml:space="preserve"> R, </w:t>
      </w:r>
      <w:proofErr w:type="spellStart"/>
      <w:r>
        <w:rPr>
          <w:rFonts w:ascii="Book Antiqua" w:hAnsi="Book Antiqua"/>
          <w:kern w:val="0"/>
          <w:sz w:val="24"/>
        </w:rPr>
        <w:t>Zheng</w:t>
      </w:r>
      <w:proofErr w:type="spellEnd"/>
      <w:r>
        <w:rPr>
          <w:rFonts w:ascii="Book Antiqua" w:hAnsi="Book Antiqua"/>
          <w:kern w:val="0"/>
          <w:sz w:val="24"/>
        </w:rPr>
        <w:t xml:space="preserve"> CH, Huang CM, Li P. Prognostic importance of the preoperative modified systemic inflammation score for patients with gastric cancer. </w:t>
      </w:r>
      <w:r>
        <w:rPr>
          <w:rFonts w:ascii="Book Antiqua" w:hAnsi="Book Antiqua"/>
          <w:i/>
          <w:iCs/>
          <w:kern w:val="0"/>
          <w:sz w:val="24"/>
        </w:rPr>
        <w:t>Gastric Cancer</w:t>
      </w:r>
      <w:r>
        <w:rPr>
          <w:rFonts w:ascii="Book Antiqua" w:hAnsi="Book Antiqua"/>
          <w:kern w:val="0"/>
          <w:sz w:val="24"/>
        </w:rPr>
        <w:t xml:space="preserve"> 2019; </w:t>
      </w:r>
      <w:r>
        <w:rPr>
          <w:rFonts w:ascii="Book Antiqua" w:hAnsi="Book Antiqua"/>
          <w:b/>
          <w:bCs/>
          <w:kern w:val="0"/>
          <w:sz w:val="24"/>
        </w:rPr>
        <w:t>22</w:t>
      </w:r>
      <w:r>
        <w:rPr>
          <w:rFonts w:ascii="Book Antiqua" w:hAnsi="Book Antiqua"/>
          <w:kern w:val="0"/>
          <w:sz w:val="24"/>
        </w:rPr>
        <w:t>: 403-412 [PMID: 29982861 DOI: 10.1007/s10120-018-0854-6]</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33 </w:t>
      </w:r>
      <w:r>
        <w:rPr>
          <w:rFonts w:ascii="Book Antiqua" w:hAnsi="Book Antiqua"/>
          <w:b/>
          <w:bCs/>
          <w:kern w:val="0"/>
          <w:sz w:val="24"/>
        </w:rPr>
        <w:t xml:space="preserve">Del </w:t>
      </w:r>
      <w:proofErr w:type="spellStart"/>
      <w:r>
        <w:rPr>
          <w:rFonts w:ascii="Book Antiqua" w:hAnsi="Book Antiqua"/>
          <w:b/>
          <w:bCs/>
          <w:kern w:val="0"/>
          <w:sz w:val="24"/>
        </w:rPr>
        <w:t>Priore</w:t>
      </w:r>
      <w:proofErr w:type="spellEnd"/>
      <w:r>
        <w:rPr>
          <w:rFonts w:ascii="Book Antiqua" w:hAnsi="Book Antiqua"/>
          <w:b/>
          <w:bCs/>
          <w:kern w:val="0"/>
          <w:sz w:val="24"/>
        </w:rPr>
        <w:t xml:space="preserve"> G</w:t>
      </w:r>
      <w:r>
        <w:rPr>
          <w:rFonts w:ascii="Book Antiqua" w:hAnsi="Book Antiqua"/>
          <w:kern w:val="0"/>
          <w:sz w:val="24"/>
        </w:rPr>
        <w:t xml:space="preserve">, </w:t>
      </w:r>
      <w:proofErr w:type="spellStart"/>
      <w:r>
        <w:rPr>
          <w:rFonts w:ascii="Book Antiqua" w:hAnsi="Book Antiqua"/>
          <w:kern w:val="0"/>
          <w:sz w:val="24"/>
        </w:rPr>
        <w:t>Zandieh</w:t>
      </w:r>
      <w:proofErr w:type="spellEnd"/>
      <w:r>
        <w:rPr>
          <w:rFonts w:ascii="Book Antiqua" w:hAnsi="Book Antiqua"/>
          <w:kern w:val="0"/>
          <w:sz w:val="24"/>
        </w:rPr>
        <w:t xml:space="preserve"> P, Lee MJ. Treatment of continuous data as </w:t>
      </w:r>
      <w:proofErr w:type="spellStart"/>
      <w:r>
        <w:rPr>
          <w:rFonts w:ascii="Book Antiqua" w:hAnsi="Book Antiqua"/>
          <w:kern w:val="0"/>
          <w:sz w:val="24"/>
        </w:rPr>
        <w:t>categoric</w:t>
      </w:r>
      <w:proofErr w:type="spellEnd"/>
      <w:r>
        <w:rPr>
          <w:rFonts w:ascii="Book Antiqua" w:hAnsi="Book Antiqua"/>
          <w:kern w:val="0"/>
          <w:sz w:val="24"/>
        </w:rPr>
        <w:t xml:space="preserve"> variables in Obstetrics and Gynecology. </w:t>
      </w:r>
      <w:proofErr w:type="spellStart"/>
      <w:r>
        <w:rPr>
          <w:rFonts w:ascii="Book Antiqua" w:hAnsi="Book Antiqua"/>
          <w:i/>
          <w:iCs/>
          <w:kern w:val="0"/>
          <w:sz w:val="24"/>
        </w:rPr>
        <w:t>Obstet</w:t>
      </w:r>
      <w:proofErr w:type="spellEnd"/>
      <w:r>
        <w:rPr>
          <w:rFonts w:ascii="Book Antiqua" w:hAnsi="Book Antiqua"/>
          <w:i/>
          <w:iCs/>
          <w:kern w:val="0"/>
          <w:sz w:val="24"/>
        </w:rPr>
        <w:t xml:space="preserve"> </w:t>
      </w:r>
      <w:proofErr w:type="spellStart"/>
      <w:r>
        <w:rPr>
          <w:rFonts w:ascii="Book Antiqua" w:hAnsi="Book Antiqua"/>
          <w:i/>
          <w:iCs/>
          <w:kern w:val="0"/>
          <w:sz w:val="24"/>
        </w:rPr>
        <w:t>Gynecol</w:t>
      </w:r>
      <w:proofErr w:type="spellEnd"/>
      <w:r>
        <w:rPr>
          <w:rFonts w:ascii="Book Antiqua" w:hAnsi="Book Antiqua"/>
          <w:kern w:val="0"/>
          <w:sz w:val="24"/>
        </w:rPr>
        <w:t xml:space="preserve"> 1997; </w:t>
      </w:r>
      <w:r>
        <w:rPr>
          <w:rFonts w:ascii="Book Antiqua" w:hAnsi="Book Antiqua"/>
          <w:b/>
          <w:bCs/>
          <w:kern w:val="0"/>
          <w:sz w:val="24"/>
        </w:rPr>
        <w:t>89</w:t>
      </w:r>
      <w:r>
        <w:rPr>
          <w:rFonts w:ascii="Book Antiqua" w:hAnsi="Book Antiqua"/>
          <w:kern w:val="0"/>
          <w:sz w:val="24"/>
        </w:rPr>
        <w:t>: 351-354 [PMID: 9052583 DOI: 10.1016/S0029-7844(96)00504-2]</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34 </w:t>
      </w:r>
      <w:r>
        <w:rPr>
          <w:rFonts w:ascii="Book Antiqua" w:hAnsi="Book Antiqua"/>
          <w:b/>
          <w:bCs/>
          <w:kern w:val="0"/>
          <w:sz w:val="24"/>
        </w:rPr>
        <w:t>Royston P</w:t>
      </w:r>
      <w:r>
        <w:rPr>
          <w:rFonts w:ascii="Book Antiqua" w:hAnsi="Book Antiqua"/>
          <w:kern w:val="0"/>
          <w:sz w:val="24"/>
        </w:rPr>
        <w:t xml:space="preserve">, Altman DG, </w:t>
      </w:r>
      <w:proofErr w:type="spellStart"/>
      <w:r>
        <w:rPr>
          <w:rFonts w:ascii="Book Antiqua" w:hAnsi="Book Antiqua"/>
          <w:kern w:val="0"/>
          <w:sz w:val="24"/>
        </w:rPr>
        <w:t>Sauerbrei</w:t>
      </w:r>
      <w:proofErr w:type="spellEnd"/>
      <w:r>
        <w:rPr>
          <w:rFonts w:ascii="Book Antiqua" w:hAnsi="Book Antiqua"/>
          <w:kern w:val="0"/>
          <w:sz w:val="24"/>
        </w:rPr>
        <w:t xml:space="preserve"> W. Dichotomizing continuous predictors in multiple regression: a bad idea. </w:t>
      </w:r>
      <w:r>
        <w:rPr>
          <w:rFonts w:ascii="Book Antiqua" w:hAnsi="Book Antiqua"/>
          <w:i/>
          <w:iCs/>
          <w:kern w:val="0"/>
          <w:sz w:val="24"/>
        </w:rPr>
        <w:t>Stat Med</w:t>
      </w:r>
      <w:r>
        <w:rPr>
          <w:rFonts w:ascii="Book Antiqua" w:hAnsi="Book Antiqua"/>
          <w:kern w:val="0"/>
          <w:sz w:val="24"/>
        </w:rPr>
        <w:t xml:space="preserve"> 2006; </w:t>
      </w:r>
      <w:r>
        <w:rPr>
          <w:rFonts w:ascii="Book Antiqua" w:hAnsi="Book Antiqua"/>
          <w:b/>
          <w:bCs/>
          <w:kern w:val="0"/>
          <w:sz w:val="24"/>
        </w:rPr>
        <w:t>25</w:t>
      </w:r>
      <w:r>
        <w:rPr>
          <w:rFonts w:ascii="Book Antiqua" w:hAnsi="Book Antiqua"/>
          <w:kern w:val="0"/>
          <w:sz w:val="24"/>
        </w:rPr>
        <w:t>: 127-141 [PMID: 16217841 DOI: 10.1002/sim.2331]</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35 </w:t>
      </w:r>
      <w:proofErr w:type="spellStart"/>
      <w:r>
        <w:rPr>
          <w:rFonts w:ascii="Book Antiqua" w:hAnsi="Book Antiqua"/>
          <w:b/>
          <w:bCs/>
          <w:kern w:val="0"/>
          <w:sz w:val="24"/>
        </w:rPr>
        <w:t>Amri</w:t>
      </w:r>
      <w:proofErr w:type="spellEnd"/>
      <w:r>
        <w:rPr>
          <w:rFonts w:ascii="Book Antiqua" w:hAnsi="Book Antiqua"/>
          <w:b/>
          <w:bCs/>
          <w:kern w:val="0"/>
          <w:sz w:val="24"/>
        </w:rPr>
        <w:t xml:space="preserve"> R</w:t>
      </w:r>
      <w:r>
        <w:rPr>
          <w:rFonts w:ascii="Book Antiqua" w:hAnsi="Book Antiqua"/>
          <w:kern w:val="0"/>
          <w:sz w:val="24"/>
        </w:rPr>
        <w:t xml:space="preserve">, </w:t>
      </w:r>
      <w:proofErr w:type="spellStart"/>
      <w:r>
        <w:rPr>
          <w:rFonts w:ascii="Book Antiqua" w:hAnsi="Book Antiqua"/>
          <w:kern w:val="0"/>
          <w:sz w:val="24"/>
        </w:rPr>
        <w:t>Bordeianou</w:t>
      </w:r>
      <w:proofErr w:type="spellEnd"/>
      <w:r>
        <w:rPr>
          <w:rFonts w:ascii="Book Antiqua" w:hAnsi="Book Antiqua"/>
          <w:kern w:val="0"/>
          <w:sz w:val="24"/>
        </w:rPr>
        <w:t xml:space="preserve"> LG, </w:t>
      </w:r>
      <w:proofErr w:type="spellStart"/>
      <w:r>
        <w:rPr>
          <w:rFonts w:ascii="Book Antiqua" w:hAnsi="Book Antiqua"/>
          <w:kern w:val="0"/>
          <w:sz w:val="24"/>
        </w:rPr>
        <w:t>Sylla</w:t>
      </w:r>
      <w:proofErr w:type="spellEnd"/>
      <w:r>
        <w:rPr>
          <w:rFonts w:ascii="Book Antiqua" w:hAnsi="Book Antiqua"/>
          <w:kern w:val="0"/>
          <w:sz w:val="24"/>
        </w:rPr>
        <w:t xml:space="preserve"> P, Berger DL. Preoperative </w:t>
      </w:r>
      <w:proofErr w:type="spellStart"/>
      <w:r>
        <w:rPr>
          <w:rFonts w:ascii="Book Antiqua" w:hAnsi="Book Antiqua"/>
          <w:kern w:val="0"/>
          <w:sz w:val="24"/>
        </w:rPr>
        <w:t>carcinoembryonic</w:t>
      </w:r>
      <w:proofErr w:type="spellEnd"/>
      <w:r>
        <w:rPr>
          <w:rFonts w:ascii="Book Antiqua" w:hAnsi="Book Antiqua"/>
          <w:kern w:val="0"/>
          <w:sz w:val="24"/>
        </w:rPr>
        <w:t xml:space="preserve"> antigen as an outcome predictor in colon cancer. </w:t>
      </w:r>
      <w:r>
        <w:rPr>
          <w:rFonts w:ascii="Book Antiqua" w:hAnsi="Book Antiqua"/>
          <w:i/>
          <w:iCs/>
          <w:kern w:val="0"/>
          <w:sz w:val="24"/>
        </w:rPr>
        <w:t xml:space="preserve">J </w:t>
      </w:r>
      <w:proofErr w:type="spellStart"/>
      <w:r>
        <w:rPr>
          <w:rFonts w:ascii="Book Antiqua" w:hAnsi="Book Antiqua"/>
          <w:i/>
          <w:iCs/>
          <w:kern w:val="0"/>
          <w:sz w:val="24"/>
        </w:rPr>
        <w:t>Surg</w:t>
      </w:r>
      <w:proofErr w:type="spellEnd"/>
      <w:r>
        <w:rPr>
          <w:rFonts w:ascii="Book Antiqua" w:hAnsi="Book Antiqua"/>
          <w:i/>
          <w:iCs/>
          <w:kern w:val="0"/>
          <w:sz w:val="24"/>
        </w:rPr>
        <w:t xml:space="preserve"> </w:t>
      </w:r>
      <w:proofErr w:type="spellStart"/>
      <w:r>
        <w:rPr>
          <w:rFonts w:ascii="Book Antiqua" w:hAnsi="Book Antiqua"/>
          <w:i/>
          <w:iCs/>
          <w:kern w:val="0"/>
          <w:sz w:val="24"/>
        </w:rPr>
        <w:t>Oncol</w:t>
      </w:r>
      <w:proofErr w:type="spellEnd"/>
      <w:r>
        <w:rPr>
          <w:rFonts w:ascii="Book Antiqua" w:hAnsi="Book Antiqua"/>
          <w:kern w:val="0"/>
          <w:sz w:val="24"/>
        </w:rPr>
        <w:t xml:space="preserve"> 2013; </w:t>
      </w:r>
      <w:r>
        <w:rPr>
          <w:rFonts w:ascii="Book Antiqua" w:hAnsi="Book Antiqua"/>
          <w:b/>
          <w:bCs/>
          <w:kern w:val="0"/>
          <w:sz w:val="24"/>
        </w:rPr>
        <w:t>108</w:t>
      </w:r>
      <w:r>
        <w:rPr>
          <w:rFonts w:ascii="Book Antiqua" w:hAnsi="Book Antiqua"/>
          <w:kern w:val="0"/>
          <w:sz w:val="24"/>
        </w:rPr>
        <w:t>: 14-18 [PMID: 23681672 DOI: 10.1002/jso.23352]</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36 </w:t>
      </w:r>
      <w:proofErr w:type="spellStart"/>
      <w:r>
        <w:rPr>
          <w:rFonts w:ascii="Book Antiqua" w:hAnsi="Book Antiqua"/>
          <w:b/>
          <w:bCs/>
          <w:kern w:val="0"/>
          <w:sz w:val="24"/>
        </w:rPr>
        <w:t>Candido</w:t>
      </w:r>
      <w:proofErr w:type="spellEnd"/>
      <w:r>
        <w:rPr>
          <w:rFonts w:ascii="Book Antiqua" w:hAnsi="Book Antiqua"/>
          <w:b/>
          <w:bCs/>
          <w:kern w:val="0"/>
          <w:sz w:val="24"/>
        </w:rPr>
        <w:t xml:space="preserve"> J</w:t>
      </w:r>
      <w:r>
        <w:rPr>
          <w:rFonts w:ascii="Book Antiqua" w:hAnsi="Book Antiqua"/>
          <w:kern w:val="0"/>
          <w:sz w:val="24"/>
        </w:rPr>
        <w:t xml:space="preserve">, </w:t>
      </w:r>
      <w:proofErr w:type="spellStart"/>
      <w:r>
        <w:rPr>
          <w:rFonts w:ascii="Book Antiqua" w:hAnsi="Book Antiqua"/>
          <w:kern w:val="0"/>
          <w:sz w:val="24"/>
        </w:rPr>
        <w:t>Hagemann</w:t>
      </w:r>
      <w:proofErr w:type="spellEnd"/>
      <w:r>
        <w:rPr>
          <w:rFonts w:ascii="Book Antiqua" w:hAnsi="Book Antiqua"/>
          <w:kern w:val="0"/>
          <w:sz w:val="24"/>
        </w:rPr>
        <w:t xml:space="preserve"> T. Cancer-related inflammation. </w:t>
      </w:r>
      <w:r>
        <w:rPr>
          <w:rFonts w:ascii="Book Antiqua" w:hAnsi="Book Antiqua"/>
          <w:i/>
          <w:iCs/>
          <w:kern w:val="0"/>
          <w:sz w:val="24"/>
        </w:rPr>
        <w:t xml:space="preserve">J </w:t>
      </w:r>
      <w:proofErr w:type="spellStart"/>
      <w:r>
        <w:rPr>
          <w:rFonts w:ascii="Book Antiqua" w:hAnsi="Book Antiqua"/>
          <w:i/>
          <w:iCs/>
          <w:kern w:val="0"/>
          <w:sz w:val="24"/>
        </w:rPr>
        <w:t>Clin</w:t>
      </w:r>
      <w:proofErr w:type="spellEnd"/>
      <w:r>
        <w:rPr>
          <w:rFonts w:ascii="Book Antiqua" w:hAnsi="Book Antiqua"/>
          <w:i/>
          <w:iCs/>
          <w:kern w:val="0"/>
          <w:sz w:val="24"/>
        </w:rPr>
        <w:t xml:space="preserve"> </w:t>
      </w:r>
      <w:proofErr w:type="spellStart"/>
      <w:r>
        <w:rPr>
          <w:rFonts w:ascii="Book Antiqua" w:hAnsi="Book Antiqua"/>
          <w:i/>
          <w:iCs/>
          <w:kern w:val="0"/>
          <w:sz w:val="24"/>
        </w:rPr>
        <w:t>Immunol</w:t>
      </w:r>
      <w:proofErr w:type="spellEnd"/>
      <w:r>
        <w:rPr>
          <w:rFonts w:ascii="Book Antiqua" w:hAnsi="Book Antiqua"/>
          <w:kern w:val="0"/>
          <w:sz w:val="24"/>
        </w:rPr>
        <w:t xml:space="preserve"> 2013; </w:t>
      </w:r>
      <w:r>
        <w:rPr>
          <w:rFonts w:ascii="Book Antiqua" w:hAnsi="Book Antiqua"/>
          <w:b/>
          <w:bCs/>
          <w:kern w:val="0"/>
          <w:sz w:val="24"/>
        </w:rPr>
        <w:t xml:space="preserve">33 </w:t>
      </w:r>
      <w:proofErr w:type="spellStart"/>
      <w:r>
        <w:rPr>
          <w:rFonts w:ascii="Book Antiqua" w:hAnsi="Book Antiqua"/>
          <w:kern w:val="0"/>
          <w:sz w:val="24"/>
        </w:rPr>
        <w:t>Suppl</w:t>
      </w:r>
      <w:proofErr w:type="spellEnd"/>
      <w:r>
        <w:rPr>
          <w:rFonts w:ascii="Book Antiqua" w:hAnsi="Book Antiqua"/>
          <w:kern w:val="0"/>
          <w:sz w:val="24"/>
        </w:rPr>
        <w:t xml:space="preserve"> 1: S79-S84 [PMID: 23225204 DOI: 10.1007/s10875-012-9847-0]</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37 </w:t>
      </w:r>
      <w:r>
        <w:rPr>
          <w:rFonts w:ascii="Book Antiqua" w:hAnsi="Book Antiqua"/>
          <w:b/>
          <w:bCs/>
          <w:kern w:val="0"/>
          <w:sz w:val="24"/>
        </w:rPr>
        <w:t>Mei Z</w:t>
      </w:r>
      <w:r>
        <w:rPr>
          <w:rFonts w:ascii="Book Antiqua" w:hAnsi="Book Antiqua"/>
          <w:kern w:val="0"/>
          <w:sz w:val="24"/>
        </w:rPr>
        <w:t xml:space="preserve">, Liu Y, Liu C, Cui A, Liang Z, Wang G, </w:t>
      </w:r>
      <w:proofErr w:type="spellStart"/>
      <w:r>
        <w:rPr>
          <w:rFonts w:ascii="Book Antiqua" w:hAnsi="Book Antiqua"/>
          <w:kern w:val="0"/>
          <w:sz w:val="24"/>
        </w:rPr>
        <w:t>Peng</w:t>
      </w:r>
      <w:proofErr w:type="spellEnd"/>
      <w:r>
        <w:rPr>
          <w:rFonts w:ascii="Book Antiqua" w:hAnsi="Book Antiqua"/>
          <w:kern w:val="0"/>
          <w:sz w:val="24"/>
        </w:rPr>
        <w:t xml:space="preserve"> H, Cui L, Li C. </w:t>
      </w:r>
      <w:proofErr w:type="spellStart"/>
      <w:r>
        <w:rPr>
          <w:rFonts w:ascii="Book Antiqua" w:hAnsi="Book Antiqua"/>
          <w:kern w:val="0"/>
          <w:sz w:val="24"/>
        </w:rPr>
        <w:t>Tumour</w:t>
      </w:r>
      <w:proofErr w:type="spellEnd"/>
      <w:r>
        <w:rPr>
          <w:rFonts w:ascii="Book Antiqua" w:hAnsi="Book Antiqua"/>
          <w:kern w:val="0"/>
          <w:sz w:val="24"/>
        </w:rPr>
        <w:t xml:space="preserve">-infiltrating inflammation and prognosis in colorectal cancer: systematic review and meta-analysis. </w:t>
      </w:r>
      <w:r>
        <w:rPr>
          <w:rFonts w:ascii="Book Antiqua" w:hAnsi="Book Antiqua"/>
          <w:i/>
          <w:iCs/>
          <w:kern w:val="0"/>
          <w:sz w:val="24"/>
        </w:rPr>
        <w:t>Br J Cancer</w:t>
      </w:r>
      <w:r>
        <w:rPr>
          <w:rFonts w:ascii="Book Antiqua" w:hAnsi="Book Antiqua"/>
          <w:kern w:val="0"/>
          <w:sz w:val="24"/>
        </w:rPr>
        <w:t xml:space="preserve"> 2014; </w:t>
      </w:r>
      <w:r>
        <w:rPr>
          <w:rFonts w:ascii="Book Antiqua" w:hAnsi="Book Antiqua"/>
          <w:b/>
          <w:bCs/>
          <w:kern w:val="0"/>
          <w:sz w:val="24"/>
        </w:rPr>
        <w:t>110</w:t>
      </w:r>
      <w:r>
        <w:rPr>
          <w:rFonts w:ascii="Book Antiqua" w:hAnsi="Book Antiqua"/>
          <w:kern w:val="0"/>
          <w:sz w:val="24"/>
        </w:rPr>
        <w:t>: 1595-1605 [PMID: 24504370 DOI: 10.1038/bjc.2014.46]</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38 </w:t>
      </w:r>
      <w:proofErr w:type="spellStart"/>
      <w:r>
        <w:rPr>
          <w:rFonts w:ascii="Book Antiqua" w:hAnsi="Book Antiqua"/>
          <w:b/>
          <w:bCs/>
          <w:kern w:val="0"/>
          <w:sz w:val="24"/>
        </w:rPr>
        <w:t>Galdiero</w:t>
      </w:r>
      <w:proofErr w:type="spellEnd"/>
      <w:r>
        <w:rPr>
          <w:rFonts w:ascii="Book Antiqua" w:hAnsi="Book Antiqua"/>
          <w:b/>
          <w:bCs/>
          <w:kern w:val="0"/>
          <w:sz w:val="24"/>
        </w:rPr>
        <w:t xml:space="preserve"> MR</w:t>
      </w:r>
      <w:r>
        <w:rPr>
          <w:rFonts w:ascii="Book Antiqua" w:hAnsi="Book Antiqua"/>
          <w:kern w:val="0"/>
          <w:sz w:val="24"/>
        </w:rPr>
        <w:t xml:space="preserve">, </w:t>
      </w:r>
      <w:proofErr w:type="spellStart"/>
      <w:r>
        <w:rPr>
          <w:rFonts w:ascii="Book Antiqua" w:hAnsi="Book Antiqua"/>
          <w:kern w:val="0"/>
          <w:sz w:val="24"/>
        </w:rPr>
        <w:t>Bonavita</w:t>
      </w:r>
      <w:proofErr w:type="spellEnd"/>
      <w:r>
        <w:rPr>
          <w:rFonts w:ascii="Book Antiqua" w:hAnsi="Book Antiqua"/>
          <w:kern w:val="0"/>
          <w:sz w:val="24"/>
        </w:rPr>
        <w:t xml:space="preserve"> E, </w:t>
      </w:r>
      <w:proofErr w:type="spellStart"/>
      <w:r>
        <w:rPr>
          <w:rFonts w:ascii="Book Antiqua" w:hAnsi="Book Antiqua"/>
          <w:kern w:val="0"/>
          <w:sz w:val="24"/>
        </w:rPr>
        <w:t>Barajon</w:t>
      </w:r>
      <w:proofErr w:type="spellEnd"/>
      <w:r>
        <w:rPr>
          <w:rFonts w:ascii="Book Antiqua" w:hAnsi="Book Antiqua"/>
          <w:kern w:val="0"/>
          <w:sz w:val="24"/>
        </w:rPr>
        <w:t xml:space="preserve"> I, </w:t>
      </w:r>
      <w:proofErr w:type="spellStart"/>
      <w:r>
        <w:rPr>
          <w:rFonts w:ascii="Book Antiqua" w:hAnsi="Book Antiqua"/>
          <w:kern w:val="0"/>
          <w:sz w:val="24"/>
        </w:rPr>
        <w:t>Garlanda</w:t>
      </w:r>
      <w:proofErr w:type="spellEnd"/>
      <w:r>
        <w:rPr>
          <w:rFonts w:ascii="Book Antiqua" w:hAnsi="Book Antiqua"/>
          <w:kern w:val="0"/>
          <w:sz w:val="24"/>
        </w:rPr>
        <w:t xml:space="preserve"> C, </w:t>
      </w:r>
      <w:proofErr w:type="spellStart"/>
      <w:r>
        <w:rPr>
          <w:rFonts w:ascii="Book Antiqua" w:hAnsi="Book Antiqua"/>
          <w:kern w:val="0"/>
          <w:sz w:val="24"/>
        </w:rPr>
        <w:t>Mantovani</w:t>
      </w:r>
      <w:proofErr w:type="spellEnd"/>
      <w:r>
        <w:rPr>
          <w:rFonts w:ascii="Book Antiqua" w:hAnsi="Book Antiqua"/>
          <w:kern w:val="0"/>
          <w:sz w:val="24"/>
        </w:rPr>
        <w:t xml:space="preserve"> A, </w:t>
      </w:r>
      <w:proofErr w:type="spellStart"/>
      <w:r>
        <w:rPr>
          <w:rFonts w:ascii="Book Antiqua" w:hAnsi="Book Antiqua"/>
          <w:kern w:val="0"/>
          <w:sz w:val="24"/>
        </w:rPr>
        <w:t>Jaillon</w:t>
      </w:r>
      <w:proofErr w:type="spellEnd"/>
      <w:r>
        <w:rPr>
          <w:rFonts w:ascii="Book Antiqua" w:hAnsi="Book Antiqua"/>
          <w:kern w:val="0"/>
          <w:sz w:val="24"/>
        </w:rPr>
        <w:t xml:space="preserve"> S. Tumor associated macrophages and neutrophils in cancer. </w:t>
      </w:r>
      <w:proofErr w:type="spellStart"/>
      <w:r>
        <w:rPr>
          <w:rFonts w:ascii="Book Antiqua" w:hAnsi="Book Antiqua"/>
          <w:i/>
          <w:iCs/>
          <w:kern w:val="0"/>
          <w:sz w:val="24"/>
        </w:rPr>
        <w:t>Immunobiology</w:t>
      </w:r>
      <w:proofErr w:type="spellEnd"/>
      <w:r>
        <w:rPr>
          <w:rFonts w:ascii="Book Antiqua" w:hAnsi="Book Antiqua"/>
          <w:kern w:val="0"/>
          <w:sz w:val="24"/>
        </w:rPr>
        <w:t xml:space="preserve"> 2013; </w:t>
      </w:r>
      <w:r>
        <w:rPr>
          <w:rFonts w:ascii="Book Antiqua" w:hAnsi="Book Antiqua"/>
          <w:b/>
          <w:bCs/>
          <w:kern w:val="0"/>
          <w:sz w:val="24"/>
        </w:rPr>
        <w:t>218</w:t>
      </w:r>
      <w:r>
        <w:rPr>
          <w:rFonts w:ascii="Book Antiqua" w:hAnsi="Book Antiqua"/>
          <w:kern w:val="0"/>
          <w:sz w:val="24"/>
        </w:rPr>
        <w:t>: 1402-1410 [PMID: 23891329 DOI: 10.1016/j.imbio.2013.06.003]</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39 </w:t>
      </w:r>
      <w:r>
        <w:rPr>
          <w:rFonts w:ascii="Book Antiqua" w:hAnsi="Book Antiqua"/>
          <w:b/>
          <w:bCs/>
          <w:kern w:val="0"/>
          <w:sz w:val="24"/>
        </w:rPr>
        <w:t xml:space="preserve">Van </w:t>
      </w:r>
      <w:proofErr w:type="spellStart"/>
      <w:r>
        <w:rPr>
          <w:rFonts w:ascii="Book Antiqua" w:hAnsi="Book Antiqua"/>
          <w:b/>
          <w:bCs/>
          <w:kern w:val="0"/>
          <w:sz w:val="24"/>
        </w:rPr>
        <w:t>Cutsem</w:t>
      </w:r>
      <w:proofErr w:type="spellEnd"/>
      <w:r>
        <w:rPr>
          <w:rFonts w:ascii="Book Antiqua" w:hAnsi="Book Antiqua"/>
          <w:b/>
          <w:bCs/>
          <w:kern w:val="0"/>
          <w:sz w:val="24"/>
        </w:rPr>
        <w:t xml:space="preserve"> E</w:t>
      </w:r>
      <w:r>
        <w:rPr>
          <w:rFonts w:ascii="Book Antiqua" w:hAnsi="Book Antiqua"/>
          <w:kern w:val="0"/>
          <w:sz w:val="24"/>
        </w:rPr>
        <w:t xml:space="preserve">, </w:t>
      </w:r>
      <w:proofErr w:type="spellStart"/>
      <w:r>
        <w:rPr>
          <w:rFonts w:ascii="Book Antiqua" w:hAnsi="Book Antiqua"/>
          <w:kern w:val="0"/>
          <w:sz w:val="24"/>
        </w:rPr>
        <w:t>Arends</w:t>
      </w:r>
      <w:proofErr w:type="spellEnd"/>
      <w:r>
        <w:rPr>
          <w:rFonts w:ascii="Book Antiqua" w:hAnsi="Book Antiqua"/>
          <w:kern w:val="0"/>
          <w:sz w:val="24"/>
        </w:rPr>
        <w:t xml:space="preserve"> J. The causes and consequences of cancer-associated malnutrition. </w:t>
      </w:r>
      <w:proofErr w:type="spellStart"/>
      <w:r>
        <w:rPr>
          <w:rFonts w:ascii="Book Antiqua" w:hAnsi="Book Antiqua"/>
          <w:i/>
          <w:iCs/>
          <w:kern w:val="0"/>
          <w:sz w:val="24"/>
        </w:rPr>
        <w:t>Eur</w:t>
      </w:r>
      <w:proofErr w:type="spellEnd"/>
      <w:r>
        <w:rPr>
          <w:rFonts w:ascii="Book Antiqua" w:hAnsi="Book Antiqua"/>
          <w:i/>
          <w:iCs/>
          <w:kern w:val="0"/>
          <w:sz w:val="24"/>
        </w:rPr>
        <w:t xml:space="preserve"> J </w:t>
      </w:r>
      <w:proofErr w:type="spellStart"/>
      <w:r>
        <w:rPr>
          <w:rFonts w:ascii="Book Antiqua" w:hAnsi="Book Antiqua"/>
          <w:i/>
          <w:iCs/>
          <w:kern w:val="0"/>
          <w:sz w:val="24"/>
        </w:rPr>
        <w:t>Oncol</w:t>
      </w:r>
      <w:proofErr w:type="spellEnd"/>
      <w:r>
        <w:rPr>
          <w:rFonts w:ascii="Book Antiqua" w:hAnsi="Book Antiqua"/>
          <w:i/>
          <w:iCs/>
          <w:kern w:val="0"/>
          <w:sz w:val="24"/>
        </w:rPr>
        <w:t xml:space="preserve"> </w:t>
      </w:r>
      <w:proofErr w:type="spellStart"/>
      <w:r>
        <w:rPr>
          <w:rFonts w:ascii="Book Antiqua" w:hAnsi="Book Antiqua"/>
          <w:i/>
          <w:iCs/>
          <w:kern w:val="0"/>
          <w:sz w:val="24"/>
        </w:rPr>
        <w:t>Nurs</w:t>
      </w:r>
      <w:proofErr w:type="spellEnd"/>
      <w:r>
        <w:rPr>
          <w:rFonts w:ascii="Book Antiqua" w:hAnsi="Book Antiqua"/>
          <w:kern w:val="0"/>
          <w:sz w:val="24"/>
        </w:rPr>
        <w:t xml:space="preserve"> 2005; </w:t>
      </w:r>
      <w:r>
        <w:rPr>
          <w:rFonts w:ascii="Book Antiqua" w:hAnsi="Book Antiqua"/>
          <w:b/>
          <w:bCs/>
          <w:kern w:val="0"/>
          <w:sz w:val="24"/>
        </w:rPr>
        <w:t xml:space="preserve">9 </w:t>
      </w:r>
      <w:proofErr w:type="spellStart"/>
      <w:r>
        <w:rPr>
          <w:rFonts w:ascii="Book Antiqua" w:hAnsi="Book Antiqua"/>
          <w:kern w:val="0"/>
          <w:sz w:val="24"/>
        </w:rPr>
        <w:t>Suppl</w:t>
      </w:r>
      <w:proofErr w:type="spellEnd"/>
      <w:r>
        <w:rPr>
          <w:rFonts w:ascii="Book Antiqua" w:hAnsi="Book Antiqua"/>
          <w:kern w:val="0"/>
          <w:sz w:val="24"/>
        </w:rPr>
        <w:t xml:space="preserve"> 2: S51-S63 [PMID: 16437758 DOI: 10.1016/j.ejon.2005.09.007]</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40 </w:t>
      </w:r>
      <w:r>
        <w:rPr>
          <w:rFonts w:ascii="Book Antiqua" w:hAnsi="Book Antiqua"/>
          <w:b/>
          <w:bCs/>
          <w:kern w:val="0"/>
          <w:sz w:val="24"/>
        </w:rPr>
        <w:t>Lin JX</w:t>
      </w:r>
      <w:r>
        <w:rPr>
          <w:rFonts w:ascii="Book Antiqua" w:hAnsi="Book Antiqua"/>
          <w:kern w:val="0"/>
          <w:sz w:val="24"/>
        </w:rPr>
        <w:t xml:space="preserve">, Wang W, Lin JP, </w:t>
      </w:r>
      <w:proofErr w:type="spellStart"/>
      <w:r>
        <w:rPr>
          <w:rFonts w:ascii="Book Antiqua" w:hAnsi="Book Antiqua"/>
          <w:kern w:val="0"/>
          <w:sz w:val="24"/>
        </w:rPr>
        <w:t>Xie</w:t>
      </w:r>
      <w:proofErr w:type="spellEnd"/>
      <w:r>
        <w:rPr>
          <w:rFonts w:ascii="Book Antiqua" w:hAnsi="Book Antiqua"/>
          <w:kern w:val="0"/>
          <w:sz w:val="24"/>
        </w:rPr>
        <w:t xml:space="preserve"> JW, Wang JB, Lu J, Chen QY, Cao LL, Lin M, </w:t>
      </w:r>
      <w:proofErr w:type="spellStart"/>
      <w:r>
        <w:rPr>
          <w:rFonts w:ascii="Book Antiqua" w:hAnsi="Book Antiqua"/>
          <w:kern w:val="0"/>
          <w:sz w:val="24"/>
        </w:rPr>
        <w:t>Tu</w:t>
      </w:r>
      <w:proofErr w:type="spellEnd"/>
      <w:r>
        <w:rPr>
          <w:rFonts w:ascii="Book Antiqua" w:hAnsi="Book Antiqua"/>
          <w:kern w:val="0"/>
          <w:sz w:val="24"/>
        </w:rPr>
        <w:t xml:space="preserve"> R, </w:t>
      </w:r>
      <w:proofErr w:type="spellStart"/>
      <w:r>
        <w:rPr>
          <w:rFonts w:ascii="Book Antiqua" w:hAnsi="Book Antiqua"/>
          <w:kern w:val="0"/>
          <w:sz w:val="24"/>
        </w:rPr>
        <w:t>Zheng</w:t>
      </w:r>
      <w:proofErr w:type="spellEnd"/>
      <w:r>
        <w:rPr>
          <w:rFonts w:ascii="Book Antiqua" w:hAnsi="Book Antiqua"/>
          <w:kern w:val="0"/>
          <w:sz w:val="24"/>
        </w:rPr>
        <w:t xml:space="preserve"> CH, Huang CM, Zhou ZW, Li P. Preoperative Tumor Markers Independently Predict Survival in Stage III Gastric Cancer Patients: Should We Include Tumor Markers in AJCC Staging? </w:t>
      </w:r>
      <w:r>
        <w:rPr>
          <w:rFonts w:ascii="Book Antiqua" w:hAnsi="Book Antiqua"/>
          <w:i/>
          <w:iCs/>
          <w:kern w:val="0"/>
          <w:sz w:val="24"/>
        </w:rPr>
        <w:t xml:space="preserve">Ann </w:t>
      </w:r>
      <w:proofErr w:type="spellStart"/>
      <w:r>
        <w:rPr>
          <w:rFonts w:ascii="Book Antiqua" w:hAnsi="Book Antiqua"/>
          <w:i/>
          <w:iCs/>
          <w:kern w:val="0"/>
          <w:sz w:val="24"/>
        </w:rPr>
        <w:t>Surg</w:t>
      </w:r>
      <w:proofErr w:type="spellEnd"/>
      <w:r>
        <w:rPr>
          <w:rFonts w:ascii="Book Antiqua" w:hAnsi="Book Antiqua"/>
          <w:i/>
          <w:iCs/>
          <w:kern w:val="0"/>
          <w:sz w:val="24"/>
        </w:rPr>
        <w:t xml:space="preserve"> </w:t>
      </w:r>
      <w:proofErr w:type="spellStart"/>
      <w:r>
        <w:rPr>
          <w:rFonts w:ascii="Book Antiqua" w:hAnsi="Book Antiqua"/>
          <w:i/>
          <w:iCs/>
          <w:kern w:val="0"/>
          <w:sz w:val="24"/>
        </w:rPr>
        <w:t>Oncol</w:t>
      </w:r>
      <w:proofErr w:type="spellEnd"/>
      <w:r>
        <w:rPr>
          <w:rFonts w:ascii="Book Antiqua" w:hAnsi="Book Antiqua"/>
          <w:kern w:val="0"/>
          <w:sz w:val="24"/>
        </w:rPr>
        <w:t xml:space="preserve"> 2018; </w:t>
      </w:r>
      <w:r>
        <w:rPr>
          <w:rFonts w:ascii="Book Antiqua" w:hAnsi="Book Antiqua"/>
          <w:b/>
          <w:bCs/>
          <w:kern w:val="0"/>
          <w:sz w:val="24"/>
        </w:rPr>
        <w:t>25</w:t>
      </w:r>
      <w:r>
        <w:rPr>
          <w:rFonts w:ascii="Book Antiqua" w:hAnsi="Book Antiqua"/>
          <w:kern w:val="0"/>
          <w:sz w:val="24"/>
        </w:rPr>
        <w:t>: 2703-2712 [PMID: 29971670 DOI: 10.1245/s10434-018-6634-z]</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lastRenderedPageBreak/>
        <w:t xml:space="preserve">41 </w:t>
      </w:r>
      <w:r>
        <w:rPr>
          <w:rFonts w:ascii="Book Antiqua" w:hAnsi="Book Antiqua"/>
          <w:b/>
          <w:bCs/>
          <w:kern w:val="0"/>
          <w:sz w:val="24"/>
        </w:rPr>
        <w:t>Fujiya K</w:t>
      </w:r>
      <w:r>
        <w:rPr>
          <w:rFonts w:ascii="Book Antiqua" w:hAnsi="Book Antiqua"/>
          <w:kern w:val="0"/>
          <w:sz w:val="24"/>
        </w:rPr>
        <w:t xml:space="preserve">, Tokunaga M, </w:t>
      </w:r>
      <w:proofErr w:type="spellStart"/>
      <w:r>
        <w:rPr>
          <w:rFonts w:ascii="Book Antiqua" w:hAnsi="Book Antiqua"/>
          <w:kern w:val="0"/>
          <w:sz w:val="24"/>
        </w:rPr>
        <w:t>Makuuchi</w:t>
      </w:r>
      <w:proofErr w:type="spellEnd"/>
      <w:r>
        <w:rPr>
          <w:rFonts w:ascii="Book Antiqua" w:hAnsi="Book Antiqua"/>
          <w:kern w:val="0"/>
          <w:sz w:val="24"/>
        </w:rPr>
        <w:t xml:space="preserve"> R, </w:t>
      </w:r>
      <w:proofErr w:type="spellStart"/>
      <w:r>
        <w:rPr>
          <w:rFonts w:ascii="Book Antiqua" w:hAnsi="Book Antiqua"/>
          <w:kern w:val="0"/>
          <w:sz w:val="24"/>
        </w:rPr>
        <w:t>Nishiwaki</w:t>
      </w:r>
      <w:proofErr w:type="spellEnd"/>
      <w:r>
        <w:rPr>
          <w:rFonts w:ascii="Book Antiqua" w:hAnsi="Book Antiqua"/>
          <w:kern w:val="0"/>
          <w:sz w:val="24"/>
        </w:rPr>
        <w:t xml:space="preserve"> N, Omori H, Takagi W, Hirata F, </w:t>
      </w:r>
      <w:proofErr w:type="spellStart"/>
      <w:r>
        <w:rPr>
          <w:rFonts w:ascii="Book Antiqua" w:hAnsi="Book Antiqua"/>
          <w:kern w:val="0"/>
          <w:sz w:val="24"/>
        </w:rPr>
        <w:t>Hikage</w:t>
      </w:r>
      <w:proofErr w:type="spellEnd"/>
      <w:r>
        <w:rPr>
          <w:rFonts w:ascii="Book Antiqua" w:hAnsi="Book Antiqua"/>
          <w:kern w:val="0"/>
          <w:sz w:val="24"/>
        </w:rPr>
        <w:t xml:space="preserve"> M, </w:t>
      </w:r>
      <w:proofErr w:type="spellStart"/>
      <w:r>
        <w:rPr>
          <w:rFonts w:ascii="Book Antiqua" w:hAnsi="Book Antiqua"/>
          <w:kern w:val="0"/>
          <w:sz w:val="24"/>
        </w:rPr>
        <w:t>Tanizawa</w:t>
      </w:r>
      <w:proofErr w:type="spellEnd"/>
      <w:r>
        <w:rPr>
          <w:rFonts w:ascii="Book Antiqua" w:hAnsi="Book Antiqua"/>
          <w:kern w:val="0"/>
          <w:sz w:val="24"/>
        </w:rPr>
        <w:t xml:space="preserve"> Y, Bando E, Kawamura T, </w:t>
      </w:r>
      <w:proofErr w:type="spellStart"/>
      <w:r>
        <w:rPr>
          <w:rFonts w:ascii="Book Antiqua" w:hAnsi="Book Antiqua"/>
          <w:kern w:val="0"/>
          <w:sz w:val="24"/>
        </w:rPr>
        <w:t>Terashima</w:t>
      </w:r>
      <w:proofErr w:type="spellEnd"/>
      <w:r>
        <w:rPr>
          <w:rFonts w:ascii="Book Antiqua" w:hAnsi="Book Antiqua"/>
          <w:kern w:val="0"/>
          <w:sz w:val="24"/>
        </w:rPr>
        <w:t xml:space="preserve"> M. Early detection of </w:t>
      </w:r>
      <w:proofErr w:type="spellStart"/>
      <w:r>
        <w:rPr>
          <w:rFonts w:ascii="Book Antiqua" w:hAnsi="Book Antiqua"/>
          <w:kern w:val="0"/>
          <w:sz w:val="24"/>
        </w:rPr>
        <w:t>nonperitoneal</w:t>
      </w:r>
      <w:proofErr w:type="spellEnd"/>
      <w:r>
        <w:rPr>
          <w:rFonts w:ascii="Book Antiqua" w:hAnsi="Book Antiqua"/>
          <w:kern w:val="0"/>
          <w:sz w:val="24"/>
        </w:rPr>
        <w:t xml:space="preserve"> recurrence may contribute to survival benefit after curative </w:t>
      </w:r>
      <w:proofErr w:type="spellStart"/>
      <w:r>
        <w:rPr>
          <w:rFonts w:ascii="Book Antiqua" w:hAnsi="Book Antiqua"/>
          <w:kern w:val="0"/>
          <w:sz w:val="24"/>
        </w:rPr>
        <w:t>gastrectomy</w:t>
      </w:r>
      <w:proofErr w:type="spellEnd"/>
      <w:r>
        <w:rPr>
          <w:rFonts w:ascii="Book Antiqua" w:hAnsi="Book Antiqua"/>
          <w:kern w:val="0"/>
          <w:sz w:val="24"/>
        </w:rPr>
        <w:t xml:space="preserve"> for gastric cancer. </w:t>
      </w:r>
      <w:r>
        <w:rPr>
          <w:rFonts w:ascii="Book Antiqua" w:hAnsi="Book Antiqua"/>
          <w:i/>
          <w:iCs/>
          <w:kern w:val="0"/>
          <w:sz w:val="24"/>
        </w:rPr>
        <w:t>Gastric Cancer</w:t>
      </w:r>
      <w:r>
        <w:rPr>
          <w:rFonts w:ascii="Book Antiqua" w:hAnsi="Book Antiqua"/>
          <w:kern w:val="0"/>
          <w:sz w:val="24"/>
        </w:rPr>
        <w:t xml:space="preserve"> 2017; </w:t>
      </w:r>
      <w:r>
        <w:rPr>
          <w:rFonts w:ascii="Book Antiqua" w:hAnsi="Book Antiqua"/>
          <w:b/>
          <w:bCs/>
          <w:kern w:val="0"/>
          <w:sz w:val="24"/>
        </w:rPr>
        <w:t>20</w:t>
      </w:r>
      <w:r>
        <w:rPr>
          <w:rFonts w:ascii="Book Antiqua" w:hAnsi="Book Antiqua"/>
          <w:kern w:val="0"/>
          <w:sz w:val="24"/>
        </w:rPr>
        <w:t>: 141-149 [PMID: 27778124 DOI: 10.1007/s10120-016-0661-x]</w:t>
      </w:r>
    </w:p>
    <w:p w:rsidR="00EA588F" w:rsidRDefault="00EA588F">
      <w:pPr>
        <w:widowControl/>
        <w:adjustRightInd w:val="0"/>
        <w:snapToGrid w:val="0"/>
        <w:spacing w:line="360" w:lineRule="auto"/>
        <w:rPr>
          <w:rFonts w:ascii="Book Antiqua" w:hAnsi="Book Antiqua"/>
          <w:kern w:val="0"/>
          <w:sz w:val="24"/>
        </w:rPr>
      </w:pPr>
      <w:r>
        <w:rPr>
          <w:rFonts w:ascii="Book Antiqua" w:hAnsi="Book Antiqua"/>
          <w:kern w:val="0"/>
          <w:sz w:val="24"/>
        </w:rPr>
        <w:t xml:space="preserve">42 </w:t>
      </w:r>
      <w:r>
        <w:rPr>
          <w:rFonts w:ascii="Book Antiqua" w:hAnsi="Book Antiqua"/>
          <w:b/>
          <w:bCs/>
          <w:kern w:val="0"/>
          <w:sz w:val="24"/>
        </w:rPr>
        <w:t>Justice AC</w:t>
      </w:r>
      <w:r>
        <w:rPr>
          <w:rFonts w:ascii="Book Antiqua" w:hAnsi="Book Antiqua"/>
          <w:kern w:val="0"/>
          <w:sz w:val="24"/>
        </w:rPr>
        <w:t xml:space="preserve">, </w:t>
      </w:r>
      <w:proofErr w:type="spellStart"/>
      <w:r>
        <w:rPr>
          <w:rFonts w:ascii="Book Antiqua" w:hAnsi="Book Antiqua"/>
          <w:kern w:val="0"/>
          <w:sz w:val="24"/>
        </w:rPr>
        <w:t>Covinsky</w:t>
      </w:r>
      <w:proofErr w:type="spellEnd"/>
      <w:r>
        <w:rPr>
          <w:rFonts w:ascii="Book Antiqua" w:hAnsi="Book Antiqua"/>
          <w:kern w:val="0"/>
          <w:sz w:val="24"/>
        </w:rPr>
        <w:t xml:space="preserve"> KE, Berlin JA. Assessing the generalizability of prognostic information. </w:t>
      </w:r>
      <w:r>
        <w:rPr>
          <w:rFonts w:ascii="Book Antiqua" w:hAnsi="Book Antiqua"/>
          <w:i/>
          <w:iCs/>
          <w:kern w:val="0"/>
          <w:sz w:val="24"/>
        </w:rPr>
        <w:t>Ann Intern Med</w:t>
      </w:r>
      <w:r>
        <w:rPr>
          <w:rFonts w:ascii="Book Antiqua" w:hAnsi="Book Antiqua"/>
          <w:kern w:val="0"/>
          <w:sz w:val="24"/>
        </w:rPr>
        <w:t xml:space="preserve"> 1999; </w:t>
      </w:r>
      <w:r>
        <w:rPr>
          <w:rFonts w:ascii="Book Antiqua" w:hAnsi="Book Antiqua"/>
          <w:b/>
          <w:bCs/>
          <w:kern w:val="0"/>
          <w:sz w:val="24"/>
        </w:rPr>
        <w:t>130</w:t>
      </w:r>
      <w:r>
        <w:rPr>
          <w:rFonts w:ascii="Book Antiqua" w:hAnsi="Book Antiqua"/>
          <w:kern w:val="0"/>
          <w:sz w:val="24"/>
        </w:rPr>
        <w:t>: 515-524 [PMID: 10075620 DOI: 10.7326/0003-4819-130-6-199903160-00016]</w:t>
      </w:r>
    </w:p>
    <w:p w:rsidR="00EA588F" w:rsidRDefault="00EA588F">
      <w:pPr>
        <w:widowControl/>
        <w:adjustRightInd w:val="0"/>
        <w:snapToGrid w:val="0"/>
        <w:spacing w:line="360" w:lineRule="auto"/>
        <w:jc w:val="right"/>
        <w:rPr>
          <w:rFonts w:ascii="Book Antiqua" w:hAnsi="Book Antiqua" w:cs="Times New Roman"/>
          <w:b/>
          <w:bCs/>
          <w:kern w:val="0"/>
          <w:sz w:val="24"/>
        </w:rPr>
      </w:pPr>
      <w:bookmarkStart w:id="91" w:name="OLE_LINK148"/>
      <w:bookmarkStart w:id="92" w:name="OLE_LINK320"/>
      <w:bookmarkStart w:id="93" w:name="OLE_LINK387"/>
      <w:bookmarkStart w:id="94" w:name="OLE_LINK254"/>
      <w:bookmarkStart w:id="95" w:name="OLE_LINK149"/>
      <w:bookmarkStart w:id="96" w:name="OLE_LINK225"/>
      <w:bookmarkStart w:id="97" w:name="OLE_LINK207"/>
      <w:bookmarkStart w:id="98" w:name="OLE_LINK226"/>
      <w:bookmarkStart w:id="99" w:name="OLE_LINK212"/>
      <w:bookmarkStart w:id="100" w:name="OLE_LINK250"/>
      <w:bookmarkStart w:id="101" w:name="OLE_LINK281"/>
      <w:bookmarkStart w:id="102" w:name="OLE_LINK282"/>
      <w:bookmarkStart w:id="103" w:name="OLE_LINK313"/>
      <w:bookmarkStart w:id="104" w:name="OLE_LINK304"/>
      <w:bookmarkStart w:id="105" w:name="OLE_LINK321"/>
      <w:bookmarkStart w:id="106" w:name="OLE_LINK385"/>
      <w:bookmarkStart w:id="107" w:name="OLE_LINK400"/>
      <w:bookmarkStart w:id="108" w:name="OLE_LINK346"/>
      <w:bookmarkStart w:id="109" w:name="OLE_LINK371"/>
      <w:bookmarkStart w:id="110" w:name="OLE_LINK334"/>
      <w:bookmarkStart w:id="111" w:name="OLE_LINK1830"/>
      <w:bookmarkStart w:id="112" w:name="OLE_LINK457"/>
      <w:bookmarkStart w:id="113" w:name="OLE_LINK288"/>
      <w:bookmarkStart w:id="114" w:name="OLE_LINK384"/>
      <w:bookmarkStart w:id="115" w:name="OLE_LINK379"/>
      <w:bookmarkStart w:id="116" w:name="OLE_LINK303"/>
      <w:bookmarkStart w:id="117" w:name="OLE_LINK450"/>
      <w:bookmarkStart w:id="118" w:name="OLE_LINK489"/>
      <w:bookmarkStart w:id="119" w:name="OLE_LINK535"/>
      <w:bookmarkStart w:id="120" w:name="OLE_LINK648"/>
      <w:bookmarkStart w:id="121" w:name="OLE_LINK686"/>
      <w:bookmarkStart w:id="122" w:name="OLE_LINK471"/>
      <w:bookmarkStart w:id="123" w:name="OLE_LINK462"/>
      <w:bookmarkStart w:id="124" w:name="OLE_LINK519"/>
      <w:bookmarkStart w:id="125" w:name="OLE_LINK575"/>
      <w:bookmarkStart w:id="126" w:name="OLE_LINK491"/>
      <w:bookmarkStart w:id="127" w:name="OLE_LINK532"/>
      <w:bookmarkStart w:id="128" w:name="OLE_LINK572"/>
      <w:bookmarkStart w:id="129" w:name="OLE_LINK574"/>
      <w:bookmarkStart w:id="130" w:name="OLE_LINK480"/>
      <w:bookmarkStart w:id="131" w:name="OLE_LINK567"/>
      <w:bookmarkStart w:id="132" w:name="OLE_LINK2700"/>
      <w:bookmarkStart w:id="133" w:name="OLE_LINK581"/>
      <w:bookmarkStart w:id="134" w:name="OLE_LINK639"/>
      <w:bookmarkStart w:id="135" w:name="OLE_LINK688"/>
      <w:bookmarkStart w:id="136" w:name="OLE_LINK722"/>
      <w:bookmarkStart w:id="137" w:name="OLE_LINK542"/>
      <w:bookmarkStart w:id="138" w:name="OLE_LINK589"/>
      <w:bookmarkStart w:id="139" w:name="OLE_LINK582"/>
      <w:bookmarkStart w:id="140" w:name="OLE_LINK640"/>
      <w:bookmarkStart w:id="141" w:name="OLE_LINK714"/>
      <w:bookmarkStart w:id="142" w:name="OLE_LINK593"/>
      <w:bookmarkStart w:id="143" w:name="OLE_LINK716"/>
      <w:bookmarkStart w:id="144" w:name="OLE_LINK770"/>
      <w:bookmarkStart w:id="145" w:name="OLE_LINK801"/>
      <w:bookmarkStart w:id="146" w:name="OLE_LINK660"/>
      <w:bookmarkStart w:id="147" w:name="OLE_LINK781"/>
      <w:bookmarkStart w:id="148" w:name="OLE_LINK833"/>
      <w:bookmarkStart w:id="149" w:name="OLE_LINK642"/>
      <w:bookmarkStart w:id="150" w:name="OLE_LINK700"/>
      <w:bookmarkStart w:id="151" w:name="OLE_LINK792"/>
      <w:bookmarkStart w:id="152" w:name="OLE_LINK2882"/>
      <w:bookmarkStart w:id="153" w:name="OLE_LINK836"/>
      <w:bookmarkStart w:id="154" w:name="OLE_LINK889"/>
      <w:bookmarkStart w:id="155" w:name="OLE_LINK782"/>
      <w:bookmarkStart w:id="156" w:name="OLE_LINK826"/>
      <w:bookmarkStart w:id="157" w:name="OLE_LINK865"/>
      <w:bookmarkStart w:id="158" w:name="OLE_LINK856"/>
      <w:bookmarkStart w:id="159" w:name="OLE_LINK908"/>
      <w:bookmarkStart w:id="160" w:name="OLE_LINK980"/>
      <w:bookmarkStart w:id="161" w:name="OLE_LINK1018"/>
      <w:bookmarkStart w:id="162" w:name="OLE_LINK1049"/>
      <w:bookmarkStart w:id="163" w:name="OLE_LINK1076"/>
      <w:bookmarkStart w:id="164" w:name="OLE_LINK1106"/>
      <w:bookmarkStart w:id="165" w:name="OLE_LINK891"/>
      <w:bookmarkStart w:id="166" w:name="OLE_LINK943"/>
      <w:bookmarkStart w:id="167" w:name="OLE_LINK981"/>
      <w:bookmarkStart w:id="168" w:name="OLE_LINK1030"/>
      <w:bookmarkStart w:id="169" w:name="OLE_LINK847"/>
      <w:bookmarkStart w:id="170" w:name="OLE_LINK909"/>
      <w:bookmarkStart w:id="171" w:name="OLE_LINK906"/>
      <w:bookmarkStart w:id="172" w:name="OLE_LINK992"/>
      <w:bookmarkStart w:id="173" w:name="OLE_LINK993"/>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bookmarkStart w:id="190" w:name="OLE_LINK33"/>
      <w:bookmarkStart w:id="191" w:name="OLE_LINK34"/>
      <w:bookmarkStart w:id="192" w:name="OLE_LINK386"/>
      <w:bookmarkStart w:id="193" w:name="OLE_LINK599"/>
      <w:bookmarkStart w:id="194" w:name="OLE_LINK87"/>
      <w:r>
        <w:rPr>
          <w:rFonts w:ascii="Book Antiqua" w:hAnsi="Book Antiqua" w:cs="Times New Roman"/>
          <w:b/>
          <w:bCs/>
          <w:kern w:val="0"/>
          <w:sz w:val="24"/>
        </w:rPr>
        <w:t xml:space="preserve">P-Reviewer: </w:t>
      </w:r>
      <w:proofErr w:type="spellStart"/>
      <w:r>
        <w:rPr>
          <w:rFonts w:ascii="Book Antiqua" w:hAnsi="Book Antiqua" w:cs="Times New Roman"/>
          <w:bCs/>
          <w:kern w:val="0"/>
          <w:sz w:val="24"/>
        </w:rPr>
        <w:t>Merrett</w:t>
      </w:r>
      <w:proofErr w:type="spellEnd"/>
      <w:r>
        <w:rPr>
          <w:rFonts w:ascii="Book Antiqua" w:hAnsi="Book Antiqua" w:cs="Times New Roman"/>
          <w:bCs/>
          <w:kern w:val="0"/>
          <w:sz w:val="24"/>
        </w:rPr>
        <w:t xml:space="preserve"> ND, </w:t>
      </w:r>
      <w:proofErr w:type="spellStart"/>
      <w:r>
        <w:rPr>
          <w:rFonts w:ascii="Book Antiqua" w:hAnsi="Book Antiqua" w:cs="Times New Roman"/>
          <w:bCs/>
          <w:kern w:val="0"/>
          <w:sz w:val="24"/>
        </w:rPr>
        <w:t>Silsirivanit</w:t>
      </w:r>
      <w:proofErr w:type="spellEnd"/>
      <w:r>
        <w:rPr>
          <w:rFonts w:ascii="Book Antiqua" w:hAnsi="Book Antiqua" w:cs="Times New Roman"/>
          <w:bCs/>
          <w:kern w:val="0"/>
          <w:sz w:val="24"/>
        </w:rPr>
        <w:t xml:space="preserve"> A, Young CJ</w:t>
      </w:r>
    </w:p>
    <w:p w:rsidR="00EA588F" w:rsidRDefault="00EA588F">
      <w:pPr>
        <w:widowControl/>
        <w:wordWrap w:val="0"/>
        <w:adjustRightInd w:val="0"/>
        <w:snapToGrid w:val="0"/>
        <w:spacing w:line="360" w:lineRule="auto"/>
        <w:jc w:val="right"/>
        <w:rPr>
          <w:rFonts w:ascii="Book Antiqua" w:hAnsi="Book Antiqua" w:cs="Times New Roman"/>
          <w:kern w:val="0"/>
          <w:sz w:val="24"/>
        </w:rPr>
      </w:pPr>
      <w:r>
        <w:rPr>
          <w:rFonts w:ascii="Book Antiqua" w:hAnsi="Book Antiqua" w:cs="Times New Roman"/>
          <w:b/>
          <w:bCs/>
          <w:kern w:val="0"/>
          <w:sz w:val="24"/>
        </w:rPr>
        <w:t>S-Editor:</w:t>
      </w:r>
      <w:r>
        <w:rPr>
          <w:rFonts w:ascii="Book Antiqua" w:hAnsi="Book Antiqua" w:cs="Times New Roman"/>
          <w:kern w:val="0"/>
          <w:sz w:val="24"/>
        </w:rPr>
        <w:t xml:space="preserve"> Tang JZ </w:t>
      </w:r>
      <w:r>
        <w:rPr>
          <w:rFonts w:ascii="Book Antiqua" w:hAnsi="Book Antiqua" w:cs="Times New Roman"/>
          <w:b/>
          <w:bCs/>
          <w:kern w:val="0"/>
          <w:sz w:val="24"/>
        </w:rPr>
        <w:t>L-Editor:</w:t>
      </w:r>
      <w:r>
        <w:rPr>
          <w:rFonts w:ascii="Book Antiqua" w:hAnsi="Book Antiqua" w:cs="Times New Roman"/>
          <w:kern w:val="0"/>
          <w:sz w:val="24"/>
        </w:rPr>
        <w:t xml:space="preserve"> Wang TQ </w:t>
      </w:r>
      <w:r>
        <w:rPr>
          <w:rFonts w:ascii="Book Antiqua" w:hAnsi="Book Antiqua" w:cs="Times New Roman"/>
          <w:b/>
          <w:bCs/>
          <w:kern w:val="0"/>
          <w:sz w:val="24"/>
        </w:rPr>
        <w:t>E-Editor:</w:t>
      </w:r>
      <w:bookmarkStart w:id="195" w:name="_GoBack"/>
      <w:r w:rsidR="00CD5D5E" w:rsidRPr="00CD5D5E">
        <w:rPr>
          <w:rFonts w:ascii="Book Antiqua" w:hAnsi="Book Antiqua" w:cs="Times New Roman" w:hint="eastAsia"/>
          <w:bCs/>
          <w:kern w:val="0"/>
          <w:sz w:val="24"/>
        </w:rPr>
        <w:t xml:space="preserve"> Ma YJ</w:t>
      </w:r>
      <w:bookmarkEnd w:id="195"/>
    </w:p>
    <w:p w:rsidR="00EA588F" w:rsidRDefault="00EA588F">
      <w:pPr>
        <w:widowControl/>
        <w:shd w:val="clear" w:color="auto" w:fill="FFFFFF"/>
        <w:adjustRightInd w:val="0"/>
        <w:snapToGrid w:val="0"/>
        <w:spacing w:line="360" w:lineRule="auto"/>
        <w:rPr>
          <w:rFonts w:ascii="Book Antiqua" w:hAnsi="Book Antiqua" w:cs="Helvetica"/>
          <w:b/>
          <w:kern w:val="0"/>
          <w:sz w:val="24"/>
        </w:rPr>
      </w:pPr>
      <w:bookmarkStart w:id="196" w:name="OLE_LINK880"/>
      <w:bookmarkStart w:id="197" w:name="OLE_LINK88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ascii="Book Antiqua" w:hAnsi="Book Antiqua" w:cs="Helvetica"/>
          <w:b/>
          <w:kern w:val="0"/>
          <w:sz w:val="24"/>
        </w:rPr>
        <w:t xml:space="preserve">Specialty type: </w:t>
      </w:r>
      <w:r>
        <w:rPr>
          <w:rFonts w:ascii="Book Antiqua" w:hAnsi="Book Antiqua" w:cs="Helvetica"/>
          <w:kern w:val="0"/>
          <w:sz w:val="24"/>
        </w:rPr>
        <w:t xml:space="preserve">Gastroenterology and </w:t>
      </w:r>
      <w:proofErr w:type="spellStart"/>
      <w:r>
        <w:rPr>
          <w:rFonts w:ascii="Book Antiqua" w:hAnsi="Book Antiqua" w:cs="Helvetica"/>
          <w:kern w:val="0"/>
          <w:sz w:val="24"/>
        </w:rPr>
        <w:t>hepatology</w:t>
      </w:r>
      <w:proofErr w:type="spellEnd"/>
    </w:p>
    <w:p w:rsidR="00EA588F" w:rsidRDefault="00EA588F">
      <w:pPr>
        <w:widowControl/>
        <w:shd w:val="clear" w:color="auto" w:fill="FFFFFF"/>
        <w:adjustRightInd w:val="0"/>
        <w:snapToGrid w:val="0"/>
        <w:spacing w:line="360" w:lineRule="auto"/>
        <w:rPr>
          <w:rFonts w:ascii="Book Antiqua" w:hAnsi="Book Antiqua" w:cs="Helvetica"/>
          <w:b/>
          <w:kern w:val="0"/>
          <w:sz w:val="24"/>
        </w:rPr>
      </w:pPr>
      <w:r>
        <w:rPr>
          <w:rFonts w:ascii="Book Antiqua" w:hAnsi="Book Antiqua" w:cs="Helvetica"/>
          <w:b/>
          <w:kern w:val="0"/>
          <w:sz w:val="24"/>
        </w:rPr>
        <w:t xml:space="preserve">Country of origin: </w:t>
      </w:r>
      <w:r>
        <w:rPr>
          <w:rFonts w:ascii="Book Antiqua" w:hAnsi="Book Antiqua" w:cs="Helvetica"/>
          <w:kern w:val="0"/>
          <w:sz w:val="24"/>
        </w:rPr>
        <w:t>China</w:t>
      </w:r>
    </w:p>
    <w:p w:rsidR="00EA588F" w:rsidRDefault="00EA588F">
      <w:pPr>
        <w:widowControl/>
        <w:shd w:val="clear" w:color="auto" w:fill="FFFFFF"/>
        <w:adjustRightInd w:val="0"/>
        <w:snapToGrid w:val="0"/>
        <w:spacing w:line="360" w:lineRule="auto"/>
        <w:rPr>
          <w:rFonts w:ascii="Book Antiqua" w:hAnsi="Book Antiqua" w:cs="Helvetica"/>
          <w:b/>
          <w:kern w:val="0"/>
          <w:sz w:val="24"/>
        </w:rPr>
      </w:pPr>
      <w:r>
        <w:rPr>
          <w:rFonts w:ascii="Book Antiqua" w:hAnsi="Book Antiqua" w:cs="Helvetica"/>
          <w:b/>
          <w:kern w:val="0"/>
          <w:sz w:val="24"/>
        </w:rPr>
        <w:t>Peer-review report classification</w:t>
      </w:r>
    </w:p>
    <w:p w:rsidR="00EA588F" w:rsidRDefault="00EA588F">
      <w:pPr>
        <w:widowControl/>
        <w:shd w:val="clear" w:color="auto" w:fill="FFFFFF"/>
        <w:adjustRightInd w:val="0"/>
        <w:snapToGrid w:val="0"/>
        <w:spacing w:line="360" w:lineRule="auto"/>
        <w:rPr>
          <w:rFonts w:ascii="Book Antiqua" w:hAnsi="Book Antiqua" w:cs="Helvetica"/>
          <w:kern w:val="0"/>
          <w:sz w:val="24"/>
        </w:rPr>
      </w:pPr>
      <w:r>
        <w:rPr>
          <w:rFonts w:ascii="Book Antiqua" w:hAnsi="Book Antiqua" w:cs="Helvetica"/>
          <w:kern w:val="0"/>
          <w:sz w:val="24"/>
        </w:rPr>
        <w:t>Grade A (Excellent): 0</w:t>
      </w:r>
    </w:p>
    <w:p w:rsidR="00EA588F" w:rsidRDefault="00EA588F">
      <w:pPr>
        <w:widowControl/>
        <w:shd w:val="clear" w:color="auto" w:fill="FFFFFF"/>
        <w:adjustRightInd w:val="0"/>
        <w:snapToGrid w:val="0"/>
        <w:spacing w:line="360" w:lineRule="auto"/>
        <w:rPr>
          <w:rFonts w:ascii="Book Antiqua" w:hAnsi="Book Antiqua" w:cs="Helvetica"/>
          <w:kern w:val="0"/>
          <w:sz w:val="24"/>
        </w:rPr>
      </w:pPr>
      <w:r>
        <w:rPr>
          <w:rFonts w:ascii="Book Antiqua" w:hAnsi="Book Antiqua" w:cs="Helvetica"/>
          <w:kern w:val="0"/>
          <w:sz w:val="24"/>
        </w:rPr>
        <w:t>Grade B (Very good): B</w:t>
      </w:r>
    </w:p>
    <w:p w:rsidR="00EA588F" w:rsidRDefault="00EA588F">
      <w:pPr>
        <w:widowControl/>
        <w:shd w:val="clear" w:color="auto" w:fill="FFFFFF"/>
        <w:adjustRightInd w:val="0"/>
        <w:snapToGrid w:val="0"/>
        <w:spacing w:line="360" w:lineRule="auto"/>
        <w:rPr>
          <w:rFonts w:ascii="Book Antiqua" w:hAnsi="Book Antiqua" w:cs="Helvetica"/>
          <w:kern w:val="0"/>
          <w:sz w:val="24"/>
        </w:rPr>
      </w:pPr>
      <w:r>
        <w:rPr>
          <w:rFonts w:ascii="Book Antiqua" w:hAnsi="Book Antiqua" w:cs="Helvetica"/>
          <w:kern w:val="0"/>
          <w:sz w:val="24"/>
        </w:rPr>
        <w:t>Grade C (Good): C, C</w:t>
      </w:r>
    </w:p>
    <w:p w:rsidR="00EA588F" w:rsidRDefault="00EA588F">
      <w:pPr>
        <w:widowControl/>
        <w:shd w:val="clear" w:color="auto" w:fill="FFFFFF"/>
        <w:adjustRightInd w:val="0"/>
        <w:snapToGrid w:val="0"/>
        <w:spacing w:line="360" w:lineRule="auto"/>
        <w:rPr>
          <w:rFonts w:ascii="Book Antiqua" w:hAnsi="Book Antiqua" w:cs="Helvetica"/>
          <w:kern w:val="0"/>
          <w:sz w:val="24"/>
        </w:rPr>
      </w:pPr>
      <w:r>
        <w:rPr>
          <w:rFonts w:ascii="Book Antiqua" w:hAnsi="Book Antiqua" w:cs="Helvetica"/>
          <w:kern w:val="0"/>
          <w:sz w:val="24"/>
        </w:rPr>
        <w:t>Grade D (Fair): 0</w:t>
      </w:r>
    </w:p>
    <w:p w:rsidR="00EA588F" w:rsidRDefault="00EA588F">
      <w:pPr>
        <w:widowControl/>
        <w:adjustRightInd w:val="0"/>
        <w:snapToGrid w:val="0"/>
        <w:spacing w:line="360" w:lineRule="auto"/>
        <w:rPr>
          <w:rFonts w:ascii="Book Antiqua" w:hAnsi="Book Antiqua" w:cs="Times New Roman"/>
          <w:b/>
          <w:iCs/>
          <w:kern w:val="0"/>
          <w:sz w:val="24"/>
        </w:rPr>
      </w:pPr>
      <w:r>
        <w:rPr>
          <w:rFonts w:ascii="Book Antiqua" w:hAnsi="Book Antiqua" w:cs="Helvetica"/>
          <w:kern w:val="0"/>
          <w:sz w:val="24"/>
        </w:rPr>
        <w:t>Grade E (Poor): 0</w:t>
      </w:r>
      <w:bookmarkEnd w:id="190"/>
      <w:bookmarkEnd w:id="191"/>
      <w:bookmarkEnd w:id="192"/>
      <w:bookmarkEnd w:id="193"/>
      <w:bookmarkEnd w:id="194"/>
      <w:bookmarkEnd w:id="196"/>
      <w:bookmarkEnd w:id="197"/>
    </w:p>
    <w:p w:rsidR="00EA588F" w:rsidRDefault="00EA588F">
      <w:pPr>
        <w:widowControl/>
        <w:adjustRightInd w:val="0"/>
        <w:snapToGrid w:val="0"/>
        <w:spacing w:line="360" w:lineRule="auto"/>
        <w:rPr>
          <w:rFonts w:ascii="Book Antiqua" w:hAnsi="Book Antiqua"/>
          <w:b/>
          <w:kern w:val="0"/>
          <w:sz w:val="24"/>
        </w:rPr>
      </w:pPr>
      <w:bookmarkStart w:id="198" w:name="OLE_LINK416"/>
      <w:bookmarkStart w:id="199" w:name="OLE_LINK419"/>
      <w:r>
        <w:rPr>
          <w:rFonts w:ascii="Book Antiqua" w:hAnsi="Book Antiqua"/>
          <w:b/>
          <w:kern w:val="0"/>
          <w:sz w:val="24"/>
        </w:rPr>
        <w:br w:type="page"/>
      </w:r>
      <w:bookmarkEnd w:id="198"/>
      <w:bookmarkEnd w:id="199"/>
      <w:r w:rsidR="00FA4868">
        <w:rPr>
          <w:rFonts w:ascii="Book Antiqua" w:hAnsi="Book Antiqua"/>
          <w:noProof/>
          <w:sz w:val="24"/>
        </w:rPr>
        <w:lastRenderedPageBreak/>
        <w:drawing>
          <wp:inline distT="0" distB="0" distL="0" distR="0">
            <wp:extent cx="5274310" cy="32505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50565"/>
                    </a:xfrm>
                    <a:prstGeom prst="rect">
                      <a:avLst/>
                    </a:prstGeom>
                    <a:noFill/>
                    <a:ln>
                      <a:noFill/>
                    </a:ln>
                  </pic:spPr>
                </pic:pic>
              </a:graphicData>
            </a:graphic>
          </wp:inline>
        </w:drawing>
      </w:r>
    </w:p>
    <w:p w:rsidR="00EA588F" w:rsidRDefault="00EA588F">
      <w:pPr>
        <w:widowControl/>
        <w:adjustRightInd w:val="0"/>
        <w:snapToGrid w:val="0"/>
        <w:spacing w:line="360" w:lineRule="auto"/>
        <w:rPr>
          <w:rFonts w:ascii="Book Antiqua" w:hAnsi="Book Antiqua" w:cs="Times New Roman"/>
          <w:sz w:val="24"/>
        </w:rPr>
      </w:pPr>
      <w:r>
        <w:rPr>
          <w:rFonts w:ascii="Book Antiqua" w:hAnsi="Book Antiqua" w:cs="Times New Roman"/>
          <w:b/>
          <w:bCs/>
          <w:sz w:val="24"/>
        </w:rPr>
        <w:t>Figure 1 Construction of the blood parameters score, a classifier comprising five blood parameters.</w:t>
      </w:r>
      <w:r>
        <w:rPr>
          <w:rFonts w:ascii="Book Antiqua" w:hAnsi="Book Antiqua" w:cs="Times New Roman"/>
          <w:sz w:val="24"/>
        </w:rPr>
        <w:t xml:space="preserve"> A: Least absolute shrinkage and selection operator (LASSO) coefficient profiles of the nine blood parameters. The vertical line indicates the value chosen by 10-fold cross-validation; B: Ten-fold cross-validation for tuning parameter selection in the LASSO Cox model. Solid vertical lines represent partial likelihood deviance </w:t>
      </w:r>
      <w:r>
        <w:rPr>
          <w:rFonts w:ascii="Book Antiqua" w:hAnsi="Book Antiqua" w:cs="Times New Roman"/>
          <w:sz w:val="24"/>
        </w:rPr>
        <w:sym w:font="Symbol" w:char="F0B1"/>
      </w:r>
      <w:r>
        <w:rPr>
          <w:rFonts w:ascii="Book Antiqua" w:hAnsi="Book Antiqua" w:cs="Times New Roman"/>
          <w:sz w:val="24"/>
        </w:rPr>
        <w:t xml:space="preserve"> standard error. We plotted the partial likelihood deviance </w:t>
      </w:r>
      <w:proofErr w:type="spellStart"/>
      <w:r>
        <w:rPr>
          <w:rFonts w:ascii="Book Antiqua" w:hAnsi="Book Antiqua" w:cs="Times New Roman"/>
          <w:i/>
          <w:iCs/>
          <w:sz w:val="24"/>
        </w:rPr>
        <w:t>vs</w:t>
      </w:r>
      <w:proofErr w:type="spellEnd"/>
      <w:r>
        <w:rPr>
          <w:rFonts w:ascii="Book Antiqua" w:hAnsi="Book Antiqua" w:cs="Times New Roman"/>
          <w:sz w:val="24"/>
        </w:rPr>
        <w:t xml:space="preserve"> log (</w:t>
      </w:r>
      <w:r>
        <w:rPr>
          <w:rFonts w:ascii="Book Antiqua" w:hAnsi="Book Antiqua" w:cs="Times New Roman"/>
          <w:sz w:val="24"/>
        </w:rPr>
        <w:sym w:font="Symbol" w:char="F06C"/>
      </w:r>
      <w:r>
        <w:rPr>
          <w:rFonts w:ascii="Book Antiqua" w:hAnsi="Book Antiqua" w:cs="Times New Roman"/>
          <w:sz w:val="24"/>
        </w:rPr>
        <w:t xml:space="preserve">), where </w:t>
      </w:r>
      <w:r>
        <w:rPr>
          <w:rFonts w:ascii="Book Antiqua" w:hAnsi="Book Antiqua" w:cs="Times New Roman"/>
          <w:sz w:val="24"/>
        </w:rPr>
        <w:sym w:font="Symbol" w:char="F06C"/>
      </w:r>
      <w:r>
        <w:rPr>
          <w:rFonts w:ascii="Book Antiqua" w:hAnsi="Book Antiqua" w:cs="Times New Roman"/>
          <w:sz w:val="24"/>
        </w:rPr>
        <w:t xml:space="preserve"> is the tuning parameter. The vertical lines are drawn at the optimal values by minimum criteria and 1 - S.E. criteria.</w:t>
      </w:r>
    </w:p>
    <w:p w:rsidR="00EA588F" w:rsidRDefault="00EA588F">
      <w:pPr>
        <w:widowControl/>
        <w:adjustRightInd w:val="0"/>
        <w:snapToGrid w:val="0"/>
        <w:spacing w:line="360" w:lineRule="auto"/>
        <w:rPr>
          <w:rFonts w:ascii="Book Antiqua" w:hAnsi="Book Antiqua" w:cs="Times New Roman"/>
          <w:sz w:val="24"/>
        </w:rPr>
      </w:pPr>
      <w:r>
        <w:rPr>
          <w:rFonts w:ascii="Book Antiqua" w:hAnsi="Book Antiqua" w:cs="Times New Roman"/>
          <w:sz w:val="24"/>
        </w:rPr>
        <w:br w:type="page"/>
      </w:r>
      <w:r w:rsidR="00FA4868">
        <w:rPr>
          <w:rFonts w:ascii="Book Antiqua" w:hAnsi="Book Antiqua"/>
          <w:noProof/>
          <w:sz w:val="24"/>
        </w:rPr>
        <w:lastRenderedPageBreak/>
        <w:drawing>
          <wp:inline distT="0" distB="0" distL="0" distR="0">
            <wp:extent cx="3781425" cy="704977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7049770"/>
                    </a:xfrm>
                    <a:prstGeom prst="rect">
                      <a:avLst/>
                    </a:prstGeom>
                    <a:noFill/>
                    <a:ln>
                      <a:noFill/>
                    </a:ln>
                  </pic:spPr>
                </pic:pic>
              </a:graphicData>
            </a:graphic>
          </wp:inline>
        </w:drawing>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Figure 2 Survival impact of the blood parameters score measured by Kaplan-Meier survival.</w:t>
      </w:r>
      <w:r>
        <w:rPr>
          <w:rFonts w:ascii="Book Antiqua" w:hAnsi="Book Antiqua" w:cs="Times New Roman"/>
          <w:sz w:val="24"/>
        </w:rPr>
        <w:t xml:space="preserve"> A: Survival impact of the blood parameters (BPM) score measured by Kaplan-Meier survival in the developing cohort; B: Survival impact of the BPM score measured by Kaplan-Meier survival in the validation cohort. We calculated </w:t>
      </w:r>
      <w:r>
        <w:rPr>
          <w:rFonts w:ascii="Book Antiqua" w:hAnsi="Book Antiqua" w:cs="Times New Roman"/>
          <w:i/>
          <w:sz w:val="24"/>
        </w:rPr>
        <w:t>P</w:t>
      </w:r>
      <w:r>
        <w:rPr>
          <w:rFonts w:ascii="Book Antiqua" w:hAnsi="Book Antiqua" w:cs="Times New Roman"/>
          <w:sz w:val="24"/>
        </w:rPr>
        <w:t xml:space="preserve">-values using the log-rank test; C: Time-dependent receiver operating characteristic curves of BPM score, </w:t>
      </w:r>
      <w:r>
        <w:rPr>
          <w:rFonts w:ascii="Book Antiqua" w:hAnsi="Book Antiqua" w:cs="Times New Roman"/>
          <w:sz w:val="24"/>
        </w:rPr>
        <w:lastRenderedPageBreak/>
        <w:t>prognostic nutritional index (PNI), controlling nutritional status (CONUT), and modified systemic inflammation score (</w:t>
      </w:r>
      <w:proofErr w:type="spellStart"/>
      <w:r>
        <w:rPr>
          <w:rFonts w:ascii="Book Antiqua" w:hAnsi="Book Antiqua" w:cs="Times New Roman"/>
          <w:sz w:val="24"/>
        </w:rPr>
        <w:t>mSIS</w:t>
      </w:r>
      <w:proofErr w:type="spellEnd"/>
      <w:r>
        <w:rPr>
          <w:rFonts w:ascii="Book Antiqua" w:hAnsi="Book Antiqua" w:cs="Times New Roman"/>
          <w:sz w:val="24"/>
        </w:rPr>
        <w:t>) for the prediction of overall survival. PNI indicates prognostic nutritional index calculated as follows: 10 × serum albumin (g/L) + 0.005 × lymphocyte count (/mm</w:t>
      </w:r>
      <w:r>
        <w:rPr>
          <w:rFonts w:ascii="Book Antiqua" w:hAnsi="Book Antiqua" w:cs="Times New Roman"/>
          <w:sz w:val="24"/>
          <w:vertAlign w:val="superscript"/>
        </w:rPr>
        <w:t>3</w:t>
      </w:r>
      <w:r>
        <w:rPr>
          <w:rFonts w:ascii="Book Antiqua" w:hAnsi="Book Antiqua" w:cs="Times New Roman"/>
          <w:sz w:val="24"/>
        </w:rPr>
        <w:t xml:space="preserve">). CONUT indicates controlling nutritional status, a scoring system calculated by summing the value of serum albumin, total cholesterol, and total lymphocyte count. </w:t>
      </w:r>
      <w:proofErr w:type="spellStart"/>
      <w:r>
        <w:rPr>
          <w:rFonts w:ascii="Book Antiqua" w:hAnsi="Book Antiqua" w:cs="Times New Roman"/>
          <w:sz w:val="24"/>
        </w:rPr>
        <w:t>mSIS</w:t>
      </w:r>
      <w:proofErr w:type="spellEnd"/>
      <w:r>
        <w:rPr>
          <w:rFonts w:ascii="Book Antiqua" w:hAnsi="Book Antiqua" w:cs="Times New Roman"/>
          <w:sz w:val="24"/>
        </w:rPr>
        <w:t xml:space="preserve"> indicates modified systemic inflammation score developed based on serum albumin and lymphocyte-monocyte ratio. PNI: Prognostic nutritional index; CONUT: Controlling nutritional status; </w:t>
      </w:r>
      <w:proofErr w:type="spellStart"/>
      <w:r>
        <w:rPr>
          <w:rFonts w:ascii="Book Antiqua" w:hAnsi="Book Antiqua" w:cs="Times New Roman"/>
          <w:sz w:val="24"/>
        </w:rPr>
        <w:t>mSIS</w:t>
      </w:r>
      <w:proofErr w:type="spellEnd"/>
      <w:r>
        <w:rPr>
          <w:rFonts w:ascii="Book Antiqua" w:hAnsi="Book Antiqua" w:cs="Times New Roman"/>
          <w:sz w:val="24"/>
        </w:rPr>
        <w:t>: Modified systemic inflammation score; BPM: Blood parameters.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br w:type="page"/>
      </w:r>
      <w:r w:rsidR="00FA4868">
        <w:rPr>
          <w:rFonts w:ascii="Book Antiqua" w:hAnsi="Book Antiqua"/>
          <w:noProof/>
          <w:sz w:val="24"/>
        </w:rPr>
        <w:lastRenderedPageBreak/>
        <w:drawing>
          <wp:inline distT="0" distB="0" distL="0" distR="0">
            <wp:extent cx="5274310" cy="4749165"/>
            <wp:effectExtent l="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749165"/>
                    </a:xfrm>
                    <a:prstGeom prst="rect">
                      <a:avLst/>
                    </a:prstGeom>
                    <a:noFill/>
                    <a:ln>
                      <a:noFill/>
                    </a:ln>
                  </pic:spPr>
                </pic:pic>
              </a:graphicData>
            </a:graphic>
          </wp:inline>
        </w:drawing>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Figure 3 Kaplan-Meier curves for overall survival and disease-specific survival in the high-blood parameters or low-blood parameters groups for different stages.</w:t>
      </w:r>
      <w:r>
        <w:rPr>
          <w:rFonts w:ascii="Book Antiqua" w:hAnsi="Book Antiqua" w:cs="Times New Roman"/>
          <w:sz w:val="24"/>
        </w:rPr>
        <w:t xml:space="preserve"> A: Stage </w:t>
      </w:r>
      <w:proofErr w:type="spellStart"/>
      <w:r>
        <w:rPr>
          <w:rFonts w:ascii="Book Antiqua" w:hAnsi="Book Antiqua" w:cs="Times New Roman"/>
          <w:sz w:val="24"/>
        </w:rPr>
        <w:t>IIa</w:t>
      </w:r>
      <w:proofErr w:type="spellEnd"/>
      <w:r>
        <w:rPr>
          <w:rFonts w:ascii="Book Antiqua" w:hAnsi="Book Antiqua" w:cs="Times New Roman"/>
          <w:sz w:val="24"/>
        </w:rPr>
        <w:t xml:space="preserve">; B: Stage </w:t>
      </w:r>
      <w:proofErr w:type="spellStart"/>
      <w:r>
        <w:rPr>
          <w:rFonts w:ascii="Book Antiqua" w:hAnsi="Book Antiqua" w:cs="Times New Roman"/>
          <w:sz w:val="24"/>
        </w:rPr>
        <w:t>IIb</w:t>
      </w:r>
      <w:proofErr w:type="spellEnd"/>
      <w:r>
        <w:rPr>
          <w:rFonts w:ascii="Book Antiqua" w:hAnsi="Book Antiqua" w:cs="Times New Roman"/>
          <w:sz w:val="24"/>
        </w:rPr>
        <w:t xml:space="preserve">; C: Stage </w:t>
      </w:r>
      <w:proofErr w:type="spellStart"/>
      <w:r>
        <w:rPr>
          <w:rFonts w:ascii="Book Antiqua" w:hAnsi="Book Antiqua" w:cs="Times New Roman"/>
          <w:sz w:val="24"/>
        </w:rPr>
        <w:t>IIIa</w:t>
      </w:r>
      <w:proofErr w:type="spellEnd"/>
      <w:r>
        <w:rPr>
          <w:rFonts w:ascii="Book Antiqua" w:hAnsi="Book Antiqua" w:cs="Times New Roman"/>
          <w:sz w:val="24"/>
        </w:rPr>
        <w:t xml:space="preserve">; D: Stage </w:t>
      </w:r>
      <w:proofErr w:type="spellStart"/>
      <w:r>
        <w:rPr>
          <w:rFonts w:ascii="Book Antiqua" w:hAnsi="Book Antiqua" w:cs="Times New Roman"/>
          <w:sz w:val="24"/>
        </w:rPr>
        <w:t>IIIb</w:t>
      </w:r>
      <w:proofErr w:type="spellEnd"/>
      <w:r>
        <w:rPr>
          <w:rFonts w:ascii="Book Antiqua" w:hAnsi="Book Antiqua" w:cs="Times New Roman"/>
          <w:sz w:val="24"/>
        </w:rPr>
        <w:t xml:space="preserve">; C: Stage </w:t>
      </w:r>
      <w:proofErr w:type="spellStart"/>
      <w:r>
        <w:rPr>
          <w:rFonts w:ascii="Book Antiqua" w:hAnsi="Book Antiqua" w:cs="Times New Roman"/>
          <w:sz w:val="24"/>
        </w:rPr>
        <w:t>IIIc</w:t>
      </w:r>
      <w:proofErr w:type="spellEnd"/>
      <w:r>
        <w:rPr>
          <w:rFonts w:ascii="Book Antiqua" w:hAnsi="Book Antiqua" w:cs="Times New Roman"/>
          <w:sz w:val="24"/>
        </w:rPr>
        <w:t>. BPM: Blood parameters.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br w:type="page"/>
      </w:r>
      <w:r w:rsidR="00FA4868">
        <w:rPr>
          <w:rFonts w:ascii="Book Antiqua" w:hAnsi="Book Antiqua"/>
          <w:noProof/>
          <w:sz w:val="24"/>
        </w:rPr>
        <w:lastRenderedPageBreak/>
        <w:drawing>
          <wp:inline distT="0" distB="0" distL="0" distR="0">
            <wp:extent cx="5274310" cy="4448175"/>
            <wp:effectExtent l="0" t="0" r="254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448175"/>
                    </a:xfrm>
                    <a:prstGeom prst="rect">
                      <a:avLst/>
                    </a:prstGeom>
                    <a:noFill/>
                    <a:ln>
                      <a:noFill/>
                    </a:ln>
                  </pic:spPr>
                </pic:pic>
              </a:graphicData>
            </a:graphic>
          </wp:inline>
        </w:drawing>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b/>
          <w:bCs/>
          <w:sz w:val="24"/>
        </w:rPr>
        <w:t xml:space="preserve">Figure 4 Forest plot showing the impact of blood parameters score on 5-year overall survival stratified by different </w:t>
      </w:r>
      <w:proofErr w:type="spellStart"/>
      <w:r>
        <w:rPr>
          <w:rFonts w:ascii="Book Antiqua" w:hAnsi="Book Antiqua" w:cs="Times New Roman"/>
          <w:b/>
          <w:bCs/>
          <w:sz w:val="24"/>
        </w:rPr>
        <w:t>clinicopathological</w:t>
      </w:r>
      <w:proofErr w:type="spellEnd"/>
      <w:r>
        <w:rPr>
          <w:rFonts w:ascii="Book Antiqua" w:hAnsi="Book Antiqua" w:cs="Times New Roman"/>
          <w:b/>
          <w:bCs/>
          <w:sz w:val="24"/>
        </w:rPr>
        <w:t xml:space="preserve"> factors.</w:t>
      </w:r>
      <w:r>
        <w:rPr>
          <w:rFonts w:ascii="Book Antiqua" w:hAnsi="Book Antiqua" w:cs="Times New Roman"/>
          <w:sz w:val="24"/>
        </w:rPr>
        <w:t xml:space="preserve"> Odds ratios with 95% confidence intervals are shown for the high-blood parameters (BPM) group </w:t>
      </w:r>
      <w:proofErr w:type="spellStart"/>
      <w:r>
        <w:rPr>
          <w:rFonts w:ascii="Book Antiqua" w:hAnsi="Book Antiqua" w:cs="Times New Roman"/>
          <w:i/>
          <w:iCs/>
          <w:sz w:val="24"/>
        </w:rPr>
        <w:t>vs</w:t>
      </w:r>
      <w:proofErr w:type="spellEnd"/>
      <w:r>
        <w:rPr>
          <w:rFonts w:ascii="Book Antiqua" w:hAnsi="Book Antiqua" w:cs="Times New Roman"/>
          <w:sz w:val="24"/>
        </w:rPr>
        <w:t xml:space="preserve"> low-BPM group. CI: Confidence interval; OR: Odds ratios; BMI: Body mass index; BPM: Blood parameters.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br w:type="page"/>
      </w:r>
      <w:r w:rsidR="00FA4868">
        <w:rPr>
          <w:rFonts w:ascii="Book Antiqua" w:hAnsi="Book Antiqua"/>
          <w:noProof/>
          <w:sz w:val="24"/>
        </w:rPr>
        <w:lastRenderedPageBreak/>
        <w:drawing>
          <wp:inline distT="0" distB="0" distL="0" distR="0">
            <wp:extent cx="5274310" cy="6105525"/>
            <wp:effectExtent l="0" t="0" r="254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105525"/>
                    </a:xfrm>
                    <a:prstGeom prst="rect">
                      <a:avLst/>
                    </a:prstGeom>
                    <a:noFill/>
                    <a:ln>
                      <a:noFill/>
                    </a:ln>
                  </pic:spPr>
                </pic:pic>
              </a:graphicData>
            </a:graphic>
          </wp:inline>
        </w:drawing>
      </w: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b/>
          <w:bCs/>
          <w:sz w:val="24"/>
        </w:rPr>
        <w:t xml:space="preserve">Figure 5 Prediction and analysis of 1-, 3-, and 5-year overall survival in patients. </w:t>
      </w:r>
      <w:r>
        <w:rPr>
          <w:rFonts w:ascii="Book Antiqua" w:hAnsi="Book Antiqua" w:cs="Times New Roman"/>
          <w:sz w:val="24"/>
        </w:rPr>
        <w:t xml:space="preserve">A: A </w:t>
      </w:r>
      <w:proofErr w:type="spellStart"/>
      <w:r>
        <w:rPr>
          <w:rFonts w:ascii="Book Antiqua" w:hAnsi="Book Antiqua" w:cs="Times New Roman"/>
          <w:sz w:val="24"/>
        </w:rPr>
        <w:t>nomogram</w:t>
      </w:r>
      <w:proofErr w:type="spellEnd"/>
      <w:r>
        <w:rPr>
          <w:rFonts w:ascii="Book Antiqua" w:hAnsi="Book Antiqua" w:cs="Times New Roman"/>
          <w:sz w:val="24"/>
        </w:rPr>
        <w:t xml:space="preserve"> combining blood parameters score and tumor-lymph node-metastasis stage for predicting 1-, 3-, and 5-year overall survival (OS) in patients with stage II-III gastric cancer; B: Decision curve analysis of the </w:t>
      </w:r>
      <w:proofErr w:type="spellStart"/>
      <w:r>
        <w:rPr>
          <w:rFonts w:ascii="Book Antiqua" w:hAnsi="Book Antiqua" w:cs="Times New Roman"/>
          <w:sz w:val="24"/>
        </w:rPr>
        <w:t>nomogram</w:t>
      </w:r>
      <w:proofErr w:type="spellEnd"/>
      <w:r>
        <w:rPr>
          <w:rFonts w:ascii="Book Antiqua" w:hAnsi="Book Antiqua" w:cs="Times New Roman"/>
          <w:sz w:val="24"/>
        </w:rPr>
        <w:t xml:space="preserve"> for 1-year OS; C: Decision curve analysis of the </w:t>
      </w:r>
      <w:proofErr w:type="spellStart"/>
      <w:r>
        <w:rPr>
          <w:rFonts w:ascii="Book Antiqua" w:hAnsi="Book Antiqua" w:cs="Times New Roman"/>
          <w:sz w:val="24"/>
        </w:rPr>
        <w:t>nomogram</w:t>
      </w:r>
      <w:proofErr w:type="spellEnd"/>
      <w:r>
        <w:rPr>
          <w:rFonts w:ascii="Book Antiqua" w:hAnsi="Book Antiqua" w:cs="Times New Roman"/>
          <w:sz w:val="24"/>
        </w:rPr>
        <w:t xml:space="preserve"> for 3-year OS; D: Decision curve analysis of the </w:t>
      </w:r>
      <w:proofErr w:type="spellStart"/>
      <w:r>
        <w:rPr>
          <w:rFonts w:ascii="Book Antiqua" w:hAnsi="Book Antiqua" w:cs="Times New Roman"/>
          <w:sz w:val="24"/>
        </w:rPr>
        <w:t>nomogram</w:t>
      </w:r>
      <w:proofErr w:type="spellEnd"/>
      <w:r>
        <w:rPr>
          <w:rFonts w:ascii="Book Antiqua" w:hAnsi="Book Antiqua" w:cs="Times New Roman"/>
          <w:sz w:val="24"/>
        </w:rPr>
        <w:t xml:space="preserve"> for 5-year OS. TNM: Tumor-lymph node-metastasis; BPM: Blood parameters. </w:t>
      </w:r>
    </w:p>
    <w:p w:rsidR="00EA588F" w:rsidRDefault="00EA588F">
      <w:pPr>
        <w:adjustRightInd w:val="0"/>
        <w:snapToGrid w:val="0"/>
        <w:spacing w:line="360" w:lineRule="auto"/>
        <w:rPr>
          <w:rFonts w:ascii="Book Antiqua" w:hAnsi="Book Antiqua" w:cs="Times New Roman"/>
          <w:b/>
          <w:bCs/>
          <w:sz w:val="24"/>
        </w:rPr>
      </w:pPr>
      <w:r>
        <w:rPr>
          <w:rFonts w:ascii="Book Antiqua" w:hAnsi="Book Antiqua" w:cs="Times New Roman"/>
          <w:sz w:val="24"/>
        </w:rPr>
        <w:br w:type="page"/>
      </w:r>
      <w:r>
        <w:rPr>
          <w:rFonts w:ascii="Book Antiqua" w:hAnsi="Book Antiqua" w:cs="Times New Roman"/>
          <w:b/>
          <w:bCs/>
          <w:sz w:val="24"/>
        </w:rPr>
        <w:lastRenderedPageBreak/>
        <w:t xml:space="preserve">Table 1 </w:t>
      </w:r>
      <w:proofErr w:type="spellStart"/>
      <w:r>
        <w:rPr>
          <w:rFonts w:ascii="Book Antiqua" w:hAnsi="Book Antiqua" w:cs="Times New Roman"/>
          <w:b/>
          <w:bCs/>
          <w:sz w:val="24"/>
        </w:rPr>
        <w:t>Clinicopathological</w:t>
      </w:r>
      <w:proofErr w:type="spellEnd"/>
      <w:r>
        <w:rPr>
          <w:rFonts w:ascii="Book Antiqua" w:hAnsi="Book Antiqua" w:cs="Times New Roman"/>
          <w:b/>
          <w:bCs/>
          <w:sz w:val="24"/>
        </w:rPr>
        <w:t xml:space="preserve"> characteristics of patients according to the blood parameters score in the developing and validation cohorts</w:t>
      </w:r>
    </w:p>
    <w:tbl>
      <w:tblPr>
        <w:tblpPr w:leftFromText="180" w:rightFromText="180" w:vertAnchor="page" w:horzAnchor="page" w:tblpX="1027" w:tblpY="2744"/>
        <w:tblOverlap w:val="never"/>
        <w:tblW w:w="0" w:type="auto"/>
        <w:tblLayout w:type="fixed"/>
        <w:tblCellMar>
          <w:left w:w="0" w:type="dxa"/>
          <w:right w:w="0" w:type="dxa"/>
        </w:tblCellMar>
        <w:tblLook w:val="0000" w:firstRow="0" w:lastRow="0" w:firstColumn="0" w:lastColumn="0" w:noHBand="0" w:noVBand="0"/>
      </w:tblPr>
      <w:tblGrid>
        <w:gridCol w:w="2322"/>
        <w:gridCol w:w="499"/>
        <w:gridCol w:w="1263"/>
        <w:gridCol w:w="1309"/>
        <w:gridCol w:w="730"/>
        <w:gridCol w:w="470"/>
        <w:gridCol w:w="1190"/>
        <w:gridCol w:w="1233"/>
        <w:gridCol w:w="688"/>
      </w:tblGrid>
      <w:tr w:rsidR="00EA588F">
        <w:trPr>
          <w:trHeight w:val="280"/>
        </w:trPr>
        <w:tc>
          <w:tcPr>
            <w:tcW w:w="2322" w:type="dxa"/>
            <w:vMerge w:val="restart"/>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b/>
                <w:sz w:val="24"/>
              </w:rPr>
            </w:pPr>
            <w:r>
              <w:rPr>
                <w:rFonts w:ascii="Book Antiqua" w:hAnsi="Book Antiqua" w:cs="Arial"/>
                <w:b/>
                <w:kern w:val="0"/>
                <w:sz w:val="24"/>
                <w:lang w:bidi="ar"/>
              </w:rPr>
              <w:t>Variable</w:t>
            </w:r>
          </w:p>
        </w:tc>
        <w:tc>
          <w:tcPr>
            <w:tcW w:w="3801" w:type="dxa"/>
            <w:gridSpan w:val="4"/>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Developing cohort (</w:t>
            </w:r>
            <w:r>
              <w:rPr>
                <w:rFonts w:ascii="Book Antiqua" w:hAnsi="Book Antiqua" w:cs="Arial"/>
                <w:b/>
                <w:i/>
                <w:iCs/>
                <w:kern w:val="0"/>
                <w:sz w:val="24"/>
                <w:lang w:bidi="ar"/>
              </w:rPr>
              <w:t>n</w:t>
            </w:r>
            <w:r>
              <w:rPr>
                <w:rFonts w:ascii="Book Antiqua" w:hAnsi="Book Antiqua" w:cs="Arial"/>
                <w:b/>
                <w:kern w:val="0"/>
                <w:sz w:val="24"/>
                <w:lang w:bidi="ar"/>
              </w:rPr>
              <w:t xml:space="preserve"> = 567)</w:t>
            </w:r>
          </w:p>
        </w:tc>
        <w:tc>
          <w:tcPr>
            <w:tcW w:w="3581" w:type="dxa"/>
            <w:gridSpan w:val="4"/>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Validation cohort (</w:t>
            </w:r>
            <w:r>
              <w:rPr>
                <w:rFonts w:ascii="Book Antiqua" w:hAnsi="Book Antiqua" w:cs="Arial"/>
                <w:b/>
                <w:i/>
                <w:iCs/>
                <w:kern w:val="0"/>
                <w:sz w:val="24"/>
                <w:lang w:bidi="ar"/>
              </w:rPr>
              <w:t>n</w:t>
            </w:r>
            <w:r>
              <w:rPr>
                <w:rFonts w:ascii="Book Antiqua" w:hAnsi="Book Antiqua" w:cs="Arial"/>
                <w:b/>
                <w:kern w:val="0"/>
                <w:sz w:val="24"/>
                <w:lang w:bidi="ar"/>
              </w:rPr>
              <w:t xml:space="preserve"> = 283)</w:t>
            </w:r>
          </w:p>
        </w:tc>
      </w:tr>
      <w:tr w:rsidR="00EA588F">
        <w:trPr>
          <w:trHeight w:val="280"/>
        </w:trPr>
        <w:tc>
          <w:tcPr>
            <w:tcW w:w="2322" w:type="dxa"/>
            <w:vMerge/>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rPr>
                <w:rFonts w:ascii="Book Antiqua" w:hAnsi="Book Antiqua" w:cs="Arial"/>
                <w:b/>
                <w:sz w:val="24"/>
              </w:rPr>
            </w:pPr>
          </w:p>
        </w:tc>
        <w:tc>
          <w:tcPr>
            <w:tcW w:w="499"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Total</w:t>
            </w:r>
          </w:p>
        </w:tc>
        <w:tc>
          <w:tcPr>
            <w:tcW w:w="126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Low-BPM (%)</w:t>
            </w:r>
          </w:p>
        </w:tc>
        <w:tc>
          <w:tcPr>
            <w:tcW w:w="1309"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High-BPM (%)</w:t>
            </w:r>
          </w:p>
        </w:tc>
        <w:tc>
          <w:tcPr>
            <w:tcW w:w="730"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i/>
                <w:iCs/>
                <w:kern w:val="0"/>
                <w:sz w:val="24"/>
                <w:lang w:bidi="ar"/>
              </w:rPr>
              <w:t>P</w:t>
            </w:r>
            <w:r>
              <w:rPr>
                <w:rFonts w:ascii="Book Antiqua" w:hAnsi="Book Antiqua" w:cs="Arial"/>
                <w:b/>
                <w:kern w:val="0"/>
                <w:sz w:val="24"/>
                <w:lang w:bidi="ar"/>
              </w:rPr>
              <w:t xml:space="preserve"> value</w:t>
            </w:r>
          </w:p>
        </w:tc>
        <w:tc>
          <w:tcPr>
            <w:tcW w:w="470"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Total</w:t>
            </w:r>
          </w:p>
        </w:tc>
        <w:tc>
          <w:tcPr>
            <w:tcW w:w="1190"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Low-BPM (%)</w:t>
            </w:r>
          </w:p>
        </w:tc>
        <w:tc>
          <w:tcPr>
            <w:tcW w:w="123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High-BPM (%)</w:t>
            </w:r>
          </w:p>
        </w:tc>
        <w:tc>
          <w:tcPr>
            <w:tcW w:w="688"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i/>
                <w:iCs/>
                <w:kern w:val="0"/>
                <w:sz w:val="24"/>
                <w:lang w:bidi="ar"/>
              </w:rPr>
              <w:t>P</w:t>
            </w:r>
            <w:r>
              <w:rPr>
                <w:rFonts w:ascii="Book Antiqua" w:hAnsi="Book Antiqua" w:cs="Arial"/>
                <w:b/>
                <w:kern w:val="0"/>
                <w:sz w:val="24"/>
                <w:lang w:bidi="ar"/>
              </w:rPr>
              <w:t>-value</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Age (</w:t>
            </w:r>
            <w:proofErr w:type="spellStart"/>
            <w:r>
              <w:rPr>
                <w:rFonts w:ascii="Book Antiqua" w:hAnsi="Book Antiqua" w:cs="Arial"/>
                <w:kern w:val="0"/>
                <w:sz w:val="24"/>
                <w:lang w:bidi="ar"/>
              </w:rPr>
              <w:t>yr</w:t>
            </w:r>
            <w:proofErr w:type="spellEnd"/>
            <w:r>
              <w:rPr>
                <w:rFonts w:ascii="Book Antiqua" w:hAnsi="Book Antiqua" w:cs="Arial"/>
                <w:kern w:val="0"/>
                <w:sz w:val="24"/>
                <w:lang w:bidi="ar"/>
              </w:rPr>
              <w:t>, mean ± SD)</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58.8 (± 11.3)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64.6 (± 10.1)</w:t>
            </w: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59.5 (± 11.5)</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65.5 (± 9.5)</w:t>
            </w: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Sex</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30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0.409</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3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0.193</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Male</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430</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218 (74.4)</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212 (77.4)</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226</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113 (76.9)</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113 (83.1)</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Female</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137</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75 (25.6)</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62 (22.6)</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57</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34 (23.1)</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23 (16.9)</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Body mass index (mean ± SD)</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22.3 (± 2.8)</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21.8 (± 3.0)</w:t>
            </w: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0.038</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22.1 (± 2.6)</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21.7 (± 3.1)</w:t>
            </w: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0.285</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Tumor stage</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30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3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0.004</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IIa</w:t>
            </w:r>
            <w:proofErr w:type="spellEnd"/>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86</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58 (19.8)</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79 (28.8)</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61</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39 (26.5)</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22 (16.2)</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IIb</w:t>
            </w:r>
            <w:proofErr w:type="spellEnd"/>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93</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42 (14.3)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51 (18.6)</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45</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25 (17.0)</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20 (14.7)</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IIIa</w:t>
            </w:r>
            <w:proofErr w:type="spellEnd"/>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142</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89 (30.4)</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53 (19.3)</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63</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33 (22.4)</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30 (22.1)</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IIIb</w:t>
            </w:r>
            <w:proofErr w:type="spellEnd"/>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148</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71 (24.2)</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77 (28.1)</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66</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33 (22.4)</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30 (22.1)</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IIIc</w:t>
            </w:r>
            <w:proofErr w:type="spellEnd"/>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98</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33 (11.3)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65 (23.7)</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48</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17(11.6)</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31 (22.8)</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Tumor location</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30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0.363</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3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0.553</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Lower</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222</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121 (41.3)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101 (36.9)</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109</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62 (42.2)</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47 (34.6)</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Middle</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112</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50 (17.1)</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62 (22.6)</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50</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26 (17.7)</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24 (17.6)</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Upper</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156</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80 (27.3)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76 (27.7)</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74</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36 (24.5)</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38 (27.9)</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Mixed</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77</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42 (14.3)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35 (12.8)</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50</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23 (15.6)</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27 (19.9)</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120" w:hangingChars="50" w:hanging="120"/>
              <w:textAlignment w:val="center"/>
              <w:rPr>
                <w:rFonts w:ascii="Book Antiqua" w:hAnsi="Book Antiqua" w:cs="Arial"/>
                <w:sz w:val="24"/>
              </w:rPr>
            </w:pPr>
            <w:r>
              <w:rPr>
                <w:rFonts w:ascii="Book Antiqua" w:hAnsi="Book Antiqua" w:cs="Arial"/>
                <w:kern w:val="0"/>
                <w:sz w:val="24"/>
                <w:lang w:bidi="ar"/>
              </w:rPr>
              <w:t>Tumor size (mm, mean ± SD)</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45.9 (± 22.3)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56.7 (± 26.6)</w:t>
            </w: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47.2 (± 22.9)</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54.2 (24.8)</w:t>
            </w: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0.014</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Histologic type</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30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0.902</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3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0.613</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Differentiated</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92</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47 (16.0)</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45 (16.4)</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52</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25 (17.0)</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27 (19.9)</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Undifferentiated</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475</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246 (84.0)</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229 (83.6)</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231</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122 (83.0)</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109 (80.1)</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proofErr w:type="spellStart"/>
            <w:r>
              <w:rPr>
                <w:rFonts w:ascii="Book Antiqua" w:hAnsi="Book Antiqua" w:cs="Arial"/>
                <w:kern w:val="0"/>
                <w:sz w:val="24"/>
                <w:lang w:bidi="ar"/>
              </w:rPr>
              <w:t>Lymphovascular</w:t>
            </w:r>
            <w:proofErr w:type="spellEnd"/>
            <w:r>
              <w:rPr>
                <w:rFonts w:ascii="Book Antiqua" w:hAnsi="Book Antiqua" w:cs="Arial"/>
                <w:kern w:val="0"/>
                <w:sz w:val="24"/>
                <w:lang w:bidi="ar"/>
              </w:rPr>
              <w:t xml:space="preserve"> invasion</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30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0.662</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3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0.910</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lastRenderedPageBreak/>
              <w:t>No</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394</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206 (70.3)</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188 (68.6)</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178</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159 (65.4)</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33 (53.2)</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Yes</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173</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87 (29.7)</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86 (31.4)</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113</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84 (34.6)</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29 (46.8)</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Adjuvant chemotherapy</w:t>
            </w:r>
          </w:p>
        </w:tc>
        <w:tc>
          <w:tcPr>
            <w:tcW w:w="49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6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309"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73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0.346</w:t>
            </w:r>
          </w:p>
        </w:tc>
        <w:tc>
          <w:tcPr>
            <w:tcW w:w="47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19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23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88"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0.355</w:t>
            </w:r>
          </w:p>
        </w:tc>
      </w:tr>
      <w:tr w:rsidR="00EA588F">
        <w:trPr>
          <w:trHeight w:val="280"/>
        </w:trPr>
        <w:tc>
          <w:tcPr>
            <w:tcW w:w="232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No</w:t>
            </w:r>
          </w:p>
        </w:tc>
        <w:tc>
          <w:tcPr>
            <w:tcW w:w="49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137</w:t>
            </w:r>
          </w:p>
        </w:tc>
        <w:tc>
          <w:tcPr>
            <w:tcW w:w="126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66 (22.5)</w:t>
            </w:r>
          </w:p>
        </w:tc>
        <w:tc>
          <w:tcPr>
            <w:tcW w:w="1309"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71 (25.9)</w:t>
            </w:r>
          </w:p>
        </w:tc>
        <w:tc>
          <w:tcPr>
            <w:tcW w:w="730"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68</w:t>
            </w:r>
          </w:p>
        </w:tc>
        <w:tc>
          <w:tcPr>
            <w:tcW w:w="1190"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32 (21.8)</w:t>
            </w:r>
          </w:p>
        </w:tc>
        <w:tc>
          <w:tcPr>
            <w:tcW w:w="123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36 (26.5)</w:t>
            </w:r>
          </w:p>
        </w:tc>
        <w:tc>
          <w:tcPr>
            <w:tcW w:w="688"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80"/>
        </w:trPr>
        <w:tc>
          <w:tcPr>
            <w:tcW w:w="2322"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Yes</w:t>
            </w:r>
          </w:p>
        </w:tc>
        <w:tc>
          <w:tcPr>
            <w:tcW w:w="499"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430</w:t>
            </w:r>
          </w:p>
        </w:tc>
        <w:tc>
          <w:tcPr>
            <w:tcW w:w="126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227 (77.5)</w:t>
            </w:r>
          </w:p>
        </w:tc>
        <w:tc>
          <w:tcPr>
            <w:tcW w:w="1309"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203 (74.1)</w:t>
            </w:r>
          </w:p>
        </w:tc>
        <w:tc>
          <w:tcPr>
            <w:tcW w:w="730" w:type="dxa"/>
            <w:tcBorders>
              <w:top w:val="nil"/>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470"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215</w:t>
            </w:r>
          </w:p>
        </w:tc>
        <w:tc>
          <w:tcPr>
            <w:tcW w:w="1190"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115 (78.2)</w:t>
            </w:r>
          </w:p>
        </w:tc>
        <w:tc>
          <w:tcPr>
            <w:tcW w:w="123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100 (73.5)</w:t>
            </w:r>
          </w:p>
        </w:tc>
        <w:tc>
          <w:tcPr>
            <w:tcW w:w="688" w:type="dxa"/>
            <w:tcBorders>
              <w:top w:val="nil"/>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bl>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SD: </w:t>
      </w:r>
      <w:r>
        <w:rPr>
          <w:rFonts w:ascii="Book Antiqua" w:hAnsi="Book Antiqua" w:cs="Arial"/>
          <w:color w:val="333333"/>
          <w:sz w:val="24"/>
          <w:shd w:val="clear" w:color="auto" w:fill="FFFFFF"/>
        </w:rPr>
        <w:t>Standard deviation; BPM: Blood parameters.</w:t>
      </w:r>
    </w:p>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br w:type="page"/>
      </w:r>
      <w:r>
        <w:rPr>
          <w:rFonts w:ascii="Book Antiqua" w:hAnsi="Book Antiqua" w:cs="Times New Roman"/>
          <w:b/>
          <w:bCs/>
          <w:sz w:val="24"/>
        </w:rPr>
        <w:lastRenderedPageBreak/>
        <w:t xml:space="preserve">Table 2 </w:t>
      </w:r>
      <w:proofErr w:type="spellStart"/>
      <w:r>
        <w:rPr>
          <w:rFonts w:ascii="Book Antiqua" w:hAnsi="Book Antiqua" w:cs="Times New Roman"/>
          <w:b/>
          <w:bCs/>
          <w:sz w:val="24"/>
        </w:rPr>
        <w:t>Univariate</w:t>
      </w:r>
      <w:proofErr w:type="spellEnd"/>
      <w:r>
        <w:rPr>
          <w:rFonts w:ascii="Book Antiqua" w:hAnsi="Book Antiqua" w:cs="Times New Roman"/>
          <w:b/>
          <w:bCs/>
          <w:sz w:val="24"/>
        </w:rPr>
        <w:t xml:space="preserve"> and multivariate analyses for overall survival in the developing and validation cohorts</w:t>
      </w:r>
    </w:p>
    <w:tbl>
      <w:tblPr>
        <w:tblpPr w:leftFromText="180" w:rightFromText="180" w:vertAnchor="text" w:horzAnchor="page" w:tblpX="151" w:tblpY="576"/>
        <w:tblOverlap w:val="never"/>
        <w:tblW w:w="0" w:type="auto"/>
        <w:tblLayout w:type="fixed"/>
        <w:tblCellMar>
          <w:left w:w="0" w:type="dxa"/>
          <w:right w:w="0" w:type="dxa"/>
        </w:tblCellMar>
        <w:tblLook w:val="0000" w:firstRow="0" w:lastRow="0" w:firstColumn="0" w:lastColumn="0" w:noHBand="0" w:noVBand="0"/>
      </w:tblPr>
      <w:tblGrid>
        <w:gridCol w:w="2052"/>
        <w:gridCol w:w="1721"/>
        <w:gridCol w:w="631"/>
        <w:gridCol w:w="1721"/>
        <w:gridCol w:w="631"/>
        <w:gridCol w:w="1723"/>
        <w:gridCol w:w="632"/>
        <w:gridCol w:w="1723"/>
        <w:gridCol w:w="632"/>
      </w:tblGrid>
      <w:tr w:rsidR="00EA588F">
        <w:trPr>
          <w:trHeight w:val="270"/>
        </w:trPr>
        <w:tc>
          <w:tcPr>
            <w:tcW w:w="2052" w:type="dxa"/>
            <w:vMerge w:val="restart"/>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b/>
                <w:sz w:val="24"/>
              </w:rPr>
            </w:pPr>
            <w:r>
              <w:rPr>
                <w:rFonts w:ascii="Book Antiqua" w:hAnsi="Book Antiqua" w:cs="Arial"/>
                <w:b/>
                <w:kern w:val="0"/>
                <w:sz w:val="24"/>
                <w:lang w:bidi="ar"/>
              </w:rPr>
              <w:t>Variables</w:t>
            </w:r>
          </w:p>
        </w:tc>
        <w:tc>
          <w:tcPr>
            <w:tcW w:w="4704" w:type="dxa"/>
            <w:gridSpan w:val="4"/>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Developing cohort (</w:t>
            </w:r>
            <w:r>
              <w:rPr>
                <w:rFonts w:ascii="Book Antiqua" w:hAnsi="Book Antiqua" w:cs="Arial"/>
                <w:b/>
                <w:i/>
                <w:iCs/>
                <w:kern w:val="0"/>
                <w:sz w:val="24"/>
                <w:lang w:bidi="ar"/>
              </w:rPr>
              <w:t xml:space="preserve">n </w:t>
            </w:r>
            <w:r>
              <w:rPr>
                <w:rFonts w:ascii="Book Antiqua" w:hAnsi="Book Antiqua" w:cs="Arial"/>
                <w:b/>
                <w:kern w:val="0"/>
                <w:sz w:val="24"/>
                <w:lang w:bidi="ar"/>
              </w:rPr>
              <w:t>= 567)</w:t>
            </w:r>
          </w:p>
        </w:tc>
        <w:tc>
          <w:tcPr>
            <w:tcW w:w="4710" w:type="dxa"/>
            <w:gridSpan w:val="4"/>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Validation cohort (</w:t>
            </w:r>
            <w:r>
              <w:rPr>
                <w:rFonts w:ascii="Book Antiqua" w:hAnsi="Book Antiqua" w:cs="Arial"/>
                <w:b/>
                <w:i/>
                <w:iCs/>
                <w:kern w:val="0"/>
                <w:sz w:val="24"/>
                <w:lang w:bidi="ar"/>
              </w:rPr>
              <w:t>n</w:t>
            </w:r>
            <w:r>
              <w:rPr>
                <w:rFonts w:ascii="Book Antiqua" w:hAnsi="Book Antiqua" w:cs="Arial"/>
                <w:b/>
                <w:kern w:val="0"/>
                <w:sz w:val="24"/>
                <w:lang w:bidi="ar"/>
              </w:rPr>
              <w:t xml:space="preserve"> = 283)</w:t>
            </w:r>
          </w:p>
        </w:tc>
      </w:tr>
      <w:tr w:rsidR="00EA588F">
        <w:trPr>
          <w:trHeight w:val="270"/>
        </w:trPr>
        <w:tc>
          <w:tcPr>
            <w:tcW w:w="2052" w:type="dxa"/>
            <w:vMerge/>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rPr>
                <w:rFonts w:ascii="Book Antiqua" w:hAnsi="Book Antiqua" w:cs="Arial"/>
                <w:b/>
                <w:sz w:val="24"/>
              </w:rPr>
            </w:pPr>
          </w:p>
        </w:tc>
        <w:tc>
          <w:tcPr>
            <w:tcW w:w="2352" w:type="dxa"/>
            <w:gridSpan w:val="2"/>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proofErr w:type="spellStart"/>
            <w:r>
              <w:rPr>
                <w:rFonts w:ascii="Book Antiqua" w:hAnsi="Book Antiqua" w:cs="Arial"/>
                <w:b/>
                <w:kern w:val="0"/>
                <w:sz w:val="24"/>
                <w:lang w:bidi="ar"/>
              </w:rPr>
              <w:t>Univariate</w:t>
            </w:r>
            <w:proofErr w:type="spellEnd"/>
            <w:r>
              <w:rPr>
                <w:rFonts w:ascii="Book Antiqua" w:hAnsi="Book Antiqua" w:cs="Arial"/>
                <w:b/>
                <w:kern w:val="0"/>
                <w:sz w:val="24"/>
                <w:lang w:bidi="ar"/>
              </w:rPr>
              <w:t xml:space="preserve"> analysis</w:t>
            </w:r>
          </w:p>
        </w:tc>
        <w:tc>
          <w:tcPr>
            <w:tcW w:w="2352" w:type="dxa"/>
            <w:gridSpan w:val="2"/>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Multivariate analysis</w:t>
            </w:r>
          </w:p>
        </w:tc>
        <w:tc>
          <w:tcPr>
            <w:tcW w:w="2355" w:type="dxa"/>
            <w:gridSpan w:val="2"/>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proofErr w:type="spellStart"/>
            <w:r>
              <w:rPr>
                <w:rFonts w:ascii="Book Antiqua" w:hAnsi="Book Antiqua" w:cs="Arial"/>
                <w:b/>
                <w:kern w:val="0"/>
                <w:sz w:val="24"/>
                <w:lang w:bidi="ar"/>
              </w:rPr>
              <w:t>Univariate</w:t>
            </w:r>
            <w:proofErr w:type="spellEnd"/>
            <w:r>
              <w:rPr>
                <w:rFonts w:ascii="Book Antiqua" w:hAnsi="Book Antiqua" w:cs="Arial"/>
                <w:b/>
                <w:kern w:val="0"/>
                <w:sz w:val="24"/>
                <w:lang w:bidi="ar"/>
              </w:rPr>
              <w:t xml:space="preserve"> analysis</w:t>
            </w:r>
          </w:p>
        </w:tc>
        <w:tc>
          <w:tcPr>
            <w:tcW w:w="2355" w:type="dxa"/>
            <w:gridSpan w:val="2"/>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sz w:val="24"/>
              </w:rPr>
            </w:pPr>
            <w:r>
              <w:rPr>
                <w:rFonts w:ascii="Book Antiqua" w:hAnsi="Book Antiqua" w:cs="Arial"/>
                <w:b/>
                <w:kern w:val="0"/>
                <w:sz w:val="24"/>
                <w:lang w:bidi="ar"/>
              </w:rPr>
              <w:t>Multivariate analysis</w:t>
            </w:r>
          </w:p>
        </w:tc>
      </w:tr>
      <w:tr w:rsidR="00EA588F">
        <w:trPr>
          <w:trHeight w:val="270"/>
        </w:trPr>
        <w:tc>
          <w:tcPr>
            <w:tcW w:w="2052" w:type="dxa"/>
            <w:vMerge/>
            <w:tcBorders>
              <w:top w:val="single" w:sz="8" w:space="0" w:color="000000"/>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rPr>
                <w:rFonts w:ascii="Book Antiqua" w:hAnsi="Book Antiqua" w:cs="Arial"/>
                <w:b/>
                <w:sz w:val="24"/>
              </w:rPr>
            </w:pPr>
          </w:p>
        </w:tc>
        <w:tc>
          <w:tcPr>
            <w:tcW w:w="1721"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kern w:val="0"/>
                <w:sz w:val="24"/>
                <w:lang w:bidi="ar"/>
              </w:rPr>
              <w:t>HR (95%CI)</w:t>
            </w:r>
          </w:p>
        </w:tc>
        <w:tc>
          <w:tcPr>
            <w:tcW w:w="631"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i/>
                <w:iCs/>
                <w:kern w:val="0"/>
                <w:sz w:val="24"/>
                <w:lang w:bidi="ar"/>
              </w:rPr>
              <w:t>P</w:t>
            </w:r>
            <w:r>
              <w:rPr>
                <w:rFonts w:ascii="Book Antiqua" w:hAnsi="Book Antiqua" w:cs="Arial"/>
                <w:b/>
                <w:bCs/>
                <w:kern w:val="0"/>
                <w:sz w:val="24"/>
                <w:lang w:bidi="ar"/>
              </w:rPr>
              <w:t>-value</w:t>
            </w:r>
          </w:p>
        </w:tc>
        <w:tc>
          <w:tcPr>
            <w:tcW w:w="1721"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kern w:val="0"/>
                <w:sz w:val="24"/>
                <w:lang w:bidi="ar"/>
              </w:rPr>
              <w:t>HR (95%CI)</w:t>
            </w:r>
          </w:p>
        </w:tc>
        <w:tc>
          <w:tcPr>
            <w:tcW w:w="631"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i/>
                <w:iCs/>
                <w:kern w:val="0"/>
                <w:sz w:val="24"/>
                <w:lang w:bidi="ar"/>
              </w:rPr>
              <w:t>P</w:t>
            </w:r>
            <w:r>
              <w:rPr>
                <w:rFonts w:ascii="Book Antiqua" w:hAnsi="Book Antiqua" w:cs="Arial"/>
                <w:b/>
                <w:bCs/>
                <w:kern w:val="0"/>
                <w:sz w:val="24"/>
                <w:lang w:bidi="ar"/>
              </w:rPr>
              <w:t>-value</w:t>
            </w:r>
          </w:p>
        </w:tc>
        <w:tc>
          <w:tcPr>
            <w:tcW w:w="172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kern w:val="0"/>
                <w:sz w:val="24"/>
                <w:lang w:bidi="ar"/>
              </w:rPr>
              <w:t>HR (95%CI)</w:t>
            </w:r>
          </w:p>
        </w:tc>
        <w:tc>
          <w:tcPr>
            <w:tcW w:w="632"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i/>
                <w:iCs/>
                <w:kern w:val="0"/>
                <w:sz w:val="24"/>
                <w:lang w:bidi="ar"/>
              </w:rPr>
              <w:t>P</w:t>
            </w:r>
            <w:r>
              <w:rPr>
                <w:rFonts w:ascii="Book Antiqua" w:hAnsi="Book Antiqua" w:cs="Arial"/>
                <w:b/>
                <w:bCs/>
                <w:kern w:val="0"/>
                <w:sz w:val="24"/>
                <w:lang w:bidi="ar"/>
              </w:rPr>
              <w:t>-value</w:t>
            </w:r>
          </w:p>
        </w:tc>
        <w:tc>
          <w:tcPr>
            <w:tcW w:w="172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kern w:val="0"/>
                <w:sz w:val="24"/>
                <w:lang w:bidi="ar"/>
              </w:rPr>
              <w:t>HR (95%CI)</w:t>
            </w:r>
          </w:p>
        </w:tc>
        <w:tc>
          <w:tcPr>
            <w:tcW w:w="632"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b/>
                <w:bCs/>
                <w:sz w:val="24"/>
              </w:rPr>
            </w:pPr>
            <w:r>
              <w:rPr>
                <w:rFonts w:ascii="Book Antiqua" w:hAnsi="Book Antiqua" w:cs="Arial"/>
                <w:b/>
                <w:bCs/>
                <w:i/>
                <w:iCs/>
                <w:kern w:val="0"/>
                <w:sz w:val="24"/>
                <w:lang w:bidi="ar"/>
              </w:rPr>
              <w:t>P</w:t>
            </w:r>
            <w:r>
              <w:rPr>
                <w:rFonts w:ascii="Book Antiqua" w:hAnsi="Book Antiqua" w:cs="Arial"/>
                <w:b/>
                <w:bCs/>
                <w:kern w:val="0"/>
                <w:sz w:val="24"/>
                <w:lang w:bidi="ar"/>
              </w:rPr>
              <w:t>-value</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Age (</w:t>
            </w:r>
            <w:proofErr w:type="spellStart"/>
            <w:r>
              <w:rPr>
                <w:rFonts w:ascii="Book Antiqua" w:hAnsi="Book Antiqua" w:cs="Arial"/>
                <w:kern w:val="0"/>
                <w:sz w:val="24"/>
                <w:lang w:bidi="ar"/>
              </w:rPr>
              <w:t>yr</w:t>
            </w:r>
            <w:proofErr w:type="spellEnd"/>
            <w:r>
              <w:rPr>
                <w:rFonts w:ascii="Book Antiqua" w:hAnsi="Book Antiqua" w:cs="Arial"/>
                <w:kern w:val="0"/>
                <w:sz w:val="24"/>
                <w:lang w:bidi="ar"/>
              </w:rPr>
              <w:t>)</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0.005</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0.144</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0.008</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&lt;60</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≥60</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1.432 (1.115-1.838)</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1.215 (0.936-1.579)</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1.758 (1.262-2.449)</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1.617 (1.132-2.311)</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Gender</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0.502</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0.900</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Male</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Not included</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Not included</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Female</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1.098 (0.835-1.444)</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0.974 (0.644-1.473)</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Body mass index</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0.058</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0.025</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0.241</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&lt;18.5</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Not included</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18.5-23.9</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0.734 (0.509-1.060)</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0.551 (0.325-0.934)</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0.720 (0.415-1.247)</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&gt;23.9</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0.597 (0.390-0.913)</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0.413 (0.217-0.788)</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0.645 (0.328-1.270)</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BPM score</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0.004</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Low</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High</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2.429 (1.893-3.117)</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1.993 (1.534-2.589)</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2.363 (1.677-3.330)</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1.717 (1.913-2.470)</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Tumor stage</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IIa</w:t>
            </w:r>
            <w:proofErr w:type="spellEnd"/>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lastRenderedPageBreak/>
              <w:t>IIb</w:t>
            </w:r>
            <w:proofErr w:type="spellEnd"/>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1.422 (0.772-2.621)</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1.220 (0.659-2.260)</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0.942 (0.453-1.957)</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0.778 (0.373-1.624)</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IIIa</w:t>
            </w:r>
            <w:proofErr w:type="spellEnd"/>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2.007 (1.161-3.471)</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1.988 (1.143-3.458)</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1.725 (0.953-3.121)</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1.609 (0.876-2.956)</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IIIb</w:t>
            </w:r>
            <w:proofErr w:type="spellEnd"/>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4.776 (2.851-8.000)</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3.977 (2.348-6.737)</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3.526 (2.030-6.125)</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3.116 (1.749-5.553)</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proofErr w:type="spellStart"/>
            <w:r>
              <w:rPr>
                <w:rFonts w:ascii="Book Antiqua" w:hAnsi="Book Antiqua" w:cs="Arial"/>
                <w:kern w:val="0"/>
                <w:sz w:val="24"/>
                <w:lang w:bidi="ar"/>
              </w:rPr>
              <w:t>IIIc</w:t>
            </w:r>
            <w:proofErr w:type="spellEnd"/>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7.713 (4.550-13.074)</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5.709 (3.299-9.882)</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6.234 (3.535-10.993)</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4.251 (2.294-7.878)</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Tumor size</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0.034</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0.004</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0.638</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≤40 mm</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&gt;40 mm</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1.987 (1.542-2.560)</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1.332 (1.022-1.735)</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1.647 (1.176-2.308)</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0.913 (0.624-1.336)</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Tumor location</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0.002</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0.596</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0.043</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Lower</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Middle</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1.307 (0.935-1.827)</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1.103 (0.786-1.547)</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1.319 (0.795-2.189)</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1.313 (0.776-2.221)</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Upper</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1.209 (0.888-1.647)</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1.125 (0.822-1.539)</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1.710 (1.117-2.618)</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1.819 (1.518-2.857)</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Mixed</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1.963 (1.396-2.762)</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1.279 (0.896-1.825)</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2.448 (1.554-3.857)</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1.805 (1.052-3.096)</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t>Histologic type</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0.344</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0.871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Differentiated</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Not included</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Not included</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Undifferentiated</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1.176 (0.841-1.646)</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0.966 (0.635-1.469)</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proofErr w:type="spellStart"/>
            <w:r>
              <w:rPr>
                <w:rFonts w:ascii="Book Antiqua" w:hAnsi="Book Antiqua" w:cs="Arial"/>
                <w:kern w:val="0"/>
                <w:sz w:val="24"/>
                <w:lang w:bidi="ar"/>
              </w:rPr>
              <w:t>Lymphovascular</w:t>
            </w:r>
            <w:proofErr w:type="spellEnd"/>
            <w:r>
              <w:rPr>
                <w:rFonts w:ascii="Book Antiqua" w:hAnsi="Book Antiqua" w:cs="Arial"/>
                <w:kern w:val="0"/>
                <w:sz w:val="24"/>
                <w:lang w:bidi="ar"/>
              </w:rPr>
              <w:t xml:space="preserve"> invasion</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0.006</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0.832</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0.102</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No</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Not included</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Yes</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1.422 (1.108-1.825)</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1.029 (0.793-1.334)</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1.324 (0.945-1.854)</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textAlignment w:val="center"/>
              <w:rPr>
                <w:rFonts w:ascii="Book Antiqua" w:hAnsi="Book Antiqua" w:cs="Arial"/>
                <w:sz w:val="24"/>
              </w:rPr>
            </w:pPr>
            <w:r>
              <w:rPr>
                <w:rFonts w:ascii="Book Antiqua" w:hAnsi="Book Antiqua" w:cs="Arial"/>
                <w:kern w:val="0"/>
                <w:sz w:val="24"/>
                <w:lang w:bidi="ar"/>
              </w:rPr>
              <w:lastRenderedPageBreak/>
              <w:t>Adjuvant chemotherapy</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&lt;0.001</w:t>
            </w:r>
          </w:p>
        </w:tc>
        <w:tc>
          <w:tcPr>
            <w:tcW w:w="172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0.003</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0.001</w:t>
            </w:r>
          </w:p>
        </w:tc>
        <w:tc>
          <w:tcPr>
            <w:tcW w:w="1723"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63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0.022</w:t>
            </w:r>
          </w:p>
        </w:tc>
      </w:tr>
      <w:tr w:rsidR="00EA588F">
        <w:trPr>
          <w:trHeight w:val="270"/>
        </w:trPr>
        <w:tc>
          <w:tcPr>
            <w:tcW w:w="2052"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No</w:t>
            </w: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1"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nil"/>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Reference</w:t>
            </w:r>
          </w:p>
        </w:tc>
        <w:tc>
          <w:tcPr>
            <w:tcW w:w="632" w:type="dxa"/>
            <w:tcBorders>
              <w:top w:val="nil"/>
              <w:left w:val="nil"/>
              <w:bottom w:val="nil"/>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r w:rsidR="00EA588F">
        <w:trPr>
          <w:trHeight w:val="270"/>
        </w:trPr>
        <w:tc>
          <w:tcPr>
            <w:tcW w:w="2052"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ind w:leftChars="50" w:left="105"/>
              <w:textAlignment w:val="center"/>
              <w:rPr>
                <w:rFonts w:ascii="Book Antiqua" w:hAnsi="Book Antiqua" w:cs="Arial"/>
                <w:sz w:val="24"/>
              </w:rPr>
            </w:pPr>
            <w:r>
              <w:rPr>
                <w:rFonts w:ascii="Book Antiqua" w:hAnsi="Book Antiqua" w:cs="Arial"/>
                <w:kern w:val="0"/>
                <w:sz w:val="24"/>
                <w:lang w:bidi="ar"/>
              </w:rPr>
              <w:t>Yes</w:t>
            </w:r>
          </w:p>
        </w:tc>
        <w:tc>
          <w:tcPr>
            <w:tcW w:w="1721"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0.626 (0.481-0.814)</w:t>
            </w:r>
          </w:p>
        </w:tc>
        <w:tc>
          <w:tcPr>
            <w:tcW w:w="631" w:type="dxa"/>
            <w:tcBorders>
              <w:top w:val="nil"/>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1"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0.664 (0.508-0.868)</w:t>
            </w:r>
          </w:p>
        </w:tc>
        <w:tc>
          <w:tcPr>
            <w:tcW w:w="631" w:type="dxa"/>
            <w:tcBorders>
              <w:top w:val="nil"/>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0.551 (0.385-0.787)</w:t>
            </w:r>
          </w:p>
        </w:tc>
        <w:tc>
          <w:tcPr>
            <w:tcW w:w="632" w:type="dxa"/>
            <w:tcBorders>
              <w:top w:val="nil"/>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c>
          <w:tcPr>
            <w:tcW w:w="1723" w:type="dxa"/>
            <w:tcBorders>
              <w:top w:val="nil"/>
              <w:left w:val="nil"/>
              <w:bottom w:val="single" w:sz="8" w:space="0" w:color="000000"/>
              <w:right w:val="nil"/>
            </w:tcBorders>
            <w:noWrap/>
            <w:tcMar>
              <w:top w:w="15" w:type="dxa"/>
              <w:left w:w="15" w:type="dxa"/>
              <w:right w:w="15" w:type="dxa"/>
            </w:tcMar>
            <w:vAlign w:val="center"/>
          </w:tcPr>
          <w:p w:rsidR="00EA588F" w:rsidRDefault="00EA588F">
            <w:pPr>
              <w:widowControl/>
              <w:adjustRightInd w:val="0"/>
              <w:snapToGrid w:val="0"/>
              <w:spacing w:line="360" w:lineRule="auto"/>
              <w:jc w:val="center"/>
              <w:textAlignment w:val="center"/>
              <w:rPr>
                <w:rFonts w:ascii="Book Antiqua" w:hAnsi="Book Antiqua" w:cs="Arial"/>
                <w:sz w:val="24"/>
              </w:rPr>
            </w:pPr>
            <w:r>
              <w:rPr>
                <w:rFonts w:ascii="Book Antiqua" w:hAnsi="Book Antiqua" w:cs="Arial"/>
                <w:kern w:val="0"/>
                <w:sz w:val="24"/>
                <w:lang w:bidi="ar"/>
              </w:rPr>
              <w:t>0.650 (0.450-0.939)</w:t>
            </w:r>
          </w:p>
        </w:tc>
        <w:tc>
          <w:tcPr>
            <w:tcW w:w="632" w:type="dxa"/>
            <w:tcBorders>
              <w:top w:val="nil"/>
              <w:left w:val="nil"/>
              <w:bottom w:val="single" w:sz="8" w:space="0" w:color="000000"/>
              <w:right w:val="nil"/>
            </w:tcBorders>
            <w:noWrap/>
            <w:tcMar>
              <w:top w:w="15" w:type="dxa"/>
              <w:left w:w="15" w:type="dxa"/>
              <w:right w:w="15" w:type="dxa"/>
            </w:tcMar>
            <w:vAlign w:val="center"/>
          </w:tcPr>
          <w:p w:rsidR="00EA588F" w:rsidRDefault="00EA588F">
            <w:pPr>
              <w:adjustRightInd w:val="0"/>
              <w:snapToGrid w:val="0"/>
              <w:spacing w:line="360" w:lineRule="auto"/>
              <w:jc w:val="center"/>
              <w:rPr>
                <w:rFonts w:ascii="Book Antiqua" w:hAnsi="Book Antiqua" w:cs="Arial"/>
                <w:sz w:val="24"/>
              </w:rPr>
            </w:pPr>
          </w:p>
        </w:tc>
      </w:tr>
    </w:tbl>
    <w:p w:rsidR="00EA588F" w:rsidRDefault="00EA588F">
      <w:pPr>
        <w:adjustRightInd w:val="0"/>
        <w:snapToGrid w:val="0"/>
        <w:spacing w:line="360" w:lineRule="auto"/>
        <w:rPr>
          <w:rFonts w:ascii="Book Antiqua" w:hAnsi="Book Antiqua" w:cs="Times New Roman"/>
          <w:sz w:val="24"/>
        </w:rPr>
      </w:pPr>
      <w:r>
        <w:rPr>
          <w:rFonts w:ascii="Book Antiqua" w:hAnsi="Book Antiqua" w:cs="Times New Roman"/>
          <w:sz w:val="24"/>
        </w:rPr>
        <w:t xml:space="preserve">HR: </w:t>
      </w:r>
      <w:r>
        <w:rPr>
          <w:rFonts w:ascii="Book Antiqua" w:hAnsi="Book Antiqua" w:cs="Arial"/>
          <w:kern w:val="0"/>
          <w:sz w:val="24"/>
          <w:lang w:bidi="ar"/>
        </w:rPr>
        <w:t>Hazard ratio; CI: Confidence interval; BPM: Blood parameters.</w:t>
      </w:r>
      <w:r>
        <w:rPr>
          <w:rFonts w:ascii="Book Antiqua" w:hAnsi="Book Antiqua" w:cs="Times New Roman"/>
          <w:sz w:val="24"/>
        </w:rPr>
        <w:t xml:space="preserve"> </w:t>
      </w:r>
    </w:p>
    <w:p w:rsidR="00EA588F" w:rsidRDefault="00EA588F">
      <w:pPr>
        <w:tabs>
          <w:tab w:val="left" w:pos="1214"/>
        </w:tabs>
        <w:adjustRightInd w:val="0"/>
        <w:snapToGrid w:val="0"/>
        <w:spacing w:line="360" w:lineRule="auto"/>
        <w:rPr>
          <w:rFonts w:ascii="Book Antiqua" w:hAnsi="Book Antiqua" w:cs="Times New Roman"/>
          <w:b/>
          <w:bCs/>
          <w:sz w:val="24"/>
        </w:rPr>
      </w:pPr>
    </w:p>
    <w:sectPr w:rsidR="00EA588F">
      <w:headerReference w:type="default"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20" w:rsidRDefault="001C0720">
      <w:r>
        <w:separator/>
      </w:r>
    </w:p>
  </w:endnote>
  <w:endnote w:type="continuationSeparator" w:id="0">
    <w:p w:rsidR="001C0720" w:rsidRDefault="001C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8F" w:rsidRDefault="00EA588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20" w:rsidRDefault="001C0720">
      <w:r>
        <w:separator/>
      </w:r>
    </w:p>
  </w:footnote>
  <w:footnote w:type="continuationSeparator" w:id="0">
    <w:p w:rsidR="001C0720" w:rsidRDefault="001C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8F" w:rsidRDefault="00EA588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2|207|197|202|189|197|188|205|197|187|202|197|207|203|197|205|198|"/>
    <w:docVar w:name="Username" w:val="Quality Control Editor"/>
  </w:docVars>
  <w:rsids>
    <w:rsidRoot w:val="00172A27"/>
    <w:rsid w:val="000176BE"/>
    <w:rsid w:val="000215D4"/>
    <w:rsid w:val="000458B0"/>
    <w:rsid w:val="00071B79"/>
    <w:rsid w:val="00080F69"/>
    <w:rsid w:val="00093114"/>
    <w:rsid w:val="000A467B"/>
    <w:rsid w:val="000E2F24"/>
    <w:rsid w:val="000E35DE"/>
    <w:rsid w:val="000E5FF0"/>
    <w:rsid w:val="000F5DAF"/>
    <w:rsid w:val="00113ADC"/>
    <w:rsid w:val="00124BB7"/>
    <w:rsid w:val="00130070"/>
    <w:rsid w:val="00134859"/>
    <w:rsid w:val="00136235"/>
    <w:rsid w:val="001374A9"/>
    <w:rsid w:val="00143DBD"/>
    <w:rsid w:val="00163F2D"/>
    <w:rsid w:val="00172A27"/>
    <w:rsid w:val="00184A38"/>
    <w:rsid w:val="001B7508"/>
    <w:rsid w:val="001C0720"/>
    <w:rsid w:val="001E7449"/>
    <w:rsid w:val="00201A2E"/>
    <w:rsid w:val="0020241D"/>
    <w:rsid w:val="00211B5C"/>
    <w:rsid w:val="0021588F"/>
    <w:rsid w:val="0022019B"/>
    <w:rsid w:val="00263F31"/>
    <w:rsid w:val="002722EF"/>
    <w:rsid w:val="0027251A"/>
    <w:rsid w:val="002737B2"/>
    <w:rsid w:val="002749F2"/>
    <w:rsid w:val="002874E3"/>
    <w:rsid w:val="00291A7F"/>
    <w:rsid w:val="00295C56"/>
    <w:rsid w:val="002A0EFE"/>
    <w:rsid w:val="002A4F72"/>
    <w:rsid w:val="002B453A"/>
    <w:rsid w:val="002B6A61"/>
    <w:rsid w:val="002C51D3"/>
    <w:rsid w:val="002D32EE"/>
    <w:rsid w:val="002F10FF"/>
    <w:rsid w:val="00304F89"/>
    <w:rsid w:val="00305050"/>
    <w:rsid w:val="00317D5B"/>
    <w:rsid w:val="00332121"/>
    <w:rsid w:val="003321CF"/>
    <w:rsid w:val="00347883"/>
    <w:rsid w:val="00381287"/>
    <w:rsid w:val="0039111E"/>
    <w:rsid w:val="003B2FB5"/>
    <w:rsid w:val="003D4D7A"/>
    <w:rsid w:val="003D7F09"/>
    <w:rsid w:val="003F46E4"/>
    <w:rsid w:val="003F62B4"/>
    <w:rsid w:val="00401D00"/>
    <w:rsid w:val="004043DF"/>
    <w:rsid w:val="004377CA"/>
    <w:rsid w:val="0046479D"/>
    <w:rsid w:val="0047430E"/>
    <w:rsid w:val="00482A35"/>
    <w:rsid w:val="00485483"/>
    <w:rsid w:val="00487763"/>
    <w:rsid w:val="004B0DCD"/>
    <w:rsid w:val="004D0B68"/>
    <w:rsid w:val="004D16F3"/>
    <w:rsid w:val="004E1C0D"/>
    <w:rsid w:val="00520926"/>
    <w:rsid w:val="00527F4B"/>
    <w:rsid w:val="005410F2"/>
    <w:rsid w:val="005552CB"/>
    <w:rsid w:val="00567AF2"/>
    <w:rsid w:val="00586A4F"/>
    <w:rsid w:val="0059578D"/>
    <w:rsid w:val="005A7A4E"/>
    <w:rsid w:val="005B7592"/>
    <w:rsid w:val="005C0C23"/>
    <w:rsid w:val="005C76CA"/>
    <w:rsid w:val="005D017E"/>
    <w:rsid w:val="005D1F40"/>
    <w:rsid w:val="005D62DD"/>
    <w:rsid w:val="005E0A2F"/>
    <w:rsid w:val="005E6955"/>
    <w:rsid w:val="0060197D"/>
    <w:rsid w:val="00626004"/>
    <w:rsid w:val="00635BD9"/>
    <w:rsid w:val="00662973"/>
    <w:rsid w:val="00666C3B"/>
    <w:rsid w:val="00673874"/>
    <w:rsid w:val="00687FC4"/>
    <w:rsid w:val="00692BC5"/>
    <w:rsid w:val="0069347E"/>
    <w:rsid w:val="006B1505"/>
    <w:rsid w:val="006C6859"/>
    <w:rsid w:val="006D0EAD"/>
    <w:rsid w:val="006D7249"/>
    <w:rsid w:val="006E1A85"/>
    <w:rsid w:val="00703998"/>
    <w:rsid w:val="00724528"/>
    <w:rsid w:val="00725E3E"/>
    <w:rsid w:val="007634A0"/>
    <w:rsid w:val="00790F55"/>
    <w:rsid w:val="00791DAC"/>
    <w:rsid w:val="0079760E"/>
    <w:rsid w:val="007B4B35"/>
    <w:rsid w:val="007C7654"/>
    <w:rsid w:val="007D28B4"/>
    <w:rsid w:val="007F237E"/>
    <w:rsid w:val="00807399"/>
    <w:rsid w:val="00833295"/>
    <w:rsid w:val="00834F42"/>
    <w:rsid w:val="00842F78"/>
    <w:rsid w:val="008674F6"/>
    <w:rsid w:val="00895512"/>
    <w:rsid w:val="008A2F4A"/>
    <w:rsid w:val="008A5694"/>
    <w:rsid w:val="008B58C3"/>
    <w:rsid w:val="008C6B0D"/>
    <w:rsid w:val="008E7A8A"/>
    <w:rsid w:val="00905B92"/>
    <w:rsid w:val="00916833"/>
    <w:rsid w:val="00944C3E"/>
    <w:rsid w:val="0099483D"/>
    <w:rsid w:val="00996616"/>
    <w:rsid w:val="009E3826"/>
    <w:rsid w:val="00A12478"/>
    <w:rsid w:val="00A40F09"/>
    <w:rsid w:val="00A930B9"/>
    <w:rsid w:val="00B11DB7"/>
    <w:rsid w:val="00B430B7"/>
    <w:rsid w:val="00B75E53"/>
    <w:rsid w:val="00B8726E"/>
    <w:rsid w:val="00B94F33"/>
    <w:rsid w:val="00BA38AB"/>
    <w:rsid w:val="00BA3A72"/>
    <w:rsid w:val="00BA6E74"/>
    <w:rsid w:val="00BB6A48"/>
    <w:rsid w:val="00BE22A6"/>
    <w:rsid w:val="00BF0BBC"/>
    <w:rsid w:val="00BF0C6C"/>
    <w:rsid w:val="00BF3B4D"/>
    <w:rsid w:val="00C10D4E"/>
    <w:rsid w:val="00C226FD"/>
    <w:rsid w:val="00C25B74"/>
    <w:rsid w:val="00C477B0"/>
    <w:rsid w:val="00C532BD"/>
    <w:rsid w:val="00C6060D"/>
    <w:rsid w:val="00C8684C"/>
    <w:rsid w:val="00C93CC0"/>
    <w:rsid w:val="00CA0DFD"/>
    <w:rsid w:val="00CD5D5E"/>
    <w:rsid w:val="00CF2EA9"/>
    <w:rsid w:val="00D22C66"/>
    <w:rsid w:val="00D413CA"/>
    <w:rsid w:val="00D4511E"/>
    <w:rsid w:val="00D525D1"/>
    <w:rsid w:val="00D61143"/>
    <w:rsid w:val="00D6253C"/>
    <w:rsid w:val="00D6673D"/>
    <w:rsid w:val="00D67635"/>
    <w:rsid w:val="00D705BC"/>
    <w:rsid w:val="00D76D19"/>
    <w:rsid w:val="00D83B5F"/>
    <w:rsid w:val="00DA7454"/>
    <w:rsid w:val="00DD5852"/>
    <w:rsid w:val="00DE30ED"/>
    <w:rsid w:val="00DF28F0"/>
    <w:rsid w:val="00E0503F"/>
    <w:rsid w:val="00E06A6D"/>
    <w:rsid w:val="00E10148"/>
    <w:rsid w:val="00E11991"/>
    <w:rsid w:val="00E1671C"/>
    <w:rsid w:val="00E33A2F"/>
    <w:rsid w:val="00E672D7"/>
    <w:rsid w:val="00E75F21"/>
    <w:rsid w:val="00E82B76"/>
    <w:rsid w:val="00E83F9D"/>
    <w:rsid w:val="00E85E7E"/>
    <w:rsid w:val="00EA0D95"/>
    <w:rsid w:val="00EA400C"/>
    <w:rsid w:val="00EA588F"/>
    <w:rsid w:val="00EA7152"/>
    <w:rsid w:val="00ED47DB"/>
    <w:rsid w:val="00F05780"/>
    <w:rsid w:val="00F066FB"/>
    <w:rsid w:val="00F12A49"/>
    <w:rsid w:val="00F26964"/>
    <w:rsid w:val="00F344D7"/>
    <w:rsid w:val="00F36E58"/>
    <w:rsid w:val="00F43758"/>
    <w:rsid w:val="00F44C7D"/>
    <w:rsid w:val="00F54AA9"/>
    <w:rsid w:val="00F559BB"/>
    <w:rsid w:val="00F653DD"/>
    <w:rsid w:val="00F81398"/>
    <w:rsid w:val="00F87A04"/>
    <w:rsid w:val="00F92BCB"/>
    <w:rsid w:val="00FA4868"/>
    <w:rsid w:val="00FE612F"/>
    <w:rsid w:val="00FF2CE3"/>
    <w:rsid w:val="01256871"/>
    <w:rsid w:val="012E6677"/>
    <w:rsid w:val="0134188D"/>
    <w:rsid w:val="01563771"/>
    <w:rsid w:val="015E6A6B"/>
    <w:rsid w:val="01877E34"/>
    <w:rsid w:val="018F5DF5"/>
    <w:rsid w:val="01A75CFD"/>
    <w:rsid w:val="01B747DE"/>
    <w:rsid w:val="01BB556B"/>
    <w:rsid w:val="01E05B54"/>
    <w:rsid w:val="01EA0245"/>
    <w:rsid w:val="01F94B4F"/>
    <w:rsid w:val="0228024F"/>
    <w:rsid w:val="02292578"/>
    <w:rsid w:val="02501A4A"/>
    <w:rsid w:val="027331E1"/>
    <w:rsid w:val="02A10763"/>
    <w:rsid w:val="02A92B75"/>
    <w:rsid w:val="02AC63D9"/>
    <w:rsid w:val="02CF1169"/>
    <w:rsid w:val="02D648D5"/>
    <w:rsid w:val="02E600D2"/>
    <w:rsid w:val="02F872D1"/>
    <w:rsid w:val="032A6CA8"/>
    <w:rsid w:val="03336A1B"/>
    <w:rsid w:val="036D23DD"/>
    <w:rsid w:val="038F0ABD"/>
    <w:rsid w:val="039A3640"/>
    <w:rsid w:val="03A17DDF"/>
    <w:rsid w:val="03A550DF"/>
    <w:rsid w:val="03AA3449"/>
    <w:rsid w:val="03AA41DB"/>
    <w:rsid w:val="03AA5348"/>
    <w:rsid w:val="03AF0D0B"/>
    <w:rsid w:val="03B115B2"/>
    <w:rsid w:val="03DD2AF2"/>
    <w:rsid w:val="03DD7958"/>
    <w:rsid w:val="03DF051E"/>
    <w:rsid w:val="03E90606"/>
    <w:rsid w:val="04235DB5"/>
    <w:rsid w:val="04332CF0"/>
    <w:rsid w:val="043C266C"/>
    <w:rsid w:val="043F7F93"/>
    <w:rsid w:val="04753F1D"/>
    <w:rsid w:val="04A6546F"/>
    <w:rsid w:val="04B637DF"/>
    <w:rsid w:val="04BF6D81"/>
    <w:rsid w:val="04DF289D"/>
    <w:rsid w:val="04E0029A"/>
    <w:rsid w:val="05063013"/>
    <w:rsid w:val="051E68B8"/>
    <w:rsid w:val="05331D45"/>
    <w:rsid w:val="058B7AE0"/>
    <w:rsid w:val="05A06DF1"/>
    <w:rsid w:val="05BE27D7"/>
    <w:rsid w:val="05BF7DF8"/>
    <w:rsid w:val="05C174AD"/>
    <w:rsid w:val="05C66DD6"/>
    <w:rsid w:val="05E82D2F"/>
    <w:rsid w:val="05E86C61"/>
    <w:rsid w:val="05EA61A3"/>
    <w:rsid w:val="05EE3D28"/>
    <w:rsid w:val="06143F5E"/>
    <w:rsid w:val="062C56C7"/>
    <w:rsid w:val="063E1D6E"/>
    <w:rsid w:val="064A6298"/>
    <w:rsid w:val="064A7DC6"/>
    <w:rsid w:val="064B4175"/>
    <w:rsid w:val="064E53D3"/>
    <w:rsid w:val="066A4BE1"/>
    <w:rsid w:val="06B03767"/>
    <w:rsid w:val="06EF5E03"/>
    <w:rsid w:val="071A467E"/>
    <w:rsid w:val="07485AFF"/>
    <w:rsid w:val="07562F3B"/>
    <w:rsid w:val="075856CE"/>
    <w:rsid w:val="07617ADD"/>
    <w:rsid w:val="07712F28"/>
    <w:rsid w:val="07817811"/>
    <w:rsid w:val="07A07B64"/>
    <w:rsid w:val="07BE5F4D"/>
    <w:rsid w:val="07D27F48"/>
    <w:rsid w:val="07D305D0"/>
    <w:rsid w:val="07D45B23"/>
    <w:rsid w:val="083212BD"/>
    <w:rsid w:val="08403CC4"/>
    <w:rsid w:val="08714243"/>
    <w:rsid w:val="08952917"/>
    <w:rsid w:val="08AD5AE0"/>
    <w:rsid w:val="08CC6F83"/>
    <w:rsid w:val="08D071BC"/>
    <w:rsid w:val="08EF7A0B"/>
    <w:rsid w:val="09325C49"/>
    <w:rsid w:val="094C5AEB"/>
    <w:rsid w:val="09702941"/>
    <w:rsid w:val="09795D94"/>
    <w:rsid w:val="097A313C"/>
    <w:rsid w:val="097B146B"/>
    <w:rsid w:val="09803144"/>
    <w:rsid w:val="098D6E22"/>
    <w:rsid w:val="099C58F8"/>
    <w:rsid w:val="0A087CDD"/>
    <w:rsid w:val="0A124BBD"/>
    <w:rsid w:val="0A172188"/>
    <w:rsid w:val="0A1A3494"/>
    <w:rsid w:val="0A3349B8"/>
    <w:rsid w:val="0A5401CF"/>
    <w:rsid w:val="0A70354E"/>
    <w:rsid w:val="0A73674E"/>
    <w:rsid w:val="0A9D0EB2"/>
    <w:rsid w:val="0A9F5E9C"/>
    <w:rsid w:val="0AA15B5C"/>
    <w:rsid w:val="0AA33384"/>
    <w:rsid w:val="0AA45F1C"/>
    <w:rsid w:val="0AB34E39"/>
    <w:rsid w:val="0AED2F8E"/>
    <w:rsid w:val="0AEE0EA1"/>
    <w:rsid w:val="0B1A6FFE"/>
    <w:rsid w:val="0B231892"/>
    <w:rsid w:val="0B3466C0"/>
    <w:rsid w:val="0B6E2CC5"/>
    <w:rsid w:val="0B792627"/>
    <w:rsid w:val="0B8B6846"/>
    <w:rsid w:val="0B8C3E68"/>
    <w:rsid w:val="0B9856C5"/>
    <w:rsid w:val="0BA82F9B"/>
    <w:rsid w:val="0BB42081"/>
    <w:rsid w:val="0BF13DE3"/>
    <w:rsid w:val="0C161512"/>
    <w:rsid w:val="0C1C526A"/>
    <w:rsid w:val="0C2B1AAD"/>
    <w:rsid w:val="0C3B3D73"/>
    <w:rsid w:val="0CC37F0B"/>
    <w:rsid w:val="0CC723BF"/>
    <w:rsid w:val="0CD076FD"/>
    <w:rsid w:val="0CD6250F"/>
    <w:rsid w:val="0CDD1325"/>
    <w:rsid w:val="0D0D74FA"/>
    <w:rsid w:val="0D1A55CB"/>
    <w:rsid w:val="0D247A33"/>
    <w:rsid w:val="0D491C85"/>
    <w:rsid w:val="0D631110"/>
    <w:rsid w:val="0D72766C"/>
    <w:rsid w:val="0D9E3C2B"/>
    <w:rsid w:val="0DB43E95"/>
    <w:rsid w:val="0DC66881"/>
    <w:rsid w:val="0DD10E11"/>
    <w:rsid w:val="0DE22B81"/>
    <w:rsid w:val="0E01162F"/>
    <w:rsid w:val="0E1F0B8E"/>
    <w:rsid w:val="0E2338AF"/>
    <w:rsid w:val="0E313D6B"/>
    <w:rsid w:val="0E6823D7"/>
    <w:rsid w:val="0E7D4E68"/>
    <w:rsid w:val="0EAD02A4"/>
    <w:rsid w:val="0EB22DA2"/>
    <w:rsid w:val="0EBB1F53"/>
    <w:rsid w:val="0ED139D1"/>
    <w:rsid w:val="0EE54334"/>
    <w:rsid w:val="0EF45A0E"/>
    <w:rsid w:val="0EF768F3"/>
    <w:rsid w:val="0F0E552D"/>
    <w:rsid w:val="0F4E07CD"/>
    <w:rsid w:val="0F6C422B"/>
    <w:rsid w:val="0FA4341C"/>
    <w:rsid w:val="0FAA19B5"/>
    <w:rsid w:val="0FAF01B5"/>
    <w:rsid w:val="0FAF24CD"/>
    <w:rsid w:val="0FB577F6"/>
    <w:rsid w:val="0FB61B93"/>
    <w:rsid w:val="0FC075E2"/>
    <w:rsid w:val="0FC93064"/>
    <w:rsid w:val="0FEE00D3"/>
    <w:rsid w:val="10043299"/>
    <w:rsid w:val="100F7DE4"/>
    <w:rsid w:val="10252087"/>
    <w:rsid w:val="102626D4"/>
    <w:rsid w:val="10423AB7"/>
    <w:rsid w:val="105C0398"/>
    <w:rsid w:val="108025F0"/>
    <w:rsid w:val="1087689A"/>
    <w:rsid w:val="10A10A1C"/>
    <w:rsid w:val="10A92D9A"/>
    <w:rsid w:val="10AE046E"/>
    <w:rsid w:val="10B926F9"/>
    <w:rsid w:val="11491A66"/>
    <w:rsid w:val="116517C5"/>
    <w:rsid w:val="116945D1"/>
    <w:rsid w:val="117824AF"/>
    <w:rsid w:val="117C268C"/>
    <w:rsid w:val="11890DA5"/>
    <w:rsid w:val="118C6876"/>
    <w:rsid w:val="119F6302"/>
    <w:rsid w:val="11C45F67"/>
    <w:rsid w:val="11E66122"/>
    <w:rsid w:val="12087A67"/>
    <w:rsid w:val="122C4328"/>
    <w:rsid w:val="124B5618"/>
    <w:rsid w:val="12717885"/>
    <w:rsid w:val="12733D33"/>
    <w:rsid w:val="12762471"/>
    <w:rsid w:val="1291166A"/>
    <w:rsid w:val="12912CC0"/>
    <w:rsid w:val="12AE6681"/>
    <w:rsid w:val="12BE5A60"/>
    <w:rsid w:val="130427A8"/>
    <w:rsid w:val="130445E1"/>
    <w:rsid w:val="132D0C44"/>
    <w:rsid w:val="13444F20"/>
    <w:rsid w:val="134B5F92"/>
    <w:rsid w:val="1369484C"/>
    <w:rsid w:val="137334FF"/>
    <w:rsid w:val="13736EA8"/>
    <w:rsid w:val="13777744"/>
    <w:rsid w:val="137E4610"/>
    <w:rsid w:val="139E3CAF"/>
    <w:rsid w:val="139F58C0"/>
    <w:rsid w:val="13BF752C"/>
    <w:rsid w:val="13C42CC6"/>
    <w:rsid w:val="13DC1B0E"/>
    <w:rsid w:val="13EB519E"/>
    <w:rsid w:val="13FA1F85"/>
    <w:rsid w:val="14355627"/>
    <w:rsid w:val="144E2A62"/>
    <w:rsid w:val="146A5AF3"/>
    <w:rsid w:val="14845CF0"/>
    <w:rsid w:val="14B53C83"/>
    <w:rsid w:val="14B66CDC"/>
    <w:rsid w:val="14CF5095"/>
    <w:rsid w:val="14D344F1"/>
    <w:rsid w:val="14DB3B71"/>
    <w:rsid w:val="14EA37E3"/>
    <w:rsid w:val="14F648E5"/>
    <w:rsid w:val="14F85660"/>
    <w:rsid w:val="14FD10FA"/>
    <w:rsid w:val="150C484B"/>
    <w:rsid w:val="150D48AA"/>
    <w:rsid w:val="150F7468"/>
    <w:rsid w:val="151E2C85"/>
    <w:rsid w:val="15206D41"/>
    <w:rsid w:val="153B162E"/>
    <w:rsid w:val="153F39C3"/>
    <w:rsid w:val="155479DE"/>
    <w:rsid w:val="155F25C9"/>
    <w:rsid w:val="15A61B21"/>
    <w:rsid w:val="15D13A54"/>
    <w:rsid w:val="15F04137"/>
    <w:rsid w:val="15F323E7"/>
    <w:rsid w:val="16125042"/>
    <w:rsid w:val="16237425"/>
    <w:rsid w:val="16597890"/>
    <w:rsid w:val="1693317A"/>
    <w:rsid w:val="16B9136D"/>
    <w:rsid w:val="16DA22F6"/>
    <w:rsid w:val="16E94614"/>
    <w:rsid w:val="17017BDE"/>
    <w:rsid w:val="1764752E"/>
    <w:rsid w:val="176E4D7E"/>
    <w:rsid w:val="17BB3B37"/>
    <w:rsid w:val="17CD18E0"/>
    <w:rsid w:val="17CD7FDF"/>
    <w:rsid w:val="17DF386E"/>
    <w:rsid w:val="17E76375"/>
    <w:rsid w:val="17ED65E0"/>
    <w:rsid w:val="180941F3"/>
    <w:rsid w:val="1837545A"/>
    <w:rsid w:val="18475D78"/>
    <w:rsid w:val="1859326F"/>
    <w:rsid w:val="186D5AEC"/>
    <w:rsid w:val="189268B0"/>
    <w:rsid w:val="189B6C40"/>
    <w:rsid w:val="189E272E"/>
    <w:rsid w:val="18E3072B"/>
    <w:rsid w:val="18F2048F"/>
    <w:rsid w:val="18F71A4A"/>
    <w:rsid w:val="191565C1"/>
    <w:rsid w:val="193412C5"/>
    <w:rsid w:val="194426D9"/>
    <w:rsid w:val="194A5A66"/>
    <w:rsid w:val="19923A94"/>
    <w:rsid w:val="19973C72"/>
    <w:rsid w:val="19A44710"/>
    <w:rsid w:val="19B57404"/>
    <w:rsid w:val="19C20D76"/>
    <w:rsid w:val="19C34FDC"/>
    <w:rsid w:val="19D42771"/>
    <w:rsid w:val="19D45C5F"/>
    <w:rsid w:val="1A114E78"/>
    <w:rsid w:val="1A1412FD"/>
    <w:rsid w:val="1A4133C2"/>
    <w:rsid w:val="1A420302"/>
    <w:rsid w:val="1A5A3BD8"/>
    <w:rsid w:val="1A611CDE"/>
    <w:rsid w:val="1A890E05"/>
    <w:rsid w:val="1A8F523B"/>
    <w:rsid w:val="1A940151"/>
    <w:rsid w:val="1A990F08"/>
    <w:rsid w:val="1AA7382E"/>
    <w:rsid w:val="1AAB076C"/>
    <w:rsid w:val="1AD0606E"/>
    <w:rsid w:val="1AD07352"/>
    <w:rsid w:val="1AE92D28"/>
    <w:rsid w:val="1B0852A2"/>
    <w:rsid w:val="1B1B0642"/>
    <w:rsid w:val="1B302F67"/>
    <w:rsid w:val="1B305C4E"/>
    <w:rsid w:val="1B446460"/>
    <w:rsid w:val="1B79094F"/>
    <w:rsid w:val="1B8D204A"/>
    <w:rsid w:val="1BCB2C49"/>
    <w:rsid w:val="1BE567FB"/>
    <w:rsid w:val="1BF16289"/>
    <w:rsid w:val="1C141AD5"/>
    <w:rsid w:val="1C3071C3"/>
    <w:rsid w:val="1C667D90"/>
    <w:rsid w:val="1C7B12F1"/>
    <w:rsid w:val="1C82213A"/>
    <w:rsid w:val="1C847DC9"/>
    <w:rsid w:val="1C9A144B"/>
    <w:rsid w:val="1C9C78D3"/>
    <w:rsid w:val="1CA143AE"/>
    <w:rsid w:val="1CA534D4"/>
    <w:rsid w:val="1CB4122C"/>
    <w:rsid w:val="1CB90E82"/>
    <w:rsid w:val="1CC43C93"/>
    <w:rsid w:val="1CE44234"/>
    <w:rsid w:val="1CF64313"/>
    <w:rsid w:val="1D05346F"/>
    <w:rsid w:val="1D090855"/>
    <w:rsid w:val="1D233875"/>
    <w:rsid w:val="1D3F0FF2"/>
    <w:rsid w:val="1D837935"/>
    <w:rsid w:val="1DA62EAC"/>
    <w:rsid w:val="1DC051E0"/>
    <w:rsid w:val="1DCC68EC"/>
    <w:rsid w:val="1DDA1494"/>
    <w:rsid w:val="1DE76FFF"/>
    <w:rsid w:val="1DF16C72"/>
    <w:rsid w:val="1DFE6A06"/>
    <w:rsid w:val="1E133CF7"/>
    <w:rsid w:val="1E1D70EC"/>
    <w:rsid w:val="1E4D061D"/>
    <w:rsid w:val="1E62011E"/>
    <w:rsid w:val="1E6F6B04"/>
    <w:rsid w:val="1E71053D"/>
    <w:rsid w:val="1E9A6FC9"/>
    <w:rsid w:val="1EA71C03"/>
    <w:rsid w:val="1EA94262"/>
    <w:rsid w:val="1EB10C9B"/>
    <w:rsid w:val="1EB935F1"/>
    <w:rsid w:val="1EC8115B"/>
    <w:rsid w:val="1ED15A3F"/>
    <w:rsid w:val="1ED55F70"/>
    <w:rsid w:val="1EE07F48"/>
    <w:rsid w:val="1EE70931"/>
    <w:rsid w:val="1F052F6F"/>
    <w:rsid w:val="1F143830"/>
    <w:rsid w:val="1F1E0E45"/>
    <w:rsid w:val="1F365779"/>
    <w:rsid w:val="1F516717"/>
    <w:rsid w:val="1F575B43"/>
    <w:rsid w:val="1F7E0215"/>
    <w:rsid w:val="1F86398B"/>
    <w:rsid w:val="1F8742CF"/>
    <w:rsid w:val="1F8904DA"/>
    <w:rsid w:val="1F9B24B9"/>
    <w:rsid w:val="1FB157F2"/>
    <w:rsid w:val="1FB454F7"/>
    <w:rsid w:val="1FB51DA4"/>
    <w:rsid w:val="1FBD24E7"/>
    <w:rsid w:val="1FC854E5"/>
    <w:rsid w:val="20053FE5"/>
    <w:rsid w:val="200B5B60"/>
    <w:rsid w:val="202D22CB"/>
    <w:rsid w:val="20370E53"/>
    <w:rsid w:val="203748EE"/>
    <w:rsid w:val="203B27FD"/>
    <w:rsid w:val="204C2BCA"/>
    <w:rsid w:val="2071027C"/>
    <w:rsid w:val="207B46C3"/>
    <w:rsid w:val="207E1BB6"/>
    <w:rsid w:val="20924C03"/>
    <w:rsid w:val="20CB3114"/>
    <w:rsid w:val="20D72910"/>
    <w:rsid w:val="20F02E51"/>
    <w:rsid w:val="21522015"/>
    <w:rsid w:val="21591AFF"/>
    <w:rsid w:val="216A4118"/>
    <w:rsid w:val="217D2822"/>
    <w:rsid w:val="218F26D6"/>
    <w:rsid w:val="21982F76"/>
    <w:rsid w:val="21A616BF"/>
    <w:rsid w:val="21B77DF0"/>
    <w:rsid w:val="21B9532D"/>
    <w:rsid w:val="22054687"/>
    <w:rsid w:val="220A1795"/>
    <w:rsid w:val="221C4E2C"/>
    <w:rsid w:val="22557B2E"/>
    <w:rsid w:val="229F68A9"/>
    <w:rsid w:val="22A36E07"/>
    <w:rsid w:val="22C00C32"/>
    <w:rsid w:val="22CD4039"/>
    <w:rsid w:val="22FF09A9"/>
    <w:rsid w:val="22FF4A92"/>
    <w:rsid w:val="231007BA"/>
    <w:rsid w:val="2331160E"/>
    <w:rsid w:val="233F7F6A"/>
    <w:rsid w:val="2342056D"/>
    <w:rsid w:val="23585235"/>
    <w:rsid w:val="2361526C"/>
    <w:rsid w:val="237E7006"/>
    <w:rsid w:val="23816D9B"/>
    <w:rsid w:val="238376F3"/>
    <w:rsid w:val="238C29CD"/>
    <w:rsid w:val="23AF7CC0"/>
    <w:rsid w:val="23E96B80"/>
    <w:rsid w:val="23FC04C2"/>
    <w:rsid w:val="242E157C"/>
    <w:rsid w:val="24420320"/>
    <w:rsid w:val="244518CA"/>
    <w:rsid w:val="246D5897"/>
    <w:rsid w:val="24902BE9"/>
    <w:rsid w:val="249D58EC"/>
    <w:rsid w:val="24A65822"/>
    <w:rsid w:val="24AE4519"/>
    <w:rsid w:val="24B15330"/>
    <w:rsid w:val="24D0120B"/>
    <w:rsid w:val="25204E28"/>
    <w:rsid w:val="25322C13"/>
    <w:rsid w:val="253E5DB9"/>
    <w:rsid w:val="25597ECC"/>
    <w:rsid w:val="25753929"/>
    <w:rsid w:val="257C7F03"/>
    <w:rsid w:val="25836E06"/>
    <w:rsid w:val="25957348"/>
    <w:rsid w:val="25BC51AA"/>
    <w:rsid w:val="25EF5C81"/>
    <w:rsid w:val="25F9309E"/>
    <w:rsid w:val="25F976E7"/>
    <w:rsid w:val="25FD0C63"/>
    <w:rsid w:val="26047E4C"/>
    <w:rsid w:val="2620675F"/>
    <w:rsid w:val="26254F06"/>
    <w:rsid w:val="26312270"/>
    <w:rsid w:val="263642E0"/>
    <w:rsid w:val="265A328B"/>
    <w:rsid w:val="265A5063"/>
    <w:rsid w:val="268F071D"/>
    <w:rsid w:val="268F2CAB"/>
    <w:rsid w:val="269825B3"/>
    <w:rsid w:val="269D1A1A"/>
    <w:rsid w:val="26B75807"/>
    <w:rsid w:val="26BE661B"/>
    <w:rsid w:val="26D154C5"/>
    <w:rsid w:val="26D224B8"/>
    <w:rsid w:val="27037854"/>
    <w:rsid w:val="270F095F"/>
    <w:rsid w:val="27297504"/>
    <w:rsid w:val="273853B7"/>
    <w:rsid w:val="273A2A75"/>
    <w:rsid w:val="27412236"/>
    <w:rsid w:val="279B2462"/>
    <w:rsid w:val="27BA2917"/>
    <w:rsid w:val="27CA04BB"/>
    <w:rsid w:val="27E84E1A"/>
    <w:rsid w:val="27FB64F0"/>
    <w:rsid w:val="280465AF"/>
    <w:rsid w:val="28204903"/>
    <w:rsid w:val="285B3471"/>
    <w:rsid w:val="28610EC2"/>
    <w:rsid w:val="287A4106"/>
    <w:rsid w:val="2897741E"/>
    <w:rsid w:val="28B138A9"/>
    <w:rsid w:val="28D37C6B"/>
    <w:rsid w:val="28D70CFD"/>
    <w:rsid w:val="28F4394D"/>
    <w:rsid w:val="28FC2F94"/>
    <w:rsid w:val="29066A60"/>
    <w:rsid w:val="29132D38"/>
    <w:rsid w:val="29214E1B"/>
    <w:rsid w:val="293660BE"/>
    <w:rsid w:val="294F6CBE"/>
    <w:rsid w:val="2956157E"/>
    <w:rsid w:val="2956227D"/>
    <w:rsid w:val="296948B8"/>
    <w:rsid w:val="296D217D"/>
    <w:rsid w:val="29B70A31"/>
    <w:rsid w:val="29D9074B"/>
    <w:rsid w:val="29E97C24"/>
    <w:rsid w:val="29FB1191"/>
    <w:rsid w:val="29FE20EF"/>
    <w:rsid w:val="2A1246A6"/>
    <w:rsid w:val="2A161C30"/>
    <w:rsid w:val="2A1F1D9C"/>
    <w:rsid w:val="2A235D63"/>
    <w:rsid w:val="2A384C40"/>
    <w:rsid w:val="2A520049"/>
    <w:rsid w:val="2A552A76"/>
    <w:rsid w:val="2A8F541C"/>
    <w:rsid w:val="2A9F4711"/>
    <w:rsid w:val="2AC413A4"/>
    <w:rsid w:val="2AD90C20"/>
    <w:rsid w:val="2ADC5B82"/>
    <w:rsid w:val="2AEF2402"/>
    <w:rsid w:val="2AFD1F40"/>
    <w:rsid w:val="2B0E5AD5"/>
    <w:rsid w:val="2B27335D"/>
    <w:rsid w:val="2B336B02"/>
    <w:rsid w:val="2B531C29"/>
    <w:rsid w:val="2B5E1309"/>
    <w:rsid w:val="2B642C15"/>
    <w:rsid w:val="2B6B4F9E"/>
    <w:rsid w:val="2B926C21"/>
    <w:rsid w:val="2B9874DA"/>
    <w:rsid w:val="2BA02ACD"/>
    <w:rsid w:val="2BA03844"/>
    <w:rsid w:val="2BB11B47"/>
    <w:rsid w:val="2BC119C7"/>
    <w:rsid w:val="2BC314C9"/>
    <w:rsid w:val="2BCD48C1"/>
    <w:rsid w:val="2BFF0A32"/>
    <w:rsid w:val="2C176BB0"/>
    <w:rsid w:val="2C305518"/>
    <w:rsid w:val="2C4B62A7"/>
    <w:rsid w:val="2C650829"/>
    <w:rsid w:val="2C6E2845"/>
    <w:rsid w:val="2C955067"/>
    <w:rsid w:val="2CA727C3"/>
    <w:rsid w:val="2CC201EC"/>
    <w:rsid w:val="2D085DD3"/>
    <w:rsid w:val="2D2F4701"/>
    <w:rsid w:val="2D717974"/>
    <w:rsid w:val="2D9E7EB6"/>
    <w:rsid w:val="2DA81239"/>
    <w:rsid w:val="2DAC4D64"/>
    <w:rsid w:val="2DB52A3D"/>
    <w:rsid w:val="2DB564FF"/>
    <w:rsid w:val="2DBB53E9"/>
    <w:rsid w:val="2DBD35CB"/>
    <w:rsid w:val="2DE73CD5"/>
    <w:rsid w:val="2E2C3D01"/>
    <w:rsid w:val="2E3937A5"/>
    <w:rsid w:val="2E522EB3"/>
    <w:rsid w:val="2E6F2809"/>
    <w:rsid w:val="2E777595"/>
    <w:rsid w:val="2E7D298C"/>
    <w:rsid w:val="2EA6070B"/>
    <w:rsid w:val="2EB80697"/>
    <w:rsid w:val="2EC50F1A"/>
    <w:rsid w:val="2ED378B7"/>
    <w:rsid w:val="2ED91824"/>
    <w:rsid w:val="2EDE0219"/>
    <w:rsid w:val="2EEA39C8"/>
    <w:rsid w:val="2EEE27F2"/>
    <w:rsid w:val="2EF112BA"/>
    <w:rsid w:val="2F04690A"/>
    <w:rsid w:val="2F0E2251"/>
    <w:rsid w:val="2F631C2E"/>
    <w:rsid w:val="2F636DFE"/>
    <w:rsid w:val="2F6A0E18"/>
    <w:rsid w:val="2F7E1459"/>
    <w:rsid w:val="2F855CB7"/>
    <w:rsid w:val="2FA71903"/>
    <w:rsid w:val="2FB761DC"/>
    <w:rsid w:val="2FBF1AB5"/>
    <w:rsid w:val="2FDE2F52"/>
    <w:rsid w:val="30021A40"/>
    <w:rsid w:val="300F1B12"/>
    <w:rsid w:val="301A7506"/>
    <w:rsid w:val="301D5B2E"/>
    <w:rsid w:val="30241529"/>
    <w:rsid w:val="303E2004"/>
    <w:rsid w:val="30933E36"/>
    <w:rsid w:val="30AD6272"/>
    <w:rsid w:val="30AF686C"/>
    <w:rsid w:val="30BA5BD2"/>
    <w:rsid w:val="30BC5901"/>
    <w:rsid w:val="30D449CB"/>
    <w:rsid w:val="30D537A5"/>
    <w:rsid w:val="30E40874"/>
    <w:rsid w:val="310D0EB6"/>
    <w:rsid w:val="316376A3"/>
    <w:rsid w:val="316971FA"/>
    <w:rsid w:val="316F04BC"/>
    <w:rsid w:val="317F031E"/>
    <w:rsid w:val="31A61DF5"/>
    <w:rsid w:val="31A86610"/>
    <w:rsid w:val="31B419B2"/>
    <w:rsid w:val="31B96147"/>
    <w:rsid w:val="31C85D78"/>
    <w:rsid w:val="31CE1E29"/>
    <w:rsid w:val="31D1300E"/>
    <w:rsid w:val="31E847A3"/>
    <w:rsid w:val="3215291B"/>
    <w:rsid w:val="321F31B8"/>
    <w:rsid w:val="32207AF2"/>
    <w:rsid w:val="32380BCF"/>
    <w:rsid w:val="323D0273"/>
    <w:rsid w:val="32723721"/>
    <w:rsid w:val="32A81D1F"/>
    <w:rsid w:val="32BD4996"/>
    <w:rsid w:val="32CC4502"/>
    <w:rsid w:val="32D310A1"/>
    <w:rsid w:val="32DC624E"/>
    <w:rsid w:val="32E85E89"/>
    <w:rsid w:val="32F75EAE"/>
    <w:rsid w:val="32F8395D"/>
    <w:rsid w:val="33011F73"/>
    <w:rsid w:val="332B0E57"/>
    <w:rsid w:val="333654CE"/>
    <w:rsid w:val="33382894"/>
    <w:rsid w:val="335966B1"/>
    <w:rsid w:val="338934AC"/>
    <w:rsid w:val="33B06B21"/>
    <w:rsid w:val="33B30B0E"/>
    <w:rsid w:val="33C826AC"/>
    <w:rsid w:val="3416139A"/>
    <w:rsid w:val="34176B56"/>
    <w:rsid w:val="34275884"/>
    <w:rsid w:val="348F6C9C"/>
    <w:rsid w:val="349315F6"/>
    <w:rsid w:val="34C31FFD"/>
    <w:rsid w:val="34D833F1"/>
    <w:rsid w:val="34E13642"/>
    <w:rsid w:val="34FA5D51"/>
    <w:rsid w:val="34FA778D"/>
    <w:rsid w:val="34FC1D71"/>
    <w:rsid w:val="34FC5E96"/>
    <w:rsid w:val="35424AC5"/>
    <w:rsid w:val="354C0669"/>
    <w:rsid w:val="35704A11"/>
    <w:rsid w:val="359254A5"/>
    <w:rsid w:val="35960847"/>
    <w:rsid w:val="35D30A36"/>
    <w:rsid w:val="35E123E6"/>
    <w:rsid w:val="35FE28D1"/>
    <w:rsid w:val="360D7962"/>
    <w:rsid w:val="360E6EFC"/>
    <w:rsid w:val="361E16FC"/>
    <w:rsid w:val="363302D9"/>
    <w:rsid w:val="365C0A9F"/>
    <w:rsid w:val="36A000F5"/>
    <w:rsid w:val="36A46FE1"/>
    <w:rsid w:val="36AB2AEF"/>
    <w:rsid w:val="36D02D0E"/>
    <w:rsid w:val="36D10FA5"/>
    <w:rsid w:val="36D76C86"/>
    <w:rsid w:val="36DF47D4"/>
    <w:rsid w:val="36F05CF5"/>
    <w:rsid w:val="370C259A"/>
    <w:rsid w:val="370E7D3B"/>
    <w:rsid w:val="373E2C7F"/>
    <w:rsid w:val="37595437"/>
    <w:rsid w:val="375E0C9C"/>
    <w:rsid w:val="37677AE0"/>
    <w:rsid w:val="377664C4"/>
    <w:rsid w:val="37784BE9"/>
    <w:rsid w:val="37B37B47"/>
    <w:rsid w:val="38120806"/>
    <w:rsid w:val="381E0CC6"/>
    <w:rsid w:val="387C6891"/>
    <w:rsid w:val="38A04143"/>
    <w:rsid w:val="38A43B86"/>
    <w:rsid w:val="38DC44C3"/>
    <w:rsid w:val="38E9308F"/>
    <w:rsid w:val="38EA2C5F"/>
    <w:rsid w:val="390D4E15"/>
    <w:rsid w:val="39183D36"/>
    <w:rsid w:val="39371BD5"/>
    <w:rsid w:val="393A1388"/>
    <w:rsid w:val="39561E39"/>
    <w:rsid w:val="39737D15"/>
    <w:rsid w:val="3979214B"/>
    <w:rsid w:val="399E415C"/>
    <w:rsid w:val="39B542C9"/>
    <w:rsid w:val="39E87D40"/>
    <w:rsid w:val="39EA3657"/>
    <w:rsid w:val="3A0D0585"/>
    <w:rsid w:val="3A457B07"/>
    <w:rsid w:val="3A5E54DB"/>
    <w:rsid w:val="3A700D20"/>
    <w:rsid w:val="3A7F02EE"/>
    <w:rsid w:val="3AD15FCC"/>
    <w:rsid w:val="3AEE526E"/>
    <w:rsid w:val="3AF20641"/>
    <w:rsid w:val="3B0A409C"/>
    <w:rsid w:val="3B0C1600"/>
    <w:rsid w:val="3B20719B"/>
    <w:rsid w:val="3B226AC3"/>
    <w:rsid w:val="3B310BF8"/>
    <w:rsid w:val="3B433754"/>
    <w:rsid w:val="3B691F22"/>
    <w:rsid w:val="3B7B75EB"/>
    <w:rsid w:val="3B7F6B75"/>
    <w:rsid w:val="3B8F1A92"/>
    <w:rsid w:val="3BAD040E"/>
    <w:rsid w:val="3BBE58F3"/>
    <w:rsid w:val="3BBF07FD"/>
    <w:rsid w:val="3BE948AE"/>
    <w:rsid w:val="3C1D07FE"/>
    <w:rsid w:val="3C2C7CB9"/>
    <w:rsid w:val="3C6914A7"/>
    <w:rsid w:val="3C7A22B9"/>
    <w:rsid w:val="3CC46859"/>
    <w:rsid w:val="3CE46F9B"/>
    <w:rsid w:val="3D2108C4"/>
    <w:rsid w:val="3D2F587D"/>
    <w:rsid w:val="3D407842"/>
    <w:rsid w:val="3D533CCC"/>
    <w:rsid w:val="3D725949"/>
    <w:rsid w:val="3D8F748F"/>
    <w:rsid w:val="3DB6706A"/>
    <w:rsid w:val="3DBB4021"/>
    <w:rsid w:val="3DBE7A9D"/>
    <w:rsid w:val="3DC32197"/>
    <w:rsid w:val="3DCD57D7"/>
    <w:rsid w:val="3DD376E2"/>
    <w:rsid w:val="3DE37191"/>
    <w:rsid w:val="3DF12FDF"/>
    <w:rsid w:val="3DF63579"/>
    <w:rsid w:val="3DFF1874"/>
    <w:rsid w:val="3E194F79"/>
    <w:rsid w:val="3E196495"/>
    <w:rsid w:val="3E3B2B5F"/>
    <w:rsid w:val="3E631789"/>
    <w:rsid w:val="3E635378"/>
    <w:rsid w:val="3E654679"/>
    <w:rsid w:val="3E683EE5"/>
    <w:rsid w:val="3E996EF2"/>
    <w:rsid w:val="3E9A50D3"/>
    <w:rsid w:val="3EBD46F1"/>
    <w:rsid w:val="3ED73660"/>
    <w:rsid w:val="3F0C013D"/>
    <w:rsid w:val="3F1B7213"/>
    <w:rsid w:val="3F3410BC"/>
    <w:rsid w:val="3F3F54E0"/>
    <w:rsid w:val="3F7E0098"/>
    <w:rsid w:val="3F89090F"/>
    <w:rsid w:val="3FA85F03"/>
    <w:rsid w:val="3FAB1B07"/>
    <w:rsid w:val="3FAD0152"/>
    <w:rsid w:val="3FBA6BF1"/>
    <w:rsid w:val="3FC06B77"/>
    <w:rsid w:val="3FEA1865"/>
    <w:rsid w:val="402E1F9C"/>
    <w:rsid w:val="403345A7"/>
    <w:rsid w:val="40474B1E"/>
    <w:rsid w:val="407D2BB7"/>
    <w:rsid w:val="40BC75C8"/>
    <w:rsid w:val="40C227D4"/>
    <w:rsid w:val="40E82583"/>
    <w:rsid w:val="40EE23B5"/>
    <w:rsid w:val="40EF5D61"/>
    <w:rsid w:val="40FB36BF"/>
    <w:rsid w:val="41165E06"/>
    <w:rsid w:val="414071A3"/>
    <w:rsid w:val="4142012D"/>
    <w:rsid w:val="414C569B"/>
    <w:rsid w:val="41564699"/>
    <w:rsid w:val="415970BA"/>
    <w:rsid w:val="41675555"/>
    <w:rsid w:val="4175282E"/>
    <w:rsid w:val="417C4A86"/>
    <w:rsid w:val="4199114A"/>
    <w:rsid w:val="41A44E68"/>
    <w:rsid w:val="422E4894"/>
    <w:rsid w:val="42492579"/>
    <w:rsid w:val="425658B8"/>
    <w:rsid w:val="42583C7C"/>
    <w:rsid w:val="42740438"/>
    <w:rsid w:val="42776388"/>
    <w:rsid w:val="428B68DD"/>
    <w:rsid w:val="42930086"/>
    <w:rsid w:val="429315D6"/>
    <w:rsid w:val="4299013B"/>
    <w:rsid w:val="42B35544"/>
    <w:rsid w:val="42B358C1"/>
    <w:rsid w:val="42CE0C94"/>
    <w:rsid w:val="42CE4805"/>
    <w:rsid w:val="430134C8"/>
    <w:rsid w:val="430C0A1D"/>
    <w:rsid w:val="430D6335"/>
    <w:rsid w:val="435704E3"/>
    <w:rsid w:val="43593DBB"/>
    <w:rsid w:val="435B4AAF"/>
    <w:rsid w:val="435F6EF4"/>
    <w:rsid w:val="43613CA1"/>
    <w:rsid w:val="4373220A"/>
    <w:rsid w:val="43996971"/>
    <w:rsid w:val="43EB7126"/>
    <w:rsid w:val="44184C13"/>
    <w:rsid w:val="44253B63"/>
    <w:rsid w:val="442612EB"/>
    <w:rsid w:val="443D7AF8"/>
    <w:rsid w:val="445B182E"/>
    <w:rsid w:val="445D0D8B"/>
    <w:rsid w:val="446267F9"/>
    <w:rsid w:val="447C7604"/>
    <w:rsid w:val="449364C7"/>
    <w:rsid w:val="44954E9D"/>
    <w:rsid w:val="44A76116"/>
    <w:rsid w:val="44B84701"/>
    <w:rsid w:val="44C969D3"/>
    <w:rsid w:val="44D469B6"/>
    <w:rsid w:val="44D713BC"/>
    <w:rsid w:val="44EB2E61"/>
    <w:rsid w:val="45021027"/>
    <w:rsid w:val="450F001C"/>
    <w:rsid w:val="452009F8"/>
    <w:rsid w:val="452A06E4"/>
    <w:rsid w:val="45395FE3"/>
    <w:rsid w:val="4546030E"/>
    <w:rsid w:val="45523AA7"/>
    <w:rsid w:val="455D5F0E"/>
    <w:rsid w:val="456D2A01"/>
    <w:rsid w:val="45773F58"/>
    <w:rsid w:val="45882AA4"/>
    <w:rsid w:val="45936466"/>
    <w:rsid w:val="45941D8F"/>
    <w:rsid w:val="45B260F6"/>
    <w:rsid w:val="45C425A6"/>
    <w:rsid w:val="45D06306"/>
    <w:rsid w:val="45D914C6"/>
    <w:rsid w:val="45DE1AE8"/>
    <w:rsid w:val="45F00C43"/>
    <w:rsid w:val="461740DC"/>
    <w:rsid w:val="46391D9F"/>
    <w:rsid w:val="46523170"/>
    <w:rsid w:val="465F1475"/>
    <w:rsid w:val="466011F8"/>
    <w:rsid w:val="466158E9"/>
    <w:rsid w:val="46684EA3"/>
    <w:rsid w:val="46730D5E"/>
    <w:rsid w:val="467438C3"/>
    <w:rsid w:val="469C101D"/>
    <w:rsid w:val="46A4192A"/>
    <w:rsid w:val="46B013D9"/>
    <w:rsid w:val="46B1122F"/>
    <w:rsid w:val="46CC27FE"/>
    <w:rsid w:val="46D017E9"/>
    <w:rsid w:val="46DD304E"/>
    <w:rsid w:val="46E04453"/>
    <w:rsid w:val="46EE1909"/>
    <w:rsid w:val="46F03C7E"/>
    <w:rsid w:val="46F62E84"/>
    <w:rsid w:val="46F65410"/>
    <w:rsid w:val="476135D3"/>
    <w:rsid w:val="476E324C"/>
    <w:rsid w:val="47A37BDB"/>
    <w:rsid w:val="47B7754D"/>
    <w:rsid w:val="47FC5EE9"/>
    <w:rsid w:val="48130706"/>
    <w:rsid w:val="482347AF"/>
    <w:rsid w:val="485122FA"/>
    <w:rsid w:val="48546547"/>
    <w:rsid w:val="485D31AA"/>
    <w:rsid w:val="48601F1B"/>
    <w:rsid w:val="48843829"/>
    <w:rsid w:val="488A686F"/>
    <w:rsid w:val="48A235E4"/>
    <w:rsid w:val="48BA3359"/>
    <w:rsid w:val="48CE1027"/>
    <w:rsid w:val="48D45D50"/>
    <w:rsid w:val="48DF06D9"/>
    <w:rsid w:val="48E74F1F"/>
    <w:rsid w:val="492A2D37"/>
    <w:rsid w:val="49562566"/>
    <w:rsid w:val="496127AF"/>
    <w:rsid w:val="496E3193"/>
    <w:rsid w:val="497E7C14"/>
    <w:rsid w:val="49A91854"/>
    <w:rsid w:val="49B53369"/>
    <w:rsid w:val="49C7332E"/>
    <w:rsid w:val="4A1164AB"/>
    <w:rsid w:val="4A1C2676"/>
    <w:rsid w:val="4A262DA6"/>
    <w:rsid w:val="4A361162"/>
    <w:rsid w:val="4A3665ED"/>
    <w:rsid w:val="4A4D651D"/>
    <w:rsid w:val="4A6073CF"/>
    <w:rsid w:val="4A6C206D"/>
    <w:rsid w:val="4A713457"/>
    <w:rsid w:val="4A7E486A"/>
    <w:rsid w:val="4A83792D"/>
    <w:rsid w:val="4A8B2A0C"/>
    <w:rsid w:val="4A8C18C9"/>
    <w:rsid w:val="4A954CA3"/>
    <w:rsid w:val="4AAF432D"/>
    <w:rsid w:val="4AB37994"/>
    <w:rsid w:val="4ABF63CE"/>
    <w:rsid w:val="4AD91074"/>
    <w:rsid w:val="4B0941E1"/>
    <w:rsid w:val="4B1E0F45"/>
    <w:rsid w:val="4B206E9D"/>
    <w:rsid w:val="4B232582"/>
    <w:rsid w:val="4B2A251B"/>
    <w:rsid w:val="4B405586"/>
    <w:rsid w:val="4B8F4A67"/>
    <w:rsid w:val="4BDC3416"/>
    <w:rsid w:val="4BE23055"/>
    <w:rsid w:val="4BE57F4B"/>
    <w:rsid w:val="4BE96C29"/>
    <w:rsid w:val="4C063BBF"/>
    <w:rsid w:val="4C29598F"/>
    <w:rsid w:val="4C347750"/>
    <w:rsid w:val="4C413F38"/>
    <w:rsid w:val="4C457933"/>
    <w:rsid w:val="4C780EB8"/>
    <w:rsid w:val="4C8F7347"/>
    <w:rsid w:val="4CA10853"/>
    <w:rsid w:val="4CA270E6"/>
    <w:rsid w:val="4CA546BE"/>
    <w:rsid w:val="4CCC66D0"/>
    <w:rsid w:val="4CE47C9F"/>
    <w:rsid w:val="4D094E2D"/>
    <w:rsid w:val="4D133EE9"/>
    <w:rsid w:val="4D1D7740"/>
    <w:rsid w:val="4D380A59"/>
    <w:rsid w:val="4D3C1E2B"/>
    <w:rsid w:val="4D435F7C"/>
    <w:rsid w:val="4D7404E5"/>
    <w:rsid w:val="4D823EBB"/>
    <w:rsid w:val="4DC16863"/>
    <w:rsid w:val="4DC972B5"/>
    <w:rsid w:val="4DCB62AF"/>
    <w:rsid w:val="4DD209C2"/>
    <w:rsid w:val="4E503B74"/>
    <w:rsid w:val="4E6877D8"/>
    <w:rsid w:val="4E915B89"/>
    <w:rsid w:val="4EA00D18"/>
    <w:rsid w:val="4ED8617F"/>
    <w:rsid w:val="4F0C4589"/>
    <w:rsid w:val="4F165D1F"/>
    <w:rsid w:val="4F231C15"/>
    <w:rsid w:val="4F2B0660"/>
    <w:rsid w:val="4F4930A4"/>
    <w:rsid w:val="4F5B008C"/>
    <w:rsid w:val="4F747931"/>
    <w:rsid w:val="4F791750"/>
    <w:rsid w:val="4F854751"/>
    <w:rsid w:val="4F940313"/>
    <w:rsid w:val="4F9E6861"/>
    <w:rsid w:val="4FBA0FF7"/>
    <w:rsid w:val="4FC125DC"/>
    <w:rsid w:val="4FF900DC"/>
    <w:rsid w:val="501123F7"/>
    <w:rsid w:val="50255A8E"/>
    <w:rsid w:val="502B79DF"/>
    <w:rsid w:val="5031624B"/>
    <w:rsid w:val="504110AF"/>
    <w:rsid w:val="505A552A"/>
    <w:rsid w:val="508E6190"/>
    <w:rsid w:val="509538F7"/>
    <w:rsid w:val="509670A3"/>
    <w:rsid w:val="509B215F"/>
    <w:rsid w:val="50B27949"/>
    <w:rsid w:val="50E52707"/>
    <w:rsid w:val="51152EB8"/>
    <w:rsid w:val="511A61ED"/>
    <w:rsid w:val="512A3A0B"/>
    <w:rsid w:val="512A7ECC"/>
    <w:rsid w:val="5165055F"/>
    <w:rsid w:val="516C6C28"/>
    <w:rsid w:val="517473FC"/>
    <w:rsid w:val="51902ACB"/>
    <w:rsid w:val="51AD5849"/>
    <w:rsid w:val="51B72165"/>
    <w:rsid w:val="51C524F3"/>
    <w:rsid w:val="51CE1F9B"/>
    <w:rsid w:val="51D94871"/>
    <w:rsid w:val="51DA1040"/>
    <w:rsid w:val="51DA6643"/>
    <w:rsid w:val="52070F93"/>
    <w:rsid w:val="520A1FCC"/>
    <w:rsid w:val="52190B03"/>
    <w:rsid w:val="522A108F"/>
    <w:rsid w:val="52423B58"/>
    <w:rsid w:val="5255759D"/>
    <w:rsid w:val="52620C63"/>
    <w:rsid w:val="527E7A1C"/>
    <w:rsid w:val="528A5929"/>
    <w:rsid w:val="528C1B83"/>
    <w:rsid w:val="52D821A5"/>
    <w:rsid w:val="52DB3C68"/>
    <w:rsid w:val="52FD1E3A"/>
    <w:rsid w:val="53374F37"/>
    <w:rsid w:val="53381F67"/>
    <w:rsid w:val="53382CDD"/>
    <w:rsid w:val="53485A38"/>
    <w:rsid w:val="53524BF7"/>
    <w:rsid w:val="53526225"/>
    <w:rsid w:val="535D43A3"/>
    <w:rsid w:val="536A3B4F"/>
    <w:rsid w:val="53C5628A"/>
    <w:rsid w:val="53C8631B"/>
    <w:rsid w:val="53D73BC2"/>
    <w:rsid w:val="53F857C9"/>
    <w:rsid w:val="540A38AA"/>
    <w:rsid w:val="54464085"/>
    <w:rsid w:val="5451780A"/>
    <w:rsid w:val="54587D0A"/>
    <w:rsid w:val="54611ED2"/>
    <w:rsid w:val="54765A5D"/>
    <w:rsid w:val="5486165B"/>
    <w:rsid w:val="548F37FE"/>
    <w:rsid w:val="549A7D7C"/>
    <w:rsid w:val="54AA6CA3"/>
    <w:rsid w:val="54AD484F"/>
    <w:rsid w:val="54B925F4"/>
    <w:rsid w:val="54BA7340"/>
    <w:rsid w:val="54D23D01"/>
    <w:rsid w:val="54EB2223"/>
    <w:rsid w:val="551232F4"/>
    <w:rsid w:val="5514174E"/>
    <w:rsid w:val="551A2751"/>
    <w:rsid w:val="553F5052"/>
    <w:rsid w:val="55464E45"/>
    <w:rsid w:val="554C725D"/>
    <w:rsid w:val="55545765"/>
    <w:rsid w:val="556A6F5F"/>
    <w:rsid w:val="55BE268E"/>
    <w:rsid w:val="55CE1E2A"/>
    <w:rsid w:val="55E13F21"/>
    <w:rsid w:val="56223AB3"/>
    <w:rsid w:val="563C3E3B"/>
    <w:rsid w:val="565346F4"/>
    <w:rsid w:val="56554BFF"/>
    <w:rsid w:val="565D62A5"/>
    <w:rsid w:val="56655708"/>
    <w:rsid w:val="566F21F5"/>
    <w:rsid w:val="56707186"/>
    <w:rsid w:val="567108BD"/>
    <w:rsid w:val="567F16C8"/>
    <w:rsid w:val="56811DC8"/>
    <w:rsid w:val="56BF3F95"/>
    <w:rsid w:val="56C57083"/>
    <w:rsid w:val="56E73775"/>
    <w:rsid w:val="57220EB0"/>
    <w:rsid w:val="57442A56"/>
    <w:rsid w:val="57472B5C"/>
    <w:rsid w:val="57533330"/>
    <w:rsid w:val="57603960"/>
    <w:rsid w:val="5791143D"/>
    <w:rsid w:val="57A971D1"/>
    <w:rsid w:val="57B26776"/>
    <w:rsid w:val="57B7606D"/>
    <w:rsid w:val="57D17E76"/>
    <w:rsid w:val="57E25820"/>
    <w:rsid w:val="57E35CDB"/>
    <w:rsid w:val="57FA3D19"/>
    <w:rsid w:val="581B751D"/>
    <w:rsid w:val="583B2E85"/>
    <w:rsid w:val="58503A67"/>
    <w:rsid w:val="58554A45"/>
    <w:rsid w:val="58877136"/>
    <w:rsid w:val="58A15712"/>
    <w:rsid w:val="58A67090"/>
    <w:rsid w:val="58C44F18"/>
    <w:rsid w:val="58DC2AD3"/>
    <w:rsid w:val="58E77EDB"/>
    <w:rsid w:val="58F05E23"/>
    <w:rsid w:val="58F47CDC"/>
    <w:rsid w:val="590D5118"/>
    <w:rsid w:val="59144262"/>
    <w:rsid w:val="592603FC"/>
    <w:rsid w:val="592A16AA"/>
    <w:rsid w:val="59452B64"/>
    <w:rsid w:val="59674FC6"/>
    <w:rsid w:val="59833895"/>
    <w:rsid w:val="59954E0F"/>
    <w:rsid w:val="599E5F24"/>
    <w:rsid w:val="59C25917"/>
    <w:rsid w:val="59C81C27"/>
    <w:rsid w:val="59D42B36"/>
    <w:rsid w:val="59F827E8"/>
    <w:rsid w:val="5A054491"/>
    <w:rsid w:val="5A41204C"/>
    <w:rsid w:val="5A5A2A2C"/>
    <w:rsid w:val="5A5A5545"/>
    <w:rsid w:val="5A612D39"/>
    <w:rsid w:val="5A8E2BB5"/>
    <w:rsid w:val="5A9D1537"/>
    <w:rsid w:val="5A9E0143"/>
    <w:rsid w:val="5AA76322"/>
    <w:rsid w:val="5AC11D66"/>
    <w:rsid w:val="5AC34BBE"/>
    <w:rsid w:val="5ADB2E5A"/>
    <w:rsid w:val="5AEC5F96"/>
    <w:rsid w:val="5AFF6779"/>
    <w:rsid w:val="5B0D4999"/>
    <w:rsid w:val="5B2A624B"/>
    <w:rsid w:val="5B45307D"/>
    <w:rsid w:val="5B4F4182"/>
    <w:rsid w:val="5B612B89"/>
    <w:rsid w:val="5B6E0321"/>
    <w:rsid w:val="5B7E6C9B"/>
    <w:rsid w:val="5B897386"/>
    <w:rsid w:val="5B9D2D7F"/>
    <w:rsid w:val="5BD264D0"/>
    <w:rsid w:val="5BE06DFA"/>
    <w:rsid w:val="5BFA5BA3"/>
    <w:rsid w:val="5C27532D"/>
    <w:rsid w:val="5C2A6B18"/>
    <w:rsid w:val="5C6A7FA5"/>
    <w:rsid w:val="5C701E09"/>
    <w:rsid w:val="5C795B28"/>
    <w:rsid w:val="5C812AE6"/>
    <w:rsid w:val="5C865BD3"/>
    <w:rsid w:val="5C8C33B2"/>
    <w:rsid w:val="5C8E4C9A"/>
    <w:rsid w:val="5C9D7F8B"/>
    <w:rsid w:val="5CCF7C7E"/>
    <w:rsid w:val="5D1E7C3D"/>
    <w:rsid w:val="5D271F29"/>
    <w:rsid w:val="5D2913C4"/>
    <w:rsid w:val="5D6E3C8F"/>
    <w:rsid w:val="5D791FA4"/>
    <w:rsid w:val="5D8F620B"/>
    <w:rsid w:val="5D9E797C"/>
    <w:rsid w:val="5DA65330"/>
    <w:rsid w:val="5DBD3F94"/>
    <w:rsid w:val="5DC2104C"/>
    <w:rsid w:val="5DCE7D86"/>
    <w:rsid w:val="5DDD785F"/>
    <w:rsid w:val="5DEF1FF1"/>
    <w:rsid w:val="5DF56684"/>
    <w:rsid w:val="5DFF43D1"/>
    <w:rsid w:val="5E165B46"/>
    <w:rsid w:val="5E3C5FAE"/>
    <w:rsid w:val="5E4F76B5"/>
    <w:rsid w:val="5E7B0781"/>
    <w:rsid w:val="5E8227D2"/>
    <w:rsid w:val="5E986B74"/>
    <w:rsid w:val="5EE200D9"/>
    <w:rsid w:val="5EE634F6"/>
    <w:rsid w:val="5EFF01CD"/>
    <w:rsid w:val="5F260660"/>
    <w:rsid w:val="5F6A721F"/>
    <w:rsid w:val="5F722524"/>
    <w:rsid w:val="5F7B7E8E"/>
    <w:rsid w:val="5F8C3641"/>
    <w:rsid w:val="5FAD5A29"/>
    <w:rsid w:val="5FB8302D"/>
    <w:rsid w:val="5FC85D1C"/>
    <w:rsid w:val="5FCB1F96"/>
    <w:rsid w:val="5FE92FE7"/>
    <w:rsid w:val="5FEF3743"/>
    <w:rsid w:val="600F2502"/>
    <w:rsid w:val="602E6A74"/>
    <w:rsid w:val="60312029"/>
    <w:rsid w:val="604D6532"/>
    <w:rsid w:val="60553B4A"/>
    <w:rsid w:val="605932AF"/>
    <w:rsid w:val="605C00CD"/>
    <w:rsid w:val="606B65E6"/>
    <w:rsid w:val="60727FE5"/>
    <w:rsid w:val="60747162"/>
    <w:rsid w:val="60787B02"/>
    <w:rsid w:val="607E1E6B"/>
    <w:rsid w:val="607E613A"/>
    <w:rsid w:val="60B2754F"/>
    <w:rsid w:val="60B323E6"/>
    <w:rsid w:val="60B35B21"/>
    <w:rsid w:val="60BB3A7A"/>
    <w:rsid w:val="60BE6A50"/>
    <w:rsid w:val="60C63B86"/>
    <w:rsid w:val="60CF3F77"/>
    <w:rsid w:val="60D87C01"/>
    <w:rsid w:val="60E96478"/>
    <w:rsid w:val="60F728EF"/>
    <w:rsid w:val="60F9188E"/>
    <w:rsid w:val="6106744A"/>
    <w:rsid w:val="6117071C"/>
    <w:rsid w:val="61216119"/>
    <w:rsid w:val="61254FF7"/>
    <w:rsid w:val="613B7C52"/>
    <w:rsid w:val="6159280D"/>
    <w:rsid w:val="6171279E"/>
    <w:rsid w:val="619857F8"/>
    <w:rsid w:val="61A8357F"/>
    <w:rsid w:val="61CE71AC"/>
    <w:rsid w:val="61DA34CF"/>
    <w:rsid w:val="61EE0F53"/>
    <w:rsid w:val="621141BB"/>
    <w:rsid w:val="62146467"/>
    <w:rsid w:val="621D450B"/>
    <w:rsid w:val="621D60AD"/>
    <w:rsid w:val="622562D3"/>
    <w:rsid w:val="625F5E26"/>
    <w:rsid w:val="62745FAB"/>
    <w:rsid w:val="627A55F7"/>
    <w:rsid w:val="62BD4731"/>
    <w:rsid w:val="62BF30D2"/>
    <w:rsid w:val="62C06167"/>
    <w:rsid w:val="62D773DE"/>
    <w:rsid w:val="62E9395B"/>
    <w:rsid w:val="63301002"/>
    <w:rsid w:val="633045A9"/>
    <w:rsid w:val="634B7E4A"/>
    <w:rsid w:val="637639FC"/>
    <w:rsid w:val="638106D9"/>
    <w:rsid w:val="63912DA1"/>
    <w:rsid w:val="63E05E99"/>
    <w:rsid w:val="63E67602"/>
    <w:rsid w:val="63F85929"/>
    <w:rsid w:val="640A573B"/>
    <w:rsid w:val="640D02A6"/>
    <w:rsid w:val="641E5BEE"/>
    <w:rsid w:val="642341E6"/>
    <w:rsid w:val="643F73EE"/>
    <w:rsid w:val="64637073"/>
    <w:rsid w:val="6469135E"/>
    <w:rsid w:val="6480430E"/>
    <w:rsid w:val="648B0E51"/>
    <w:rsid w:val="64DD60DD"/>
    <w:rsid w:val="64F62CA5"/>
    <w:rsid w:val="64FC3973"/>
    <w:rsid w:val="64FE6D6C"/>
    <w:rsid w:val="65005E16"/>
    <w:rsid w:val="65067725"/>
    <w:rsid w:val="651F3678"/>
    <w:rsid w:val="65413449"/>
    <w:rsid w:val="654C2967"/>
    <w:rsid w:val="655A03CA"/>
    <w:rsid w:val="657D2901"/>
    <w:rsid w:val="658A76A5"/>
    <w:rsid w:val="658C6621"/>
    <w:rsid w:val="65910BAB"/>
    <w:rsid w:val="659A0204"/>
    <w:rsid w:val="66065F9A"/>
    <w:rsid w:val="66067CAD"/>
    <w:rsid w:val="66087F12"/>
    <w:rsid w:val="66364574"/>
    <w:rsid w:val="663B73C2"/>
    <w:rsid w:val="66514E04"/>
    <w:rsid w:val="667968A7"/>
    <w:rsid w:val="66920B8E"/>
    <w:rsid w:val="669C6E55"/>
    <w:rsid w:val="66BB0BDB"/>
    <w:rsid w:val="66C96906"/>
    <w:rsid w:val="66D57F0E"/>
    <w:rsid w:val="66E01C2A"/>
    <w:rsid w:val="66E86499"/>
    <w:rsid w:val="66F87235"/>
    <w:rsid w:val="67272663"/>
    <w:rsid w:val="675A29CF"/>
    <w:rsid w:val="676F302E"/>
    <w:rsid w:val="677855D4"/>
    <w:rsid w:val="67795246"/>
    <w:rsid w:val="67846E77"/>
    <w:rsid w:val="67A14403"/>
    <w:rsid w:val="67A834F0"/>
    <w:rsid w:val="67AF36EE"/>
    <w:rsid w:val="67B16C8D"/>
    <w:rsid w:val="67C34295"/>
    <w:rsid w:val="67D327CC"/>
    <w:rsid w:val="67E0264E"/>
    <w:rsid w:val="67E35A3A"/>
    <w:rsid w:val="682E1B37"/>
    <w:rsid w:val="683A18A2"/>
    <w:rsid w:val="68476420"/>
    <w:rsid w:val="685046FE"/>
    <w:rsid w:val="68711ACF"/>
    <w:rsid w:val="68715473"/>
    <w:rsid w:val="68A97ECD"/>
    <w:rsid w:val="68C82D0B"/>
    <w:rsid w:val="68CB5F2C"/>
    <w:rsid w:val="69131F5B"/>
    <w:rsid w:val="69170CC6"/>
    <w:rsid w:val="692E326A"/>
    <w:rsid w:val="69336A16"/>
    <w:rsid w:val="69380671"/>
    <w:rsid w:val="696467DF"/>
    <w:rsid w:val="698A5D2C"/>
    <w:rsid w:val="69982273"/>
    <w:rsid w:val="69A73101"/>
    <w:rsid w:val="6A3A42C8"/>
    <w:rsid w:val="6A3B04DA"/>
    <w:rsid w:val="6A796E17"/>
    <w:rsid w:val="6A823197"/>
    <w:rsid w:val="6A8609D4"/>
    <w:rsid w:val="6A884889"/>
    <w:rsid w:val="6AA214B7"/>
    <w:rsid w:val="6AB20776"/>
    <w:rsid w:val="6AD44F7A"/>
    <w:rsid w:val="6AE5419C"/>
    <w:rsid w:val="6B0208F8"/>
    <w:rsid w:val="6B0B495D"/>
    <w:rsid w:val="6B0E1CDE"/>
    <w:rsid w:val="6B145B9B"/>
    <w:rsid w:val="6B150649"/>
    <w:rsid w:val="6B3130AB"/>
    <w:rsid w:val="6B4601C1"/>
    <w:rsid w:val="6B480355"/>
    <w:rsid w:val="6B5723F5"/>
    <w:rsid w:val="6B6057A4"/>
    <w:rsid w:val="6B844C4C"/>
    <w:rsid w:val="6B874E71"/>
    <w:rsid w:val="6BC17CCE"/>
    <w:rsid w:val="6BD15BF7"/>
    <w:rsid w:val="6BD97689"/>
    <w:rsid w:val="6BE72FB5"/>
    <w:rsid w:val="6BF055F5"/>
    <w:rsid w:val="6BF77506"/>
    <w:rsid w:val="6BFA53CC"/>
    <w:rsid w:val="6C225968"/>
    <w:rsid w:val="6C23398D"/>
    <w:rsid w:val="6C392E14"/>
    <w:rsid w:val="6C64471C"/>
    <w:rsid w:val="6CB916AA"/>
    <w:rsid w:val="6CED7868"/>
    <w:rsid w:val="6D0C01A9"/>
    <w:rsid w:val="6D24775F"/>
    <w:rsid w:val="6D8A559D"/>
    <w:rsid w:val="6D936213"/>
    <w:rsid w:val="6D9C111C"/>
    <w:rsid w:val="6DB61C18"/>
    <w:rsid w:val="6DD42E1D"/>
    <w:rsid w:val="6DE967D5"/>
    <w:rsid w:val="6DEF2736"/>
    <w:rsid w:val="6DF72004"/>
    <w:rsid w:val="6DFB2C2B"/>
    <w:rsid w:val="6DFF352D"/>
    <w:rsid w:val="6E022892"/>
    <w:rsid w:val="6E186400"/>
    <w:rsid w:val="6E386B51"/>
    <w:rsid w:val="6E3F021F"/>
    <w:rsid w:val="6E521125"/>
    <w:rsid w:val="6E896F4B"/>
    <w:rsid w:val="6E9B3F93"/>
    <w:rsid w:val="6EB77415"/>
    <w:rsid w:val="6EEB7AB6"/>
    <w:rsid w:val="6EFF18A5"/>
    <w:rsid w:val="6F4D30D5"/>
    <w:rsid w:val="6F6D558B"/>
    <w:rsid w:val="6F724931"/>
    <w:rsid w:val="6F762AEF"/>
    <w:rsid w:val="6F8133EA"/>
    <w:rsid w:val="6F91377E"/>
    <w:rsid w:val="6F9937E4"/>
    <w:rsid w:val="6FBC4B1E"/>
    <w:rsid w:val="6FCB51C6"/>
    <w:rsid w:val="6FE83B4A"/>
    <w:rsid w:val="6FFF1297"/>
    <w:rsid w:val="70374218"/>
    <w:rsid w:val="703A1754"/>
    <w:rsid w:val="703F22EC"/>
    <w:rsid w:val="707E7EDB"/>
    <w:rsid w:val="709A2046"/>
    <w:rsid w:val="70CD3C82"/>
    <w:rsid w:val="70F14C4A"/>
    <w:rsid w:val="71022DDF"/>
    <w:rsid w:val="711213B8"/>
    <w:rsid w:val="711E659B"/>
    <w:rsid w:val="71313E30"/>
    <w:rsid w:val="7149299C"/>
    <w:rsid w:val="71AB5EAE"/>
    <w:rsid w:val="71C7228B"/>
    <w:rsid w:val="71C758C8"/>
    <w:rsid w:val="721D6368"/>
    <w:rsid w:val="722133E7"/>
    <w:rsid w:val="722F14C8"/>
    <w:rsid w:val="724E4619"/>
    <w:rsid w:val="7255291B"/>
    <w:rsid w:val="72553FDE"/>
    <w:rsid w:val="72600050"/>
    <w:rsid w:val="728B5832"/>
    <w:rsid w:val="72AD4D13"/>
    <w:rsid w:val="72B268A3"/>
    <w:rsid w:val="72D1225B"/>
    <w:rsid w:val="72DF750A"/>
    <w:rsid w:val="72F32650"/>
    <w:rsid w:val="72F57EBB"/>
    <w:rsid w:val="730E7851"/>
    <w:rsid w:val="730F1A11"/>
    <w:rsid w:val="7321575C"/>
    <w:rsid w:val="73401CE1"/>
    <w:rsid w:val="735D7D1D"/>
    <w:rsid w:val="735F3616"/>
    <w:rsid w:val="73B472AE"/>
    <w:rsid w:val="73B92DEE"/>
    <w:rsid w:val="73BA2716"/>
    <w:rsid w:val="73CF6111"/>
    <w:rsid w:val="73DA330C"/>
    <w:rsid w:val="73DF3BC4"/>
    <w:rsid w:val="73F06957"/>
    <w:rsid w:val="73F87792"/>
    <w:rsid w:val="73F926B9"/>
    <w:rsid w:val="74474553"/>
    <w:rsid w:val="746B055E"/>
    <w:rsid w:val="746B64A5"/>
    <w:rsid w:val="74755603"/>
    <w:rsid w:val="747C4E11"/>
    <w:rsid w:val="74873434"/>
    <w:rsid w:val="7492109B"/>
    <w:rsid w:val="74A54076"/>
    <w:rsid w:val="74D044C4"/>
    <w:rsid w:val="74D85DFA"/>
    <w:rsid w:val="74FD0A8C"/>
    <w:rsid w:val="750237CC"/>
    <w:rsid w:val="752A1C97"/>
    <w:rsid w:val="752A788B"/>
    <w:rsid w:val="755C212E"/>
    <w:rsid w:val="75927B42"/>
    <w:rsid w:val="759329DF"/>
    <w:rsid w:val="7597549E"/>
    <w:rsid w:val="75C0101C"/>
    <w:rsid w:val="75D903B3"/>
    <w:rsid w:val="761B4710"/>
    <w:rsid w:val="76263D95"/>
    <w:rsid w:val="76324E48"/>
    <w:rsid w:val="76491BA8"/>
    <w:rsid w:val="765212A3"/>
    <w:rsid w:val="766D3714"/>
    <w:rsid w:val="76750855"/>
    <w:rsid w:val="768A116F"/>
    <w:rsid w:val="769D3F82"/>
    <w:rsid w:val="76BE401E"/>
    <w:rsid w:val="76D50076"/>
    <w:rsid w:val="77001A1B"/>
    <w:rsid w:val="770630AF"/>
    <w:rsid w:val="770E54B6"/>
    <w:rsid w:val="77323E7E"/>
    <w:rsid w:val="77390336"/>
    <w:rsid w:val="774D0320"/>
    <w:rsid w:val="775F4141"/>
    <w:rsid w:val="77627070"/>
    <w:rsid w:val="77883E6A"/>
    <w:rsid w:val="778F752A"/>
    <w:rsid w:val="77960342"/>
    <w:rsid w:val="779F7A76"/>
    <w:rsid w:val="77CA6E89"/>
    <w:rsid w:val="77F9522A"/>
    <w:rsid w:val="780427D8"/>
    <w:rsid w:val="781C70B9"/>
    <w:rsid w:val="78236200"/>
    <w:rsid w:val="782F305E"/>
    <w:rsid w:val="78353641"/>
    <w:rsid w:val="784E1E49"/>
    <w:rsid w:val="7859196C"/>
    <w:rsid w:val="78612923"/>
    <w:rsid w:val="787C031D"/>
    <w:rsid w:val="78941928"/>
    <w:rsid w:val="78954426"/>
    <w:rsid w:val="78986425"/>
    <w:rsid w:val="78A42BB8"/>
    <w:rsid w:val="78A55C16"/>
    <w:rsid w:val="78AB1197"/>
    <w:rsid w:val="78AE2EFE"/>
    <w:rsid w:val="78BA33CC"/>
    <w:rsid w:val="78DC2E85"/>
    <w:rsid w:val="78E27E1C"/>
    <w:rsid w:val="78E72285"/>
    <w:rsid w:val="78EC57AE"/>
    <w:rsid w:val="79033953"/>
    <w:rsid w:val="790D3BF6"/>
    <w:rsid w:val="791565A7"/>
    <w:rsid w:val="792E6D16"/>
    <w:rsid w:val="795C7801"/>
    <w:rsid w:val="79627477"/>
    <w:rsid w:val="79662090"/>
    <w:rsid w:val="796D24A3"/>
    <w:rsid w:val="797B049A"/>
    <w:rsid w:val="79877E81"/>
    <w:rsid w:val="79884416"/>
    <w:rsid w:val="799048F2"/>
    <w:rsid w:val="79B00680"/>
    <w:rsid w:val="7A2022AD"/>
    <w:rsid w:val="7A457E08"/>
    <w:rsid w:val="7A5F3428"/>
    <w:rsid w:val="7A6D6A1B"/>
    <w:rsid w:val="7A7F58F4"/>
    <w:rsid w:val="7A91072D"/>
    <w:rsid w:val="7AA765B3"/>
    <w:rsid w:val="7ABB0459"/>
    <w:rsid w:val="7ACA2A66"/>
    <w:rsid w:val="7ACE3AB9"/>
    <w:rsid w:val="7ADD7969"/>
    <w:rsid w:val="7AE01D5C"/>
    <w:rsid w:val="7AEB3919"/>
    <w:rsid w:val="7B1B1327"/>
    <w:rsid w:val="7B275B9F"/>
    <w:rsid w:val="7B290C30"/>
    <w:rsid w:val="7B3D1C6C"/>
    <w:rsid w:val="7B454372"/>
    <w:rsid w:val="7B5109E7"/>
    <w:rsid w:val="7B527734"/>
    <w:rsid w:val="7B8B3D29"/>
    <w:rsid w:val="7B91144E"/>
    <w:rsid w:val="7B9241CB"/>
    <w:rsid w:val="7BA1111F"/>
    <w:rsid w:val="7BB154A0"/>
    <w:rsid w:val="7BC23DCF"/>
    <w:rsid w:val="7BC63890"/>
    <w:rsid w:val="7BDF4A66"/>
    <w:rsid w:val="7BF02682"/>
    <w:rsid w:val="7C054269"/>
    <w:rsid w:val="7C0D5445"/>
    <w:rsid w:val="7C0F33A4"/>
    <w:rsid w:val="7C1F7A5A"/>
    <w:rsid w:val="7C374F3F"/>
    <w:rsid w:val="7C3F0C77"/>
    <w:rsid w:val="7C414EC2"/>
    <w:rsid w:val="7C502CD9"/>
    <w:rsid w:val="7C5B5C0B"/>
    <w:rsid w:val="7C7424F5"/>
    <w:rsid w:val="7C7645F3"/>
    <w:rsid w:val="7C826724"/>
    <w:rsid w:val="7CA5332B"/>
    <w:rsid w:val="7CAC33D5"/>
    <w:rsid w:val="7D14606A"/>
    <w:rsid w:val="7D233753"/>
    <w:rsid w:val="7D3641E7"/>
    <w:rsid w:val="7D4426B8"/>
    <w:rsid w:val="7D484BBD"/>
    <w:rsid w:val="7D5846DA"/>
    <w:rsid w:val="7D6202F6"/>
    <w:rsid w:val="7D6C29DF"/>
    <w:rsid w:val="7DCC41AC"/>
    <w:rsid w:val="7DD7150A"/>
    <w:rsid w:val="7DE37D1D"/>
    <w:rsid w:val="7E097D5C"/>
    <w:rsid w:val="7E1E72E0"/>
    <w:rsid w:val="7E456224"/>
    <w:rsid w:val="7E66592D"/>
    <w:rsid w:val="7E7B7C98"/>
    <w:rsid w:val="7EB968BE"/>
    <w:rsid w:val="7EC42F5D"/>
    <w:rsid w:val="7ECA1C5B"/>
    <w:rsid w:val="7EE30A89"/>
    <w:rsid w:val="7EF82FC0"/>
    <w:rsid w:val="7EF878BC"/>
    <w:rsid w:val="7EF95C45"/>
    <w:rsid w:val="7F1D4B2B"/>
    <w:rsid w:val="7F1E3677"/>
    <w:rsid w:val="7F432458"/>
    <w:rsid w:val="7F4A4DDB"/>
    <w:rsid w:val="7F5C79DC"/>
    <w:rsid w:val="7F646173"/>
    <w:rsid w:val="7FF12CB2"/>
    <w:rsid w:val="7FF4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Emphasis"/>
    <w:qFormat/>
    <w:rPr>
      <w:i/>
    </w:rPr>
  </w:style>
  <w:style w:type="character" w:styleId="a5">
    <w:name w:val="annotation reference"/>
    <w:uiPriority w:val="99"/>
    <w:qFormat/>
    <w:rPr>
      <w:rFonts w:ascii="Tahoma" w:hAnsi="Tahoma" w:cs="Tahoma"/>
      <w:sz w:val="16"/>
      <w:szCs w:val="16"/>
      <w:u w:val="none"/>
    </w:rPr>
  </w:style>
  <w:style w:type="character" w:customStyle="1" w:styleId="copied">
    <w:name w:val="copied"/>
    <w:basedOn w:val="a0"/>
    <w:qFormat/>
  </w:style>
  <w:style w:type="character" w:customStyle="1" w:styleId="Char">
    <w:name w:val="批注框文本 Char"/>
    <w:link w:val="a6"/>
    <w:qFormat/>
    <w:rPr>
      <w:rFonts w:ascii="Calibri" w:hAnsi="Calibri" w:cs="宋体"/>
      <w:kern w:val="2"/>
      <w:sz w:val="18"/>
      <w:szCs w:val="18"/>
      <w:lang w:eastAsia="zh-CN"/>
    </w:rPr>
  </w:style>
  <w:style w:type="character" w:customStyle="1" w:styleId="Char0">
    <w:name w:val="批注文字 Char"/>
    <w:link w:val="a7"/>
    <w:uiPriority w:val="99"/>
    <w:qFormat/>
    <w:rPr>
      <w:rFonts w:ascii="Tahoma" w:hAnsi="Tahoma" w:cs="Tahoma"/>
      <w:kern w:val="2"/>
      <w:sz w:val="16"/>
      <w:lang w:eastAsia="zh-CN"/>
    </w:rPr>
  </w:style>
  <w:style w:type="character" w:customStyle="1" w:styleId="Char1">
    <w:name w:val="批注主题 Char"/>
    <w:link w:val="a8"/>
    <w:qFormat/>
    <w:rPr>
      <w:rFonts w:ascii="Tahoma" w:hAnsi="Tahoma" w:cs="Tahoma"/>
      <w:b/>
      <w:bCs/>
      <w:kern w:val="2"/>
      <w:sz w:val="16"/>
      <w:lang w:eastAsia="zh-CN"/>
    </w:rPr>
  </w:style>
  <w:style w:type="character" w:customStyle="1" w:styleId="Char2">
    <w:name w:val="页眉 Char"/>
    <w:link w:val="a9"/>
    <w:qFormat/>
    <w:rPr>
      <w:rFonts w:ascii="Calibri" w:hAnsi="Calibri" w:cs="宋体"/>
      <w:kern w:val="2"/>
      <w:sz w:val="18"/>
      <w:szCs w:val="18"/>
    </w:rPr>
  </w:style>
  <w:style w:type="character" w:customStyle="1" w:styleId="Char3">
    <w:name w:val="页脚 Char"/>
    <w:link w:val="aa"/>
    <w:qFormat/>
    <w:rPr>
      <w:rFonts w:ascii="Calibri" w:hAnsi="Calibri" w:cs="宋体"/>
      <w:kern w:val="2"/>
      <w:sz w:val="18"/>
      <w:szCs w:val="18"/>
    </w:rPr>
  </w:style>
  <w:style w:type="paragraph" w:styleId="a8">
    <w:name w:val="annotation subject"/>
    <w:basedOn w:val="a7"/>
    <w:next w:val="a7"/>
    <w:link w:val="Char1"/>
    <w:qFormat/>
    <w:rPr>
      <w:b/>
      <w:bCs/>
    </w:rPr>
  </w:style>
  <w:style w:type="paragraph" w:styleId="ab">
    <w:name w:val="Normal (Web)"/>
    <w:basedOn w:val="a"/>
    <w:qFormat/>
    <w:pPr>
      <w:spacing w:beforeAutospacing="1" w:afterAutospacing="1"/>
      <w:jc w:val="left"/>
    </w:pPr>
    <w:rPr>
      <w:rFonts w:cs="Times New Roman"/>
      <w:kern w:val="0"/>
      <w:sz w:val="24"/>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qFormat/>
    <w:pPr>
      <w:tabs>
        <w:tab w:val="center" w:pos="4153"/>
        <w:tab w:val="right" w:pos="8306"/>
      </w:tabs>
      <w:snapToGrid w:val="0"/>
      <w:jc w:val="left"/>
    </w:pPr>
    <w:rPr>
      <w:sz w:val="18"/>
      <w:szCs w:val="18"/>
    </w:rPr>
  </w:style>
  <w:style w:type="paragraph" w:styleId="a6">
    <w:name w:val="Balloon Text"/>
    <w:basedOn w:val="a"/>
    <w:link w:val="Char"/>
    <w:qFormat/>
    <w:rPr>
      <w:sz w:val="18"/>
      <w:szCs w:val="18"/>
    </w:rPr>
  </w:style>
  <w:style w:type="paragraph" w:styleId="a7">
    <w:name w:val="annotation text"/>
    <w:basedOn w:val="a"/>
    <w:link w:val="Char0"/>
    <w:uiPriority w:val="99"/>
    <w:qFormat/>
    <w:rPr>
      <w:rFonts w:ascii="Tahoma" w:hAnsi="Tahoma" w:cs="Tahoma"/>
      <w:sz w:val="16"/>
      <w:szCs w:val="20"/>
    </w:rPr>
  </w:style>
  <w:style w:type="paragraph" w:customStyle="1" w:styleId="1">
    <w:name w:val="修订1"/>
    <w:uiPriority w:val="99"/>
    <w:semiHidden/>
    <w:qFormat/>
    <w:rPr>
      <w:rFonts w:cs="宋体"/>
      <w:kern w:val="2"/>
      <w:sz w:val="21"/>
      <w:szCs w:val="24"/>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c">
    <w:name w:val="List Paragraph"/>
    <w:basedOn w:val="a"/>
    <w:uiPriority w:val="34"/>
    <w:qFormat/>
    <w:pPr>
      <w:ind w:firstLineChars="200" w:firstLine="420"/>
    </w:pPr>
    <w:rPr>
      <w:rFonts w:cs="Times New Roman"/>
      <w:szCs w:val="22"/>
    </w:rPr>
  </w:style>
  <w:style w:type="paragraph" w:customStyle="1" w:styleId="p1">
    <w:name w:val="p1"/>
    <w:basedOn w:val="a"/>
    <w:pPr>
      <w:widowControl/>
      <w:jc w:val="left"/>
    </w:pPr>
    <w:rPr>
      <w:rFonts w:ascii="Helvetica" w:hAnsi="Helvetic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Emphasis"/>
    <w:qFormat/>
    <w:rPr>
      <w:i/>
    </w:rPr>
  </w:style>
  <w:style w:type="character" w:styleId="a5">
    <w:name w:val="annotation reference"/>
    <w:uiPriority w:val="99"/>
    <w:qFormat/>
    <w:rPr>
      <w:rFonts w:ascii="Tahoma" w:hAnsi="Tahoma" w:cs="Tahoma"/>
      <w:sz w:val="16"/>
      <w:szCs w:val="16"/>
      <w:u w:val="none"/>
    </w:rPr>
  </w:style>
  <w:style w:type="character" w:customStyle="1" w:styleId="copied">
    <w:name w:val="copied"/>
    <w:basedOn w:val="a0"/>
    <w:qFormat/>
  </w:style>
  <w:style w:type="character" w:customStyle="1" w:styleId="Char">
    <w:name w:val="批注框文本 Char"/>
    <w:link w:val="a6"/>
    <w:qFormat/>
    <w:rPr>
      <w:rFonts w:ascii="Calibri" w:hAnsi="Calibri" w:cs="宋体"/>
      <w:kern w:val="2"/>
      <w:sz w:val="18"/>
      <w:szCs w:val="18"/>
      <w:lang w:eastAsia="zh-CN"/>
    </w:rPr>
  </w:style>
  <w:style w:type="character" w:customStyle="1" w:styleId="Char0">
    <w:name w:val="批注文字 Char"/>
    <w:link w:val="a7"/>
    <w:uiPriority w:val="99"/>
    <w:qFormat/>
    <w:rPr>
      <w:rFonts w:ascii="Tahoma" w:hAnsi="Tahoma" w:cs="Tahoma"/>
      <w:kern w:val="2"/>
      <w:sz w:val="16"/>
      <w:lang w:eastAsia="zh-CN"/>
    </w:rPr>
  </w:style>
  <w:style w:type="character" w:customStyle="1" w:styleId="Char1">
    <w:name w:val="批注主题 Char"/>
    <w:link w:val="a8"/>
    <w:qFormat/>
    <w:rPr>
      <w:rFonts w:ascii="Tahoma" w:hAnsi="Tahoma" w:cs="Tahoma"/>
      <w:b/>
      <w:bCs/>
      <w:kern w:val="2"/>
      <w:sz w:val="16"/>
      <w:lang w:eastAsia="zh-CN"/>
    </w:rPr>
  </w:style>
  <w:style w:type="character" w:customStyle="1" w:styleId="Char2">
    <w:name w:val="页眉 Char"/>
    <w:link w:val="a9"/>
    <w:qFormat/>
    <w:rPr>
      <w:rFonts w:ascii="Calibri" w:hAnsi="Calibri" w:cs="宋体"/>
      <w:kern w:val="2"/>
      <w:sz w:val="18"/>
      <w:szCs w:val="18"/>
    </w:rPr>
  </w:style>
  <w:style w:type="character" w:customStyle="1" w:styleId="Char3">
    <w:name w:val="页脚 Char"/>
    <w:link w:val="aa"/>
    <w:qFormat/>
    <w:rPr>
      <w:rFonts w:ascii="Calibri" w:hAnsi="Calibri" w:cs="宋体"/>
      <w:kern w:val="2"/>
      <w:sz w:val="18"/>
      <w:szCs w:val="18"/>
    </w:rPr>
  </w:style>
  <w:style w:type="paragraph" w:styleId="a8">
    <w:name w:val="annotation subject"/>
    <w:basedOn w:val="a7"/>
    <w:next w:val="a7"/>
    <w:link w:val="Char1"/>
    <w:qFormat/>
    <w:rPr>
      <w:b/>
      <w:bCs/>
    </w:rPr>
  </w:style>
  <w:style w:type="paragraph" w:styleId="ab">
    <w:name w:val="Normal (Web)"/>
    <w:basedOn w:val="a"/>
    <w:qFormat/>
    <w:pPr>
      <w:spacing w:beforeAutospacing="1" w:afterAutospacing="1"/>
      <w:jc w:val="left"/>
    </w:pPr>
    <w:rPr>
      <w:rFonts w:cs="Times New Roman"/>
      <w:kern w:val="0"/>
      <w:sz w:val="24"/>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qFormat/>
    <w:pPr>
      <w:tabs>
        <w:tab w:val="center" w:pos="4153"/>
        <w:tab w:val="right" w:pos="8306"/>
      </w:tabs>
      <w:snapToGrid w:val="0"/>
      <w:jc w:val="left"/>
    </w:pPr>
    <w:rPr>
      <w:sz w:val="18"/>
      <w:szCs w:val="18"/>
    </w:rPr>
  </w:style>
  <w:style w:type="paragraph" w:styleId="a6">
    <w:name w:val="Balloon Text"/>
    <w:basedOn w:val="a"/>
    <w:link w:val="Char"/>
    <w:qFormat/>
    <w:rPr>
      <w:sz w:val="18"/>
      <w:szCs w:val="18"/>
    </w:rPr>
  </w:style>
  <w:style w:type="paragraph" w:styleId="a7">
    <w:name w:val="annotation text"/>
    <w:basedOn w:val="a"/>
    <w:link w:val="Char0"/>
    <w:uiPriority w:val="99"/>
    <w:qFormat/>
    <w:rPr>
      <w:rFonts w:ascii="Tahoma" w:hAnsi="Tahoma" w:cs="Tahoma"/>
      <w:sz w:val="16"/>
      <w:szCs w:val="20"/>
    </w:rPr>
  </w:style>
  <w:style w:type="paragraph" w:customStyle="1" w:styleId="1">
    <w:name w:val="修订1"/>
    <w:uiPriority w:val="99"/>
    <w:semiHidden/>
    <w:qFormat/>
    <w:rPr>
      <w:rFonts w:cs="宋体"/>
      <w:kern w:val="2"/>
      <w:sz w:val="21"/>
      <w:szCs w:val="24"/>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c">
    <w:name w:val="List Paragraph"/>
    <w:basedOn w:val="a"/>
    <w:uiPriority w:val="34"/>
    <w:qFormat/>
    <w:pPr>
      <w:ind w:firstLineChars="200" w:firstLine="420"/>
    </w:pPr>
    <w:rPr>
      <w:rFonts w:cs="Times New Roman"/>
      <w:szCs w:val="22"/>
    </w:rPr>
  </w:style>
  <w:style w:type="paragraph" w:customStyle="1" w:styleId="p1">
    <w:name w:val="p1"/>
    <w:basedOn w:val="a"/>
    <w:pPr>
      <w:widowControl/>
      <w:jc w:val="left"/>
    </w:pPr>
    <w:rPr>
      <w:rFonts w:ascii="Helvetica" w:hAnsi="Helvetic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Trc1FHB-SbCM4B4e7mmO2ne4DVLX9G8qWuO0_CYLWuKzXaxbFKplRr9pR-rbhVWRkESuRd1wnqURRYxjkgQrJWQWE4p8s8lT0TQoN2WgT1n3AAxB9j2XJFUtOpOzpQE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7178</Words>
  <Characters>40919</Characters>
  <Application>Microsoft Office Word</Application>
  <DocSecurity>0</DocSecurity>
  <Lines>340</Lines>
  <Paragraphs>96</Paragraphs>
  <ScaleCrop>false</ScaleCrop>
  <Company>HP</Company>
  <LinksUpToDate>false</LinksUpToDate>
  <CharactersWithSpaces>48001</CharactersWithSpaces>
  <SharedDoc>false</SharedDoc>
  <HLinks>
    <vt:vector size="12" baseType="variant">
      <vt:variant>
        <vt:i4>7864412</vt:i4>
      </vt:variant>
      <vt:variant>
        <vt:i4>3</vt:i4>
      </vt:variant>
      <vt:variant>
        <vt:i4>0</vt:i4>
      </vt:variant>
      <vt:variant>
        <vt:i4>5</vt:i4>
      </vt:variant>
      <vt:variant>
        <vt:lpwstr>http://www.baidu.com/link?url=Trc1FHB-SbCM4B4e7mmO2ne4DVLX9G8qWuO0_CYLWuKzXaxbFKplRr9pR-rbhVWRkESuRd1wnqURRYxjkgQrJWQWE4p8s8lT0TQoN2WgT1n3AAxB9j2XJFUtOpOzpQEe</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8613716430021</cp:lastModifiedBy>
  <cp:revision>3</cp:revision>
  <dcterms:created xsi:type="dcterms:W3CDTF">2019-11-05T07:36:00Z</dcterms:created>
  <dcterms:modified xsi:type="dcterms:W3CDTF">2019-11-05T07:49:00Z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vt:lpwstr>6</vt:lpwstr>
  </property>
  <property fmtid="{D5CDD505-2E9C-101B-9397-08002B2CF9AE}" pid="4" name="UseTimer">
    <vt:bool>true</vt:bool>
  </property>
  <property fmtid="{D5CDD505-2E9C-101B-9397-08002B2CF9AE}" pid="5" name="LastTick">
    <vt:r8>43597.9273958333</vt:r8>
  </property>
  <property fmtid="{D5CDD505-2E9C-101B-9397-08002B2CF9AE}" pid="6" name="EditTimer">
    <vt:r8>1055</vt:r8>
  </property>
</Properties>
</file>