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6E7A2" w14:textId="77777777" w:rsidR="00556F61" w:rsidRPr="00A94F32" w:rsidRDefault="005F4D6E" w:rsidP="00FD2E95">
      <w:pPr>
        <w:adjustRightInd w:val="0"/>
        <w:snapToGrid w:val="0"/>
        <w:spacing w:line="360" w:lineRule="auto"/>
        <w:rPr>
          <w:rFonts w:ascii="Book Antiqua" w:eastAsia="Times New Roman" w:hAnsi="Book Antiqua" w:cs="宋体"/>
          <w:b/>
          <w:sz w:val="24"/>
        </w:rPr>
      </w:pPr>
      <w:bookmarkStart w:id="0" w:name="OLE_LINK191"/>
      <w:bookmarkStart w:id="1" w:name="OLE_LINK192"/>
      <w:r w:rsidRPr="00A94F32">
        <w:rPr>
          <w:rFonts w:ascii="Book Antiqua" w:eastAsia="Times New Roman" w:hAnsi="Book Antiqua" w:cs="宋体"/>
          <w:b/>
          <w:sz w:val="24"/>
        </w:rPr>
        <w:t xml:space="preserve">Name of Journal: </w:t>
      </w:r>
      <w:bookmarkStart w:id="2" w:name="_Hlk5632321"/>
      <w:r w:rsidRPr="00A94F32">
        <w:rPr>
          <w:rFonts w:ascii="Book Antiqua" w:eastAsia="Times New Roman" w:hAnsi="Book Antiqua" w:cs="Times New Roman"/>
          <w:bCs/>
          <w:i/>
          <w:iCs/>
          <w:sz w:val="24"/>
        </w:rPr>
        <w:t>World Journal of Gastroenterology</w:t>
      </w:r>
    </w:p>
    <w:p w14:paraId="68E10CE3" w14:textId="77777777" w:rsidR="00556F61" w:rsidRPr="00A94F32" w:rsidRDefault="005F4D6E" w:rsidP="00FD2E95">
      <w:pPr>
        <w:adjustRightInd w:val="0"/>
        <w:snapToGrid w:val="0"/>
        <w:spacing w:line="360" w:lineRule="auto"/>
        <w:rPr>
          <w:rFonts w:ascii="Book Antiqua" w:hAnsi="Book Antiqua" w:cs="Arial"/>
          <w:sz w:val="24"/>
        </w:rPr>
      </w:pPr>
      <w:r w:rsidRPr="00A94F32">
        <w:rPr>
          <w:rFonts w:ascii="Book Antiqua" w:eastAsia="Times New Roman" w:hAnsi="Book Antiqua"/>
          <w:b/>
          <w:bCs/>
          <w:sz w:val="24"/>
        </w:rPr>
        <w:t>Manuscript NO</w:t>
      </w:r>
      <w:r w:rsidRPr="00A94F32">
        <w:rPr>
          <w:rFonts w:ascii="Book Antiqua" w:hAnsi="Book Antiqua" w:cs="Arial"/>
          <w:b/>
          <w:sz w:val="24"/>
          <w:lang w:val="en"/>
        </w:rPr>
        <w:t xml:space="preserve">: </w:t>
      </w:r>
      <w:r w:rsidRPr="00A94F32">
        <w:rPr>
          <w:rFonts w:ascii="Book Antiqua" w:hAnsi="Book Antiqua" w:cs="Times New Roman"/>
          <w:bCs/>
          <w:sz w:val="24"/>
        </w:rPr>
        <w:t>50347</w:t>
      </w:r>
    </w:p>
    <w:bookmarkEnd w:id="2"/>
    <w:p w14:paraId="1CB854E8" w14:textId="77777777" w:rsidR="00556F61" w:rsidRPr="00A94F32" w:rsidRDefault="00436345" w:rsidP="00FD2E95">
      <w:pPr>
        <w:snapToGrid w:val="0"/>
        <w:spacing w:line="360" w:lineRule="auto"/>
        <w:rPr>
          <w:rFonts w:ascii="Book Antiqua" w:hAnsi="Book Antiqua"/>
          <w:b/>
          <w:sz w:val="24"/>
        </w:rPr>
      </w:pPr>
      <w:r>
        <w:rPr>
          <w:rFonts w:ascii="Book Antiqua" w:hAnsi="Book Antiqua"/>
          <w:b/>
          <w:sz w:val="24"/>
        </w:rPr>
        <w:t>Manuscript</w:t>
      </w:r>
      <w:r>
        <w:rPr>
          <w:rFonts w:ascii="Book Antiqua" w:hAnsi="Book Antiqua" w:hint="eastAsia"/>
          <w:b/>
          <w:sz w:val="24"/>
        </w:rPr>
        <w:t xml:space="preserve"> </w:t>
      </w:r>
      <w:r w:rsidR="005F4D6E" w:rsidRPr="00A94F32">
        <w:rPr>
          <w:rFonts w:ascii="Book Antiqua" w:hAnsi="Book Antiqua"/>
          <w:b/>
          <w:sz w:val="24"/>
        </w:rPr>
        <w:t>Type:</w:t>
      </w:r>
      <w:bookmarkEnd w:id="0"/>
      <w:bookmarkEnd w:id="1"/>
      <w:r w:rsidR="005F4D6E" w:rsidRPr="00A94F32">
        <w:rPr>
          <w:rFonts w:ascii="Book Antiqua" w:hAnsi="Book Antiqua"/>
          <w:b/>
          <w:sz w:val="24"/>
        </w:rPr>
        <w:t xml:space="preserve"> </w:t>
      </w:r>
      <w:r w:rsidR="00160996" w:rsidRPr="00A94F32">
        <w:rPr>
          <w:rFonts w:ascii="Book Antiqua" w:eastAsia="Book Antiqua" w:hAnsi="Book Antiqua" w:cs="Book Antiqua"/>
          <w:sz w:val="24"/>
        </w:rPr>
        <w:t>ORIGINAL ARTICLE</w:t>
      </w:r>
    </w:p>
    <w:p w14:paraId="669E0618" w14:textId="77777777" w:rsidR="00160996" w:rsidRPr="00A94F32" w:rsidRDefault="00160996" w:rsidP="00FD2E95">
      <w:pPr>
        <w:snapToGrid w:val="0"/>
        <w:spacing w:line="360" w:lineRule="auto"/>
        <w:rPr>
          <w:rFonts w:ascii="Book Antiqua" w:hAnsi="Book Antiqua"/>
          <w:b/>
          <w:sz w:val="24"/>
        </w:rPr>
      </w:pPr>
    </w:p>
    <w:p w14:paraId="575CC14D" w14:textId="77777777" w:rsidR="00556F61" w:rsidRPr="00A94F32" w:rsidRDefault="00160996"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Retrospective Study</w:t>
      </w:r>
    </w:p>
    <w:p w14:paraId="1C70871C" w14:textId="278379D7" w:rsidR="00556F61" w:rsidRPr="00A94F32" w:rsidRDefault="00160996" w:rsidP="00FD2E95">
      <w:pPr>
        <w:snapToGrid w:val="0"/>
        <w:spacing w:line="360" w:lineRule="auto"/>
        <w:rPr>
          <w:rFonts w:ascii="Book Antiqua" w:hAnsi="Book Antiqua" w:cs="Times New Roman"/>
          <w:b/>
          <w:bCs/>
          <w:sz w:val="24"/>
        </w:rPr>
      </w:pPr>
      <w:bookmarkStart w:id="3" w:name="OLE_LINK1139"/>
      <w:bookmarkStart w:id="4" w:name="OLE_LINK1140"/>
      <w:r w:rsidRPr="00A94F32">
        <w:rPr>
          <w:rFonts w:ascii="Book Antiqua" w:hAnsi="Book Antiqua" w:cs="Times New Roman"/>
          <w:b/>
          <w:bCs/>
          <w:sz w:val="24"/>
        </w:rPr>
        <w:t xml:space="preserve">Soluble mannose receptor as a predictor of prognosis </w:t>
      </w:r>
      <w:r w:rsidR="00D63309">
        <w:rPr>
          <w:rFonts w:ascii="Book Antiqua" w:hAnsi="Book Antiqua" w:cs="Times New Roman"/>
          <w:b/>
          <w:bCs/>
          <w:sz w:val="24"/>
        </w:rPr>
        <w:t>of</w:t>
      </w:r>
      <w:r w:rsidR="00D63309" w:rsidRPr="00A94F32">
        <w:rPr>
          <w:rFonts w:ascii="Book Antiqua" w:hAnsi="Book Antiqua" w:cs="Times New Roman"/>
          <w:b/>
          <w:bCs/>
          <w:sz w:val="24"/>
        </w:rPr>
        <w:t xml:space="preserve"> </w:t>
      </w:r>
      <w:r w:rsidRPr="00A94F32">
        <w:rPr>
          <w:rFonts w:ascii="Book Antiqua" w:hAnsi="Book Antiqua" w:cs="Times New Roman"/>
          <w:b/>
          <w:bCs/>
          <w:sz w:val="24"/>
        </w:rPr>
        <w:t>hepatitis B virus-related acute-on-chronic liver failure</w:t>
      </w:r>
      <w:bookmarkEnd w:id="3"/>
      <w:bookmarkEnd w:id="4"/>
    </w:p>
    <w:p w14:paraId="23FBF25F" w14:textId="77777777" w:rsidR="00556F61" w:rsidRPr="00A94F32" w:rsidRDefault="00556F61" w:rsidP="00FD2E95">
      <w:pPr>
        <w:snapToGrid w:val="0"/>
        <w:spacing w:line="360" w:lineRule="auto"/>
        <w:rPr>
          <w:rFonts w:ascii="Book Antiqua" w:hAnsi="Book Antiqua" w:cs="Times New Roman"/>
          <w:b/>
          <w:bCs/>
          <w:sz w:val="24"/>
        </w:rPr>
      </w:pPr>
    </w:p>
    <w:p w14:paraId="138DFF01" w14:textId="5BE2E9F3" w:rsidR="00556F61" w:rsidRPr="00A94F32" w:rsidRDefault="005F4D6E" w:rsidP="00FD2E95">
      <w:pPr>
        <w:snapToGrid w:val="0"/>
        <w:spacing w:line="360" w:lineRule="auto"/>
        <w:rPr>
          <w:rFonts w:ascii="Book Antiqua" w:hAnsi="Book Antiqua" w:cs="Times New Roman"/>
          <w:b/>
          <w:bCs/>
          <w:sz w:val="24"/>
        </w:rPr>
      </w:pPr>
      <w:r w:rsidRPr="00A94F32">
        <w:rPr>
          <w:rFonts w:ascii="Book Antiqua" w:eastAsia="宋体" w:hAnsi="Book Antiqua" w:cs="Times New Roman"/>
          <w:sz w:val="24"/>
        </w:rPr>
        <w:t xml:space="preserve">Li TP </w:t>
      </w:r>
      <w:r w:rsidRPr="00A94F32">
        <w:rPr>
          <w:rFonts w:ascii="Book Antiqua" w:eastAsia="宋体" w:hAnsi="Book Antiqua" w:cs="Times New Roman"/>
          <w:i/>
          <w:sz w:val="24"/>
        </w:rPr>
        <w:t>et al</w:t>
      </w:r>
      <w:r w:rsidRPr="00A94F32">
        <w:rPr>
          <w:rFonts w:ascii="Book Antiqua" w:eastAsia="宋体" w:hAnsi="Book Antiqua" w:cs="Times New Roman"/>
          <w:sz w:val="24"/>
        </w:rPr>
        <w:t xml:space="preserve">. </w:t>
      </w:r>
      <w:bookmarkStart w:id="5" w:name="OLE_LINK1141"/>
      <w:bookmarkStart w:id="6" w:name="OLE_LINK1142"/>
      <w:r w:rsidRPr="00A94F32">
        <w:rPr>
          <w:rFonts w:ascii="Book Antiqua" w:eastAsia="宋体" w:hAnsi="Book Antiqua" w:cs="Times New Roman"/>
          <w:sz w:val="24"/>
        </w:rPr>
        <w:t xml:space="preserve">Predictor of prognosis </w:t>
      </w:r>
      <w:r w:rsidR="00D63309">
        <w:rPr>
          <w:rFonts w:ascii="Book Antiqua" w:eastAsia="宋体" w:hAnsi="Book Antiqua" w:cs="Times New Roman"/>
          <w:sz w:val="24"/>
        </w:rPr>
        <w:t>of</w:t>
      </w:r>
      <w:r w:rsidR="00D63309" w:rsidRPr="00A94F32">
        <w:rPr>
          <w:rFonts w:ascii="Book Antiqua" w:eastAsia="宋体" w:hAnsi="Book Antiqua" w:cs="Times New Roman"/>
          <w:sz w:val="24"/>
        </w:rPr>
        <w:t xml:space="preserve"> </w:t>
      </w:r>
      <w:r w:rsidRPr="00A94F32">
        <w:rPr>
          <w:rFonts w:ascii="Book Antiqua" w:eastAsia="宋体" w:hAnsi="Book Antiqua" w:cs="Times New Roman"/>
          <w:sz w:val="24"/>
        </w:rPr>
        <w:t>HBV-ACLF</w:t>
      </w:r>
      <w:bookmarkEnd w:id="5"/>
      <w:bookmarkEnd w:id="6"/>
    </w:p>
    <w:p w14:paraId="497C90B2" w14:textId="77777777" w:rsidR="00556F61" w:rsidRPr="00A94F32" w:rsidRDefault="00556F61" w:rsidP="00FD2E95">
      <w:pPr>
        <w:snapToGrid w:val="0"/>
        <w:spacing w:line="360" w:lineRule="auto"/>
        <w:rPr>
          <w:rFonts w:ascii="Book Antiqua" w:hAnsi="Book Antiqua" w:cs="Times New Roman"/>
          <w:b/>
          <w:bCs/>
          <w:sz w:val="24"/>
        </w:rPr>
      </w:pPr>
    </w:p>
    <w:p w14:paraId="4AC7D381" w14:textId="77777777" w:rsidR="00556F61" w:rsidRPr="00A94F32" w:rsidRDefault="005F4D6E" w:rsidP="00FD2E95">
      <w:pPr>
        <w:snapToGrid w:val="0"/>
        <w:spacing w:line="360" w:lineRule="auto"/>
        <w:rPr>
          <w:rFonts w:ascii="Book Antiqua" w:hAnsi="Book Antiqua" w:cs="Times New Roman"/>
          <w:sz w:val="24"/>
        </w:rPr>
      </w:pPr>
      <w:bookmarkStart w:id="7" w:name="OLE_LINK1143"/>
      <w:bookmarkStart w:id="8" w:name="OLE_LINK1144"/>
      <w:r w:rsidRPr="00A94F32">
        <w:rPr>
          <w:rFonts w:ascii="Book Antiqua" w:hAnsi="Book Antiqua" w:cs="Times New Roman"/>
          <w:sz w:val="24"/>
        </w:rPr>
        <w:t>Tai-Ping Li</w:t>
      </w:r>
      <w:bookmarkEnd w:id="7"/>
      <w:bookmarkEnd w:id="8"/>
      <w:r w:rsidRPr="00A94F32">
        <w:rPr>
          <w:rFonts w:ascii="Book Antiqua" w:hAnsi="Book Antiqua" w:cs="Times New Roman"/>
          <w:sz w:val="24"/>
        </w:rPr>
        <w:t xml:space="preserve">, Shi-He Guan, Qin Wang, Li-Wen Chen, Kai Yang, </w:t>
      </w:r>
      <w:proofErr w:type="spellStart"/>
      <w:r w:rsidRPr="00A94F32">
        <w:rPr>
          <w:rFonts w:ascii="Book Antiqua" w:hAnsi="Book Antiqua" w:cs="Times New Roman"/>
          <w:sz w:val="24"/>
        </w:rPr>
        <w:t>Hao</w:t>
      </w:r>
      <w:proofErr w:type="spellEnd"/>
      <w:r w:rsidRPr="00A94F32">
        <w:rPr>
          <w:rFonts w:ascii="Book Antiqua" w:hAnsi="Book Antiqua" w:cs="Times New Roman"/>
          <w:sz w:val="24"/>
        </w:rPr>
        <w:t xml:space="preserve"> Zhang</w:t>
      </w:r>
    </w:p>
    <w:p w14:paraId="6F09E9B5" w14:textId="77777777" w:rsidR="00556F61" w:rsidRPr="00A94F32" w:rsidRDefault="00556F61" w:rsidP="00FD2E95">
      <w:pPr>
        <w:snapToGrid w:val="0"/>
        <w:spacing w:line="360" w:lineRule="auto"/>
        <w:rPr>
          <w:rFonts w:ascii="Book Antiqua" w:hAnsi="Book Antiqua" w:cs="Times New Roman"/>
          <w:sz w:val="24"/>
        </w:rPr>
      </w:pPr>
    </w:p>
    <w:p w14:paraId="6A57A988" w14:textId="44E518A9" w:rsidR="00556F61" w:rsidRPr="00A94F32" w:rsidRDefault="005F4D6E" w:rsidP="00FD2E95">
      <w:pPr>
        <w:snapToGrid w:val="0"/>
        <w:spacing w:line="360" w:lineRule="auto"/>
        <w:rPr>
          <w:rFonts w:ascii="Book Antiqua" w:hAnsi="Book Antiqua" w:cs="Times New Roman"/>
          <w:iCs/>
          <w:sz w:val="24"/>
        </w:rPr>
      </w:pPr>
      <w:r w:rsidRPr="00A94F32">
        <w:rPr>
          <w:rFonts w:ascii="Book Antiqua" w:hAnsi="Book Antiqua" w:cs="Times New Roman"/>
          <w:b/>
          <w:bCs/>
          <w:iCs/>
          <w:sz w:val="24"/>
        </w:rPr>
        <w:t>Tai-Ping Li, Shi-He Guan, Qin Wang, Li-Wen Chen,</w:t>
      </w:r>
      <w:r w:rsidRPr="00A94F32">
        <w:rPr>
          <w:rFonts w:ascii="Book Antiqua" w:hAnsi="Book Antiqua" w:cs="Times New Roman"/>
          <w:i/>
          <w:sz w:val="24"/>
        </w:rPr>
        <w:t xml:space="preserve"> </w:t>
      </w:r>
      <w:r w:rsidRPr="00A94F32">
        <w:rPr>
          <w:rFonts w:ascii="Book Antiqua" w:hAnsi="Book Antiqua" w:cs="Times New Roman"/>
          <w:b/>
          <w:bCs/>
          <w:sz w:val="24"/>
        </w:rPr>
        <w:t xml:space="preserve">Kai Yang, </w:t>
      </w:r>
      <w:proofErr w:type="spellStart"/>
      <w:r w:rsidRPr="00A94F32">
        <w:rPr>
          <w:rFonts w:ascii="Book Antiqua" w:hAnsi="Book Antiqua" w:cs="Times New Roman"/>
          <w:b/>
          <w:bCs/>
          <w:sz w:val="24"/>
        </w:rPr>
        <w:t>Hao</w:t>
      </w:r>
      <w:proofErr w:type="spellEnd"/>
      <w:r w:rsidRPr="00A94F32">
        <w:rPr>
          <w:rFonts w:ascii="Book Antiqua" w:hAnsi="Book Antiqua" w:cs="Times New Roman"/>
          <w:b/>
          <w:bCs/>
          <w:sz w:val="24"/>
        </w:rPr>
        <w:t xml:space="preserve"> Zhang, </w:t>
      </w:r>
      <w:r w:rsidRPr="00A94F32">
        <w:rPr>
          <w:rFonts w:ascii="Book Antiqua" w:hAnsi="Book Antiqua" w:cs="Times New Roman"/>
          <w:iCs/>
          <w:sz w:val="24"/>
        </w:rPr>
        <w:t xml:space="preserve">Department of </w:t>
      </w:r>
      <w:r w:rsidR="00072D36" w:rsidRPr="00EC1C46">
        <w:rPr>
          <w:rFonts w:ascii="Book Antiqua" w:hAnsi="Book Antiqua" w:cs="Times New Roman"/>
          <w:sz w:val="24"/>
        </w:rPr>
        <w:t>Clinical</w:t>
      </w:r>
      <w:r w:rsidR="00072D36" w:rsidRPr="00A94F32">
        <w:rPr>
          <w:rFonts w:ascii="Book Antiqua" w:hAnsi="Book Antiqua" w:cs="Times New Roman"/>
          <w:iCs/>
          <w:sz w:val="24"/>
        </w:rPr>
        <w:t xml:space="preserve"> </w:t>
      </w:r>
      <w:r w:rsidRPr="00A94F32">
        <w:rPr>
          <w:rFonts w:ascii="Book Antiqua" w:hAnsi="Book Antiqua" w:cs="Times New Roman"/>
          <w:iCs/>
          <w:sz w:val="24"/>
        </w:rPr>
        <w:t>Laboratory, The Second Hospital of Anhui Medical University, Hefe</w:t>
      </w:r>
      <w:r w:rsidR="00160996" w:rsidRPr="00A94F32">
        <w:rPr>
          <w:rFonts w:ascii="Book Antiqua" w:hAnsi="Book Antiqua" w:cs="Times New Roman"/>
          <w:iCs/>
          <w:sz w:val="24"/>
        </w:rPr>
        <w:t>i 230601, Anhui Province, China</w:t>
      </w:r>
    </w:p>
    <w:p w14:paraId="400FAC16" w14:textId="77777777" w:rsidR="00556F61" w:rsidRPr="00072D36" w:rsidRDefault="00556F61" w:rsidP="00FD2E95">
      <w:pPr>
        <w:snapToGrid w:val="0"/>
        <w:spacing w:line="360" w:lineRule="auto"/>
        <w:rPr>
          <w:rFonts w:ascii="Book Antiqua" w:hAnsi="Book Antiqua" w:cs="Times New Roman"/>
          <w:iCs/>
          <w:sz w:val="24"/>
        </w:rPr>
      </w:pPr>
    </w:p>
    <w:p w14:paraId="34498E20" w14:textId="77777777" w:rsidR="00556F61" w:rsidRPr="00A94F32" w:rsidRDefault="005F4D6E" w:rsidP="00FD2E95">
      <w:pPr>
        <w:snapToGrid w:val="0"/>
        <w:spacing w:line="360" w:lineRule="auto"/>
        <w:rPr>
          <w:rFonts w:ascii="Book Antiqua" w:hAnsi="Book Antiqua"/>
          <w:sz w:val="24"/>
        </w:rPr>
      </w:pPr>
      <w:r w:rsidRPr="00A94F32">
        <w:rPr>
          <w:rFonts w:ascii="Book Antiqua" w:hAnsi="Book Antiqua"/>
          <w:b/>
          <w:bCs/>
          <w:sz w:val="24"/>
        </w:rPr>
        <w:t xml:space="preserve">ORCID number: </w:t>
      </w:r>
      <w:r w:rsidRPr="00A94F32">
        <w:rPr>
          <w:rFonts w:ascii="Book Antiqua" w:hAnsi="Book Antiqua" w:cs="Times New Roman"/>
          <w:sz w:val="24"/>
        </w:rPr>
        <w:t>Tai-Ping Li (0000-0003-4014-3893)</w:t>
      </w:r>
      <w:r w:rsidR="00160996" w:rsidRPr="00A94F32">
        <w:rPr>
          <w:rFonts w:ascii="Book Antiqua" w:hAnsi="Book Antiqua" w:cs="Times New Roman"/>
          <w:sz w:val="24"/>
        </w:rPr>
        <w:t>;</w:t>
      </w:r>
      <w:r w:rsidRPr="00A94F32">
        <w:rPr>
          <w:rFonts w:ascii="Book Antiqua" w:hAnsi="Book Antiqua" w:cs="Times New Roman"/>
          <w:sz w:val="24"/>
        </w:rPr>
        <w:t xml:space="preserve"> Shi-He Guan (0000-0002-8543-2595)</w:t>
      </w:r>
      <w:r w:rsidR="00160996" w:rsidRPr="00A94F32">
        <w:rPr>
          <w:rFonts w:ascii="Book Antiqua" w:hAnsi="Book Antiqua" w:cs="Times New Roman"/>
          <w:sz w:val="24"/>
        </w:rPr>
        <w:t>;</w:t>
      </w:r>
      <w:r w:rsidRPr="00A94F32">
        <w:rPr>
          <w:rFonts w:ascii="Book Antiqua" w:hAnsi="Book Antiqua" w:cs="Times New Roman"/>
          <w:sz w:val="24"/>
        </w:rPr>
        <w:t xml:space="preserve"> Qin Wang (0000-0001-6961-6768)</w:t>
      </w:r>
      <w:r w:rsidR="00160996" w:rsidRPr="00A94F32">
        <w:rPr>
          <w:rFonts w:ascii="Book Antiqua" w:hAnsi="Book Antiqua" w:cs="Times New Roman"/>
          <w:sz w:val="24"/>
        </w:rPr>
        <w:t>;</w:t>
      </w:r>
      <w:r w:rsidRPr="00A94F32">
        <w:rPr>
          <w:rFonts w:ascii="Book Antiqua" w:hAnsi="Book Antiqua" w:cs="Times New Roman"/>
          <w:sz w:val="24"/>
        </w:rPr>
        <w:t xml:space="preserve"> Li-Wen Chen (0000-0001-8980-1557)</w:t>
      </w:r>
      <w:r w:rsidR="00160996" w:rsidRPr="00A94F32">
        <w:rPr>
          <w:rFonts w:ascii="Book Antiqua" w:hAnsi="Book Antiqua" w:cs="Times New Roman"/>
          <w:sz w:val="24"/>
        </w:rPr>
        <w:t>;</w:t>
      </w:r>
      <w:r w:rsidRPr="00A94F32">
        <w:rPr>
          <w:rFonts w:ascii="Book Antiqua" w:hAnsi="Book Antiqua" w:cs="Times New Roman"/>
          <w:sz w:val="24"/>
        </w:rPr>
        <w:t xml:space="preserve"> Kai Yang (0000-0001-7421-9716)</w:t>
      </w:r>
      <w:r w:rsidR="00160996" w:rsidRPr="00A94F32">
        <w:rPr>
          <w:rFonts w:ascii="Book Antiqua" w:hAnsi="Book Antiqua" w:cs="Times New Roman"/>
          <w:sz w:val="24"/>
        </w:rPr>
        <w:t>;</w:t>
      </w:r>
      <w:r w:rsidRPr="00A94F32">
        <w:rPr>
          <w:rFonts w:ascii="Book Antiqua" w:hAnsi="Book Antiqua" w:cs="Times New Roman"/>
          <w:sz w:val="24"/>
        </w:rPr>
        <w:t xml:space="preserve"> </w:t>
      </w:r>
      <w:proofErr w:type="spellStart"/>
      <w:r w:rsidRPr="00A94F32">
        <w:rPr>
          <w:rFonts w:ascii="Book Antiqua" w:hAnsi="Book Antiqua" w:cs="Times New Roman"/>
          <w:sz w:val="24"/>
        </w:rPr>
        <w:t>Hao</w:t>
      </w:r>
      <w:proofErr w:type="spellEnd"/>
      <w:r w:rsidRPr="00A94F32">
        <w:rPr>
          <w:rFonts w:ascii="Book Antiqua" w:hAnsi="Book Antiqua" w:cs="Times New Roman"/>
          <w:sz w:val="24"/>
        </w:rPr>
        <w:t xml:space="preserve"> Zhang (0000-0002-0262-1172)</w:t>
      </w:r>
      <w:r w:rsidR="00160996" w:rsidRPr="00A94F32">
        <w:rPr>
          <w:rFonts w:ascii="Book Antiqua" w:hAnsi="Book Antiqua" w:cs="Times New Roman"/>
          <w:sz w:val="24"/>
        </w:rPr>
        <w:t>.</w:t>
      </w:r>
    </w:p>
    <w:p w14:paraId="04DE3C11" w14:textId="77777777" w:rsidR="00556F61" w:rsidRPr="00A94F32" w:rsidRDefault="00556F61" w:rsidP="00FD2E95">
      <w:pPr>
        <w:snapToGrid w:val="0"/>
        <w:spacing w:line="360" w:lineRule="auto"/>
        <w:rPr>
          <w:rFonts w:ascii="Book Antiqua" w:hAnsi="Book Antiqua" w:cs="Times New Roman"/>
          <w:iCs/>
          <w:sz w:val="24"/>
        </w:rPr>
      </w:pPr>
    </w:p>
    <w:p w14:paraId="5CB314DE" w14:textId="3B081845" w:rsidR="00556F61" w:rsidRPr="00A94F32" w:rsidRDefault="00160996"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t>Author contributions:</w:t>
      </w:r>
      <w:r w:rsidR="005F4D6E" w:rsidRPr="00A94F32">
        <w:rPr>
          <w:rFonts w:ascii="Book Antiqua" w:hAnsi="Book Antiqua" w:cs="Times New Roman"/>
          <w:b/>
          <w:bCs/>
          <w:sz w:val="24"/>
        </w:rPr>
        <w:t xml:space="preserve"> </w:t>
      </w:r>
      <w:r w:rsidR="005F4D6E" w:rsidRPr="00A94F32">
        <w:rPr>
          <w:rFonts w:ascii="Book Antiqua" w:hAnsi="Book Antiqua" w:cs="Times New Roman"/>
          <w:bCs/>
          <w:sz w:val="24"/>
        </w:rPr>
        <w:t>Li TP acquired the data and drafted the manuscript</w:t>
      </w:r>
      <w:r w:rsidRPr="00A94F32">
        <w:rPr>
          <w:rFonts w:ascii="Book Antiqua" w:hAnsi="Book Antiqua" w:cs="Times New Roman"/>
          <w:bCs/>
          <w:sz w:val="24"/>
        </w:rPr>
        <w:t>;</w:t>
      </w:r>
      <w:r w:rsidR="005F4D6E" w:rsidRPr="00A94F32">
        <w:rPr>
          <w:rFonts w:ascii="Book Antiqua" w:hAnsi="Book Antiqua" w:cs="Times New Roman"/>
          <w:bCs/>
          <w:sz w:val="24"/>
        </w:rPr>
        <w:t xml:space="preserve"> Li TP and Wang Q collected clinical samples and performed </w:t>
      </w:r>
      <w:r w:rsidR="005F4D6E" w:rsidRPr="00072D36">
        <w:rPr>
          <w:rFonts w:ascii="Book Antiqua" w:hAnsi="Book Antiqua" w:cs="Times New Roman"/>
          <w:bCs/>
          <w:i/>
          <w:sz w:val="24"/>
        </w:rPr>
        <w:t>in vitro</w:t>
      </w:r>
      <w:r w:rsidR="005F4D6E" w:rsidRPr="00A94F32">
        <w:rPr>
          <w:rFonts w:ascii="Book Antiqua" w:hAnsi="Book Antiqua" w:cs="Times New Roman"/>
          <w:bCs/>
          <w:sz w:val="24"/>
        </w:rPr>
        <w:t xml:space="preserve"> experiments</w:t>
      </w:r>
      <w:r w:rsidRPr="00A94F32">
        <w:rPr>
          <w:rFonts w:ascii="Book Antiqua" w:hAnsi="Book Antiqua" w:cs="Times New Roman"/>
          <w:bCs/>
          <w:sz w:val="24"/>
        </w:rPr>
        <w:t>;</w:t>
      </w:r>
      <w:r w:rsidR="005F4D6E" w:rsidRPr="00A94F32">
        <w:rPr>
          <w:rFonts w:ascii="Book Antiqua" w:hAnsi="Book Antiqua" w:cs="Times New Roman"/>
          <w:bCs/>
          <w:sz w:val="24"/>
        </w:rPr>
        <w:t xml:space="preserve"> Li TP, Wang Q</w:t>
      </w:r>
      <w:r w:rsidR="00D63309">
        <w:rPr>
          <w:rFonts w:ascii="Book Antiqua" w:hAnsi="Book Antiqua" w:cs="Times New Roman"/>
          <w:bCs/>
          <w:sz w:val="24"/>
        </w:rPr>
        <w:t>,</w:t>
      </w:r>
      <w:r w:rsidR="005F4D6E" w:rsidRPr="00A94F32">
        <w:rPr>
          <w:rFonts w:ascii="Book Antiqua" w:hAnsi="Book Antiqua" w:cs="Times New Roman"/>
          <w:bCs/>
          <w:sz w:val="24"/>
        </w:rPr>
        <w:t xml:space="preserve"> and Chen LW analyzed the data</w:t>
      </w:r>
      <w:r w:rsidRPr="00A94F32">
        <w:rPr>
          <w:rFonts w:ascii="Book Antiqua" w:hAnsi="Book Antiqua" w:cs="Times New Roman"/>
          <w:bCs/>
          <w:sz w:val="24"/>
        </w:rPr>
        <w:t>;</w:t>
      </w:r>
      <w:r w:rsidR="005F4D6E" w:rsidRPr="00A94F32">
        <w:rPr>
          <w:rFonts w:ascii="Book Antiqua" w:hAnsi="Book Antiqua" w:cs="Times New Roman"/>
          <w:bCs/>
          <w:sz w:val="24"/>
        </w:rPr>
        <w:t xml:space="preserve"> Yang K and Zhang H performed statistical analysis</w:t>
      </w:r>
      <w:r w:rsidRPr="00A94F32">
        <w:rPr>
          <w:rFonts w:ascii="Book Antiqua" w:hAnsi="Book Antiqua" w:cs="Times New Roman"/>
          <w:bCs/>
          <w:sz w:val="24"/>
        </w:rPr>
        <w:t>;</w:t>
      </w:r>
      <w:r w:rsidR="005F4D6E" w:rsidRPr="00A94F32">
        <w:rPr>
          <w:rFonts w:ascii="Book Antiqua" w:hAnsi="Book Antiqua" w:cs="Times New Roman"/>
          <w:bCs/>
          <w:sz w:val="24"/>
        </w:rPr>
        <w:t xml:space="preserve"> Guan SH reviewed the manuscript, figures</w:t>
      </w:r>
      <w:r w:rsidR="00D63309">
        <w:rPr>
          <w:rFonts w:ascii="Book Antiqua" w:hAnsi="Book Antiqua" w:cs="Times New Roman"/>
          <w:bCs/>
          <w:sz w:val="24"/>
        </w:rPr>
        <w:t>,</w:t>
      </w:r>
      <w:r w:rsidR="005F4D6E" w:rsidRPr="00A94F32">
        <w:rPr>
          <w:rFonts w:ascii="Book Antiqua" w:hAnsi="Book Antiqua" w:cs="Times New Roman"/>
          <w:bCs/>
          <w:sz w:val="24"/>
        </w:rPr>
        <w:t xml:space="preserve"> and tables.</w:t>
      </w:r>
    </w:p>
    <w:p w14:paraId="5D34676E" w14:textId="77777777" w:rsidR="00556F61" w:rsidRPr="00A94F32" w:rsidRDefault="00556F61" w:rsidP="00FD2E95">
      <w:pPr>
        <w:snapToGrid w:val="0"/>
        <w:spacing w:line="360" w:lineRule="auto"/>
        <w:rPr>
          <w:rFonts w:ascii="Book Antiqua" w:hAnsi="Book Antiqua" w:cs="Times New Roman"/>
          <w:iCs/>
          <w:sz w:val="24"/>
        </w:rPr>
      </w:pPr>
    </w:p>
    <w:p w14:paraId="3E70DE8C" w14:textId="2B360717" w:rsidR="00556F61" w:rsidRPr="00A94F32" w:rsidRDefault="005F4D6E" w:rsidP="00FD2E95">
      <w:pPr>
        <w:snapToGrid w:val="0"/>
        <w:spacing w:line="360" w:lineRule="auto"/>
        <w:rPr>
          <w:rFonts w:ascii="Book Antiqua" w:hAnsi="Book Antiqua" w:cs="Times New Roman"/>
          <w:iCs/>
          <w:sz w:val="24"/>
        </w:rPr>
      </w:pPr>
      <w:bookmarkStart w:id="9" w:name="_Hlk9585938"/>
      <w:r w:rsidRPr="00A94F32">
        <w:rPr>
          <w:rFonts w:ascii="Book Antiqua" w:hAnsi="Book Antiqua"/>
          <w:b/>
          <w:sz w:val="24"/>
        </w:rPr>
        <w:t>Supported by</w:t>
      </w:r>
      <w:bookmarkEnd w:id="9"/>
      <w:r w:rsidRPr="00A94F32">
        <w:rPr>
          <w:rFonts w:ascii="Book Antiqua" w:hAnsi="Book Antiqua" w:cs="Times New Roman"/>
          <w:sz w:val="24"/>
        </w:rPr>
        <w:t xml:space="preserve"> the </w:t>
      </w:r>
      <w:r w:rsidRPr="00DA728C">
        <w:rPr>
          <w:rFonts w:ascii="Book Antiqua" w:hAnsi="Book Antiqua" w:cs="Times New Roman"/>
          <w:caps/>
          <w:sz w:val="24"/>
        </w:rPr>
        <w:t>c</w:t>
      </w:r>
      <w:r w:rsidRPr="00A94F32">
        <w:rPr>
          <w:rFonts w:ascii="Book Antiqua" w:hAnsi="Book Antiqua" w:cs="Times New Roman"/>
          <w:sz w:val="24"/>
        </w:rPr>
        <w:t xml:space="preserve">lass A </w:t>
      </w:r>
      <w:r w:rsidRPr="00DA728C">
        <w:rPr>
          <w:rFonts w:ascii="Book Antiqua" w:hAnsi="Book Antiqua" w:cs="Times New Roman"/>
          <w:caps/>
          <w:sz w:val="24"/>
        </w:rPr>
        <w:t>p</w:t>
      </w:r>
      <w:r w:rsidRPr="00A94F32">
        <w:rPr>
          <w:rFonts w:ascii="Book Antiqua" w:hAnsi="Book Antiqua" w:cs="Times New Roman"/>
          <w:sz w:val="24"/>
        </w:rPr>
        <w:t>roject of the Key Research and Development Programs of the Science and Technology Department of Anhui Province</w:t>
      </w:r>
      <w:r w:rsidR="00160996" w:rsidRPr="00A94F32">
        <w:rPr>
          <w:rFonts w:ascii="Book Antiqua" w:hAnsi="Book Antiqua" w:cs="Times New Roman"/>
          <w:sz w:val="24"/>
        </w:rPr>
        <w:t>, No. 1804h08020236</w:t>
      </w:r>
      <w:r w:rsidR="008B17A6">
        <w:rPr>
          <w:rFonts w:ascii="Book Antiqua" w:hAnsi="Book Antiqua" w:cs="Times New Roman"/>
          <w:sz w:val="24"/>
        </w:rPr>
        <w:t>;</w:t>
      </w:r>
      <w:r w:rsidR="00160996" w:rsidRPr="00A94F32">
        <w:rPr>
          <w:rFonts w:ascii="Book Antiqua" w:hAnsi="Book Antiqua" w:cs="Times New Roman"/>
          <w:sz w:val="24"/>
        </w:rPr>
        <w:t xml:space="preserve"> and </w:t>
      </w:r>
      <w:r w:rsidRPr="00A94F32">
        <w:rPr>
          <w:rFonts w:ascii="Book Antiqua" w:hAnsi="Book Antiqua" w:cs="Times New Roman"/>
          <w:sz w:val="24"/>
        </w:rPr>
        <w:t>the Key Project of the</w:t>
      </w:r>
      <w:r w:rsidR="00D63309">
        <w:rPr>
          <w:rFonts w:ascii="Book Antiqua" w:hAnsi="Book Antiqua" w:cs="Times New Roman"/>
          <w:sz w:val="24"/>
        </w:rPr>
        <w:t xml:space="preserve"> </w:t>
      </w:r>
      <w:r w:rsidRPr="00A94F32">
        <w:rPr>
          <w:rFonts w:ascii="Book Antiqua" w:hAnsi="Book Antiqua" w:cs="Times New Roman"/>
          <w:sz w:val="24"/>
        </w:rPr>
        <w:t>Natural Science Foundation of Anhui Province</w:t>
      </w:r>
      <w:r w:rsidR="00160996" w:rsidRPr="00A94F32">
        <w:rPr>
          <w:rFonts w:ascii="Book Antiqua" w:hAnsi="Book Antiqua" w:cs="Times New Roman"/>
          <w:sz w:val="24"/>
        </w:rPr>
        <w:t>, No. KJ2018A0206</w:t>
      </w:r>
      <w:r w:rsidRPr="00A94F32">
        <w:rPr>
          <w:rFonts w:ascii="Book Antiqua" w:hAnsi="Book Antiqua" w:cs="Times New Roman"/>
          <w:sz w:val="24"/>
        </w:rPr>
        <w:t>.</w:t>
      </w:r>
    </w:p>
    <w:p w14:paraId="0B1676CE" w14:textId="77777777" w:rsidR="00556F61" w:rsidRPr="00A94F32" w:rsidRDefault="00556F61" w:rsidP="00FD2E95">
      <w:pPr>
        <w:snapToGrid w:val="0"/>
        <w:spacing w:line="360" w:lineRule="auto"/>
        <w:rPr>
          <w:rFonts w:ascii="Book Antiqua" w:hAnsi="Book Antiqua" w:cs="Times New Roman"/>
          <w:iCs/>
          <w:sz w:val="24"/>
        </w:rPr>
      </w:pPr>
    </w:p>
    <w:p w14:paraId="77D87D6C" w14:textId="77777777" w:rsidR="00556F61" w:rsidRPr="00A94F32" w:rsidRDefault="005F4D6E" w:rsidP="00FD2E95">
      <w:pPr>
        <w:snapToGrid w:val="0"/>
        <w:spacing w:line="360" w:lineRule="auto"/>
        <w:rPr>
          <w:rFonts w:ascii="Book Antiqua" w:hAnsi="Book Antiqua" w:cs="Times New Roman"/>
          <w:iCs/>
          <w:sz w:val="24"/>
        </w:rPr>
      </w:pPr>
      <w:bookmarkStart w:id="10" w:name="OLE_LINK7"/>
      <w:bookmarkStart w:id="11" w:name="OLE_LINK5"/>
      <w:bookmarkStart w:id="12" w:name="OLE_LINK138"/>
      <w:r w:rsidRPr="00A94F32">
        <w:rPr>
          <w:rFonts w:ascii="Book Antiqua" w:hAnsi="Book Antiqua"/>
          <w:b/>
          <w:sz w:val="24"/>
        </w:rPr>
        <w:lastRenderedPageBreak/>
        <w:t>Institutional review board statement:</w:t>
      </w:r>
      <w:bookmarkEnd w:id="10"/>
      <w:bookmarkEnd w:id="11"/>
      <w:r w:rsidRPr="00A94F32">
        <w:rPr>
          <w:rFonts w:ascii="Book Antiqua" w:hAnsi="Book Antiqua"/>
          <w:b/>
          <w:sz w:val="24"/>
        </w:rPr>
        <w:t xml:space="preserve"> </w:t>
      </w:r>
      <w:bookmarkEnd w:id="12"/>
      <w:r w:rsidRPr="00A94F32">
        <w:rPr>
          <w:rFonts w:ascii="Book Antiqua" w:hAnsi="Book Antiqua" w:cs="Times New Roman"/>
          <w:bCs/>
          <w:sz w:val="24"/>
        </w:rPr>
        <w:t>This study was reviewed and approved by the Ethics Committee of the Second Hospital of Anhui Medical University.</w:t>
      </w:r>
    </w:p>
    <w:p w14:paraId="4750881A" w14:textId="77777777" w:rsidR="00556F61" w:rsidRPr="00A94F32" w:rsidRDefault="00556F61" w:rsidP="00FD2E95">
      <w:pPr>
        <w:snapToGrid w:val="0"/>
        <w:spacing w:line="360" w:lineRule="auto"/>
        <w:rPr>
          <w:rFonts w:ascii="Book Antiqua" w:hAnsi="Book Antiqua" w:cs="Times New Roman"/>
          <w:iCs/>
          <w:sz w:val="24"/>
        </w:rPr>
      </w:pPr>
    </w:p>
    <w:p w14:paraId="77822EA0" w14:textId="52BAC1D7" w:rsidR="00556F61" w:rsidRPr="00A94F32" w:rsidRDefault="005F4D6E" w:rsidP="00FD2E95">
      <w:pPr>
        <w:snapToGrid w:val="0"/>
        <w:spacing w:line="360" w:lineRule="auto"/>
        <w:rPr>
          <w:rFonts w:ascii="Book Antiqua" w:hAnsi="Book Antiqua" w:cs="Times New Roman"/>
          <w:iCs/>
          <w:sz w:val="24"/>
        </w:rPr>
      </w:pPr>
      <w:bookmarkStart w:id="13" w:name="_Hlk14786215"/>
      <w:bookmarkStart w:id="14" w:name="_Hlk5629857"/>
      <w:bookmarkStart w:id="15" w:name="_Hlk7947640"/>
      <w:r w:rsidRPr="00A94F32">
        <w:rPr>
          <w:rFonts w:ascii="Book Antiqua" w:hAnsi="Book Antiqua"/>
          <w:b/>
          <w:sz w:val="24"/>
        </w:rPr>
        <w:t>Informed consent statement</w:t>
      </w:r>
      <w:r w:rsidRPr="00A94F32">
        <w:rPr>
          <w:rFonts w:ascii="Book Antiqua" w:hAnsi="Book Antiqua"/>
          <w:b/>
          <w:bCs/>
          <w:iCs/>
          <w:sz w:val="24"/>
        </w:rPr>
        <w:t xml:space="preserve">: </w:t>
      </w:r>
      <w:bookmarkEnd w:id="13"/>
      <w:bookmarkEnd w:id="14"/>
      <w:bookmarkEnd w:id="15"/>
      <w:r w:rsidRPr="00A94F32">
        <w:rPr>
          <w:rFonts w:ascii="Book Antiqua" w:hAnsi="Book Antiqua" w:cs="Times New Roman"/>
          <w:sz w:val="24"/>
        </w:rPr>
        <w:t xml:space="preserve">All study participants provided </w:t>
      </w:r>
      <w:r w:rsidR="00D63309" w:rsidRPr="00A94F32">
        <w:rPr>
          <w:rFonts w:ascii="Book Antiqua" w:hAnsi="Book Antiqua" w:cs="Times New Roman"/>
          <w:sz w:val="24"/>
        </w:rPr>
        <w:t xml:space="preserve">written </w:t>
      </w:r>
      <w:r w:rsidRPr="00A94F32">
        <w:rPr>
          <w:rFonts w:ascii="Book Antiqua" w:hAnsi="Book Antiqua" w:cs="Times New Roman"/>
          <w:sz w:val="24"/>
        </w:rPr>
        <w:t>informed</w:t>
      </w:r>
      <w:r w:rsidR="00D63309">
        <w:rPr>
          <w:rFonts w:ascii="Book Antiqua" w:hAnsi="Book Antiqua" w:cs="Times New Roman"/>
          <w:sz w:val="24"/>
        </w:rPr>
        <w:t xml:space="preserve"> </w:t>
      </w:r>
      <w:r w:rsidRPr="00A94F32">
        <w:rPr>
          <w:rFonts w:ascii="Book Antiqua" w:hAnsi="Book Antiqua" w:cs="Times New Roman"/>
          <w:sz w:val="24"/>
        </w:rPr>
        <w:t>consent prior to study enrolment.</w:t>
      </w:r>
    </w:p>
    <w:p w14:paraId="5843A084" w14:textId="77777777" w:rsidR="00556F61" w:rsidRPr="00A94F32" w:rsidRDefault="00556F61" w:rsidP="00FD2E95">
      <w:pPr>
        <w:snapToGrid w:val="0"/>
        <w:spacing w:line="360" w:lineRule="auto"/>
        <w:rPr>
          <w:rFonts w:ascii="Book Antiqua" w:hAnsi="Book Antiqua" w:cs="Times New Roman"/>
          <w:iCs/>
          <w:sz w:val="24"/>
        </w:rPr>
      </w:pPr>
    </w:p>
    <w:p w14:paraId="3571D37A" w14:textId="77777777"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b/>
          <w:bCs/>
          <w:sz w:val="24"/>
        </w:rPr>
        <w:t>Conflict-of-interest statement:</w:t>
      </w:r>
      <w:r w:rsidRPr="00A94F32">
        <w:rPr>
          <w:rFonts w:ascii="Book Antiqua" w:hAnsi="Book Antiqua" w:cs="Times New Roman"/>
          <w:sz w:val="24"/>
        </w:rPr>
        <w:t xml:space="preserve"> There are no potential conflicts of interest relevant to this article to be reported.</w:t>
      </w:r>
    </w:p>
    <w:p w14:paraId="6ACABBE5" w14:textId="77777777" w:rsidR="00556F61" w:rsidRPr="00A94F32" w:rsidRDefault="00556F61" w:rsidP="00FD2E95">
      <w:pPr>
        <w:snapToGrid w:val="0"/>
        <w:spacing w:line="360" w:lineRule="auto"/>
        <w:rPr>
          <w:rFonts w:ascii="Book Antiqua" w:hAnsi="Book Antiqua" w:cs="Times New Roman"/>
          <w:iCs/>
          <w:sz w:val="24"/>
        </w:rPr>
      </w:pPr>
    </w:p>
    <w:p w14:paraId="7E973274" w14:textId="77777777" w:rsidR="00556F61" w:rsidRPr="00A94F32" w:rsidRDefault="005F4D6E" w:rsidP="00FD2E95">
      <w:pPr>
        <w:widowControl/>
        <w:snapToGrid w:val="0"/>
        <w:spacing w:line="360" w:lineRule="auto"/>
        <w:rPr>
          <w:rFonts w:ascii="Book Antiqua" w:hAnsi="Book Antiqua"/>
          <w:sz w:val="24"/>
        </w:rPr>
      </w:pPr>
      <w:r w:rsidRPr="00A94F32">
        <w:rPr>
          <w:rFonts w:ascii="Book Antiqua" w:hAnsi="Book Antiqua"/>
          <w:b/>
          <w:sz w:val="24"/>
        </w:rPr>
        <w:t>Data sharing statement</w:t>
      </w:r>
      <w:r w:rsidRPr="00A94F32">
        <w:rPr>
          <w:rFonts w:ascii="Book Antiqua" w:hAnsi="Book Antiqua" w:cs="TimesNewRomanPS-BoldItalicMT"/>
          <w:b/>
          <w:iCs/>
          <w:sz w:val="24"/>
        </w:rPr>
        <w:t>:</w:t>
      </w:r>
      <w:r w:rsidRPr="00A94F32">
        <w:rPr>
          <w:rStyle w:val="ac"/>
          <w:rFonts w:ascii="Book Antiqua" w:hAnsi="Book Antiqua"/>
          <w:sz w:val="24"/>
          <w:szCs w:val="24"/>
        </w:rPr>
        <w:t xml:space="preserve"> </w:t>
      </w:r>
      <w:r w:rsidRPr="00A94F32">
        <w:rPr>
          <w:rFonts w:ascii="Book Antiqua" w:eastAsia="Book Antiqua" w:hAnsi="Book Antiqua" w:cs="Times New Roman"/>
          <w:kern w:val="0"/>
          <w:sz w:val="24"/>
          <w:lang w:bidi="ar"/>
        </w:rPr>
        <w:t>No additional data are available.</w:t>
      </w:r>
      <w:r w:rsidRPr="00A94F32">
        <w:rPr>
          <w:rFonts w:ascii="Book Antiqua" w:eastAsia="Book Antiqua" w:hAnsi="Book Antiqua" w:cs="Book Antiqua"/>
          <w:kern w:val="0"/>
          <w:sz w:val="24"/>
          <w:lang w:bidi="ar"/>
        </w:rPr>
        <w:t xml:space="preserve"> </w:t>
      </w:r>
    </w:p>
    <w:p w14:paraId="09778C7F" w14:textId="77777777" w:rsidR="00556F61" w:rsidRPr="00A94F32" w:rsidRDefault="00556F61" w:rsidP="00FD2E95">
      <w:pPr>
        <w:snapToGrid w:val="0"/>
        <w:spacing w:line="360" w:lineRule="auto"/>
        <w:rPr>
          <w:rFonts w:ascii="Book Antiqua" w:hAnsi="Book Antiqua" w:cs="Times New Roman"/>
          <w:iCs/>
          <w:sz w:val="24"/>
        </w:rPr>
      </w:pPr>
    </w:p>
    <w:p w14:paraId="4A559D75" w14:textId="77777777" w:rsidR="00160996" w:rsidRPr="00A94F32" w:rsidRDefault="00160996" w:rsidP="00FD2E95">
      <w:pPr>
        <w:snapToGrid w:val="0"/>
        <w:spacing w:line="360" w:lineRule="auto"/>
        <w:rPr>
          <w:rFonts w:ascii="Book Antiqua" w:hAnsi="Book Antiqua"/>
          <w:sz w:val="24"/>
        </w:rPr>
      </w:pPr>
      <w:bookmarkStart w:id="16" w:name="OLE_LINK507"/>
      <w:bookmarkStart w:id="17" w:name="OLE_LINK506"/>
      <w:bookmarkStart w:id="18" w:name="OLE_LINK496"/>
      <w:bookmarkStart w:id="19" w:name="OLE_LINK479"/>
      <w:bookmarkStart w:id="20" w:name="OLE_LINK379"/>
      <w:bookmarkStart w:id="21" w:name="OLE_LINK384"/>
      <w:bookmarkStart w:id="22" w:name="OLE_LINK1033"/>
      <w:bookmarkStart w:id="23" w:name="OLE_LINK1036"/>
      <w:r w:rsidRPr="00A94F32">
        <w:rPr>
          <w:rFonts w:ascii="Book Antiqua" w:hAnsi="Book Antiqua"/>
          <w:b/>
          <w:sz w:val="24"/>
        </w:rPr>
        <w:t xml:space="preserve">Open-Access: </w:t>
      </w:r>
      <w:r w:rsidRPr="00A94F32">
        <w:rPr>
          <w:rFonts w:ascii="Book Antiqua" w:hAnsi="Book Antiqua"/>
          <w:sz w:val="24"/>
        </w:rPr>
        <w:t>This article is an open-access article which was selected by</w:t>
      </w:r>
      <w:r w:rsidR="009807C5">
        <w:rPr>
          <w:rFonts w:ascii="Book Antiqua" w:hAnsi="Book Antiqua" w:hint="eastAsia"/>
          <w:sz w:val="24"/>
        </w:rPr>
        <w:t xml:space="preserve"> </w:t>
      </w:r>
      <w:r w:rsidRPr="00A94F32">
        <w:rPr>
          <w:rFonts w:ascii="Book Antiqua" w:hAnsi="Book Antiqua"/>
          <w:sz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p>
    <w:bookmarkEnd w:id="20"/>
    <w:bookmarkEnd w:id="21"/>
    <w:p w14:paraId="5186699E" w14:textId="77777777" w:rsidR="00160996" w:rsidRPr="00A94F32" w:rsidRDefault="00160996" w:rsidP="00FD2E95">
      <w:pPr>
        <w:snapToGrid w:val="0"/>
        <w:spacing w:line="360" w:lineRule="auto"/>
        <w:rPr>
          <w:rFonts w:ascii="Book Antiqua" w:eastAsia="等线" w:hAnsi="Book Antiqua"/>
          <w:b/>
          <w:sz w:val="24"/>
        </w:rPr>
      </w:pPr>
    </w:p>
    <w:p w14:paraId="2C8EC39E" w14:textId="77777777" w:rsidR="00160996" w:rsidRPr="00A94F32" w:rsidRDefault="00160996" w:rsidP="00FD2E95">
      <w:pPr>
        <w:snapToGrid w:val="0"/>
        <w:spacing w:line="360" w:lineRule="auto"/>
        <w:rPr>
          <w:rFonts w:ascii="Book Antiqua" w:hAnsi="Book Antiqua" w:cs="Times New Roman"/>
          <w:iCs/>
          <w:sz w:val="24"/>
        </w:rPr>
      </w:pPr>
      <w:bookmarkStart w:id="24" w:name="OLE_LINK1102"/>
      <w:bookmarkStart w:id="25" w:name="OLE_LINK1103"/>
      <w:r w:rsidRPr="00A94F32">
        <w:rPr>
          <w:rFonts w:ascii="Book Antiqua" w:eastAsia="等线" w:hAnsi="Book Antiqua"/>
          <w:b/>
          <w:sz w:val="24"/>
        </w:rPr>
        <w:t>Manuscript source:</w:t>
      </w:r>
      <w:bookmarkEnd w:id="24"/>
      <w:bookmarkEnd w:id="25"/>
      <w:r w:rsidRPr="00A94F32">
        <w:rPr>
          <w:rFonts w:ascii="Book Antiqua" w:eastAsia="等线" w:hAnsi="Book Antiqua"/>
          <w:b/>
          <w:sz w:val="24"/>
        </w:rPr>
        <w:t xml:space="preserve"> </w:t>
      </w:r>
      <w:r w:rsidRPr="00A94F32">
        <w:rPr>
          <w:rFonts w:ascii="Book Antiqua" w:eastAsia="等线" w:hAnsi="Book Antiqua"/>
          <w:sz w:val="24"/>
        </w:rPr>
        <w:t>Unsolicited manuscript</w:t>
      </w:r>
      <w:bookmarkEnd w:id="22"/>
      <w:bookmarkEnd w:id="23"/>
    </w:p>
    <w:p w14:paraId="7BF3497B" w14:textId="77777777" w:rsidR="00556F61" w:rsidRPr="00A94F32" w:rsidRDefault="00556F61" w:rsidP="00FD2E95">
      <w:pPr>
        <w:snapToGrid w:val="0"/>
        <w:spacing w:line="360" w:lineRule="auto"/>
        <w:rPr>
          <w:rFonts w:ascii="Book Antiqua" w:hAnsi="Book Antiqua" w:cs="Times New Roman"/>
          <w:iCs/>
          <w:sz w:val="24"/>
        </w:rPr>
      </w:pPr>
    </w:p>
    <w:p w14:paraId="3F56DFA8" w14:textId="488AF0A8" w:rsidR="00556F61" w:rsidRPr="00A94F32" w:rsidRDefault="006A789A" w:rsidP="00FD2E95">
      <w:pPr>
        <w:snapToGrid w:val="0"/>
        <w:spacing w:line="360" w:lineRule="auto"/>
        <w:rPr>
          <w:rFonts w:ascii="Book Antiqua" w:hAnsi="Book Antiqua" w:cs="Times New Roman"/>
          <w:b/>
          <w:bCs/>
          <w:sz w:val="24"/>
        </w:rPr>
      </w:pPr>
      <w:bookmarkStart w:id="26" w:name="OLE_LINK6"/>
      <w:r w:rsidRPr="00A94F32">
        <w:rPr>
          <w:rFonts w:ascii="Book Antiqua" w:hAnsi="Book Antiqua" w:cs="Times New Roman"/>
          <w:b/>
          <w:bCs/>
          <w:sz w:val="24"/>
        </w:rPr>
        <w:t>Corresponding author:</w:t>
      </w:r>
      <w:bookmarkEnd w:id="26"/>
      <w:r w:rsidR="005F4D6E" w:rsidRPr="00A94F32">
        <w:rPr>
          <w:rFonts w:ascii="Book Antiqua" w:hAnsi="Book Antiqua" w:cs="Times New Roman"/>
          <w:b/>
          <w:bCs/>
          <w:sz w:val="24"/>
        </w:rPr>
        <w:t xml:space="preserve"> </w:t>
      </w:r>
      <w:r w:rsidR="005F4D6E" w:rsidRPr="00A94F32">
        <w:rPr>
          <w:rFonts w:ascii="Book Antiqua" w:hAnsi="Book Antiqua" w:cs="Times New Roman"/>
          <w:b/>
          <w:sz w:val="24"/>
        </w:rPr>
        <w:t>Shi-He Guan, MD, PhD, Full Professor,</w:t>
      </w:r>
      <w:r w:rsidR="005F4D6E" w:rsidRPr="00A94F32">
        <w:rPr>
          <w:rFonts w:ascii="Book Antiqua" w:hAnsi="Book Antiqua" w:cs="Times New Roman"/>
          <w:sz w:val="24"/>
        </w:rPr>
        <w:t xml:space="preserve"> Department of </w:t>
      </w:r>
      <w:r w:rsidR="00EC1C46" w:rsidRPr="00EC1C46">
        <w:rPr>
          <w:rFonts w:ascii="Book Antiqua" w:hAnsi="Book Antiqua" w:cs="Times New Roman"/>
          <w:sz w:val="24"/>
        </w:rPr>
        <w:t xml:space="preserve">Clinical </w:t>
      </w:r>
      <w:r w:rsidR="005F4D6E" w:rsidRPr="00A94F32">
        <w:rPr>
          <w:rFonts w:ascii="Book Antiqua" w:hAnsi="Book Antiqua" w:cs="Times New Roman" w:hint="eastAsia"/>
          <w:sz w:val="24"/>
        </w:rPr>
        <w:t>L</w:t>
      </w:r>
      <w:r w:rsidR="00072D36">
        <w:rPr>
          <w:rFonts w:ascii="Book Antiqua" w:hAnsi="Book Antiqua" w:cs="Times New Roman"/>
          <w:sz w:val="24"/>
        </w:rPr>
        <w:t>aboratory</w:t>
      </w:r>
      <w:r w:rsidR="005F4D6E" w:rsidRPr="00A94F32">
        <w:rPr>
          <w:rFonts w:ascii="Book Antiqua" w:hAnsi="Book Antiqua" w:cs="Times New Roman"/>
          <w:sz w:val="24"/>
        </w:rPr>
        <w:t xml:space="preserve">, The Second Hospital of Anhui Medical University, </w:t>
      </w:r>
      <w:proofErr w:type="spellStart"/>
      <w:r w:rsidR="005F4D6E" w:rsidRPr="00A94F32">
        <w:rPr>
          <w:rFonts w:ascii="Book Antiqua" w:hAnsi="Book Antiqua" w:cs="Times New Roman"/>
          <w:sz w:val="24"/>
        </w:rPr>
        <w:t>Furong</w:t>
      </w:r>
      <w:proofErr w:type="spellEnd"/>
      <w:r w:rsidR="005F4D6E" w:rsidRPr="00A94F32">
        <w:rPr>
          <w:rFonts w:ascii="Book Antiqua" w:hAnsi="Book Antiqua" w:cs="Times New Roman"/>
          <w:sz w:val="24"/>
        </w:rPr>
        <w:t xml:space="preserve"> Road</w:t>
      </w:r>
      <w:r w:rsidR="007877A0">
        <w:rPr>
          <w:rFonts w:ascii="Book Antiqua" w:hAnsi="Book Antiqua" w:cs="Times New Roman"/>
          <w:sz w:val="24"/>
        </w:rPr>
        <w:t xml:space="preserve"> 678</w:t>
      </w:r>
      <w:r w:rsidR="007877A0" w:rsidRPr="00072D36">
        <w:rPr>
          <w:rFonts w:ascii="Book Antiqua" w:hAnsi="Book Antiqua" w:cs="Times New Roman"/>
          <w:sz w:val="24"/>
          <w:vertAlign w:val="superscript"/>
        </w:rPr>
        <w:t>#</w:t>
      </w:r>
      <w:r w:rsidR="005F4D6E" w:rsidRPr="00A94F32">
        <w:rPr>
          <w:rFonts w:ascii="Book Antiqua" w:hAnsi="Book Antiqua" w:cs="Times New Roman"/>
          <w:sz w:val="24"/>
        </w:rPr>
        <w:t xml:space="preserve">, Hefei 230601, </w:t>
      </w:r>
      <w:r w:rsidR="00ED2680" w:rsidRPr="00ED2680">
        <w:rPr>
          <w:rFonts w:ascii="Book Antiqua" w:hAnsi="Book Antiqua" w:cs="Times New Roman"/>
          <w:sz w:val="24"/>
        </w:rPr>
        <w:t>Anhui Province,</w:t>
      </w:r>
      <w:r w:rsidR="00ED2680">
        <w:rPr>
          <w:rFonts w:ascii="Book Antiqua" w:hAnsi="Book Antiqua" w:cs="Times New Roman"/>
          <w:sz w:val="24"/>
        </w:rPr>
        <w:t xml:space="preserve"> </w:t>
      </w:r>
      <w:r w:rsidR="005F4D6E" w:rsidRPr="00A94F32">
        <w:rPr>
          <w:rFonts w:ascii="Book Antiqua" w:hAnsi="Book Antiqua" w:cs="Times New Roman"/>
          <w:sz w:val="24"/>
        </w:rPr>
        <w:t xml:space="preserve">China. shiheguan@126.com </w:t>
      </w:r>
    </w:p>
    <w:p w14:paraId="02CF0022" w14:textId="77777777" w:rsidR="00556F61" w:rsidRPr="00A94F32" w:rsidRDefault="006A789A" w:rsidP="00FD2E95">
      <w:pPr>
        <w:snapToGrid w:val="0"/>
        <w:spacing w:line="360" w:lineRule="auto"/>
        <w:rPr>
          <w:rFonts w:ascii="Book Antiqua" w:hAnsi="Book Antiqua" w:cs="Times New Roman"/>
          <w:sz w:val="24"/>
        </w:rPr>
      </w:pPr>
      <w:r w:rsidRPr="00A94F32">
        <w:rPr>
          <w:rFonts w:ascii="Book Antiqua" w:hAnsi="Book Antiqua" w:cs="Times New Roman"/>
          <w:b/>
          <w:sz w:val="24"/>
        </w:rPr>
        <w:t>Telephone</w:t>
      </w:r>
      <w:r w:rsidRPr="00A94F32">
        <w:rPr>
          <w:rFonts w:ascii="Book Antiqua" w:hAnsi="Book Antiqua" w:cs="Times New Roman"/>
          <w:sz w:val="24"/>
        </w:rPr>
        <w:t>:</w:t>
      </w:r>
      <w:r w:rsidR="005F4D6E" w:rsidRPr="00A94F32">
        <w:rPr>
          <w:rFonts w:ascii="Book Antiqua" w:hAnsi="Book Antiqua" w:cs="Times New Roman"/>
          <w:sz w:val="24"/>
        </w:rPr>
        <w:t xml:space="preserve"> +86-551-63869508</w:t>
      </w:r>
    </w:p>
    <w:p w14:paraId="5A44D27F" w14:textId="77777777" w:rsidR="00556F61" w:rsidRPr="00A94F32" w:rsidRDefault="006A789A" w:rsidP="00FD2E95">
      <w:pPr>
        <w:snapToGrid w:val="0"/>
        <w:spacing w:line="360" w:lineRule="auto"/>
        <w:rPr>
          <w:rStyle w:val="ab"/>
          <w:rFonts w:ascii="Book Antiqua" w:hAnsi="Book Antiqua"/>
          <w:iCs/>
          <w:color w:val="auto"/>
          <w:sz w:val="24"/>
          <w:u w:val="none"/>
        </w:rPr>
      </w:pPr>
      <w:r w:rsidRPr="00A94F32">
        <w:rPr>
          <w:rFonts w:ascii="Book Antiqua" w:hAnsi="Book Antiqua" w:cs="Times New Roman"/>
          <w:b/>
          <w:sz w:val="24"/>
        </w:rPr>
        <w:t>Fax</w:t>
      </w:r>
      <w:r w:rsidRPr="00A94F32">
        <w:rPr>
          <w:rFonts w:ascii="Book Antiqua" w:hAnsi="Book Antiqua" w:cs="Times New Roman"/>
          <w:sz w:val="24"/>
        </w:rPr>
        <w:t>:</w:t>
      </w:r>
      <w:r w:rsidR="005F4D6E" w:rsidRPr="00A94F32">
        <w:rPr>
          <w:rFonts w:ascii="Book Antiqua" w:hAnsi="Book Antiqua" w:cs="Times New Roman"/>
          <w:sz w:val="24"/>
        </w:rPr>
        <w:t xml:space="preserve"> +86-551-63869400</w:t>
      </w:r>
      <w:bookmarkStart w:id="27" w:name="_Hlk8806265"/>
    </w:p>
    <w:bookmarkEnd w:id="27"/>
    <w:p w14:paraId="3094D32E" w14:textId="77777777" w:rsidR="006F41B8" w:rsidRDefault="006F41B8" w:rsidP="00FD2E95">
      <w:pPr>
        <w:snapToGrid w:val="0"/>
        <w:spacing w:line="360" w:lineRule="auto"/>
        <w:rPr>
          <w:rFonts w:ascii="Book Antiqua" w:hAnsi="Book Antiqua"/>
          <w:b/>
          <w:sz w:val="24"/>
        </w:rPr>
      </w:pPr>
    </w:p>
    <w:p w14:paraId="1D4C2A2F" w14:textId="7C5DABCD"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t xml:space="preserve">Received: </w:t>
      </w:r>
      <w:r w:rsidRPr="00A94F32">
        <w:rPr>
          <w:rFonts w:ascii="Book Antiqua" w:hAnsi="Book Antiqua"/>
          <w:sz w:val="24"/>
        </w:rPr>
        <w:t>July 15, 2019</w:t>
      </w:r>
    </w:p>
    <w:p w14:paraId="0DFB019A" w14:textId="77777777"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t xml:space="preserve">Peer-review started: </w:t>
      </w:r>
      <w:r w:rsidRPr="00A94F32">
        <w:rPr>
          <w:rFonts w:ascii="Book Antiqua" w:hAnsi="Book Antiqua"/>
          <w:sz w:val="24"/>
        </w:rPr>
        <w:t>July 16, 2019</w:t>
      </w:r>
    </w:p>
    <w:p w14:paraId="71793115" w14:textId="77777777"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t xml:space="preserve">First decision: </w:t>
      </w:r>
      <w:r w:rsidRPr="00A94F32">
        <w:rPr>
          <w:rFonts w:ascii="Book Antiqua" w:hAnsi="Book Antiqua"/>
          <w:sz w:val="24"/>
        </w:rPr>
        <w:t>August 2, 2019</w:t>
      </w:r>
    </w:p>
    <w:p w14:paraId="515CDF0D" w14:textId="77777777"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t xml:space="preserve">Revised: </w:t>
      </w:r>
      <w:r w:rsidRPr="00A94F32">
        <w:rPr>
          <w:rFonts w:ascii="Book Antiqua" w:hAnsi="Book Antiqua"/>
          <w:sz w:val="24"/>
        </w:rPr>
        <w:t>August 21, 2019</w:t>
      </w:r>
    </w:p>
    <w:p w14:paraId="72E5C944" w14:textId="30A4F7EA" w:rsidR="006A789A" w:rsidRPr="00A94F32" w:rsidRDefault="006A789A" w:rsidP="00FD2E95">
      <w:pPr>
        <w:snapToGrid w:val="0"/>
        <w:spacing w:line="360" w:lineRule="auto"/>
        <w:rPr>
          <w:rFonts w:ascii="Book Antiqua" w:hAnsi="Book Antiqua"/>
          <w:color w:val="000000"/>
          <w:sz w:val="24"/>
        </w:rPr>
      </w:pPr>
      <w:r w:rsidRPr="00A94F32">
        <w:rPr>
          <w:rFonts w:ascii="Book Antiqua" w:hAnsi="Book Antiqua"/>
          <w:b/>
          <w:sz w:val="24"/>
        </w:rPr>
        <w:lastRenderedPageBreak/>
        <w:t>Accepted:</w:t>
      </w:r>
      <w:r w:rsidR="00F91F93" w:rsidRPr="00F91F93">
        <w:t xml:space="preserve"> </w:t>
      </w:r>
      <w:r w:rsidR="00F91F93" w:rsidRPr="00F91F93">
        <w:rPr>
          <w:rFonts w:ascii="Book Antiqua" w:hAnsi="Book Antiqua"/>
          <w:sz w:val="24"/>
        </w:rPr>
        <w:t>September 11, 2019</w:t>
      </w:r>
      <w:r w:rsidRPr="00F91F93">
        <w:rPr>
          <w:rFonts w:ascii="Book Antiqua" w:hAnsi="Book Antiqua"/>
          <w:sz w:val="24"/>
        </w:rPr>
        <w:t xml:space="preserve"> </w:t>
      </w:r>
    </w:p>
    <w:p w14:paraId="746723D8" w14:textId="77777777"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t>Article in press:</w:t>
      </w:r>
    </w:p>
    <w:p w14:paraId="33D71646" w14:textId="77777777" w:rsidR="00556F61" w:rsidRPr="00A94F32" w:rsidRDefault="006A789A" w:rsidP="00FD2E95">
      <w:pPr>
        <w:snapToGrid w:val="0"/>
        <w:spacing w:line="360" w:lineRule="auto"/>
        <w:rPr>
          <w:rFonts w:ascii="Book Antiqua" w:hAnsi="Book Antiqua" w:cs="Times New Roman"/>
          <w:iCs/>
          <w:sz w:val="24"/>
        </w:rPr>
      </w:pPr>
      <w:r w:rsidRPr="00A94F32">
        <w:rPr>
          <w:rFonts w:ascii="Book Antiqua" w:hAnsi="Book Antiqua"/>
          <w:b/>
          <w:sz w:val="24"/>
        </w:rPr>
        <w:t>Published online:</w:t>
      </w:r>
    </w:p>
    <w:p w14:paraId="5D7E3832" w14:textId="77777777" w:rsidR="00556F61" w:rsidRPr="00A94F32" w:rsidRDefault="00556F61" w:rsidP="00FD2E95">
      <w:pPr>
        <w:snapToGrid w:val="0"/>
        <w:spacing w:line="360" w:lineRule="auto"/>
        <w:rPr>
          <w:rFonts w:ascii="Book Antiqua" w:hAnsi="Book Antiqua" w:cs="Times New Roman"/>
          <w:iCs/>
          <w:sz w:val="24"/>
        </w:rPr>
      </w:pPr>
    </w:p>
    <w:p w14:paraId="4E3EBBEB" w14:textId="77777777" w:rsidR="00556F61" w:rsidRPr="00A94F32" w:rsidRDefault="005F4D6E" w:rsidP="00FD2E95">
      <w:pPr>
        <w:widowControl/>
        <w:snapToGrid w:val="0"/>
        <w:spacing w:line="360" w:lineRule="auto"/>
        <w:rPr>
          <w:rFonts w:ascii="Book Antiqua" w:hAnsi="Book Antiqua" w:cs="Times New Roman"/>
          <w:iCs/>
          <w:sz w:val="24"/>
        </w:rPr>
      </w:pPr>
      <w:r w:rsidRPr="00A94F32">
        <w:rPr>
          <w:rFonts w:ascii="Book Antiqua" w:hAnsi="Book Antiqua" w:cs="Times New Roman"/>
          <w:iCs/>
          <w:sz w:val="24"/>
        </w:rPr>
        <w:br w:type="page"/>
      </w:r>
    </w:p>
    <w:p w14:paraId="57BBF379" w14:textId="77777777" w:rsidR="00556F61" w:rsidRPr="00A94F32" w:rsidRDefault="00B11E2B" w:rsidP="00FD2E95">
      <w:pPr>
        <w:snapToGrid w:val="0"/>
        <w:spacing w:line="360" w:lineRule="auto"/>
        <w:rPr>
          <w:rFonts w:ascii="Book Antiqua" w:hAnsi="Book Antiqua" w:cs="Times New Roman"/>
          <w:iCs/>
          <w:sz w:val="24"/>
        </w:rPr>
      </w:pPr>
      <w:r w:rsidRPr="00A94F32">
        <w:rPr>
          <w:rFonts w:ascii="Book Antiqua" w:hAnsi="Book Antiqua"/>
          <w:b/>
          <w:sz w:val="24"/>
        </w:rPr>
        <w:lastRenderedPageBreak/>
        <w:t>Abstract</w:t>
      </w:r>
    </w:p>
    <w:p w14:paraId="60783F46" w14:textId="77777777" w:rsidR="00556F61" w:rsidRPr="00A94F32" w:rsidRDefault="00B11E2B" w:rsidP="00FD2E95">
      <w:pPr>
        <w:snapToGrid w:val="0"/>
        <w:spacing w:line="360" w:lineRule="auto"/>
        <w:rPr>
          <w:rFonts w:ascii="Book Antiqua" w:hAnsi="Book Antiqua" w:cs="Times New Roman"/>
          <w:b/>
          <w:bCs/>
          <w:sz w:val="24"/>
        </w:rPr>
      </w:pPr>
      <w:r w:rsidRPr="00A94F32">
        <w:rPr>
          <w:rFonts w:ascii="Book Antiqua" w:hAnsi="Book Antiqua" w:cs="Times New Roman"/>
          <w:b/>
          <w:bCs/>
          <w:i/>
          <w:iCs/>
          <w:sz w:val="24"/>
        </w:rPr>
        <w:t>BACKGROUND</w:t>
      </w:r>
      <w:r w:rsidR="005F4D6E" w:rsidRPr="00A94F32">
        <w:rPr>
          <w:rFonts w:ascii="Book Antiqua" w:hAnsi="Book Antiqua" w:cs="Times New Roman"/>
          <w:b/>
          <w:bCs/>
          <w:sz w:val="24"/>
        </w:rPr>
        <w:t xml:space="preserve"> </w:t>
      </w:r>
    </w:p>
    <w:p w14:paraId="002043DD" w14:textId="2F0B2A78"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Hepatitis B virus-related acute-on-chronic liver failure (HBV-ACLF) is a syndrome with a high short-term mortality rate, and it is crucial to identify those patients </w:t>
      </w:r>
      <w:r w:rsidR="00D63309">
        <w:rPr>
          <w:rFonts w:ascii="Book Antiqua" w:hAnsi="Book Antiqua" w:cs="Times New Roman"/>
          <w:sz w:val="24"/>
        </w:rPr>
        <w:t>at</w:t>
      </w:r>
      <w:r w:rsidR="00D63309" w:rsidRPr="00A94F32">
        <w:rPr>
          <w:rFonts w:ascii="Book Antiqua" w:hAnsi="Book Antiqua" w:cs="Times New Roman"/>
          <w:sz w:val="24"/>
        </w:rPr>
        <w:t xml:space="preserve"> </w:t>
      </w:r>
      <w:r w:rsidRPr="00A94F32">
        <w:rPr>
          <w:rFonts w:ascii="Book Antiqua" w:hAnsi="Book Antiqua" w:cs="Times New Roman"/>
          <w:sz w:val="24"/>
        </w:rPr>
        <w:t xml:space="preserve">a high mortality risk clinically. </w:t>
      </w:r>
    </w:p>
    <w:p w14:paraId="70D82A2F" w14:textId="77777777" w:rsidR="00556F61" w:rsidRPr="00A94F32" w:rsidRDefault="00556F61" w:rsidP="00FD2E95">
      <w:pPr>
        <w:snapToGrid w:val="0"/>
        <w:spacing w:line="360" w:lineRule="auto"/>
        <w:rPr>
          <w:rFonts w:ascii="Book Antiqua" w:hAnsi="Book Antiqua" w:cs="Times New Roman"/>
          <w:b/>
          <w:bCs/>
          <w:sz w:val="24"/>
        </w:rPr>
      </w:pPr>
    </w:p>
    <w:p w14:paraId="2FD7300F" w14:textId="77777777" w:rsidR="00556F61" w:rsidRPr="00A94F32" w:rsidRDefault="00B11E2B" w:rsidP="00FD2E95">
      <w:pPr>
        <w:snapToGrid w:val="0"/>
        <w:spacing w:line="360" w:lineRule="auto"/>
        <w:rPr>
          <w:rFonts w:ascii="Book Antiqua" w:hAnsi="Book Antiqua" w:cs="Times New Roman"/>
          <w:sz w:val="24"/>
        </w:rPr>
      </w:pPr>
      <w:r w:rsidRPr="00A94F32">
        <w:rPr>
          <w:rFonts w:ascii="Book Antiqua" w:hAnsi="Book Antiqua" w:cs="Times New Roman"/>
          <w:b/>
          <w:bCs/>
          <w:i/>
          <w:sz w:val="24"/>
        </w:rPr>
        <w:t>AIM</w:t>
      </w:r>
      <w:r w:rsidR="005F4D6E" w:rsidRPr="00A94F32">
        <w:rPr>
          <w:rFonts w:ascii="Book Antiqua" w:hAnsi="Book Antiqua" w:cs="Times New Roman"/>
          <w:sz w:val="24"/>
        </w:rPr>
        <w:t xml:space="preserve"> </w:t>
      </w:r>
    </w:p>
    <w:p w14:paraId="6D5B6F5C" w14:textId="0BE5D850" w:rsidR="00556F61" w:rsidRPr="00A94F32" w:rsidRDefault="00B11E2B" w:rsidP="00FD2E95">
      <w:pPr>
        <w:snapToGrid w:val="0"/>
        <w:spacing w:line="360" w:lineRule="auto"/>
        <w:rPr>
          <w:rFonts w:ascii="Book Antiqua" w:hAnsi="Book Antiqua" w:cs="Times New Roman"/>
          <w:b/>
          <w:bCs/>
          <w:sz w:val="24"/>
        </w:rPr>
      </w:pPr>
      <w:r w:rsidRPr="00A94F32">
        <w:rPr>
          <w:rFonts w:ascii="Book Antiqua" w:hAnsi="Book Antiqua" w:cs="Times New Roman"/>
          <w:sz w:val="24"/>
        </w:rPr>
        <w:t>T</w:t>
      </w:r>
      <w:r w:rsidR="005F4D6E" w:rsidRPr="00A94F32">
        <w:rPr>
          <w:rFonts w:ascii="Book Antiqua" w:hAnsi="Book Antiqua" w:cs="Times New Roman"/>
          <w:sz w:val="24"/>
        </w:rPr>
        <w:t>o investigate the clinical value of</w:t>
      </w:r>
      <w:r w:rsidR="00215647">
        <w:rPr>
          <w:rFonts w:ascii="Book Antiqua" w:hAnsi="Book Antiqua" w:cs="Times New Roman"/>
          <w:sz w:val="24"/>
        </w:rPr>
        <w:t xml:space="preserve"> </w:t>
      </w:r>
      <w:r w:rsidR="005F4D6E" w:rsidRPr="00A94F32">
        <w:rPr>
          <w:rFonts w:ascii="Book Antiqua" w:hAnsi="Book Antiqua" w:cs="Times New Roman"/>
          <w:sz w:val="24"/>
        </w:rPr>
        <w:t>soluble mannose receptor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w:t>
      </w:r>
      <w:r w:rsidR="00D63309">
        <w:rPr>
          <w:rFonts w:ascii="Book Antiqua" w:hAnsi="Book Antiqua" w:cs="Times New Roman"/>
          <w:sz w:val="24"/>
        </w:rPr>
        <w:t>in</w:t>
      </w:r>
      <w:r w:rsidR="005F4D6E" w:rsidRPr="00A94F32">
        <w:rPr>
          <w:rFonts w:ascii="Book Antiqua" w:hAnsi="Book Antiqua" w:cs="Times New Roman"/>
          <w:sz w:val="24"/>
        </w:rPr>
        <w:t xml:space="preserve"> predicting the 90-day mortality of HBV-ACLF patients.</w:t>
      </w:r>
    </w:p>
    <w:p w14:paraId="67CC1A4D" w14:textId="77777777" w:rsidR="00556F61" w:rsidRPr="00A94F32" w:rsidRDefault="00556F61" w:rsidP="00FD2E95">
      <w:pPr>
        <w:snapToGrid w:val="0"/>
        <w:spacing w:line="360" w:lineRule="auto"/>
        <w:rPr>
          <w:rFonts w:ascii="Book Antiqua" w:hAnsi="Book Antiqua" w:cs="Times New Roman"/>
          <w:b/>
          <w:bCs/>
          <w:iCs/>
          <w:sz w:val="24"/>
        </w:rPr>
      </w:pPr>
    </w:p>
    <w:p w14:paraId="1C19DBCF" w14:textId="77777777" w:rsidR="00556F61" w:rsidRPr="00A94F32" w:rsidRDefault="00B11E2B" w:rsidP="00FD2E95">
      <w:pPr>
        <w:snapToGrid w:val="0"/>
        <w:spacing w:line="360" w:lineRule="auto"/>
        <w:rPr>
          <w:rFonts w:ascii="Book Antiqua" w:hAnsi="Book Antiqua" w:cs="Times New Roman"/>
          <w:b/>
          <w:bCs/>
          <w:iCs/>
          <w:sz w:val="24"/>
        </w:rPr>
      </w:pPr>
      <w:r w:rsidRPr="00A94F32">
        <w:rPr>
          <w:rFonts w:ascii="Book Antiqua" w:hAnsi="Book Antiqua" w:cs="Times New Roman"/>
          <w:b/>
          <w:bCs/>
          <w:i/>
          <w:iCs/>
          <w:sz w:val="24"/>
        </w:rPr>
        <w:t>METHODS</w:t>
      </w:r>
    </w:p>
    <w:p w14:paraId="271253E4" w14:textId="7D8B5980"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A total of 43 patients were diagnosed with HBV-ACLF between October 2017 and October 2018 at </w:t>
      </w:r>
      <w:r w:rsidRPr="00A94F32">
        <w:rPr>
          <w:rFonts w:ascii="Book Antiqua" w:hAnsi="Book Antiqua" w:cs="Times New Roman"/>
          <w:bCs/>
          <w:sz w:val="24"/>
        </w:rPr>
        <w:t xml:space="preserve">the Second Hospital of Anhui Medical University, and all of them </w:t>
      </w:r>
      <w:r w:rsidRPr="00A94F32">
        <w:rPr>
          <w:rFonts w:ascii="Book Antiqua" w:hAnsi="Book Antiqua" w:cs="Times New Roman"/>
          <w:sz w:val="24"/>
        </w:rPr>
        <w:t>were enrolled in this r</w:t>
      </w:r>
      <w:r w:rsidRPr="00A94F32">
        <w:rPr>
          <w:rFonts w:ascii="Book Antiqua" w:hAnsi="Book Antiqua" w:cs="Times New Roman"/>
          <w:bCs/>
          <w:sz w:val="24"/>
        </w:rPr>
        <w:t>etrospective study.</w:t>
      </w:r>
      <w:r w:rsidRPr="00A94F32">
        <w:rPr>
          <w:rFonts w:ascii="Book Antiqua" w:hAnsi="Book Antiqua" w:cs="Times New Roman"/>
          <w:sz w:val="24"/>
        </w:rPr>
        <w:t xml:space="preserve"> Their 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levels were determined using an enzyme-linked immunosorbent assay. </w:t>
      </w:r>
      <w:r w:rsidR="00215647">
        <w:rPr>
          <w:rFonts w:ascii="Book Antiqua" w:hAnsi="Book Antiqua" w:cs="Times New Roman"/>
          <w:sz w:val="24"/>
        </w:rPr>
        <w:t>D</w:t>
      </w:r>
      <w:r w:rsidRPr="00A94F32">
        <w:rPr>
          <w:rFonts w:ascii="Book Antiqua" w:hAnsi="Book Antiqua" w:cs="Times New Roman"/>
          <w:sz w:val="24"/>
        </w:rPr>
        <w:t>emographic and clinical data, including</w:t>
      </w:r>
      <w:r w:rsidR="00D63309">
        <w:rPr>
          <w:rFonts w:ascii="Book Antiqua" w:hAnsi="Book Antiqua" w:cs="Times New Roman"/>
          <w:sz w:val="24"/>
        </w:rPr>
        <w:t xml:space="preserve"> </w:t>
      </w:r>
      <w:r w:rsidRPr="00A94F32">
        <w:rPr>
          <w:rFonts w:ascii="Book Antiqua" w:hAnsi="Book Antiqua" w:cs="Times New Roman"/>
          <w:sz w:val="24"/>
        </w:rPr>
        <w:t xml:space="preserve">gender, age, albumin level, total bilirubin (TBIL) level, </w:t>
      </w:r>
      <w:r w:rsidR="00F03BE6" w:rsidRPr="00A94F32">
        <w:rPr>
          <w:rFonts w:ascii="Book Antiqua" w:hAnsi="Book Antiqua" w:cs="Times New Roman"/>
          <w:sz w:val="24"/>
        </w:rPr>
        <w:t>international normalized ratio</w:t>
      </w:r>
      <w:r w:rsidRPr="00A94F32">
        <w:rPr>
          <w:rFonts w:ascii="Book Antiqua" w:hAnsi="Book Antiqua" w:cs="Times New Roman"/>
          <w:sz w:val="24"/>
        </w:rPr>
        <w:t xml:space="preserve">, HBV-DNA level, HBV serological markers, </w:t>
      </w:r>
      <w:proofErr w:type="spellStart"/>
      <w:r w:rsidRPr="00A94F32">
        <w:rPr>
          <w:rFonts w:ascii="Book Antiqua" w:hAnsi="Book Antiqua" w:cs="Times New Roman"/>
          <w:sz w:val="24"/>
        </w:rPr>
        <w:t>procalcitonin</w:t>
      </w:r>
      <w:proofErr w:type="spellEnd"/>
      <w:r w:rsidRPr="00A94F32">
        <w:rPr>
          <w:rFonts w:ascii="Book Antiqua" w:hAnsi="Book Antiqua" w:cs="Times New Roman"/>
          <w:sz w:val="24"/>
        </w:rPr>
        <w:t xml:space="preserve"> level, </w:t>
      </w:r>
      <w:r w:rsidR="00D63309" w:rsidRPr="00A94F32">
        <w:rPr>
          <w:rFonts w:ascii="Book Antiqua" w:hAnsi="Book Antiqua" w:cs="Times New Roman"/>
          <w:sz w:val="24"/>
        </w:rPr>
        <w:t>interleukin</w:t>
      </w:r>
      <w:r w:rsidR="00D63309">
        <w:rPr>
          <w:rFonts w:ascii="Book Antiqua" w:hAnsi="Book Antiqua" w:cs="Times New Roman"/>
          <w:sz w:val="24"/>
        </w:rPr>
        <w:t>-</w:t>
      </w:r>
      <w:r w:rsidRPr="00A94F32">
        <w:rPr>
          <w:rFonts w:ascii="Book Antiqua" w:hAnsi="Book Antiqua" w:cs="Times New Roman"/>
          <w:sz w:val="24"/>
        </w:rPr>
        <w:t>6 level, and model for end-stage liver disease (MELD) score were accessed at the time of diagnosis of HBV-ACLF. A multivariate logistic regression analysis was used to analyze the independent risk factors for mortality.</w:t>
      </w:r>
    </w:p>
    <w:p w14:paraId="05291471" w14:textId="77777777" w:rsidR="00556F61" w:rsidRPr="00A94F32" w:rsidRDefault="00556F61" w:rsidP="00FD2E95">
      <w:pPr>
        <w:snapToGrid w:val="0"/>
        <w:spacing w:line="360" w:lineRule="auto"/>
        <w:rPr>
          <w:rFonts w:ascii="Book Antiqua" w:hAnsi="Book Antiqua" w:cs="Times New Roman"/>
          <w:b/>
          <w:bCs/>
          <w:iCs/>
          <w:sz w:val="24"/>
        </w:rPr>
      </w:pPr>
    </w:p>
    <w:p w14:paraId="1401F8E3" w14:textId="77777777" w:rsidR="00556F61" w:rsidRPr="00A94F32" w:rsidRDefault="00B11E2B" w:rsidP="00FD2E95">
      <w:pPr>
        <w:snapToGrid w:val="0"/>
        <w:spacing w:line="360" w:lineRule="auto"/>
        <w:rPr>
          <w:rFonts w:ascii="Book Antiqua" w:hAnsi="Book Antiqua" w:cs="Times New Roman"/>
          <w:b/>
          <w:bCs/>
          <w:i/>
          <w:iCs/>
          <w:sz w:val="24"/>
        </w:rPr>
      </w:pPr>
      <w:r w:rsidRPr="00A94F32">
        <w:rPr>
          <w:rFonts w:ascii="Book Antiqua" w:hAnsi="Book Antiqua" w:cs="Times New Roman"/>
          <w:b/>
          <w:bCs/>
          <w:i/>
          <w:iCs/>
          <w:sz w:val="24"/>
        </w:rPr>
        <w:t>RESULTS</w:t>
      </w:r>
      <w:r w:rsidR="005F4D6E" w:rsidRPr="00A94F32">
        <w:rPr>
          <w:rFonts w:ascii="Book Antiqua" w:hAnsi="Book Antiqua" w:cs="Times New Roman"/>
          <w:b/>
          <w:bCs/>
          <w:i/>
          <w:iCs/>
          <w:sz w:val="24"/>
        </w:rPr>
        <w:t xml:space="preserve"> </w:t>
      </w:r>
    </w:p>
    <w:p w14:paraId="2AB5DB08" w14:textId="1AEB4A93" w:rsidR="00556F61" w:rsidRPr="00A94F32" w:rsidRDefault="00215647" w:rsidP="00FD2E95">
      <w:pPr>
        <w:snapToGrid w:val="0"/>
        <w:spacing w:line="360" w:lineRule="auto"/>
        <w:rPr>
          <w:rFonts w:ascii="Book Antiqua" w:hAnsi="Book Antiqua" w:cs="Times New Roman"/>
          <w:sz w:val="24"/>
        </w:rPr>
      </w:pPr>
      <w:r>
        <w:rPr>
          <w:rFonts w:ascii="Book Antiqua" w:hAnsi="Book Antiqua" w:cs="Times New Roman"/>
          <w:sz w:val="24"/>
        </w:rPr>
        <w:t>Serum</w:t>
      </w:r>
      <w:r w:rsidRPr="00A94F32">
        <w:rPr>
          <w:rFonts w:ascii="Book Antiqua" w:hAnsi="Book Antiqua" w:cs="Times New Roman"/>
          <w:sz w:val="24"/>
        </w:rPr>
        <w:t xml:space="preserve">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was significantly increased in</w:t>
      </w:r>
      <w:r>
        <w:rPr>
          <w:rFonts w:ascii="Book Antiqua" w:hAnsi="Book Antiqua" w:cs="Times New Roman"/>
          <w:sz w:val="24"/>
        </w:rPr>
        <w:t xml:space="preserve"> </w:t>
      </w:r>
      <w:r w:rsidR="005F4D6E" w:rsidRPr="00A94F32">
        <w:rPr>
          <w:rFonts w:ascii="Book Antiqua" w:hAnsi="Book Antiqua" w:cs="Times New Roman"/>
          <w:sz w:val="24"/>
        </w:rPr>
        <w:t>HBV-ACLF patients</w:t>
      </w:r>
      <w:r w:rsidR="008736B7">
        <w:rPr>
          <w:rFonts w:ascii="Book Antiqua" w:hAnsi="Book Antiqua" w:cs="Times New Roman"/>
          <w:sz w:val="24"/>
        </w:rPr>
        <w:t xml:space="preserve"> </w:t>
      </w:r>
      <w:r w:rsidR="005F4D6E" w:rsidRPr="00A94F32">
        <w:rPr>
          <w:rFonts w:ascii="Book Antiqua" w:hAnsi="Book Antiqua" w:cs="Times New Roman"/>
          <w:sz w:val="24"/>
        </w:rPr>
        <w:t>compared with</w:t>
      </w:r>
      <w:r w:rsidR="00D63309">
        <w:rPr>
          <w:rFonts w:ascii="Book Antiqua" w:hAnsi="Book Antiqua" w:cs="Times New Roman"/>
          <w:sz w:val="24"/>
        </w:rPr>
        <w:t xml:space="preserve"> </w:t>
      </w:r>
      <w:r w:rsidR="005F4D6E" w:rsidRPr="00A94F32">
        <w:rPr>
          <w:rFonts w:ascii="Book Antiqua" w:hAnsi="Book Antiqua" w:cs="Times New Roman"/>
          <w:sz w:val="24"/>
        </w:rPr>
        <w:t>chronic hepatitis B patients and healthy controls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&lt; 0.01). </w:t>
      </w:r>
      <w:r w:rsidR="008736B7">
        <w:rPr>
          <w:rFonts w:ascii="Book Antiqua" w:hAnsi="Book Antiqua" w:cs="Times New Roman"/>
          <w:sz w:val="24"/>
        </w:rPr>
        <w:t>W</w:t>
      </w:r>
      <w:r w:rsidR="005F4D6E" w:rsidRPr="00A94F32">
        <w:rPr>
          <w:rFonts w:ascii="Book Antiqua" w:hAnsi="Book Antiqua" w:cs="Times New Roman"/>
          <w:sz w:val="24"/>
        </w:rPr>
        <w:t>hen compared with</w:t>
      </w:r>
      <w:r>
        <w:rPr>
          <w:rFonts w:ascii="Book Antiqua" w:hAnsi="Book Antiqua" w:cs="Times New Roman"/>
          <w:sz w:val="24"/>
        </w:rPr>
        <w:t xml:space="preserve"> </w:t>
      </w:r>
      <w:r w:rsidR="005F4D6E" w:rsidRPr="00A94F32">
        <w:rPr>
          <w:rFonts w:ascii="Book Antiqua" w:hAnsi="Book Antiqua" w:cs="Times New Roman"/>
          <w:sz w:val="24"/>
        </w:rPr>
        <w:t>surviving patients</w:t>
      </w:r>
      <w:r w:rsidR="00D63309">
        <w:rPr>
          <w:rFonts w:ascii="Book Antiqua" w:hAnsi="Book Antiqua" w:cs="Times New Roman" w:hint="eastAsia"/>
          <w:sz w:val="24"/>
        </w:rPr>
        <w:t>,</w:t>
      </w:r>
      <w:r w:rsidR="00D63309">
        <w:rPr>
          <w:rFonts w:ascii="Book Antiqua" w:hAnsi="Book Antiqua" w:cs="Times New Roman"/>
          <w:sz w:val="24"/>
        </w:rPr>
        <w:t xml:space="preserve"> </w:t>
      </w:r>
      <w:r w:rsidR="005F4D6E" w:rsidRPr="00A94F32">
        <w:rPr>
          <w:rFonts w:ascii="Book Antiqua" w:hAnsi="Book Antiqua" w:cs="Times New Roman"/>
          <w:sz w:val="24"/>
        </w:rPr>
        <w:t>it was higher in those patients who succumbed to HBV-ACLF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&lt; 0.05). </w:t>
      </w:r>
      <w:r w:rsidR="00D63309">
        <w:rPr>
          <w:rFonts w:ascii="Book Antiqua" w:hAnsi="Book Antiqua" w:cs="Times New Roman"/>
          <w:sz w:val="24"/>
        </w:rPr>
        <w:t>S</w:t>
      </w:r>
      <w:r w:rsidR="005F4D6E" w:rsidRPr="00A94F32">
        <w:rPr>
          <w:rFonts w:ascii="Book Antiqua" w:hAnsi="Book Antiqua" w:cs="Times New Roman"/>
          <w:sz w:val="24"/>
        </w:rPr>
        <w:t xml:space="preserve">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was positively correlated with MELD score (</w:t>
      </w:r>
      <w:proofErr w:type="spellStart"/>
      <w:r w:rsidR="005F4D6E" w:rsidRPr="00A94F32">
        <w:rPr>
          <w:rFonts w:ascii="Book Antiqua" w:hAnsi="Book Antiqua" w:cs="Times New Roman"/>
          <w:i/>
          <w:sz w:val="24"/>
        </w:rPr>
        <w:t>r</w:t>
      </w:r>
      <w:r w:rsidR="005F4D6E" w:rsidRPr="00A94F32">
        <w:rPr>
          <w:rFonts w:ascii="Book Antiqua" w:hAnsi="Book Antiqua" w:cs="Times New Roman"/>
          <w:sz w:val="24"/>
          <w:vertAlign w:val="subscript"/>
        </w:rPr>
        <w:t>s</w:t>
      </w:r>
      <w:proofErr w:type="spellEnd"/>
      <w:r w:rsidR="005F4D6E" w:rsidRPr="00A94F32">
        <w:rPr>
          <w:rFonts w:ascii="Book Antiqua" w:hAnsi="Book Antiqua" w:cs="Times New Roman"/>
          <w:sz w:val="24"/>
        </w:rPr>
        <w:t xml:space="preserve"> = 0.533,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 0.001), HBV-DNA level (</w:t>
      </w:r>
      <w:proofErr w:type="spellStart"/>
      <w:r w:rsidR="005F4D6E" w:rsidRPr="00A94F32">
        <w:rPr>
          <w:rFonts w:ascii="Book Antiqua" w:hAnsi="Book Antiqua" w:cs="Times New Roman"/>
          <w:i/>
          <w:sz w:val="24"/>
        </w:rPr>
        <w:t>r</w:t>
      </w:r>
      <w:r w:rsidR="005F4D6E" w:rsidRPr="00A94F32">
        <w:rPr>
          <w:rFonts w:ascii="Book Antiqua" w:hAnsi="Book Antiqua" w:cs="Times New Roman"/>
          <w:sz w:val="24"/>
          <w:vertAlign w:val="subscript"/>
        </w:rPr>
        <w:t>s</w:t>
      </w:r>
      <w:proofErr w:type="spellEnd"/>
      <w:r w:rsidR="005F4D6E" w:rsidRPr="00A94F32">
        <w:rPr>
          <w:rFonts w:ascii="Book Antiqua" w:hAnsi="Book Antiqua" w:cs="Times New Roman"/>
          <w:sz w:val="24"/>
        </w:rPr>
        <w:t xml:space="preserve"> = 0.497,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 0.022), and TBIL level (</w:t>
      </w:r>
      <w:proofErr w:type="spellStart"/>
      <w:r w:rsidR="005F4D6E" w:rsidRPr="00A94F32">
        <w:rPr>
          <w:rFonts w:ascii="Book Antiqua" w:hAnsi="Book Antiqua" w:cs="Times New Roman"/>
          <w:i/>
          <w:sz w:val="24"/>
        </w:rPr>
        <w:t>r</w:t>
      </w:r>
      <w:r w:rsidR="005F4D6E" w:rsidRPr="00A94F32">
        <w:rPr>
          <w:rFonts w:ascii="Book Antiqua" w:hAnsi="Book Antiqua" w:cs="Times New Roman"/>
          <w:sz w:val="24"/>
          <w:vertAlign w:val="subscript"/>
        </w:rPr>
        <w:t>s</w:t>
      </w:r>
      <w:proofErr w:type="spellEnd"/>
      <w:r w:rsidR="005F4D6E" w:rsidRPr="00A94F32">
        <w:rPr>
          <w:rFonts w:ascii="Book Antiqua" w:hAnsi="Book Antiqua" w:cs="Times New Roman"/>
          <w:sz w:val="24"/>
        </w:rPr>
        <w:t xml:space="preserve"> = 0.894,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&lt; 0.001). </w:t>
      </w:r>
      <w:r w:rsidR="00D63309">
        <w:rPr>
          <w:rFonts w:ascii="Book Antiqua" w:hAnsi="Book Antiqua" w:cs="Times New Roman"/>
          <w:sz w:val="24"/>
        </w:rPr>
        <w:t>S</w:t>
      </w:r>
      <w:r w:rsidR="005F4D6E" w:rsidRPr="00A94F32">
        <w:rPr>
          <w:rFonts w:ascii="Book Antiqua" w:hAnsi="Book Antiqua" w:cs="Times New Roman"/>
          <w:sz w:val="24"/>
        </w:rPr>
        <w:t xml:space="preserve">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(odds ratio = 1.007, 95% confidence interval</w:t>
      </w:r>
      <w:r w:rsidR="00D63309">
        <w:rPr>
          <w:rFonts w:ascii="Book Antiqua" w:hAnsi="Book Antiqua" w:cs="Times New Roman"/>
          <w:sz w:val="24"/>
        </w:rPr>
        <w:t xml:space="preserve">: </w:t>
      </w:r>
      <w:r w:rsidR="005F4D6E" w:rsidRPr="00A94F32">
        <w:rPr>
          <w:rFonts w:ascii="Book Antiqua" w:hAnsi="Book Antiqua" w:cs="Times New Roman"/>
          <w:sz w:val="24"/>
        </w:rPr>
        <w:t xml:space="preserve">1.004–1.012,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 0.001) was an independent risk factor for the 90-day mortality in the HBV-ACLF cases. The patients with HBV-</w:t>
      </w:r>
      <w:r w:rsidR="005F4D6E" w:rsidRPr="00A94F32">
        <w:rPr>
          <w:rFonts w:ascii="Book Antiqua" w:hAnsi="Book Antiqua" w:cs="Times New Roman"/>
          <w:sz w:val="24"/>
        </w:rPr>
        <w:lastRenderedPageBreak/>
        <w:t xml:space="preserve">ACLF were stratified into two groups in accordance with their serum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levels at the baseline (low risk: &lt;99.84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and high risk: ≥99.84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The </w:t>
      </w:r>
      <w:r w:rsidR="00D63309" w:rsidRPr="00A94F32">
        <w:rPr>
          <w:rFonts w:ascii="Book Antiqua" w:hAnsi="Book Antiqua" w:cs="Times New Roman"/>
          <w:sz w:val="24"/>
        </w:rPr>
        <w:t xml:space="preserve">90-day </w:t>
      </w:r>
      <w:r w:rsidR="005F4D6E" w:rsidRPr="00A94F32">
        <w:rPr>
          <w:rFonts w:ascii="Book Antiqua" w:hAnsi="Book Antiqua" w:cs="Times New Roman"/>
          <w:sz w:val="24"/>
        </w:rPr>
        <w:t>mortality rates</w:t>
      </w:r>
      <w:r w:rsidR="00D63309">
        <w:rPr>
          <w:rFonts w:ascii="Book Antiqua" w:hAnsi="Book Antiqua" w:cs="Times New Roman"/>
          <w:sz w:val="24"/>
        </w:rPr>
        <w:t xml:space="preserve"> </w:t>
      </w:r>
      <w:r w:rsidR="005F4D6E" w:rsidRPr="00A94F32">
        <w:rPr>
          <w:rFonts w:ascii="Book Antiqua" w:hAnsi="Book Antiqua" w:cs="Times New Roman"/>
          <w:sz w:val="24"/>
        </w:rPr>
        <w:t xml:space="preserve">were 27.3% in the low-risk group and 87.5% in the high-risk group. Furthermore,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apparently improved the</w:t>
      </w:r>
      <w:r w:rsidR="006C31E2">
        <w:rPr>
          <w:rFonts w:ascii="Book Antiqua" w:hAnsi="Book Antiqua" w:cs="Times New Roman"/>
          <w:sz w:val="24"/>
        </w:rPr>
        <w:t xml:space="preserve"> performance of</w:t>
      </w:r>
      <w:r w:rsidR="005F4D6E" w:rsidRPr="00A94F32">
        <w:rPr>
          <w:rFonts w:ascii="Book Antiqua" w:hAnsi="Book Antiqua" w:cs="Times New Roman"/>
          <w:sz w:val="24"/>
        </w:rPr>
        <w:t xml:space="preserve"> MELD score for predicting the prognosis of</w:t>
      </w:r>
      <w:r w:rsidR="00D63309">
        <w:rPr>
          <w:rFonts w:ascii="Book Antiqua" w:hAnsi="Book Antiqua" w:cs="Times New Roman"/>
          <w:sz w:val="24"/>
        </w:rPr>
        <w:t xml:space="preserve"> </w:t>
      </w:r>
      <w:r w:rsidR="005F4D6E" w:rsidRPr="00A94F32">
        <w:rPr>
          <w:rFonts w:ascii="Book Antiqua" w:hAnsi="Book Antiqua" w:cs="Times New Roman"/>
          <w:sz w:val="24"/>
        </w:rPr>
        <w:t>patients with HBV-ACLF.</w:t>
      </w:r>
    </w:p>
    <w:p w14:paraId="1DA08F16" w14:textId="77777777" w:rsidR="00556F61" w:rsidRPr="00A94F32" w:rsidRDefault="00556F61" w:rsidP="00FD2E95">
      <w:pPr>
        <w:snapToGrid w:val="0"/>
        <w:spacing w:line="360" w:lineRule="auto"/>
        <w:rPr>
          <w:rFonts w:ascii="Book Antiqua" w:hAnsi="Book Antiqua" w:cs="Times New Roman"/>
          <w:b/>
          <w:bCs/>
          <w:iCs/>
          <w:sz w:val="24"/>
        </w:rPr>
      </w:pPr>
    </w:p>
    <w:p w14:paraId="339DF5EA" w14:textId="77777777" w:rsidR="00556F61" w:rsidRPr="00A94F32" w:rsidRDefault="00B11E2B" w:rsidP="00FD2E95">
      <w:pPr>
        <w:snapToGrid w:val="0"/>
        <w:spacing w:line="360" w:lineRule="auto"/>
        <w:rPr>
          <w:rFonts w:ascii="Book Antiqua" w:hAnsi="Book Antiqua" w:cs="Times New Roman"/>
          <w:b/>
          <w:bCs/>
          <w:sz w:val="24"/>
        </w:rPr>
      </w:pPr>
      <w:r w:rsidRPr="00A94F32">
        <w:rPr>
          <w:rFonts w:ascii="Book Antiqua" w:hAnsi="Book Antiqua" w:cs="Times New Roman"/>
          <w:b/>
          <w:bCs/>
          <w:i/>
          <w:iCs/>
          <w:sz w:val="24"/>
        </w:rPr>
        <w:t>CONCLUSION</w:t>
      </w:r>
      <w:r w:rsidR="005F4D6E" w:rsidRPr="00A94F32">
        <w:rPr>
          <w:rFonts w:ascii="Book Antiqua" w:hAnsi="Book Antiqua" w:cs="Times New Roman"/>
          <w:b/>
          <w:bCs/>
          <w:sz w:val="24"/>
        </w:rPr>
        <w:t xml:space="preserve"> </w:t>
      </w:r>
    </w:p>
    <w:p w14:paraId="4DEFF151" w14:textId="4F98B7A0" w:rsidR="00556F61" w:rsidRPr="00A94F32" w:rsidRDefault="00D63309" w:rsidP="00FD2E95">
      <w:pPr>
        <w:snapToGrid w:val="0"/>
        <w:spacing w:line="360" w:lineRule="auto"/>
        <w:rPr>
          <w:rFonts w:ascii="Book Antiqua" w:hAnsi="Book Antiqua" w:cs="Times New Roman"/>
          <w:b/>
          <w:bCs/>
          <w:i/>
          <w:iCs/>
          <w:sz w:val="24"/>
        </w:rPr>
      </w:pPr>
      <w:r>
        <w:rPr>
          <w:rFonts w:ascii="Book Antiqua" w:hAnsi="Book Antiqua" w:cs="Times New Roman"/>
          <w:sz w:val="24"/>
        </w:rPr>
        <w:t>S</w:t>
      </w:r>
      <w:r w:rsidR="005F4D6E" w:rsidRPr="00A94F32">
        <w:rPr>
          <w:rFonts w:ascii="Book Antiqua" w:hAnsi="Book Antiqua" w:cs="Times New Roman"/>
          <w:sz w:val="24"/>
        </w:rPr>
        <w:t xml:space="preserve">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may be a predictor of the prognosis of HBV-ACLF patients.</w:t>
      </w:r>
    </w:p>
    <w:p w14:paraId="09098C11" w14:textId="77777777" w:rsidR="00556F61" w:rsidRPr="00A94F32" w:rsidRDefault="00556F61" w:rsidP="00FD2E95">
      <w:pPr>
        <w:snapToGrid w:val="0"/>
        <w:spacing w:line="360" w:lineRule="auto"/>
        <w:rPr>
          <w:rFonts w:ascii="Book Antiqua" w:hAnsi="Book Antiqua" w:cs="Times New Roman"/>
          <w:b/>
          <w:bCs/>
          <w:i/>
          <w:iCs/>
          <w:sz w:val="24"/>
        </w:rPr>
      </w:pPr>
    </w:p>
    <w:p w14:paraId="4E4F2145" w14:textId="77777777" w:rsidR="00556F61" w:rsidRPr="00A94F32" w:rsidRDefault="00B11E2B" w:rsidP="00FD2E95">
      <w:pPr>
        <w:snapToGrid w:val="0"/>
        <w:spacing w:line="360" w:lineRule="auto"/>
        <w:rPr>
          <w:rFonts w:ascii="Book Antiqua" w:hAnsi="Book Antiqua" w:cs="Times New Roman"/>
          <w:sz w:val="24"/>
        </w:rPr>
      </w:pPr>
      <w:r w:rsidRPr="00A94F32">
        <w:rPr>
          <w:rFonts w:ascii="Book Antiqua" w:hAnsi="Book Antiqua" w:cs="Times New Roman"/>
          <w:b/>
          <w:bCs/>
          <w:sz w:val="24"/>
        </w:rPr>
        <w:t xml:space="preserve">Key words: </w:t>
      </w:r>
      <w:bookmarkStart w:id="28" w:name="OLE_LINK1145"/>
      <w:bookmarkStart w:id="29" w:name="OLE_LINK1146"/>
      <w:r w:rsidR="005F4D6E" w:rsidRPr="00A94F32">
        <w:rPr>
          <w:rFonts w:ascii="Book Antiqua" w:hAnsi="Book Antiqua" w:cs="Times New Roman"/>
          <w:sz w:val="24"/>
        </w:rPr>
        <w:t>Acute-on-chronic liver failure</w:t>
      </w:r>
      <w:bookmarkEnd w:id="28"/>
      <w:bookmarkEnd w:id="29"/>
      <w:r w:rsidR="005F4D6E" w:rsidRPr="00A94F32">
        <w:rPr>
          <w:rFonts w:ascii="Book Antiqua" w:hAnsi="Book Antiqua" w:cs="Times New Roman"/>
          <w:sz w:val="24"/>
        </w:rPr>
        <w:t xml:space="preserve">; </w:t>
      </w:r>
      <w:bookmarkStart w:id="30" w:name="OLE_LINK1147"/>
      <w:bookmarkStart w:id="31" w:name="OLE_LINK1148"/>
      <w:r w:rsidR="005F4D6E" w:rsidRPr="00A94F32">
        <w:rPr>
          <w:rFonts w:ascii="Book Antiqua" w:hAnsi="Book Antiqua" w:cs="Times New Roman"/>
          <w:sz w:val="24"/>
        </w:rPr>
        <w:t>Mannose receptor</w:t>
      </w:r>
      <w:bookmarkEnd w:id="30"/>
      <w:bookmarkEnd w:id="31"/>
      <w:r w:rsidR="005F4D6E" w:rsidRPr="00A94F32">
        <w:rPr>
          <w:rFonts w:ascii="Book Antiqua" w:hAnsi="Book Antiqua" w:cs="Times New Roman"/>
          <w:sz w:val="24"/>
        </w:rPr>
        <w:t xml:space="preserve">; </w:t>
      </w:r>
      <w:bookmarkStart w:id="32" w:name="OLE_LINK1149"/>
      <w:bookmarkStart w:id="33" w:name="OLE_LINK1150"/>
      <w:r w:rsidR="005F4D6E" w:rsidRPr="00A94F32">
        <w:rPr>
          <w:rFonts w:ascii="Book Antiqua" w:hAnsi="Book Antiqua" w:cs="Times New Roman"/>
          <w:sz w:val="24"/>
        </w:rPr>
        <w:t xml:space="preserve">Model for end-stage liver </w:t>
      </w:r>
      <w:r w:rsidRPr="00A94F32">
        <w:rPr>
          <w:rFonts w:ascii="Book Antiqua" w:hAnsi="Book Antiqua" w:cs="Times New Roman"/>
          <w:sz w:val="24"/>
        </w:rPr>
        <w:t>disease</w:t>
      </w:r>
      <w:bookmarkEnd w:id="32"/>
      <w:bookmarkEnd w:id="33"/>
      <w:r w:rsidRPr="00A94F32">
        <w:rPr>
          <w:rFonts w:ascii="Book Antiqua" w:hAnsi="Book Antiqua" w:cs="Times New Roman"/>
          <w:sz w:val="24"/>
        </w:rPr>
        <w:t xml:space="preserve">; </w:t>
      </w:r>
      <w:bookmarkStart w:id="34" w:name="OLE_LINK1151"/>
      <w:bookmarkStart w:id="35" w:name="OLE_LINK1152"/>
      <w:r w:rsidRPr="00A94F32">
        <w:rPr>
          <w:rFonts w:ascii="Book Antiqua" w:hAnsi="Book Antiqua" w:cs="Times New Roman"/>
          <w:sz w:val="24"/>
        </w:rPr>
        <w:t>Prognosis; Risk factor</w:t>
      </w:r>
      <w:bookmarkEnd w:id="34"/>
      <w:bookmarkEnd w:id="35"/>
    </w:p>
    <w:p w14:paraId="4CBC3DA4" w14:textId="77777777" w:rsidR="00B11E2B" w:rsidRPr="00A94F32" w:rsidRDefault="00B11E2B" w:rsidP="00FD2E95">
      <w:pPr>
        <w:snapToGrid w:val="0"/>
        <w:spacing w:line="360" w:lineRule="auto"/>
        <w:rPr>
          <w:rFonts w:ascii="Book Antiqua" w:hAnsi="Book Antiqua" w:cs="Times New Roman"/>
          <w:sz w:val="24"/>
        </w:rPr>
      </w:pPr>
    </w:p>
    <w:p w14:paraId="6C9593CB" w14:textId="77777777" w:rsidR="00B11E2B" w:rsidRPr="00A94F32" w:rsidRDefault="00B11E2B" w:rsidP="00FD2E95">
      <w:pPr>
        <w:snapToGrid w:val="0"/>
        <w:spacing w:line="360" w:lineRule="auto"/>
        <w:rPr>
          <w:rFonts w:ascii="Book Antiqua" w:hAnsi="Book Antiqua" w:cs="Times New Roman"/>
          <w:sz w:val="24"/>
        </w:rPr>
      </w:pPr>
      <w:r w:rsidRPr="00A94F32">
        <w:rPr>
          <w:rFonts w:ascii="Book Antiqua" w:hAnsi="Book Antiqua" w:cs="Times New Roman"/>
          <w:b/>
          <w:sz w:val="24"/>
          <w:lang w:val="en-GB"/>
        </w:rPr>
        <w:t xml:space="preserve">© </w:t>
      </w:r>
      <w:r w:rsidRPr="00A94F32">
        <w:rPr>
          <w:rFonts w:ascii="Book Antiqua" w:hAnsi="Book Antiqua" w:cs="Times New Roman"/>
          <w:b/>
          <w:sz w:val="24"/>
          <w:lang w:val="fr-FR"/>
        </w:rPr>
        <w:t>The Author(s) 2019.</w:t>
      </w:r>
      <w:r w:rsidRPr="00A94F32">
        <w:rPr>
          <w:rFonts w:ascii="Book Antiqua" w:hAnsi="Book Antiqua" w:cs="Times New Roman"/>
          <w:sz w:val="24"/>
          <w:lang w:val="fr-FR"/>
        </w:rPr>
        <w:t xml:space="preserve"> Published by </w:t>
      </w:r>
      <w:proofErr w:type="spellStart"/>
      <w:r w:rsidRPr="00A94F32">
        <w:rPr>
          <w:rFonts w:ascii="Book Antiqua" w:hAnsi="Book Antiqua" w:cs="Times New Roman"/>
          <w:sz w:val="24"/>
          <w:lang w:val="en-GB"/>
        </w:rPr>
        <w:t>Baishideng</w:t>
      </w:r>
      <w:proofErr w:type="spellEnd"/>
      <w:r w:rsidRPr="00A94F32">
        <w:rPr>
          <w:rFonts w:ascii="Book Antiqua" w:hAnsi="Book Antiqua" w:cs="Times New Roman"/>
          <w:sz w:val="24"/>
          <w:lang w:val="en-GB"/>
        </w:rPr>
        <w:t xml:space="preserve"> Publishing Group Inc. </w:t>
      </w:r>
      <w:r w:rsidRPr="00A94F32">
        <w:rPr>
          <w:rFonts w:ascii="Book Antiqua" w:hAnsi="Book Antiqua" w:cs="Times New Roman"/>
          <w:sz w:val="24"/>
          <w:lang w:val="fr-FR"/>
        </w:rPr>
        <w:t>All rights reserved.</w:t>
      </w:r>
    </w:p>
    <w:p w14:paraId="4153BD12" w14:textId="77777777" w:rsidR="00556F61" w:rsidRPr="00A94F32" w:rsidRDefault="00556F61" w:rsidP="00FD2E95">
      <w:pPr>
        <w:snapToGrid w:val="0"/>
        <w:spacing w:line="360" w:lineRule="auto"/>
        <w:rPr>
          <w:rFonts w:ascii="Book Antiqua" w:hAnsi="Book Antiqua" w:cs="Times New Roman"/>
          <w:sz w:val="24"/>
        </w:rPr>
      </w:pPr>
    </w:p>
    <w:p w14:paraId="44892BCA" w14:textId="6206215C" w:rsidR="00556F61" w:rsidRPr="00A94F32" w:rsidRDefault="005F4D6E" w:rsidP="00FD2E95">
      <w:pPr>
        <w:snapToGrid w:val="0"/>
        <w:spacing w:line="360" w:lineRule="auto"/>
        <w:rPr>
          <w:rFonts w:ascii="Book Antiqua" w:hAnsi="Book Antiqua"/>
          <w:sz w:val="24"/>
        </w:rPr>
      </w:pPr>
      <w:bookmarkStart w:id="36" w:name="OLE_LINK19"/>
      <w:bookmarkStart w:id="37" w:name="OLE_LINK20"/>
      <w:bookmarkStart w:id="38" w:name="_Hlk13493442"/>
      <w:r w:rsidRPr="00A94F32">
        <w:rPr>
          <w:rFonts w:ascii="Book Antiqua" w:eastAsia="Arial Unicode MS" w:hAnsi="Book Antiqua" w:cs="Arial Unicode MS"/>
          <w:b/>
          <w:sz w:val="24"/>
        </w:rPr>
        <w:t>Core tip:</w:t>
      </w:r>
      <w:bookmarkEnd w:id="36"/>
      <w:bookmarkEnd w:id="37"/>
      <w:r w:rsidRPr="00A94F32">
        <w:rPr>
          <w:rFonts w:ascii="Book Antiqua" w:eastAsia="Arial Unicode MS" w:hAnsi="Book Antiqua" w:cs="Arial Unicode MS"/>
          <w:b/>
          <w:sz w:val="24"/>
        </w:rPr>
        <w:t xml:space="preserve"> </w:t>
      </w:r>
      <w:bookmarkStart w:id="39" w:name="_Hlk12004771"/>
      <w:bookmarkStart w:id="40" w:name="_Hlk10190041"/>
      <w:bookmarkEnd w:id="38"/>
      <w:r w:rsidRPr="00A94F32">
        <w:rPr>
          <w:rStyle w:val="ac"/>
          <w:rFonts w:ascii="Book Antiqua" w:hAnsi="Book Antiqua" w:cs="Times New Roman"/>
          <w:sz w:val="24"/>
          <w:szCs w:val="24"/>
        </w:rPr>
        <w:t xml:space="preserve">This is a retrospective study to evaluate </w:t>
      </w:r>
      <w:r w:rsidRPr="00A94F32">
        <w:rPr>
          <w:rFonts w:ascii="Book Antiqua" w:hAnsi="Book Antiqua" w:cs="Times New Roman"/>
          <w:sz w:val="24"/>
        </w:rPr>
        <w:t>the value of</w:t>
      </w:r>
      <w:r w:rsidR="00215647">
        <w:rPr>
          <w:rFonts w:ascii="Book Antiqua" w:hAnsi="Book Antiqua" w:cs="Times New Roman"/>
          <w:sz w:val="24"/>
        </w:rPr>
        <w:t xml:space="preserve"> </w:t>
      </w:r>
      <w:r w:rsidRPr="00A94F32">
        <w:rPr>
          <w:rFonts w:ascii="Book Antiqua" w:hAnsi="Book Antiqua" w:cs="Times New Roman"/>
          <w:sz w:val="24"/>
        </w:rPr>
        <w:t>soluble mannose receptor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for predicting the 90-day mortality of patients with hepatitis B virus-related acute-on-chronic liver failure (HBV-ACLF). </w:t>
      </w:r>
      <w:r w:rsidR="00215647">
        <w:rPr>
          <w:rFonts w:ascii="Book Antiqua" w:hAnsi="Book Antiqua" w:cs="Times New Roman"/>
          <w:sz w:val="24"/>
        </w:rPr>
        <w:t>Serum</w:t>
      </w:r>
      <w:r w:rsidR="00215647" w:rsidRPr="00A94F32">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significantly higher in</w:t>
      </w:r>
      <w:r w:rsidR="00D63309">
        <w:rPr>
          <w:rFonts w:ascii="Book Antiqua" w:hAnsi="Book Antiqua" w:cs="Times New Roman"/>
          <w:sz w:val="24"/>
        </w:rPr>
        <w:t xml:space="preserve"> </w:t>
      </w:r>
      <w:r w:rsidRPr="00A94F32">
        <w:rPr>
          <w:rFonts w:ascii="Book Antiqua" w:hAnsi="Book Antiqua" w:cs="Times New Roman"/>
          <w:sz w:val="24"/>
        </w:rPr>
        <w:t xml:space="preserve">patients with HBV-ACLF, and it was an independent risk factor associated with the prognosis of HBV-ACLF. Furthermore,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significantly improved the</w:t>
      </w:r>
      <w:r w:rsidR="006C31E2">
        <w:rPr>
          <w:rFonts w:ascii="Book Antiqua" w:hAnsi="Book Antiqua" w:cs="Times New Roman"/>
          <w:sz w:val="24"/>
        </w:rPr>
        <w:t xml:space="preserve"> performance of </w:t>
      </w:r>
      <w:r w:rsidRPr="00A94F32">
        <w:rPr>
          <w:rFonts w:ascii="Book Antiqua" w:hAnsi="Book Antiqua" w:cs="Times New Roman"/>
          <w:sz w:val="24"/>
        </w:rPr>
        <w:t>model for end-stage liver disease score for predicting the prognosis of</w:t>
      </w:r>
      <w:r w:rsidR="00D63309">
        <w:rPr>
          <w:rFonts w:ascii="Book Antiqua" w:hAnsi="Book Antiqua" w:cs="Times New Roman"/>
          <w:sz w:val="24"/>
        </w:rPr>
        <w:t xml:space="preserve"> </w:t>
      </w:r>
      <w:r w:rsidRPr="00A94F32">
        <w:rPr>
          <w:rFonts w:ascii="Book Antiqua" w:hAnsi="Book Antiqua" w:cs="Times New Roman"/>
          <w:sz w:val="24"/>
        </w:rPr>
        <w:t xml:space="preserve">HBV-ACLF patients. </w:t>
      </w:r>
    </w:p>
    <w:bookmarkEnd w:id="39"/>
    <w:bookmarkEnd w:id="40"/>
    <w:p w14:paraId="5D61AC76" w14:textId="77777777" w:rsidR="00556F61" w:rsidRPr="00A94F32" w:rsidRDefault="00556F61" w:rsidP="00FD2E95">
      <w:pPr>
        <w:snapToGrid w:val="0"/>
        <w:spacing w:line="360" w:lineRule="auto"/>
        <w:rPr>
          <w:rFonts w:ascii="Book Antiqua" w:hAnsi="Book Antiqua"/>
          <w:sz w:val="24"/>
          <w:lang w:val="en"/>
        </w:rPr>
      </w:pPr>
    </w:p>
    <w:p w14:paraId="07222108" w14:textId="0428BBC2" w:rsidR="00556F61" w:rsidRPr="00A94F32" w:rsidRDefault="00B11E2B" w:rsidP="00FD2E95">
      <w:pPr>
        <w:snapToGrid w:val="0"/>
        <w:spacing w:line="360" w:lineRule="auto"/>
        <w:rPr>
          <w:rFonts w:ascii="Book Antiqua" w:hAnsi="Book Antiqua"/>
        </w:rPr>
      </w:pPr>
      <w:r w:rsidRPr="00A94F32">
        <w:rPr>
          <w:rFonts w:ascii="Book Antiqua" w:hAnsi="Book Antiqua" w:cs="Times New Roman"/>
          <w:sz w:val="24"/>
        </w:rPr>
        <w:t>Li TP, Guan SH, Wang Q, Chen LW, Yang K, Zhang H.</w:t>
      </w:r>
      <w:r w:rsidRPr="00A94F32">
        <w:rPr>
          <w:rFonts w:ascii="Book Antiqua" w:hAnsi="Book Antiqua"/>
        </w:rPr>
        <w:t xml:space="preserve"> </w:t>
      </w:r>
      <w:r w:rsidRPr="00A94F32">
        <w:rPr>
          <w:rFonts w:ascii="Book Antiqua" w:hAnsi="Book Antiqua" w:cs="Times New Roman"/>
          <w:bCs/>
          <w:sz w:val="24"/>
        </w:rPr>
        <w:t xml:space="preserve">Soluble mannose receptor as a predictor of prognosis </w:t>
      </w:r>
      <w:r w:rsidR="00D63309">
        <w:rPr>
          <w:rFonts w:ascii="Book Antiqua" w:hAnsi="Book Antiqua" w:cs="Times New Roman"/>
          <w:bCs/>
          <w:sz w:val="24"/>
        </w:rPr>
        <w:t>of</w:t>
      </w:r>
      <w:r w:rsidR="00D63309" w:rsidRPr="00A94F32">
        <w:rPr>
          <w:rFonts w:ascii="Book Antiqua" w:hAnsi="Book Antiqua" w:cs="Times New Roman"/>
          <w:bCs/>
          <w:sz w:val="24"/>
        </w:rPr>
        <w:t xml:space="preserve"> </w:t>
      </w:r>
      <w:r w:rsidRPr="00A94F32">
        <w:rPr>
          <w:rFonts w:ascii="Book Antiqua" w:hAnsi="Book Antiqua" w:cs="Times New Roman"/>
          <w:bCs/>
          <w:sz w:val="24"/>
        </w:rPr>
        <w:t>hepatitis B virus-related acute-on-chronic liver failure.</w:t>
      </w:r>
      <w:r w:rsidR="003477CA" w:rsidRPr="00A94F32">
        <w:rPr>
          <w:rFonts w:ascii="Book Antiqua" w:hAnsi="Book Antiqua" w:cs="Times New Roman"/>
          <w:bCs/>
          <w:sz w:val="24"/>
        </w:rPr>
        <w:t xml:space="preserve"> </w:t>
      </w:r>
      <w:r w:rsidR="003477CA" w:rsidRPr="00A94F32">
        <w:rPr>
          <w:rFonts w:ascii="Book Antiqua" w:hAnsi="Book Antiqua"/>
          <w:i/>
          <w:sz w:val="24"/>
        </w:rPr>
        <w:t xml:space="preserve">World J </w:t>
      </w:r>
      <w:proofErr w:type="spellStart"/>
      <w:r w:rsidR="003477CA" w:rsidRPr="00A94F32">
        <w:rPr>
          <w:rFonts w:ascii="Book Antiqua" w:hAnsi="Book Antiqua"/>
          <w:i/>
          <w:sz w:val="24"/>
        </w:rPr>
        <w:t>Gastroenterol</w:t>
      </w:r>
      <w:proofErr w:type="spellEnd"/>
      <w:r w:rsidR="003477CA" w:rsidRPr="00A94F32">
        <w:rPr>
          <w:rFonts w:ascii="Book Antiqua" w:hAnsi="Book Antiqua"/>
          <w:sz w:val="24"/>
        </w:rPr>
        <w:t xml:space="preserve"> 2019; </w:t>
      </w:r>
      <w:bookmarkStart w:id="41" w:name="OLE_LINK1689"/>
      <w:bookmarkStart w:id="42" w:name="OLE_LINK1298"/>
      <w:bookmarkStart w:id="43" w:name="OLE_LINK1297"/>
      <w:proofErr w:type="gramStart"/>
      <w:r w:rsidR="003477CA" w:rsidRPr="00A94F32">
        <w:rPr>
          <w:rFonts w:ascii="Book Antiqua" w:hAnsi="Book Antiqua"/>
          <w:sz w:val="24"/>
        </w:rPr>
        <w:t>In</w:t>
      </w:r>
      <w:proofErr w:type="gramEnd"/>
      <w:r w:rsidR="003477CA" w:rsidRPr="00A94F32">
        <w:rPr>
          <w:rFonts w:ascii="Book Antiqua" w:hAnsi="Book Antiqua"/>
          <w:sz w:val="24"/>
        </w:rPr>
        <w:t xml:space="preserve"> press</w:t>
      </w:r>
      <w:bookmarkEnd w:id="41"/>
      <w:bookmarkEnd w:id="42"/>
      <w:bookmarkEnd w:id="43"/>
    </w:p>
    <w:p w14:paraId="4359F48A" w14:textId="77777777" w:rsidR="00556F61" w:rsidRPr="00A94F32" w:rsidRDefault="00B11E2B"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6D073AA8" w14:textId="77777777" w:rsidR="00556F61" w:rsidRPr="00A94F32" w:rsidRDefault="008E2A5E"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lastRenderedPageBreak/>
        <w:t>INTRODUCTION</w:t>
      </w:r>
    </w:p>
    <w:p w14:paraId="496227C8" w14:textId="77777777"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Acute-on-chronic liver failure (ACLF) is a clinical syndrome of the acute decompensation of liver function based on chronic liver disease, and it is often accompanied by multiple organ </w:t>
      </w:r>
      <w:proofErr w:type="gramStart"/>
      <w:r w:rsidRPr="00A94F32">
        <w:rPr>
          <w:rFonts w:ascii="Book Antiqua" w:hAnsi="Book Antiqua" w:cs="Times New Roman"/>
          <w:sz w:val="24"/>
        </w:rPr>
        <w:t>failure</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1]</w:t>
      </w:r>
      <w:r w:rsidRPr="00A94F32">
        <w:rPr>
          <w:rFonts w:ascii="Book Antiqua" w:hAnsi="Book Antiqua" w:cs="Times New Roman"/>
          <w:sz w:val="24"/>
        </w:rPr>
        <w:t xml:space="preserve">. The main cause of ACLF is the acute exacerbation of chronic hepatitis B (CHB), which accounts for more than 80% of all causes in </w:t>
      </w:r>
      <w:proofErr w:type="gramStart"/>
      <w:r w:rsidRPr="00A94F32">
        <w:rPr>
          <w:rFonts w:ascii="Book Antiqua" w:hAnsi="Book Antiqua" w:cs="Times New Roman"/>
          <w:sz w:val="24"/>
        </w:rPr>
        <w:t>China</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2]</w:t>
      </w:r>
      <w:r w:rsidRPr="00A94F32">
        <w:rPr>
          <w:rFonts w:ascii="Book Antiqua" w:hAnsi="Book Antiqua" w:cs="Times New Roman"/>
          <w:sz w:val="24"/>
        </w:rPr>
        <w:t xml:space="preserve">. ACLF caused by CHB is called hepatitis B-related ACLF (HBV-ACLF). </w:t>
      </w:r>
    </w:p>
    <w:p w14:paraId="559CFB19" w14:textId="3225E8AC" w:rsidR="00556F61" w:rsidRPr="00A94F32" w:rsidRDefault="005F4D6E" w:rsidP="00FD2E95">
      <w:pPr>
        <w:snapToGrid w:val="0"/>
        <w:spacing w:line="360" w:lineRule="auto"/>
        <w:ind w:firstLineChars="100" w:firstLine="240"/>
        <w:rPr>
          <w:rFonts w:ascii="Book Antiqua" w:hAnsi="Book Antiqua" w:cs="Times New Roman"/>
          <w:sz w:val="24"/>
        </w:rPr>
      </w:pPr>
      <w:r w:rsidRPr="00A94F32">
        <w:rPr>
          <w:rFonts w:ascii="Book Antiqua" w:hAnsi="Book Antiqua" w:cs="Times New Roman"/>
          <w:sz w:val="24"/>
        </w:rPr>
        <w:t xml:space="preserve">The pathogenesis of HBV-ACLF is related to the activation of hepatic </w:t>
      </w:r>
      <w:proofErr w:type="gramStart"/>
      <w:r w:rsidRPr="00A94F32">
        <w:rPr>
          <w:rFonts w:ascii="Book Antiqua" w:hAnsi="Book Antiqua" w:cs="Times New Roman"/>
          <w:sz w:val="24"/>
        </w:rPr>
        <w:t>macrophages</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3]</w:t>
      </w:r>
      <w:r w:rsidRPr="00A94F32">
        <w:rPr>
          <w:rFonts w:ascii="Book Antiqua" w:hAnsi="Book Antiqua" w:cs="Times New Roman"/>
          <w:sz w:val="24"/>
        </w:rPr>
        <w:t xml:space="preserve">. Macrophages can be rapidly activated under the stimulation of acute and chronic inflammatory reactions, and they are differentiated into Ml and M2 </w:t>
      </w:r>
      <w:proofErr w:type="gramStart"/>
      <w:r w:rsidRPr="00A94F32">
        <w:rPr>
          <w:rFonts w:ascii="Book Antiqua" w:hAnsi="Book Antiqua" w:cs="Times New Roman"/>
          <w:sz w:val="24"/>
        </w:rPr>
        <w:t>macrophages</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4]</w:t>
      </w:r>
      <w:r w:rsidRPr="00A94F32">
        <w:rPr>
          <w:rFonts w:ascii="Book Antiqua" w:hAnsi="Book Antiqua" w:cs="Times New Roman"/>
          <w:sz w:val="24"/>
        </w:rPr>
        <w:t xml:space="preserve">. </w:t>
      </w:r>
      <w:r w:rsidR="00D63309">
        <w:rPr>
          <w:rFonts w:ascii="Book Antiqua" w:hAnsi="Book Antiqua" w:cs="Times New Roman"/>
          <w:sz w:val="24"/>
        </w:rPr>
        <w:t>M</w:t>
      </w:r>
      <w:r w:rsidRPr="00A94F32">
        <w:rPr>
          <w:rFonts w:ascii="Book Antiqua" w:hAnsi="Book Antiqua" w:cs="Times New Roman"/>
          <w:sz w:val="24"/>
        </w:rPr>
        <w:t>annose receptor (MR) is</w:t>
      </w:r>
      <w:r w:rsidR="00D63309">
        <w:rPr>
          <w:rFonts w:ascii="Book Antiqua" w:hAnsi="Book Antiqua" w:cs="Times New Roman"/>
          <w:sz w:val="24"/>
        </w:rPr>
        <w:t xml:space="preserve"> </w:t>
      </w:r>
      <w:r w:rsidRPr="00A94F32">
        <w:rPr>
          <w:rFonts w:ascii="Book Antiqua" w:hAnsi="Book Antiqua" w:cs="Times New Roman"/>
          <w:sz w:val="24"/>
        </w:rPr>
        <w:t xml:space="preserve">expressed </w:t>
      </w:r>
      <w:r w:rsidR="00D63309" w:rsidRPr="00A94F32">
        <w:rPr>
          <w:rFonts w:ascii="Book Antiqua" w:hAnsi="Book Antiqua" w:cs="Times New Roman"/>
          <w:sz w:val="24"/>
        </w:rPr>
        <w:t xml:space="preserve">mainly </w:t>
      </w:r>
      <w:r w:rsidRPr="00A94F32">
        <w:rPr>
          <w:rFonts w:ascii="Book Antiqua" w:hAnsi="Book Antiqua" w:cs="Times New Roman"/>
          <w:sz w:val="24"/>
        </w:rPr>
        <w:t xml:space="preserve">on the membrane surfaces of M2 macrophages and dendritic </w:t>
      </w:r>
      <w:proofErr w:type="gramStart"/>
      <w:r w:rsidRPr="00A94F32">
        <w:rPr>
          <w:rFonts w:ascii="Book Antiqua" w:hAnsi="Book Antiqua" w:cs="Times New Roman"/>
          <w:sz w:val="24"/>
        </w:rPr>
        <w:t>cells</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5]</w:t>
      </w:r>
      <w:r w:rsidRPr="00A94F32">
        <w:rPr>
          <w:rFonts w:ascii="Book Antiqua" w:hAnsi="Book Antiqua" w:cs="Times New Roman"/>
          <w:sz w:val="24"/>
        </w:rPr>
        <w:t xml:space="preserve">. MR can recognize and bind specific carbohydrate molecules through the extracellular domain, which plays an important role in identifying pathogens, presenting antigens, and maintaining the homeostasis of the internal </w:t>
      </w:r>
      <w:proofErr w:type="gramStart"/>
      <w:r w:rsidRPr="00A94F32">
        <w:rPr>
          <w:rFonts w:ascii="Book Antiqua" w:hAnsi="Book Antiqua" w:cs="Times New Roman"/>
          <w:sz w:val="24"/>
        </w:rPr>
        <w:t>environment</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6]</w:t>
      </w:r>
      <w:r w:rsidRPr="00A94F32">
        <w:rPr>
          <w:rFonts w:ascii="Book Antiqua" w:hAnsi="Book Antiqua" w:cs="Times New Roman"/>
          <w:sz w:val="24"/>
        </w:rPr>
        <w:t>. Its soluble form, soluble mannose receptor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is formed by the matrix metalloproteinase cleavage of</w:t>
      </w:r>
      <w:r w:rsidR="00D63309">
        <w:rPr>
          <w:rFonts w:ascii="Book Antiqua" w:hAnsi="Book Antiqua" w:cs="Times New Roman"/>
          <w:sz w:val="24"/>
        </w:rPr>
        <w:t xml:space="preserve"> </w:t>
      </w:r>
      <w:r w:rsidRPr="00A94F32">
        <w:rPr>
          <w:rFonts w:ascii="Book Antiqua" w:hAnsi="Book Antiqua" w:cs="Times New Roman"/>
          <w:sz w:val="24"/>
        </w:rPr>
        <w:t xml:space="preserve">MR on the cell membrane, and it is secreted into peripheral </w:t>
      </w:r>
      <w:proofErr w:type="gramStart"/>
      <w:r w:rsidRPr="00A94F32">
        <w:rPr>
          <w:rFonts w:ascii="Book Antiqua" w:hAnsi="Book Antiqua" w:cs="Times New Roman"/>
          <w:sz w:val="24"/>
        </w:rPr>
        <w:t>serum</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7]</w:t>
      </w:r>
      <w:r w:rsidRPr="00A94F32">
        <w:rPr>
          <w:rFonts w:ascii="Book Antiqua" w:hAnsi="Book Antiqua" w:cs="Times New Roman"/>
          <w:sz w:val="24"/>
        </w:rPr>
        <w:t xml:space="preserve">. </w:t>
      </w:r>
      <w:r w:rsidR="00D63309">
        <w:rPr>
          <w:rFonts w:ascii="Book Antiqua" w:hAnsi="Book Antiqua" w:cs="Times New Roman"/>
          <w:sz w:val="24"/>
        </w:rPr>
        <w:t>S</w:t>
      </w:r>
      <w:r w:rsidRPr="00A94F32">
        <w:rPr>
          <w:rFonts w:ascii="Book Antiqua" w:hAnsi="Book Antiqua" w:cs="Times New Roman"/>
          <w:sz w:val="24"/>
        </w:rPr>
        <w:t xml:space="preserve">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is elevated in critical illnesses, including severe liver </w:t>
      </w:r>
      <w:proofErr w:type="gramStart"/>
      <w:r w:rsidRPr="00A94F32">
        <w:rPr>
          <w:rFonts w:ascii="Book Antiqua" w:hAnsi="Book Antiqua" w:cs="Times New Roman"/>
          <w:sz w:val="24"/>
        </w:rPr>
        <w:t>disease</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8]</w:t>
      </w:r>
      <w:r w:rsidRPr="00A94F32">
        <w:rPr>
          <w:rFonts w:ascii="Book Antiqua" w:hAnsi="Book Antiqua" w:cs="Times New Roman"/>
          <w:sz w:val="24"/>
        </w:rPr>
        <w:t xml:space="preserve">. In addition,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is associated with</w:t>
      </w:r>
      <w:r w:rsidR="00D63309">
        <w:rPr>
          <w:rFonts w:ascii="Book Antiqua" w:hAnsi="Book Antiqua" w:cs="Times New Roman"/>
          <w:sz w:val="24"/>
        </w:rPr>
        <w:t xml:space="preserve"> </w:t>
      </w:r>
      <w:r w:rsidRPr="00A94F32">
        <w:rPr>
          <w:rFonts w:ascii="Book Antiqua" w:hAnsi="Book Antiqua" w:cs="Times New Roman"/>
          <w:sz w:val="24"/>
        </w:rPr>
        <w:t xml:space="preserve">liver disease severity in patients with alcoholic hepatitis and chronic viral </w:t>
      </w:r>
      <w:proofErr w:type="gramStart"/>
      <w:r w:rsidRPr="00A94F32">
        <w:rPr>
          <w:rFonts w:ascii="Book Antiqua" w:hAnsi="Book Antiqua" w:cs="Times New Roman"/>
          <w:sz w:val="24"/>
        </w:rPr>
        <w:t>hepatitis</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9</w:t>
      </w:r>
      <w:r w:rsidR="008E2A5E" w:rsidRPr="00A94F32">
        <w:rPr>
          <w:rFonts w:ascii="Book Antiqua" w:hAnsi="Book Antiqua" w:cs="Times New Roman"/>
          <w:sz w:val="24"/>
          <w:vertAlign w:val="superscript"/>
        </w:rPr>
        <w:t>-</w:t>
      </w:r>
      <w:r w:rsidRPr="00A94F32">
        <w:rPr>
          <w:rFonts w:ascii="Book Antiqua" w:hAnsi="Book Antiqua" w:cs="Times New Roman"/>
          <w:sz w:val="24"/>
          <w:vertAlign w:val="superscript"/>
        </w:rPr>
        <w:t>11]</w:t>
      </w:r>
      <w:r w:rsidRPr="00A94F32">
        <w:rPr>
          <w:rFonts w:ascii="Book Antiqua" w:hAnsi="Book Antiqua" w:cs="Times New Roman"/>
          <w:sz w:val="24"/>
        </w:rPr>
        <w:t>.</w:t>
      </w:r>
    </w:p>
    <w:p w14:paraId="0259C6F3" w14:textId="48D279EF"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Previous studies have shown that</w:t>
      </w:r>
      <w:r w:rsidR="00D63309">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levels gradually increase with ACLF severity, and they are closely related to </w:t>
      </w:r>
      <w:proofErr w:type="gramStart"/>
      <w:r w:rsidRPr="00A94F32">
        <w:rPr>
          <w:rFonts w:ascii="Book Antiqua" w:hAnsi="Book Antiqua" w:cs="Times New Roman"/>
          <w:sz w:val="24"/>
        </w:rPr>
        <w:t>mortality</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12]</w:t>
      </w:r>
      <w:r w:rsidRPr="00A94F32">
        <w:rPr>
          <w:rFonts w:ascii="Book Antiqua" w:hAnsi="Book Antiqua" w:cs="Times New Roman"/>
          <w:sz w:val="24"/>
        </w:rPr>
        <w:t xml:space="preserve">. Nevertheless, the role of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in HBV-ACLF has not been elucidated. Therefore, this research was designed to assess the value of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t>
      </w:r>
      <w:r w:rsidR="00D63309">
        <w:rPr>
          <w:rFonts w:ascii="Book Antiqua" w:hAnsi="Book Antiqua" w:cs="Times New Roman"/>
          <w:sz w:val="24"/>
        </w:rPr>
        <w:t>in</w:t>
      </w:r>
      <w:r w:rsidRPr="00A94F32">
        <w:rPr>
          <w:rFonts w:ascii="Book Antiqua" w:hAnsi="Book Antiqua" w:cs="Times New Roman"/>
          <w:sz w:val="24"/>
        </w:rPr>
        <w:t xml:space="preserve"> predicting the 90-day mortality of HBV-ACLF patients.</w:t>
      </w:r>
    </w:p>
    <w:p w14:paraId="49321C16" w14:textId="77777777" w:rsidR="00556F61" w:rsidRPr="00A94F32" w:rsidRDefault="00556F61" w:rsidP="00FD2E95">
      <w:pPr>
        <w:snapToGrid w:val="0"/>
        <w:spacing w:line="360" w:lineRule="auto"/>
        <w:rPr>
          <w:rFonts w:ascii="Book Antiqua" w:hAnsi="Book Antiqua" w:cs="Times New Roman"/>
          <w:b/>
          <w:bCs/>
          <w:sz w:val="24"/>
        </w:rPr>
      </w:pPr>
    </w:p>
    <w:p w14:paraId="226C6099" w14:textId="77777777" w:rsidR="00556F61" w:rsidRPr="00A94F32" w:rsidRDefault="008E2A5E"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t>MATERIALS AND METHODS</w:t>
      </w:r>
    </w:p>
    <w:p w14:paraId="32C28794"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Patients</w:t>
      </w:r>
    </w:p>
    <w:p w14:paraId="6BD802DE" w14:textId="7EAF3157"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Forty-three patients with HBV-ACLF and 43 patients with CHB from the Second Hospital of Anhui Medical University were enrolled in this study from October 2017 to October 2018. In addition, 20 healthy controls (HCs) were </w:t>
      </w:r>
      <w:r w:rsidRPr="00A94F32">
        <w:rPr>
          <w:rFonts w:ascii="Book Antiqua" w:hAnsi="Book Antiqua" w:cs="Times New Roman"/>
          <w:sz w:val="24"/>
        </w:rPr>
        <w:lastRenderedPageBreak/>
        <w:t>randomly selected during this time period. The diagnosis of HBV-ACLF was based on the consensus definition of the Asian Pacific Association for the Study of the Liver (2014 version</w:t>
      </w:r>
      <w:proofErr w:type="gramStart"/>
      <w:r w:rsidRPr="00A94F32">
        <w:rPr>
          <w:rFonts w:ascii="Book Antiqua" w:hAnsi="Book Antiqua" w:cs="Times New Roman"/>
          <w:sz w:val="24"/>
        </w:rPr>
        <w:t>)</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13]</w:t>
      </w:r>
      <w:r w:rsidRPr="00A94F32">
        <w:rPr>
          <w:rFonts w:ascii="Book Antiqua" w:hAnsi="Book Antiqua" w:cs="Times New Roman"/>
          <w:sz w:val="24"/>
        </w:rPr>
        <w:t xml:space="preserve">, as follows: Acute hepatic insult manifested as jaundice (serum bilirubin </w:t>
      </w:r>
      <w:r w:rsidR="008E2A5E" w:rsidRPr="00A94F32">
        <w:rPr>
          <w:rFonts w:ascii="Book Antiqua" w:hAnsi="Book Antiqua" w:cs="Times New Roman"/>
          <w:sz w:val="24"/>
        </w:rPr>
        <w:t>≥</w:t>
      </w:r>
      <w:r w:rsidRPr="00A94F32">
        <w:rPr>
          <w:rFonts w:ascii="Book Antiqua" w:hAnsi="Book Antiqua" w:cs="Times New Roman"/>
          <w:sz w:val="24"/>
        </w:rPr>
        <w:t xml:space="preserve"> 5 mg/</w:t>
      </w:r>
      <w:proofErr w:type="spellStart"/>
      <w:r w:rsidRPr="00A94F32">
        <w:rPr>
          <w:rFonts w:ascii="Book Antiqua" w:hAnsi="Book Antiqua" w:cs="Times New Roman"/>
          <w:sz w:val="24"/>
        </w:rPr>
        <w:t>dL</w:t>
      </w:r>
      <w:proofErr w:type="spellEnd"/>
      <w:r w:rsidRPr="00A94F32">
        <w:rPr>
          <w:rFonts w:ascii="Book Antiqua" w:hAnsi="Book Antiqua" w:cs="Times New Roman"/>
          <w:sz w:val="24"/>
        </w:rPr>
        <w:t xml:space="preserve"> or 85 µ</w:t>
      </w:r>
      <w:proofErr w:type="spellStart"/>
      <w:r w:rsidRPr="00A94F32">
        <w:rPr>
          <w:rFonts w:ascii="Book Antiqua" w:hAnsi="Book Antiqua" w:cs="Times New Roman"/>
          <w:sz w:val="24"/>
        </w:rPr>
        <w:t>mol</w:t>
      </w:r>
      <w:proofErr w:type="spellEnd"/>
      <w:r w:rsidRPr="00A94F32">
        <w:rPr>
          <w:rFonts w:ascii="Book Antiqua" w:hAnsi="Book Antiqua" w:cs="Times New Roman"/>
          <w:sz w:val="24"/>
        </w:rPr>
        <w:t>/L) and coagulopathy [</w:t>
      </w:r>
      <w:r w:rsidR="00060E89" w:rsidRPr="00A94F32">
        <w:rPr>
          <w:rFonts w:ascii="Book Antiqua" w:hAnsi="Book Antiqua" w:cs="Times New Roman"/>
          <w:sz w:val="24"/>
        </w:rPr>
        <w:t xml:space="preserve">international normalized ratio </w:t>
      </w:r>
      <w:r w:rsidR="00060E89">
        <w:rPr>
          <w:rFonts w:ascii="Book Antiqua" w:hAnsi="Book Antiqua" w:cs="Times New Roman" w:hint="eastAsia"/>
          <w:sz w:val="24"/>
        </w:rPr>
        <w:t>(</w:t>
      </w:r>
      <w:r w:rsidRPr="00A94F32">
        <w:rPr>
          <w:rFonts w:ascii="Book Antiqua" w:hAnsi="Book Antiqua" w:cs="Times New Roman"/>
          <w:sz w:val="24"/>
        </w:rPr>
        <w:t>INR</w:t>
      </w:r>
      <w:r w:rsidR="00060E89">
        <w:rPr>
          <w:rFonts w:ascii="Book Antiqua" w:hAnsi="Book Antiqua" w:cs="Times New Roman" w:hint="eastAsia"/>
          <w:sz w:val="24"/>
        </w:rPr>
        <w:t>)</w:t>
      </w:r>
      <w:r w:rsidRPr="00A94F32">
        <w:rPr>
          <w:rFonts w:ascii="Book Antiqua" w:hAnsi="Book Antiqua" w:cs="Times New Roman"/>
          <w:sz w:val="24"/>
        </w:rPr>
        <w:t xml:space="preserve"> &gt; 1.5 or prothrombin activity &lt; 40%], complicated within 4 </w:t>
      </w:r>
      <w:proofErr w:type="spellStart"/>
      <w:r w:rsidRPr="00A94F32">
        <w:rPr>
          <w:rFonts w:ascii="Book Antiqua" w:hAnsi="Book Antiqua" w:cs="Times New Roman"/>
          <w:sz w:val="24"/>
        </w:rPr>
        <w:t>w</w:t>
      </w:r>
      <w:r w:rsidR="008E2A5E" w:rsidRPr="00A94F32">
        <w:rPr>
          <w:rFonts w:ascii="Book Antiqua" w:hAnsi="Book Antiqua" w:cs="Times New Roman"/>
          <w:sz w:val="24"/>
        </w:rPr>
        <w:t>k</w:t>
      </w:r>
      <w:proofErr w:type="spellEnd"/>
      <w:r w:rsidRPr="00A94F32">
        <w:rPr>
          <w:rFonts w:ascii="Book Antiqua" w:hAnsi="Book Antiqua" w:cs="Times New Roman"/>
          <w:sz w:val="24"/>
        </w:rPr>
        <w:t xml:space="preserve"> by ascites and/or encephalopathy in a patient with CHB. According to the INR level, they were divided into three subgroups: </w:t>
      </w:r>
      <w:r w:rsidR="008E2A5E" w:rsidRPr="00A94F32">
        <w:rPr>
          <w:rFonts w:ascii="Book Antiqua" w:hAnsi="Book Antiqua" w:cs="Times New Roman"/>
          <w:sz w:val="24"/>
        </w:rPr>
        <w:t>E</w:t>
      </w:r>
      <w:r w:rsidRPr="00A94F32">
        <w:rPr>
          <w:rFonts w:ascii="Book Antiqua" w:hAnsi="Book Antiqua" w:cs="Times New Roman"/>
          <w:sz w:val="24"/>
        </w:rPr>
        <w:t xml:space="preserve">arly stage (1.5 &lt; INR ≤ 1.9), medium stage (1.9 &lt; INR ≤ 2.6), and late stage (INR ≥ 2.6). </w:t>
      </w:r>
      <w:r w:rsidR="00D63309">
        <w:rPr>
          <w:rFonts w:ascii="Book Antiqua" w:hAnsi="Book Antiqua" w:cs="Times New Roman"/>
          <w:sz w:val="24"/>
        </w:rPr>
        <w:t>P</w:t>
      </w:r>
      <w:r w:rsidRPr="00A94F32">
        <w:rPr>
          <w:rFonts w:ascii="Book Antiqua" w:hAnsi="Book Antiqua" w:cs="Times New Roman"/>
          <w:sz w:val="24"/>
        </w:rPr>
        <w:t xml:space="preserve">atients with liver failure caused by cirrhosis, other hepatitis virus infections or coinfections, alcoholic liver disease or nonalcoholic fatty liver, </w:t>
      </w:r>
      <w:r w:rsidR="00D63309">
        <w:rPr>
          <w:rFonts w:ascii="Book Antiqua" w:hAnsi="Book Antiqua" w:cs="Times New Roman"/>
          <w:sz w:val="24"/>
        </w:rPr>
        <w:t>or</w:t>
      </w:r>
      <w:r w:rsidR="00D63309" w:rsidRPr="00A94F32">
        <w:rPr>
          <w:rFonts w:ascii="Book Antiqua" w:hAnsi="Book Antiqua" w:cs="Times New Roman"/>
          <w:sz w:val="24"/>
        </w:rPr>
        <w:t xml:space="preserve"> </w:t>
      </w:r>
      <w:r w:rsidRPr="00A94F32">
        <w:rPr>
          <w:rFonts w:ascii="Book Antiqua" w:hAnsi="Book Antiqua" w:cs="Times New Roman"/>
          <w:sz w:val="24"/>
        </w:rPr>
        <w:t xml:space="preserve">hepatotoxic drugs were excluded from this research. CHB diagnosis was </w:t>
      </w:r>
      <w:r w:rsidR="00D63309">
        <w:rPr>
          <w:rFonts w:ascii="Book Antiqua" w:hAnsi="Book Antiqua" w:cs="Times New Roman"/>
          <w:sz w:val="24"/>
        </w:rPr>
        <w:t>made according</w:t>
      </w:r>
      <w:r w:rsidR="00D63309" w:rsidRPr="00A94F32">
        <w:rPr>
          <w:rFonts w:ascii="Book Antiqua" w:hAnsi="Book Antiqua" w:cs="Times New Roman"/>
          <w:sz w:val="24"/>
        </w:rPr>
        <w:t xml:space="preserve"> </w:t>
      </w:r>
      <w:r w:rsidRPr="00A94F32">
        <w:rPr>
          <w:rFonts w:ascii="Book Antiqua" w:hAnsi="Book Antiqua" w:cs="Times New Roman"/>
          <w:sz w:val="24"/>
        </w:rPr>
        <w:t>to the diagnostic criteria of the Chinese guidelines for the prevention and treatment of CHB (2015 version</w:t>
      </w:r>
      <w:proofErr w:type="gramStart"/>
      <w:r w:rsidRPr="00A94F32">
        <w:rPr>
          <w:rFonts w:ascii="Book Antiqua" w:hAnsi="Book Antiqua" w:cs="Times New Roman"/>
          <w:sz w:val="24"/>
        </w:rPr>
        <w:t>)</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14]</w:t>
      </w:r>
      <w:r w:rsidRPr="00A94F32">
        <w:rPr>
          <w:rFonts w:ascii="Book Antiqua" w:hAnsi="Book Antiqua" w:cs="Times New Roman"/>
          <w:sz w:val="24"/>
        </w:rPr>
        <w:t>. Blood samples (5 mL) were collected at the time of</w:t>
      </w:r>
      <w:r w:rsidR="00011F23">
        <w:rPr>
          <w:rFonts w:ascii="Book Antiqua" w:hAnsi="Book Antiqua" w:cs="Times New Roman"/>
          <w:sz w:val="24"/>
        </w:rPr>
        <w:t xml:space="preserve"> </w:t>
      </w:r>
      <w:r w:rsidRPr="00A94F32">
        <w:rPr>
          <w:rFonts w:ascii="Book Antiqua" w:hAnsi="Book Antiqua" w:cs="Times New Roman"/>
          <w:sz w:val="24"/>
        </w:rPr>
        <w:t xml:space="preserve">HBV-ACLF or CHB diagnosis, </w:t>
      </w:r>
      <w:r w:rsidR="00011F23">
        <w:rPr>
          <w:rFonts w:ascii="Book Antiqua" w:hAnsi="Book Antiqua" w:cs="Times New Roman"/>
          <w:sz w:val="24"/>
        </w:rPr>
        <w:t xml:space="preserve">and </w:t>
      </w:r>
      <w:r w:rsidRPr="00A94F32">
        <w:rPr>
          <w:rFonts w:ascii="Book Antiqua" w:hAnsi="Book Antiqua" w:cs="Times New Roman"/>
          <w:sz w:val="24"/>
        </w:rPr>
        <w:t>they were centrifuged at 1000 × g for 15 min</w:t>
      </w:r>
      <w:r w:rsidR="00011F23">
        <w:rPr>
          <w:rFonts w:ascii="Book Antiqua" w:hAnsi="Book Antiqua" w:cs="Times New Roman"/>
          <w:sz w:val="24"/>
        </w:rPr>
        <w:t xml:space="preserve"> </w:t>
      </w:r>
      <w:r w:rsidRPr="00A94F32">
        <w:rPr>
          <w:rFonts w:ascii="Book Antiqua" w:hAnsi="Book Antiqua" w:cs="Times New Roman"/>
          <w:sz w:val="24"/>
        </w:rPr>
        <w:t>and then</w:t>
      </w:r>
      <w:r w:rsidR="00011F23">
        <w:rPr>
          <w:rFonts w:ascii="Book Antiqua" w:hAnsi="Book Antiqua" w:cs="Times New Roman"/>
          <w:sz w:val="24"/>
        </w:rPr>
        <w:t xml:space="preserve"> </w:t>
      </w:r>
      <w:r w:rsidRPr="00A94F32">
        <w:rPr>
          <w:rFonts w:ascii="Book Antiqua" w:hAnsi="Book Antiqua" w:cs="Times New Roman"/>
          <w:sz w:val="24"/>
        </w:rPr>
        <w:t>stored at -80</w:t>
      </w:r>
      <w:r w:rsidR="008E2A5E" w:rsidRPr="00A94F32">
        <w:rPr>
          <w:rFonts w:ascii="Book Antiqua" w:hAnsi="Book Antiqua" w:cs="Times New Roman"/>
          <w:sz w:val="24"/>
        </w:rPr>
        <w:t xml:space="preserve"> </w:t>
      </w:r>
      <w:r w:rsidR="00A94F32" w:rsidRPr="00FE4577">
        <w:rPr>
          <w:rFonts w:ascii="Book Antiqua" w:hAnsi="Book Antiqua"/>
          <w:sz w:val="24"/>
        </w:rPr>
        <w:t>°C</w:t>
      </w:r>
      <w:r w:rsidRPr="00A94F32">
        <w:rPr>
          <w:rFonts w:ascii="Book Antiqua" w:hAnsi="Book Antiqua" w:cs="Times New Roman"/>
          <w:sz w:val="24"/>
        </w:rPr>
        <w:t xml:space="preserve">. </w:t>
      </w:r>
      <w:r w:rsidR="00011F23">
        <w:rPr>
          <w:rFonts w:ascii="Book Antiqua" w:hAnsi="Book Antiqua" w:cs="Times New Roman"/>
          <w:sz w:val="24"/>
        </w:rPr>
        <w:t>D</w:t>
      </w:r>
      <w:r w:rsidRPr="00A94F32">
        <w:rPr>
          <w:rFonts w:ascii="Book Antiqua" w:hAnsi="Book Antiqua" w:cs="Times New Roman"/>
          <w:sz w:val="24"/>
        </w:rPr>
        <w:t>emographic and clinical data, including</w:t>
      </w:r>
      <w:r w:rsidR="00011F23">
        <w:rPr>
          <w:rFonts w:ascii="Book Antiqua" w:hAnsi="Book Antiqua" w:cs="Times New Roman"/>
          <w:sz w:val="24"/>
        </w:rPr>
        <w:t xml:space="preserve"> </w:t>
      </w:r>
      <w:r w:rsidRPr="00A94F32">
        <w:rPr>
          <w:rFonts w:ascii="Book Antiqua" w:hAnsi="Book Antiqua" w:cs="Times New Roman"/>
          <w:sz w:val="24"/>
        </w:rPr>
        <w:t xml:space="preserve">gender, age, albumin (ALB) level, total bilirubin (TBIL) level, INR, HBV-DNA level, HBV serological markers, </w:t>
      </w:r>
      <w:proofErr w:type="spellStart"/>
      <w:r w:rsidRPr="00A94F32">
        <w:rPr>
          <w:rFonts w:ascii="Book Antiqua" w:hAnsi="Book Antiqua" w:cs="Times New Roman"/>
          <w:sz w:val="24"/>
        </w:rPr>
        <w:t>procalcitonin</w:t>
      </w:r>
      <w:proofErr w:type="spellEnd"/>
      <w:r w:rsidRPr="00A94F32">
        <w:rPr>
          <w:rFonts w:ascii="Book Antiqua" w:hAnsi="Book Antiqua" w:cs="Times New Roman"/>
          <w:sz w:val="24"/>
        </w:rPr>
        <w:t xml:space="preserve"> (PCT) level, and </w:t>
      </w:r>
      <w:r w:rsidR="00011F23" w:rsidRPr="00A94F32">
        <w:rPr>
          <w:rFonts w:ascii="Book Antiqua" w:hAnsi="Book Antiqua" w:cs="Times New Roman"/>
          <w:sz w:val="24"/>
        </w:rPr>
        <w:t>interleukin</w:t>
      </w:r>
      <w:r w:rsidR="00011F23">
        <w:rPr>
          <w:rFonts w:ascii="Book Antiqua" w:hAnsi="Book Antiqua" w:cs="Times New Roman"/>
          <w:sz w:val="24"/>
        </w:rPr>
        <w:t>-</w:t>
      </w:r>
      <w:r w:rsidRPr="00A94F32">
        <w:rPr>
          <w:rFonts w:ascii="Book Antiqua" w:hAnsi="Book Antiqua" w:cs="Times New Roman"/>
          <w:sz w:val="24"/>
        </w:rPr>
        <w:t>6 (IL-6) level, were collected within the first day after</w:t>
      </w:r>
      <w:r w:rsidR="00011F23">
        <w:rPr>
          <w:rFonts w:ascii="Book Antiqua" w:hAnsi="Book Antiqua" w:cs="Times New Roman"/>
          <w:sz w:val="24"/>
        </w:rPr>
        <w:t xml:space="preserve"> </w:t>
      </w:r>
      <w:r w:rsidRPr="00A94F32">
        <w:rPr>
          <w:rFonts w:ascii="Book Antiqua" w:hAnsi="Book Antiqua" w:cs="Times New Roman"/>
          <w:sz w:val="24"/>
        </w:rPr>
        <w:t xml:space="preserve">HBV-ACLF diagnosis. We followed the patients with HBV-ACLF who met the inclusion criteria: </w:t>
      </w:r>
      <w:r w:rsidR="00DB73B8" w:rsidRPr="00A94F32">
        <w:rPr>
          <w:rFonts w:ascii="Book Antiqua" w:hAnsi="Book Antiqua" w:cs="Times New Roman"/>
          <w:sz w:val="24"/>
        </w:rPr>
        <w:t>T</w:t>
      </w:r>
      <w:r w:rsidRPr="00A94F32">
        <w:rPr>
          <w:rFonts w:ascii="Book Antiqua" w:hAnsi="Book Antiqua" w:cs="Times New Roman"/>
          <w:sz w:val="24"/>
        </w:rPr>
        <w:t xml:space="preserve">he patients who survived within 90 d made up </w:t>
      </w:r>
      <w:r w:rsidR="00011F23">
        <w:rPr>
          <w:rFonts w:ascii="Book Antiqua" w:hAnsi="Book Antiqua" w:cs="Times New Roman"/>
          <w:sz w:val="24"/>
        </w:rPr>
        <w:t>a</w:t>
      </w:r>
      <w:r w:rsidR="00011F23" w:rsidRPr="00A94F32">
        <w:rPr>
          <w:rFonts w:ascii="Book Antiqua" w:hAnsi="Book Antiqua" w:cs="Times New Roman"/>
          <w:sz w:val="24"/>
        </w:rPr>
        <w:t xml:space="preserve"> </w:t>
      </w:r>
      <w:r w:rsidRPr="00A94F32">
        <w:rPr>
          <w:rFonts w:ascii="Book Antiqua" w:hAnsi="Book Antiqua" w:cs="Times New Roman"/>
          <w:sz w:val="24"/>
        </w:rPr>
        <w:t xml:space="preserve">survival group, and those who died within 90 d made up </w:t>
      </w:r>
      <w:r w:rsidR="00011F23">
        <w:rPr>
          <w:rFonts w:ascii="Book Antiqua" w:hAnsi="Book Antiqua" w:cs="Times New Roman"/>
          <w:sz w:val="24"/>
        </w:rPr>
        <w:t>a</w:t>
      </w:r>
      <w:r w:rsidR="00011F23" w:rsidRPr="00A94F32">
        <w:rPr>
          <w:rFonts w:ascii="Book Antiqua" w:hAnsi="Book Antiqua" w:cs="Times New Roman"/>
          <w:sz w:val="24"/>
        </w:rPr>
        <w:t xml:space="preserve"> </w:t>
      </w:r>
      <w:r w:rsidRPr="00A94F32">
        <w:rPr>
          <w:rFonts w:ascii="Book Antiqua" w:hAnsi="Book Antiqua" w:cs="Times New Roman"/>
          <w:sz w:val="24"/>
        </w:rPr>
        <w:t xml:space="preserve">non-survival group (including automatic discharge due to exacerbation). </w:t>
      </w:r>
    </w:p>
    <w:p w14:paraId="58F2F123" w14:textId="2204C8E0"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 xml:space="preserve">According to the </w:t>
      </w:r>
      <w:r w:rsidR="00011F23" w:rsidRPr="00A94F32">
        <w:rPr>
          <w:rFonts w:ascii="Book Antiqua" w:hAnsi="Book Antiqua" w:cs="Times New Roman"/>
          <w:sz w:val="24"/>
        </w:rPr>
        <w:t>1975</w:t>
      </w:r>
      <w:r w:rsidR="00011F23">
        <w:rPr>
          <w:rFonts w:ascii="Book Antiqua" w:hAnsi="Book Antiqua" w:cs="Times New Roman"/>
          <w:sz w:val="24"/>
        </w:rPr>
        <w:t xml:space="preserve"> </w:t>
      </w:r>
      <w:r w:rsidRPr="00A94F32">
        <w:rPr>
          <w:rFonts w:ascii="Book Antiqua" w:hAnsi="Book Antiqua" w:cs="Times New Roman"/>
          <w:sz w:val="24"/>
        </w:rPr>
        <w:t>Helsinki Declaration, this study was approved by the Ethics Committee of the Second Hospital of Anhui Medical University. Written informed consent was obtained from all of the participants prior to their inclusion in this study.</w:t>
      </w:r>
    </w:p>
    <w:p w14:paraId="7B19BA88" w14:textId="77777777" w:rsidR="00556F61" w:rsidRPr="00A94F32" w:rsidRDefault="00556F61" w:rsidP="00FD2E95">
      <w:pPr>
        <w:snapToGrid w:val="0"/>
        <w:spacing w:line="360" w:lineRule="auto"/>
        <w:rPr>
          <w:rFonts w:ascii="Book Antiqua" w:hAnsi="Book Antiqua" w:cs="Times New Roman"/>
          <w:b/>
          <w:bCs/>
          <w:sz w:val="24"/>
        </w:rPr>
      </w:pPr>
    </w:p>
    <w:p w14:paraId="2515E60C"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 xml:space="preserve">Serological </w:t>
      </w:r>
      <w:proofErr w:type="spellStart"/>
      <w:r w:rsidRPr="00A94F32">
        <w:rPr>
          <w:rFonts w:ascii="Book Antiqua" w:hAnsi="Book Antiqua" w:cs="Times New Roman"/>
          <w:b/>
          <w:bCs/>
          <w:i/>
          <w:sz w:val="24"/>
        </w:rPr>
        <w:t>sMR</w:t>
      </w:r>
      <w:proofErr w:type="spellEnd"/>
      <w:r w:rsidRPr="00A94F32">
        <w:rPr>
          <w:rFonts w:ascii="Book Antiqua" w:hAnsi="Book Antiqua" w:cs="Times New Roman"/>
          <w:b/>
          <w:bCs/>
          <w:i/>
          <w:sz w:val="24"/>
        </w:rPr>
        <w:t xml:space="preserve"> detection</w:t>
      </w:r>
    </w:p>
    <w:p w14:paraId="542730E7" w14:textId="4E82F89C" w:rsidR="00556F61" w:rsidRPr="00A94F32" w:rsidRDefault="00011F23" w:rsidP="00FD2E95">
      <w:pPr>
        <w:snapToGrid w:val="0"/>
        <w:spacing w:line="360" w:lineRule="auto"/>
        <w:rPr>
          <w:rFonts w:ascii="Book Antiqua" w:hAnsi="Book Antiqua" w:cs="Times New Roman"/>
          <w:sz w:val="24"/>
        </w:rPr>
      </w:pPr>
      <w:r>
        <w:rPr>
          <w:rFonts w:ascii="Book Antiqua" w:hAnsi="Book Antiqua" w:cs="Times New Roman"/>
          <w:sz w:val="24"/>
        </w:rPr>
        <w:t>S</w:t>
      </w:r>
      <w:r w:rsidRPr="00A94F32">
        <w:rPr>
          <w:rFonts w:ascii="Book Antiqua" w:hAnsi="Book Antiqua" w:cs="Times New Roman"/>
          <w:sz w:val="24"/>
        </w:rPr>
        <w:t xml:space="preserve">erum </w:t>
      </w:r>
      <w:r w:rsidR="005F4D6E" w:rsidRPr="00A94F32">
        <w:rPr>
          <w:rFonts w:ascii="Book Antiqua" w:hAnsi="Book Antiqua" w:cs="Times New Roman"/>
          <w:sz w:val="24"/>
        </w:rPr>
        <w:t>concentrations</w:t>
      </w:r>
      <w:r>
        <w:rPr>
          <w:rFonts w:ascii="Book Antiqua" w:hAnsi="Book Antiqua" w:cs="Times New Roman"/>
          <w:sz w:val="24"/>
        </w:rPr>
        <w:t xml:space="preserve"> of</w:t>
      </w:r>
      <w:r w:rsidRPr="00A94F32">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Pr>
          <w:rFonts w:ascii="Book Antiqua" w:hAnsi="Book Antiqua" w:cs="Times New Roman"/>
          <w:sz w:val="24"/>
        </w:rPr>
        <w:t xml:space="preserve"> </w:t>
      </w:r>
      <w:r w:rsidR="005F4D6E" w:rsidRPr="00A94F32">
        <w:rPr>
          <w:rFonts w:ascii="Book Antiqua" w:hAnsi="Book Antiqua" w:cs="Times New Roman"/>
          <w:sz w:val="24"/>
        </w:rPr>
        <w:t>were measured using a commercial enzyme-linked immunosorbent assay (ELISA) kit (GTX, Inc., Los Angeles, CA, U</w:t>
      </w:r>
      <w:r w:rsidR="00DB73B8" w:rsidRPr="00A94F32">
        <w:rPr>
          <w:rFonts w:ascii="Book Antiqua" w:hAnsi="Book Antiqua" w:cs="Times New Roman"/>
          <w:sz w:val="24"/>
        </w:rPr>
        <w:t>nited States</w:t>
      </w:r>
      <w:r w:rsidR="005F4D6E" w:rsidRPr="00A94F32">
        <w:rPr>
          <w:rFonts w:ascii="Book Antiqua" w:hAnsi="Book Antiqua" w:cs="Times New Roman"/>
          <w:sz w:val="24"/>
        </w:rPr>
        <w:t>) in accordance with the instructions. Briefly, we added 50 µL</w:t>
      </w:r>
      <w:r>
        <w:rPr>
          <w:rFonts w:ascii="Book Antiqua" w:hAnsi="Book Antiqua" w:cs="Times New Roman"/>
          <w:sz w:val="24"/>
        </w:rPr>
        <w:t xml:space="preserve"> of</w:t>
      </w:r>
      <w:r w:rsidR="005F4D6E" w:rsidRPr="00A94F32">
        <w:rPr>
          <w:rFonts w:ascii="Book Antiqua" w:hAnsi="Book Antiqua" w:cs="Times New Roman"/>
          <w:sz w:val="24"/>
        </w:rPr>
        <w:t xml:space="preserve"> diluted </w:t>
      </w:r>
      <w:r w:rsidR="005F4D6E" w:rsidRPr="00A94F32">
        <w:rPr>
          <w:rFonts w:ascii="Book Antiqua" w:hAnsi="Book Antiqua" w:cs="Times New Roman"/>
          <w:sz w:val="24"/>
        </w:rPr>
        <w:lastRenderedPageBreak/>
        <w:t xml:space="preserve">(1:5) serum samples to the ELISA plates that were pre-coated with a captured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antibody, and the absorbance was measured at 450 nm by using an ELISA plate reader (ST-360; Shanghai </w:t>
      </w:r>
      <w:proofErr w:type="spellStart"/>
      <w:r w:rsidR="005F4D6E" w:rsidRPr="00A94F32">
        <w:rPr>
          <w:rFonts w:ascii="Book Antiqua" w:hAnsi="Book Antiqua" w:cs="Times New Roman"/>
          <w:sz w:val="24"/>
        </w:rPr>
        <w:t>Kehua</w:t>
      </w:r>
      <w:proofErr w:type="spellEnd"/>
      <w:r w:rsidR="005F4D6E" w:rsidRPr="00A94F32">
        <w:rPr>
          <w:rFonts w:ascii="Book Antiqua" w:hAnsi="Book Antiqua" w:cs="Times New Roman"/>
          <w:sz w:val="24"/>
        </w:rPr>
        <w:t xml:space="preserve"> Bio-engineering, Ltd., Shanghai, China). A duplicate assay was also performed. The concentration of the standard was set to the abscissa, and the absorbance value was set to the ordinate. A standard curve was drawn, and the absorbance value was substituted into the linear equation in order to calculate the sample concentration.</w:t>
      </w:r>
    </w:p>
    <w:p w14:paraId="7E8BDFE3" w14:textId="77777777" w:rsidR="00556F61" w:rsidRPr="00A94F32" w:rsidRDefault="00556F61" w:rsidP="00FD2E95">
      <w:pPr>
        <w:snapToGrid w:val="0"/>
        <w:spacing w:line="360" w:lineRule="auto"/>
        <w:rPr>
          <w:rFonts w:ascii="Book Antiqua" w:hAnsi="Book Antiqua" w:cs="Times New Roman"/>
          <w:sz w:val="24"/>
        </w:rPr>
      </w:pPr>
    </w:p>
    <w:p w14:paraId="5718FCBA"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Scoring system</w:t>
      </w:r>
    </w:p>
    <w:p w14:paraId="74A44FBF" w14:textId="77777777"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The model for end-stage liver disease (MELD) score was calculated using the formula as follows: MELD = 11.2 × ln</w:t>
      </w:r>
      <w:r w:rsidR="00DB73B8" w:rsidRPr="00A94F32">
        <w:rPr>
          <w:rFonts w:ascii="Book Antiqua" w:hAnsi="Book Antiqua" w:cs="Times New Roman"/>
          <w:sz w:val="24"/>
        </w:rPr>
        <w:t xml:space="preserve"> </w:t>
      </w:r>
      <w:r w:rsidRPr="00A94F32">
        <w:rPr>
          <w:rFonts w:ascii="Book Antiqua" w:hAnsi="Book Antiqua" w:cs="Times New Roman"/>
          <w:sz w:val="24"/>
        </w:rPr>
        <w:t>(INR) + 9.6 × ln</w:t>
      </w:r>
      <w:r w:rsidR="00DB73B8" w:rsidRPr="00A94F32">
        <w:rPr>
          <w:rFonts w:ascii="Book Antiqua" w:hAnsi="Book Antiqua" w:cs="Times New Roman"/>
          <w:sz w:val="24"/>
        </w:rPr>
        <w:t xml:space="preserve"> </w:t>
      </w:r>
      <w:r w:rsidRPr="00A94F32">
        <w:rPr>
          <w:rFonts w:ascii="Book Antiqua" w:hAnsi="Book Antiqua" w:cs="Times New Roman"/>
          <w:sz w:val="24"/>
        </w:rPr>
        <w:t>[creatinine (Cr, mg/</w:t>
      </w:r>
      <w:proofErr w:type="spellStart"/>
      <w:r w:rsidRPr="00A94F32">
        <w:rPr>
          <w:rFonts w:ascii="Book Antiqua" w:hAnsi="Book Antiqua" w:cs="Times New Roman"/>
          <w:sz w:val="24"/>
        </w:rPr>
        <w:t>dL</w:t>
      </w:r>
      <w:proofErr w:type="spellEnd"/>
      <w:r w:rsidRPr="00A94F32">
        <w:rPr>
          <w:rFonts w:ascii="Book Antiqua" w:hAnsi="Book Antiqua" w:cs="Times New Roman"/>
          <w:sz w:val="24"/>
        </w:rPr>
        <w:t>)] + 3.8 × ln</w:t>
      </w:r>
      <w:r w:rsidR="00DB73B8" w:rsidRPr="00A94F32">
        <w:rPr>
          <w:rFonts w:ascii="Book Antiqua" w:hAnsi="Book Antiqua" w:cs="Times New Roman"/>
          <w:sz w:val="24"/>
        </w:rPr>
        <w:t xml:space="preserve"> </w:t>
      </w:r>
      <w:r w:rsidRPr="00A94F32">
        <w:rPr>
          <w:rFonts w:ascii="Book Antiqua" w:hAnsi="Book Antiqua" w:cs="Times New Roman"/>
          <w:sz w:val="24"/>
        </w:rPr>
        <w:t>[TBIL (mg/</w:t>
      </w:r>
      <w:proofErr w:type="spellStart"/>
      <w:r w:rsidRPr="00A94F32">
        <w:rPr>
          <w:rFonts w:ascii="Book Antiqua" w:hAnsi="Book Antiqua" w:cs="Times New Roman"/>
          <w:sz w:val="24"/>
        </w:rPr>
        <w:t>dL</w:t>
      </w:r>
      <w:proofErr w:type="spellEnd"/>
      <w:r w:rsidRPr="00A94F32">
        <w:rPr>
          <w:rFonts w:ascii="Book Antiqua" w:hAnsi="Book Antiqua" w:cs="Times New Roman"/>
          <w:sz w:val="24"/>
        </w:rPr>
        <w:t>)] + 6.4.</w:t>
      </w:r>
    </w:p>
    <w:p w14:paraId="5E944CF8" w14:textId="77777777" w:rsidR="00556F61" w:rsidRPr="00A94F32" w:rsidRDefault="00556F61" w:rsidP="00FD2E95">
      <w:pPr>
        <w:snapToGrid w:val="0"/>
        <w:spacing w:line="360" w:lineRule="auto"/>
        <w:rPr>
          <w:rFonts w:ascii="Book Antiqua" w:hAnsi="Book Antiqua" w:cs="Times New Roman"/>
          <w:sz w:val="24"/>
        </w:rPr>
      </w:pPr>
    </w:p>
    <w:p w14:paraId="7A59A639"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Statistical analysis</w:t>
      </w:r>
    </w:p>
    <w:p w14:paraId="5C4ADAA2" w14:textId="1DDC303A"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All of the data were analyzed using IBM SPSS Statistics for Windows version 22.0 (IBM Corp., Armonk, NY, </w:t>
      </w:r>
      <w:r w:rsidR="00DB73B8" w:rsidRPr="00A94F32">
        <w:rPr>
          <w:rFonts w:ascii="Book Antiqua" w:hAnsi="Book Antiqua" w:cs="Times New Roman"/>
          <w:sz w:val="24"/>
        </w:rPr>
        <w:t>United States</w:t>
      </w:r>
      <w:r w:rsidRPr="00A94F32">
        <w:rPr>
          <w:rFonts w:ascii="Book Antiqua" w:hAnsi="Book Antiqua" w:cs="Times New Roman"/>
          <w:sz w:val="24"/>
        </w:rPr>
        <w:t xml:space="preserve">). The normally distributed data </w:t>
      </w:r>
      <w:r w:rsidR="00011F23">
        <w:rPr>
          <w:rFonts w:ascii="Book Antiqua" w:hAnsi="Book Antiqua" w:cs="Times New Roman"/>
          <w:sz w:val="24"/>
        </w:rPr>
        <w:t>are</w:t>
      </w:r>
      <w:r w:rsidR="00011F23" w:rsidRPr="00A94F32">
        <w:rPr>
          <w:rFonts w:ascii="Book Antiqua" w:hAnsi="Book Antiqua" w:cs="Times New Roman"/>
          <w:sz w:val="24"/>
        </w:rPr>
        <w:t xml:space="preserve"> </w:t>
      </w:r>
      <w:r w:rsidRPr="00A94F32">
        <w:rPr>
          <w:rFonts w:ascii="Book Antiqua" w:hAnsi="Book Antiqua" w:cs="Times New Roman"/>
          <w:sz w:val="24"/>
        </w:rPr>
        <w:t xml:space="preserve">expressed as the mean ± standard deviation, and the non-normally distributed data </w:t>
      </w:r>
      <w:r w:rsidR="00011F23">
        <w:rPr>
          <w:rFonts w:ascii="Book Antiqua" w:hAnsi="Book Antiqua" w:cs="Times New Roman"/>
          <w:sz w:val="24"/>
        </w:rPr>
        <w:t>are</w:t>
      </w:r>
      <w:r w:rsidR="00011F23" w:rsidRPr="00A94F32">
        <w:rPr>
          <w:rFonts w:ascii="Book Antiqua" w:hAnsi="Book Antiqua" w:cs="Times New Roman"/>
          <w:sz w:val="24"/>
        </w:rPr>
        <w:t xml:space="preserve"> </w:t>
      </w:r>
      <w:r w:rsidRPr="00A94F32">
        <w:rPr>
          <w:rFonts w:ascii="Book Antiqua" w:hAnsi="Book Antiqua" w:cs="Times New Roman"/>
          <w:sz w:val="24"/>
        </w:rPr>
        <w:t xml:space="preserve">expressed as the median (interquartile range). The differences in the normally distributed data were analyzed using the Student’s </w:t>
      </w:r>
      <w:r w:rsidR="00011F23" w:rsidRPr="00A94F32">
        <w:rPr>
          <w:rFonts w:ascii="Book Antiqua" w:hAnsi="Book Antiqua" w:cs="Times New Roman"/>
          <w:i/>
          <w:sz w:val="24"/>
        </w:rPr>
        <w:t>t</w:t>
      </w:r>
      <w:r w:rsidR="00011F23">
        <w:rPr>
          <w:rFonts w:ascii="Book Antiqua" w:hAnsi="Book Antiqua" w:cs="Times New Roman"/>
          <w:sz w:val="24"/>
        </w:rPr>
        <w:t>-</w:t>
      </w:r>
      <w:r w:rsidRPr="00A94F32">
        <w:rPr>
          <w:rFonts w:ascii="Book Antiqua" w:hAnsi="Book Antiqua" w:cs="Times New Roman"/>
          <w:sz w:val="24"/>
        </w:rPr>
        <w:t>test and</w:t>
      </w:r>
      <w:r w:rsidR="00011F23">
        <w:rPr>
          <w:rFonts w:ascii="Book Antiqua" w:hAnsi="Book Antiqua" w:cs="Times New Roman"/>
          <w:sz w:val="24"/>
        </w:rPr>
        <w:t xml:space="preserve"> </w:t>
      </w:r>
      <w:r w:rsidRPr="00A94F32">
        <w:rPr>
          <w:rFonts w:ascii="Book Antiqua" w:hAnsi="Book Antiqua" w:cs="Times New Roman"/>
          <w:sz w:val="24"/>
        </w:rPr>
        <w:t xml:space="preserve">analysis of variance. The comparisons of the non-normally distributed data were performed using the Mann-Whitney U test and the </w:t>
      </w:r>
      <w:proofErr w:type="spellStart"/>
      <w:r w:rsidRPr="00A94F32">
        <w:rPr>
          <w:rFonts w:ascii="Book Antiqua" w:hAnsi="Book Antiqua" w:cs="Times New Roman"/>
          <w:sz w:val="24"/>
        </w:rPr>
        <w:t>Kruskal</w:t>
      </w:r>
      <w:proofErr w:type="spellEnd"/>
      <w:r w:rsidRPr="00A94F32">
        <w:rPr>
          <w:rFonts w:ascii="Book Antiqua" w:hAnsi="Book Antiqua" w:cs="Times New Roman"/>
          <w:sz w:val="24"/>
        </w:rPr>
        <w:t xml:space="preserve">-Wallis test. Spearman correlation analysis was used to evaluate the correlations between the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and other clinical indicators. Multivariate logistic regression was employed to analyze the independent risk factors for mortality. The best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cutoff value </w:t>
      </w:r>
      <w:r w:rsidR="00011F23">
        <w:rPr>
          <w:rFonts w:ascii="Book Antiqua" w:hAnsi="Book Antiqua" w:cs="Times New Roman"/>
          <w:sz w:val="24"/>
        </w:rPr>
        <w:t>for</w:t>
      </w:r>
      <w:r w:rsidR="00011F23" w:rsidRPr="00A94F32">
        <w:rPr>
          <w:rFonts w:ascii="Book Antiqua" w:hAnsi="Book Antiqua" w:cs="Times New Roman"/>
          <w:sz w:val="24"/>
        </w:rPr>
        <w:t xml:space="preserve"> </w:t>
      </w:r>
      <w:r w:rsidRPr="00A94F32">
        <w:rPr>
          <w:rFonts w:ascii="Book Antiqua" w:hAnsi="Book Antiqua" w:cs="Times New Roman"/>
          <w:sz w:val="24"/>
        </w:rPr>
        <w:t>predicting the 90-day mortality was determined by adopting</w:t>
      </w:r>
      <w:r w:rsidR="00011F23">
        <w:rPr>
          <w:rFonts w:ascii="Book Antiqua" w:hAnsi="Book Antiqua" w:cs="Times New Roman"/>
          <w:sz w:val="24"/>
        </w:rPr>
        <w:t xml:space="preserve"> </w:t>
      </w:r>
      <w:r w:rsidRPr="00A94F32">
        <w:rPr>
          <w:rFonts w:ascii="Book Antiqua" w:hAnsi="Book Antiqua" w:cs="Times New Roman"/>
          <w:sz w:val="24"/>
        </w:rPr>
        <w:t xml:space="preserve">SPSS Modeler 18.0 software (IBM Corp., Armonk, NY, </w:t>
      </w:r>
      <w:r w:rsidR="00DB73B8" w:rsidRPr="00A94F32">
        <w:rPr>
          <w:rFonts w:ascii="Book Antiqua" w:hAnsi="Book Antiqua" w:cs="Times New Roman"/>
          <w:sz w:val="24"/>
        </w:rPr>
        <w:t>United States</w:t>
      </w:r>
      <w:r w:rsidRPr="00A94F32">
        <w:rPr>
          <w:rFonts w:ascii="Book Antiqua" w:hAnsi="Book Antiqua" w:cs="Times New Roman"/>
          <w:sz w:val="24"/>
        </w:rPr>
        <w:t xml:space="preserve">). The area under the receiver operating characteristics curve (AUROC) was used to compare the accuracy of the prediction. </w:t>
      </w:r>
      <w:r w:rsidR="00011F23">
        <w:rPr>
          <w:rFonts w:ascii="Book Antiqua" w:hAnsi="Book Antiqua" w:cs="Times New Roman"/>
          <w:sz w:val="24"/>
        </w:rPr>
        <w:t>S</w:t>
      </w:r>
      <w:r w:rsidRPr="00A94F32">
        <w:rPr>
          <w:rFonts w:ascii="Book Antiqua" w:hAnsi="Book Antiqua" w:cs="Times New Roman"/>
          <w:sz w:val="24"/>
        </w:rPr>
        <w:t xml:space="preserve">urvival analysis was performed using the Kaplan-Meier curve. A two-sided </w:t>
      </w:r>
      <w:r w:rsidR="00011F23" w:rsidRPr="00A94F32">
        <w:rPr>
          <w:rFonts w:ascii="Book Antiqua" w:hAnsi="Book Antiqua" w:cs="Times New Roman"/>
          <w:i/>
          <w:sz w:val="24"/>
        </w:rPr>
        <w:t>P</w:t>
      </w:r>
      <w:r w:rsidR="00011F23">
        <w:rPr>
          <w:rFonts w:ascii="Book Antiqua" w:hAnsi="Book Antiqua" w:cs="Times New Roman"/>
          <w:sz w:val="24"/>
        </w:rPr>
        <w:t>-</w:t>
      </w:r>
      <w:r w:rsidRPr="00A94F32">
        <w:rPr>
          <w:rFonts w:ascii="Book Antiqua" w:hAnsi="Book Antiqua" w:cs="Times New Roman"/>
          <w:sz w:val="24"/>
        </w:rPr>
        <w:t>value &lt; 0.05 was considered to indicate a statistically significant difference.</w:t>
      </w:r>
    </w:p>
    <w:p w14:paraId="3EB2517E" w14:textId="77777777" w:rsidR="00556F61" w:rsidRPr="00A94F32" w:rsidRDefault="00556F61" w:rsidP="00FD2E95">
      <w:pPr>
        <w:snapToGrid w:val="0"/>
        <w:spacing w:line="360" w:lineRule="auto"/>
        <w:rPr>
          <w:rFonts w:ascii="Book Antiqua" w:hAnsi="Book Antiqua" w:cs="Times New Roman"/>
          <w:b/>
          <w:bCs/>
          <w:sz w:val="24"/>
        </w:rPr>
      </w:pPr>
    </w:p>
    <w:p w14:paraId="59ED240A" w14:textId="77777777" w:rsidR="00556F61" w:rsidRPr="00A94F32" w:rsidRDefault="005F4D6E"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lastRenderedPageBreak/>
        <w:t>RESULTS</w:t>
      </w:r>
    </w:p>
    <w:p w14:paraId="798C8898"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Subject characteristics</w:t>
      </w:r>
    </w:p>
    <w:p w14:paraId="1F611DD1" w14:textId="7D6F2235"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The demographic and clinical characteristics of all of the subjects in the ACLF, CHB, and HC groups are listed in Table 1. There were no significant differences in the age </w:t>
      </w:r>
      <w:r w:rsidR="00011F23">
        <w:rPr>
          <w:rFonts w:ascii="Book Antiqua" w:hAnsi="Book Antiqua" w:cs="Times New Roman"/>
          <w:sz w:val="24"/>
        </w:rPr>
        <w:t>or</w:t>
      </w:r>
      <w:r w:rsidR="00011F23" w:rsidRPr="00A94F32">
        <w:rPr>
          <w:rFonts w:ascii="Book Antiqua" w:hAnsi="Book Antiqua" w:cs="Times New Roman"/>
          <w:sz w:val="24"/>
        </w:rPr>
        <w:t xml:space="preserve"> </w:t>
      </w:r>
      <w:r w:rsidRPr="00A94F32">
        <w:rPr>
          <w:rFonts w:ascii="Book Antiqua" w:hAnsi="Book Antiqua" w:cs="Times New Roman"/>
          <w:sz w:val="24"/>
        </w:rPr>
        <w:t>sex ratio between the three groups (</w:t>
      </w:r>
      <w:r w:rsidRPr="00A94F32">
        <w:rPr>
          <w:rFonts w:ascii="Book Antiqua" w:hAnsi="Book Antiqua" w:cs="Times New Roman"/>
          <w:i/>
          <w:sz w:val="24"/>
        </w:rPr>
        <w:t>P</w:t>
      </w:r>
      <w:r w:rsidRPr="00A94F32">
        <w:rPr>
          <w:rFonts w:ascii="Book Antiqua" w:hAnsi="Book Antiqua" w:cs="Times New Roman"/>
          <w:sz w:val="24"/>
        </w:rPr>
        <w:t xml:space="preserve"> &gt; 0.05). The patients with HBV-ACLF had elevated ALB, TBIL, Cr, INR, PCT, IL-6, and HBV-DNA levels when compared with the other two groups (</w:t>
      </w:r>
      <w:r w:rsidRPr="00A94F32">
        <w:rPr>
          <w:rFonts w:ascii="Book Antiqua" w:hAnsi="Book Antiqua" w:cs="Times New Roman"/>
          <w:i/>
          <w:sz w:val="24"/>
        </w:rPr>
        <w:t>P</w:t>
      </w:r>
      <w:r w:rsidRPr="00A94F32">
        <w:rPr>
          <w:rFonts w:ascii="Book Antiqua" w:hAnsi="Book Antiqua" w:cs="Times New Roman"/>
          <w:sz w:val="24"/>
        </w:rPr>
        <w:t xml:space="preserve"> &lt; 0.05). MELD score was significantly elevated in the HBV-ACLF patients when compared with</w:t>
      </w:r>
      <w:r w:rsidR="00011F23">
        <w:rPr>
          <w:rFonts w:ascii="Book Antiqua" w:hAnsi="Book Antiqua" w:cs="Times New Roman"/>
          <w:sz w:val="24"/>
        </w:rPr>
        <w:t xml:space="preserve"> </w:t>
      </w:r>
      <w:r w:rsidRPr="00A94F32">
        <w:rPr>
          <w:rFonts w:ascii="Book Antiqua" w:hAnsi="Book Antiqua" w:cs="Times New Roman"/>
          <w:sz w:val="24"/>
        </w:rPr>
        <w:t>CHB patients (</w:t>
      </w:r>
      <w:r w:rsidRPr="00A94F32">
        <w:rPr>
          <w:rFonts w:ascii="Book Antiqua" w:hAnsi="Book Antiqua" w:cs="Times New Roman"/>
          <w:i/>
          <w:sz w:val="24"/>
        </w:rPr>
        <w:t>P</w:t>
      </w:r>
      <w:r w:rsidRPr="00A94F32">
        <w:rPr>
          <w:rFonts w:ascii="Book Antiqua" w:hAnsi="Book Antiqua" w:cs="Times New Roman"/>
          <w:sz w:val="24"/>
        </w:rPr>
        <w:t xml:space="preserve"> &lt; 0.05). Out of the HBV-ACLF patients, there were 12 patients in the survival group and 31</w:t>
      </w:r>
      <w:r w:rsidR="00011F23">
        <w:rPr>
          <w:rFonts w:ascii="Book Antiqua" w:hAnsi="Book Antiqua" w:cs="Times New Roman"/>
          <w:sz w:val="24"/>
        </w:rPr>
        <w:t xml:space="preserve"> </w:t>
      </w:r>
      <w:r w:rsidRPr="00A94F32">
        <w:rPr>
          <w:rFonts w:ascii="Book Antiqua" w:hAnsi="Book Antiqua" w:cs="Times New Roman"/>
          <w:sz w:val="24"/>
        </w:rPr>
        <w:t>in the non-survival group. The</w:t>
      </w:r>
      <w:r w:rsidR="00011F23">
        <w:rPr>
          <w:rFonts w:ascii="Book Antiqua" w:hAnsi="Book Antiqua" w:cs="Times New Roman"/>
          <w:sz w:val="24"/>
        </w:rPr>
        <w:t xml:space="preserve"> number of patients</w:t>
      </w:r>
      <w:r w:rsidR="00011F23" w:rsidRPr="00011F23">
        <w:rPr>
          <w:rFonts w:ascii="Book Antiqua" w:hAnsi="Book Antiqua" w:cs="Times New Roman"/>
          <w:sz w:val="24"/>
        </w:rPr>
        <w:t xml:space="preserve"> </w:t>
      </w:r>
      <w:r w:rsidR="00011F23" w:rsidRPr="00A94F32">
        <w:rPr>
          <w:rFonts w:ascii="Book Antiqua" w:hAnsi="Book Antiqua" w:cs="Times New Roman"/>
          <w:sz w:val="24"/>
        </w:rPr>
        <w:t>with HBV-ACLF</w:t>
      </w:r>
      <w:r w:rsidR="00011F23">
        <w:rPr>
          <w:rFonts w:ascii="Book Antiqua" w:hAnsi="Book Antiqua" w:cs="Times New Roman"/>
          <w:sz w:val="24"/>
        </w:rPr>
        <w:t xml:space="preserve"> in the</w:t>
      </w:r>
      <w:r w:rsidRPr="00A94F32">
        <w:rPr>
          <w:rFonts w:ascii="Book Antiqua" w:hAnsi="Book Antiqua" w:cs="Times New Roman"/>
          <w:sz w:val="24"/>
        </w:rPr>
        <w:t xml:space="preserve"> early stage, medium stage, and late stage groups</w:t>
      </w:r>
      <w:r w:rsidR="00011F23">
        <w:rPr>
          <w:rFonts w:ascii="Book Antiqua" w:hAnsi="Book Antiqua" w:cs="Times New Roman"/>
          <w:sz w:val="24"/>
        </w:rPr>
        <w:t xml:space="preserve"> was </w:t>
      </w:r>
      <w:r w:rsidRPr="00A94F32">
        <w:rPr>
          <w:rFonts w:ascii="Book Antiqua" w:hAnsi="Book Antiqua" w:cs="Times New Roman"/>
          <w:sz w:val="24"/>
        </w:rPr>
        <w:t>12, 10, and 21, respectively.</w:t>
      </w:r>
    </w:p>
    <w:p w14:paraId="6BC1924C" w14:textId="77777777" w:rsidR="00556F61" w:rsidRPr="00A94F32" w:rsidRDefault="00556F61" w:rsidP="00FD2E95">
      <w:pPr>
        <w:snapToGrid w:val="0"/>
        <w:spacing w:line="360" w:lineRule="auto"/>
        <w:rPr>
          <w:rFonts w:ascii="Book Antiqua" w:hAnsi="Book Antiqua" w:cs="Times New Roman"/>
          <w:b/>
          <w:bCs/>
          <w:sz w:val="24"/>
        </w:rPr>
      </w:pPr>
    </w:p>
    <w:p w14:paraId="7C16505D" w14:textId="2B8051E7" w:rsidR="00556F61" w:rsidRPr="00A94F32" w:rsidRDefault="00011F23" w:rsidP="00FD2E95">
      <w:pPr>
        <w:snapToGrid w:val="0"/>
        <w:spacing w:line="360" w:lineRule="auto"/>
        <w:rPr>
          <w:rFonts w:ascii="Book Antiqua" w:hAnsi="Book Antiqua" w:cs="Times New Roman"/>
          <w:b/>
          <w:bCs/>
          <w:i/>
          <w:sz w:val="24"/>
        </w:rPr>
      </w:pPr>
      <w:r>
        <w:rPr>
          <w:rFonts w:ascii="Book Antiqua" w:hAnsi="Book Antiqua" w:cs="Times New Roman"/>
          <w:b/>
          <w:bCs/>
          <w:i/>
          <w:sz w:val="24"/>
        </w:rPr>
        <w:t>S</w:t>
      </w:r>
      <w:r w:rsidRPr="00A94F32">
        <w:rPr>
          <w:rFonts w:ascii="Book Antiqua" w:hAnsi="Book Antiqua" w:cs="Times New Roman"/>
          <w:b/>
          <w:bCs/>
          <w:i/>
          <w:sz w:val="24"/>
        </w:rPr>
        <w:t xml:space="preserve">erum </w:t>
      </w:r>
      <w:proofErr w:type="spellStart"/>
      <w:r w:rsidR="005F4D6E" w:rsidRPr="00A94F32">
        <w:rPr>
          <w:rFonts w:ascii="Book Antiqua" w:hAnsi="Book Antiqua" w:cs="Times New Roman"/>
          <w:b/>
          <w:bCs/>
          <w:i/>
          <w:sz w:val="24"/>
        </w:rPr>
        <w:t>sMR</w:t>
      </w:r>
      <w:proofErr w:type="spellEnd"/>
      <w:r w:rsidR="005F4D6E" w:rsidRPr="00A94F32">
        <w:rPr>
          <w:rFonts w:ascii="Book Antiqua" w:hAnsi="Book Antiqua" w:cs="Times New Roman"/>
          <w:b/>
          <w:bCs/>
          <w:i/>
          <w:sz w:val="24"/>
        </w:rPr>
        <w:t xml:space="preserve"> expression in</w:t>
      </w:r>
      <w:r>
        <w:rPr>
          <w:rFonts w:ascii="Book Antiqua" w:hAnsi="Book Antiqua" w:cs="Times New Roman"/>
          <w:b/>
          <w:bCs/>
          <w:i/>
          <w:sz w:val="24"/>
        </w:rPr>
        <w:t xml:space="preserve"> </w:t>
      </w:r>
      <w:r w:rsidR="005F4D6E" w:rsidRPr="00A94F32">
        <w:rPr>
          <w:rFonts w:ascii="Book Antiqua" w:hAnsi="Book Antiqua" w:cs="Times New Roman"/>
          <w:b/>
          <w:bCs/>
          <w:i/>
          <w:sz w:val="24"/>
        </w:rPr>
        <w:t>HBV-ACLF patients</w:t>
      </w:r>
    </w:p>
    <w:p w14:paraId="7F15E935" w14:textId="1F8B3B7D" w:rsidR="00556F61" w:rsidRPr="00A94F32" w:rsidRDefault="00011F23" w:rsidP="00FD2E95">
      <w:pPr>
        <w:snapToGrid w:val="0"/>
        <w:spacing w:line="360" w:lineRule="auto"/>
        <w:rPr>
          <w:rFonts w:ascii="Book Antiqua" w:hAnsi="Book Antiqua" w:cs="Times New Roman"/>
          <w:sz w:val="24"/>
        </w:rPr>
      </w:pPr>
      <w:r>
        <w:rPr>
          <w:rFonts w:ascii="Book Antiqua" w:hAnsi="Book Antiqua" w:cs="Times New Roman"/>
          <w:sz w:val="24"/>
        </w:rPr>
        <w:t>S</w:t>
      </w:r>
      <w:r w:rsidR="005F4D6E" w:rsidRPr="00A94F32">
        <w:rPr>
          <w:rFonts w:ascii="Book Antiqua" w:hAnsi="Book Antiqua" w:cs="Times New Roman"/>
          <w:sz w:val="24"/>
        </w:rPr>
        <w:t xml:space="preserve">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levels of</w:t>
      </w:r>
      <w:r>
        <w:rPr>
          <w:rFonts w:ascii="Book Antiqua" w:hAnsi="Book Antiqua" w:cs="Times New Roman"/>
          <w:sz w:val="24"/>
        </w:rPr>
        <w:t xml:space="preserve"> </w:t>
      </w:r>
      <w:r w:rsidR="005F4D6E" w:rsidRPr="00A94F32">
        <w:rPr>
          <w:rFonts w:ascii="Book Antiqua" w:hAnsi="Book Antiqua" w:cs="Times New Roman"/>
          <w:sz w:val="24"/>
        </w:rPr>
        <w:t xml:space="preserve">HBV-ACLF patients, CHB patients, and HCs were 114.94 ± 49.65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80.75 ± 34.45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and 26.51 ± 8.62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respectively. </w:t>
      </w:r>
      <w:r>
        <w:rPr>
          <w:rFonts w:ascii="Book Antiqua" w:hAnsi="Book Antiqua" w:cs="Times New Roman"/>
          <w:sz w:val="24"/>
        </w:rPr>
        <w:t xml:space="preserve">Serum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of</w:t>
      </w:r>
      <w:r>
        <w:rPr>
          <w:rFonts w:ascii="Book Antiqua" w:hAnsi="Book Antiqua" w:cs="Times New Roman"/>
          <w:sz w:val="24"/>
        </w:rPr>
        <w:t xml:space="preserve"> </w:t>
      </w:r>
      <w:r w:rsidR="005F4D6E" w:rsidRPr="00A94F32">
        <w:rPr>
          <w:rFonts w:ascii="Book Antiqua" w:hAnsi="Book Antiqua" w:cs="Times New Roman"/>
          <w:sz w:val="24"/>
        </w:rPr>
        <w:t>HBV-ACLF patients was significantly higher than those of CHB patients and HCs (</w:t>
      </w:r>
      <w:r w:rsidR="005F4D6E" w:rsidRPr="00A94F32">
        <w:rPr>
          <w:rFonts w:ascii="Book Antiqua" w:hAnsi="Book Antiqua" w:cs="Times New Roman"/>
          <w:i/>
          <w:sz w:val="24"/>
        </w:rPr>
        <w:t>P</w:t>
      </w:r>
      <w:r w:rsidR="00A94F32" w:rsidRPr="00A94F32">
        <w:rPr>
          <w:rFonts w:ascii="Book Antiqua" w:hAnsi="Book Antiqua" w:cs="Times New Roman"/>
          <w:sz w:val="24"/>
        </w:rPr>
        <w:t xml:space="preserve"> &lt; 0.01; Figure</w:t>
      </w:r>
      <w:r w:rsidR="005F4D6E" w:rsidRPr="00A94F32">
        <w:rPr>
          <w:rFonts w:ascii="Book Antiqua" w:hAnsi="Book Antiqua" w:cs="Times New Roman"/>
          <w:sz w:val="24"/>
        </w:rPr>
        <w:t xml:space="preserve"> 1A). </w:t>
      </w:r>
      <w:r>
        <w:rPr>
          <w:rFonts w:ascii="Book Antiqua" w:hAnsi="Book Antiqua" w:cs="Times New Roman"/>
          <w:sz w:val="24"/>
        </w:rPr>
        <w:t>S</w:t>
      </w:r>
      <w:r w:rsidR="005F4D6E" w:rsidRPr="00A94F32">
        <w:rPr>
          <w:rFonts w:ascii="Book Antiqua" w:hAnsi="Book Antiqua" w:cs="Times New Roman"/>
          <w:sz w:val="24"/>
        </w:rPr>
        <w:t xml:space="preserve">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levels in the early, medium, and </w:t>
      </w:r>
      <w:r w:rsidRPr="00A94F32">
        <w:rPr>
          <w:rFonts w:ascii="Book Antiqua" w:hAnsi="Book Antiqua" w:cs="Times New Roman"/>
          <w:sz w:val="24"/>
        </w:rPr>
        <w:t>late</w:t>
      </w:r>
      <w:r>
        <w:rPr>
          <w:rFonts w:ascii="Book Antiqua" w:hAnsi="Book Antiqua" w:cs="Times New Roman"/>
          <w:sz w:val="24"/>
        </w:rPr>
        <w:t xml:space="preserve"> </w:t>
      </w:r>
      <w:r w:rsidR="005F4D6E" w:rsidRPr="00A94F32">
        <w:rPr>
          <w:rFonts w:ascii="Book Antiqua" w:hAnsi="Book Antiqua" w:cs="Times New Roman"/>
          <w:sz w:val="24"/>
        </w:rPr>
        <w:t>stage groups of</w:t>
      </w:r>
      <w:r>
        <w:rPr>
          <w:rFonts w:ascii="Book Antiqua" w:hAnsi="Book Antiqua" w:cs="Times New Roman"/>
          <w:sz w:val="24"/>
        </w:rPr>
        <w:t xml:space="preserve"> </w:t>
      </w:r>
      <w:r w:rsidR="005F4D6E" w:rsidRPr="00A94F32">
        <w:rPr>
          <w:rFonts w:ascii="Book Antiqua" w:hAnsi="Book Antiqua" w:cs="Times New Roman"/>
          <w:sz w:val="24"/>
        </w:rPr>
        <w:t xml:space="preserve">HBV-ACLF patients increased gradually (79.42 ± 25.10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113.56 ± 14.35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and 158.15 ± 59.13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/mL, respectively) (</w:t>
      </w:r>
      <w:r w:rsidR="005F4D6E" w:rsidRPr="00A94F32">
        <w:rPr>
          <w:rFonts w:ascii="Book Antiqua" w:hAnsi="Book Antiqua" w:cs="Times New Roman"/>
          <w:i/>
          <w:sz w:val="24"/>
        </w:rPr>
        <w:t>P</w:t>
      </w:r>
      <w:r w:rsidR="00A94F32" w:rsidRPr="00A94F32">
        <w:rPr>
          <w:rFonts w:ascii="Book Antiqua" w:hAnsi="Book Antiqua" w:cs="Times New Roman"/>
          <w:sz w:val="24"/>
        </w:rPr>
        <w:t xml:space="preserve"> &lt; 0.01; Figure</w:t>
      </w:r>
      <w:r w:rsidR="005F4D6E" w:rsidRPr="00A94F32">
        <w:rPr>
          <w:rFonts w:ascii="Book Antiqua" w:hAnsi="Book Antiqua" w:cs="Times New Roman"/>
          <w:sz w:val="24"/>
        </w:rPr>
        <w:t xml:space="preserve"> 1B).</w:t>
      </w:r>
    </w:p>
    <w:p w14:paraId="06A085FA" w14:textId="77777777" w:rsidR="00556F61" w:rsidRPr="00A94F32" w:rsidRDefault="00556F61" w:rsidP="00FD2E95">
      <w:pPr>
        <w:snapToGrid w:val="0"/>
        <w:spacing w:line="360" w:lineRule="auto"/>
        <w:rPr>
          <w:rFonts w:ascii="Book Antiqua" w:hAnsi="Book Antiqua" w:cs="Times New Roman"/>
          <w:b/>
          <w:bCs/>
          <w:sz w:val="24"/>
        </w:rPr>
      </w:pPr>
    </w:p>
    <w:p w14:paraId="574074B4" w14:textId="2826BB94" w:rsidR="00556F61" w:rsidRPr="00A94F32" w:rsidRDefault="00011F23" w:rsidP="00FD2E95">
      <w:pPr>
        <w:snapToGrid w:val="0"/>
        <w:spacing w:line="360" w:lineRule="auto"/>
        <w:rPr>
          <w:rFonts w:ascii="Book Antiqua" w:hAnsi="Book Antiqua" w:cs="Times New Roman"/>
          <w:b/>
          <w:bCs/>
          <w:i/>
          <w:sz w:val="24"/>
        </w:rPr>
      </w:pPr>
      <w:r>
        <w:rPr>
          <w:rFonts w:ascii="Book Antiqua" w:hAnsi="Book Antiqua" w:cs="Times New Roman"/>
          <w:b/>
          <w:bCs/>
          <w:i/>
          <w:sz w:val="24"/>
        </w:rPr>
        <w:t>S</w:t>
      </w:r>
      <w:r w:rsidR="005F4D6E" w:rsidRPr="00A94F32">
        <w:rPr>
          <w:rFonts w:ascii="Book Antiqua" w:hAnsi="Book Antiqua" w:cs="Times New Roman"/>
          <w:b/>
          <w:bCs/>
          <w:i/>
          <w:sz w:val="24"/>
        </w:rPr>
        <w:t xml:space="preserve">erum </w:t>
      </w:r>
      <w:proofErr w:type="spellStart"/>
      <w:r w:rsidR="005F4D6E" w:rsidRPr="00A94F32">
        <w:rPr>
          <w:rFonts w:ascii="Book Antiqua" w:hAnsi="Book Antiqua" w:cs="Times New Roman"/>
          <w:b/>
          <w:bCs/>
          <w:i/>
          <w:sz w:val="24"/>
        </w:rPr>
        <w:t>sMR</w:t>
      </w:r>
      <w:proofErr w:type="spellEnd"/>
      <w:r w:rsidR="005F4D6E" w:rsidRPr="00A94F32">
        <w:rPr>
          <w:rFonts w:ascii="Book Antiqua" w:hAnsi="Book Antiqua" w:cs="Times New Roman"/>
          <w:b/>
          <w:bCs/>
          <w:i/>
          <w:sz w:val="24"/>
        </w:rPr>
        <w:t xml:space="preserve"> levels </w:t>
      </w:r>
      <w:r w:rsidRPr="00A94F32">
        <w:rPr>
          <w:rFonts w:ascii="Book Antiqua" w:hAnsi="Book Antiqua" w:cs="Times New Roman"/>
          <w:b/>
          <w:bCs/>
          <w:i/>
          <w:sz w:val="24"/>
        </w:rPr>
        <w:t>help</w:t>
      </w:r>
      <w:r>
        <w:rPr>
          <w:rFonts w:ascii="Book Antiqua" w:hAnsi="Book Antiqua" w:cs="Times New Roman"/>
          <w:b/>
          <w:bCs/>
          <w:i/>
          <w:sz w:val="24"/>
        </w:rPr>
        <w:t xml:space="preserve"> </w:t>
      </w:r>
      <w:r w:rsidR="005F4D6E" w:rsidRPr="00A94F32">
        <w:rPr>
          <w:rFonts w:ascii="Book Antiqua" w:hAnsi="Book Antiqua" w:cs="Times New Roman"/>
          <w:b/>
          <w:bCs/>
          <w:i/>
          <w:sz w:val="24"/>
        </w:rPr>
        <w:t>to differentiate between</w:t>
      </w:r>
      <w:r>
        <w:rPr>
          <w:rFonts w:ascii="Book Antiqua" w:hAnsi="Book Antiqua" w:cs="Times New Roman"/>
          <w:b/>
          <w:bCs/>
          <w:i/>
          <w:sz w:val="24"/>
        </w:rPr>
        <w:t xml:space="preserve"> </w:t>
      </w:r>
      <w:r w:rsidR="005F4D6E" w:rsidRPr="00A94F32">
        <w:rPr>
          <w:rFonts w:ascii="Book Antiqua" w:hAnsi="Book Antiqua" w:cs="Times New Roman"/>
          <w:b/>
          <w:bCs/>
          <w:i/>
          <w:sz w:val="24"/>
        </w:rPr>
        <w:t>survivors and non-survivors</w:t>
      </w:r>
    </w:p>
    <w:p w14:paraId="5EC9EFA9" w14:textId="4851E42D" w:rsidR="00556F61" w:rsidRPr="00A94F32" w:rsidRDefault="00011F23" w:rsidP="00FD2E95">
      <w:pPr>
        <w:snapToGrid w:val="0"/>
        <w:spacing w:line="360" w:lineRule="auto"/>
        <w:rPr>
          <w:rFonts w:ascii="Book Antiqua" w:hAnsi="Book Antiqua" w:cs="Times New Roman"/>
          <w:sz w:val="24"/>
        </w:rPr>
      </w:pPr>
      <w:r>
        <w:rPr>
          <w:rFonts w:ascii="Book Antiqua" w:hAnsi="Book Antiqua" w:cs="Times New Roman"/>
          <w:sz w:val="24"/>
        </w:rPr>
        <w:t>S</w:t>
      </w:r>
      <w:r w:rsidR="005F4D6E" w:rsidRPr="00A94F32">
        <w:rPr>
          <w:rFonts w:ascii="Book Antiqua" w:hAnsi="Book Antiqua" w:cs="Times New Roman"/>
          <w:sz w:val="24"/>
        </w:rPr>
        <w:t xml:space="preserve">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of</w:t>
      </w:r>
      <w:r>
        <w:rPr>
          <w:rFonts w:ascii="Book Antiqua" w:hAnsi="Book Antiqua" w:cs="Times New Roman"/>
          <w:sz w:val="24"/>
        </w:rPr>
        <w:t xml:space="preserve"> </w:t>
      </w:r>
      <w:r w:rsidR="005F4D6E" w:rsidRPr="00A94F32">
        <w:rPr>
          <w:rFonts w:ascii="Book Antiqua" w:hAnsi="Book Antiqua" w:cs="Times New Roman"/>
          <w:sz w:val="24"/>
        </w:rPr>
        <w:t xml:space="preserve">non-survivors was significantly increased (131.20 ± 9.40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and it was much higher than that of the survival group (69.89 ± 6.92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/mL) (</w:t>
      </w:r>
      <w:r w:rsidR="005F4D6E" w:rsidRPr="00A94F32">
        <w:rPr>
          <w:rFonts w:ascii="Book Antiqua" w:hAnsi="Book Antiqua" w:cs="Times New Roman"/>
          <w:i/>
          <w:iCs/>
          <w:sz w:val="24"/>
        </w:rPr>
        <w:t>P</w:t>
      </w:r>
      <w:r w:rsidR="00A94F32" w:rsidRPr="00A94F32">
        <w:rPr>
          <w:rFonts w:ascii="Book Antiqua" w:hAnsi="Book Antiqua" w:cs="Times New Roman"/>
          <w:sz w:val="24"/>
        </w:rPr>
        <w:t xml:space="preserve"> &lt; 0.05; Figure</w:t>
      </w:r>
      <w:r w:rsidR="005F4D6E" w:rsidRPr="00A94F32">
        <w:rPr>
          <w:rFonts w:ascii="Book Antiqua" w:hAnsi="Book Antiqua" w:cs="Times New Roman"/>
          <w:sz w:val="24"/>
        </w:rPr>
        <w:t xml:space="preserve"> 2). </w:t>
      </w:r>
    </w:p>
    <w:p w14:paraId="03FC112C" w14:textId="77777777" w:rsidR="00556F61" w:rsidRPr="00011F23" w:rsidRDefault="00556F61" w:rsidP="00FD2E95">
      <w:pPr>
        <w:snapToGrid w:val="0"/>
        <w:spacing w:line="360" w:lineRule="auto"/>
        <w:rPr>
          <w:rFonts w:ascii="Book Antiqua" w:hAnsi="Book Antiqua" w:cs="Times New Roman"/>
          <w:b/>
          <w:bCs/>
          <w:sz w:val="24"/>
        </w:rPr>
      </w:pPr>
    </w:p>
    <w:p w14:paraId="782B723D" w14:textId="35452962" w:rsidR="00556F61" w:rsidRPr="00A94F32" w:rsidRDefault="005F4D6E" w:rsidP="00FD2E95">
      <w:pPr>
        <w:tabs>
          <w:tab w:val="left" w:pos="945"/>
        </w:tabs>
        <w:snapToGrid w:val="0"/>
        <w:spacing w:line="360" w:lineRule="auto"/>
        <w:rPr>
          <w:rFonts w:ascii="Book Antiqua" w:hAnsi="Book Antiqua" w:cs="Times New Roman"/>
          <w:b/>
          <w:bCs/>
          <w:i/>
          <w:sz w:val="24"/>
        </w:rPr>
      </w:pPr>
      <w:r w:rsidRPr="00A94F32">
        <w:rPr>
          <w:rFonts w:ascii="Book Antiqua" w:hAnsi="Book Antiqua" w:cs="Times New Roman"/>
          <w:b/>
          <w:bCs/>
          <w:i/>
          <w:sz w:val="24"/>
        </w:rPr>
        <w:t>Correlations between</w:t>
      </w:r>
      <w:r w:rsidR="00011F23">
        <w:rPr>
          <w:rFonts w:ascii="Book Antiqua" w:hAnsi="Book Antiqua" w:cs="Times New Roman"/>
          <w:b/>
          <w:bCs/>
          <w:i/>
          <w:sz w:val="24"/>
        </w:rPr>
        <w:t xml:space="preserve"> </w:t>
      </w:r>
      <w:proofErr w:type="spellStart"/>
      <w:r w:rsidRPr="00A94F32">
        <w:rPr>
          <w:rFonts w:ascii="Book Antiqua" w:hAnsi="Book Antiqua" w:cs="Times New Roman"/>
          <w:b/>
          <w:bCs/>
          <w:i/>
          <w:sz w:val="24"/>
        </w:rPr>
        <w:t>sMR</w:t>
      </w:r>
      <w:proofErr w:type="spellEnd"/>
      <w:r w:rsidRPr="00A94F32">
        <w:rPr>
          <w:rFonts w:ascii="Book Antiqua" w:hAnsi="Book Antiqua" w:cs="Times New Roman"/>
          <w:b/>
          <w:bCs/>
          <w:i/>
          <w:sz w:val="24"/>
        </w:rPr>
        <w:t xml:space="preserve"> level and liver injury indicators</w:t>
      </w:r>
    </w:p>
    <w:p w14:paraId="35CA8346" w14:textId="6EC933A3" w:rsidR="00556F61" w:rsidRPr="00A94F32" w:rsidRDefault="005F4D6E" w:rsidP="00FD2E95">
      <w:pPr>
        <w:tabs>
          <w:tab w:val="left" w:pos="945"/>
        </w:tabs>
        <w:snapToGrid w:val="0"/>
        <w:spacing w:line="360" w:lineRule="auto"/>
        <w:rPr>
          <w:rFonts w:ascii="Book Antiqua" w:hAnsi="Book Antiqua" w:cs="Times New Roman"/>
          <w:sz w:val="24"/>
        </w:rPr>
      </w:pPr>
      <w:r w:rsidRPr="00A94F32">
        <w:rPr>
          <w:rFonts w:ascii="Book Antiqua" w:hAnsi="Book Antiqua" w:cs="Times New Roman"/>
          <w:sz w:val="24"/>
        </w:rPr>
        <w:t xml:space="preserve">To further explore the clinical value of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in developing HBV-ACLF, we analyzed the correlations between 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and liver injury parameters, including</w:t>
      </w:r>
      <w:r w:rsidR="00011F23">
        <w:rPr>
          <w:rFonts w:ascii="Book Antiqua" w:hAnsi="Book Antiqua" w:cs="Times New Roman"/>
          <w:sz w:val="24"/>
        </w:rPr>
        <w:t xml:space="preserve"> </w:t>
      </w:r>
      <w:r w:rsidRPr="00A94F32">
        <w:rPr>
          <w:rFonts w:ascii="Book Antiqua" w:hAnsi="Book Antiqua" w:cs="Times New Roman"/>
          <w:sz w:val="24"/>
        </w:rPr>
        <w:t xml:space="preserve">MELD score, HBV-DNA level, and TBIL level. </w:t>
      </w:r>
      <w:r w:rsidR="00011F23">
        <w:rPr>
          <w:rFonts w:ascii="Book Antiqua" w:hAnsi="Book Antiqua" w:cs="Times New Roman"/>
          <w:sz w:val="24"/>
        </w:rPr>
        <w:t>S</w:t>
      </w:r>
      <w:r w:rsidRPr="00A94F32">
        <w:rPr>
          <w:rFonts w:ascii="Book Antiqua" w:hAnsi="Book Antiqua" w:cs="Times New Roman"/>
          <w:sz w:val="24"/>
        </w:rPr>
        <w:t xml:space="preserve">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w:t>
      </w:r>
      <w:r w:rsidRPr="00A94F32">
        <w:rPr>
          <w:rFonts w:ascii="Book Antiqua" w:hAnsi="Book Antiqua" w:cs="Times New Roman"/>
          <w:sz w:val="24"/>
        </w:rPr>
        <w:lastRenderedPageBreak/>
        <w:t>positively correlated with</w:t>
      </w:r>
      <w:r w:rsidR="00011F23">
        <w:rPr>
          <w:rFonts w:ascii="Book Antiqua" w:hAnsi="Book Antiqua" w:cs="Times New Roman"/>
          <w:sz w:val="24"/>
        </w:rPr>
        <w:t xml:space="preserve"> </w:t>
      </w:r>
      <w:r w:rsidRPr="00A94F32">
        <w:rPr>
          <w:rFonts w:ascii="Book Antiqua" w:hAnsi="Book Antiqua" w:cs="Times New Roman"/>
          <w:sz w:val="24"/>
        </w:rPr>
        <w:t>MELD score (</w:t>
      </w:r>
      <w:proofErr w:type="spellStart"/>
      <w:r w:rsidRPr="00A94F32">
        <w:rPr>
          <w:rFonts w:ascii="Book Antiqua" w:hAnsi="Book Antiqua" w:cs="Times New Roman"/>
          <w:bCs/>
          <w:i/>
          <w:iCs/>
          <w:sz w:val="24"/>
          <w:u w:color="FF0000"/>
        </w:rPr>
        <w:t>r</w:t>
      </w:r>
      <w:r w:rsidRPr="00A94F32">
        <w:rPr>
          <w:rFonts w:ascii="Book Antiqua" w:hAnsi="Book Antiqua" w:cs="Times New Roman"/>
          <w:bCs/>
          <w:iCs/>
          <w:sz w:val="24"/>
          <w:u w:color="FF0000"/>
          <w:vertAlign w:val="subscript"/>
        </w:rPr>
        <w:t>s</w:t>
      </w:r>
      <w:proofErr w:type="spellEnd"/>
      <w:r w:rsidRPr="00A94F32">
        <w:rPr>
          <w:rFonts w:ascii="Book Antiqua" w:hAnsi="Book Antiqua" w:cs="Times New Roman"/>
          <w:bCs/>
          <w:iCs/>
          <w:sz w:val="24"/>
          <w:u w:color="FF0000"/>
          <w:vertAlign w:val="subscript"/>
        </w:rPr>
        <w:t xml:space="preserve"> </w:t>
      </w:r>
      <w:r w:rsidRPr="00A94F32">
        <w:rPr>
          <w:rFonts w:ascii="Book Antiqua" w:hAnsi="Book Antiqua" w:cs="Times New Roman"/>
          <w:sz w:val="24"/>
        </w:rPr>
        <w:t xml:space="preserve">= 0.533, </w:t>
      </w:r>
      <w:r w:rsidRPr="00A94F32">
        <w:rPr>
          <w:rFonts w:ascii="Book Antiqua" w:hAnsi="Book Antiqua" w:cs="Times New Roman"/>
          <w:i/>
          <w:sz w:val="24"/>
        </w:rPr>
        <w:t>P</w:t>
      </w:r>
      <w:r w:rsidRPr="00A94F32">
        <w:rPr>
          <w:rFonts w:ascii="Book Antiqua" w:hAnsi="Book Antiqua" w:cs="Times New Roman"/>
          <w:sz w:val="24"/>
        </w:rPr>
        <w:t xml:space="preserve"> = 0.001), HBV-DNA level (</w:t>
      </w:r>
      <w:proofErr w:type="spellStart"/>
      <w:r w:rsidRPr="00A94F32">
        <w:rPr>
          <w:rFonts w:ascii="Book Antiqua" w:hAnsi="Book Antiqua" w:cs="Times New Roman"/>
          <w:bCs/>
          <w:i/>
          <w:iCs/>
          <w:sz w:val="24"/>
          <w:u w:color="FF0000"/>
        </w:rPr>
        <w:t>r</w:t>
      </w:r>
      <w:r w:rsidRPr="00A94F32">
        <w:rPr>
          <w:rFonts w:ascii="Book Antiqua" w:hAnsi="Book Antiqua" w:cs="Times New Roman"/>
          <w:bCs/>
          <w:iCs/>
          <w:sz w:val="24"/>
          <w:u w:color="FF0000"/>
          <w:vertAlign w:val="subscript"/>
        </w:rPr>
        <w:t>s</w:t>
      </w:r>
      <w:proofErr w:type="spellEnd"/>
      <w:r w:rsidRPr="00A94F32">
        <w:rPr>
          <w:rFonts w:ascii="Book Antiqua" w:hAnsi="Book Antiqua" w:cs="Times New Roman"/>
          <w:bCs/>
          <w:iCs/>
          <w:sz w:val="24"/>
          <w:u w:color="FF0000"/>
          <w:vertAlign w:val="subscript"/>
        </w:rPr>
        <w:t xml:space="preserve"> </w:t>
      </w:r>
      <w:r w:rsidRPr="00A94F32">
        <w:rPr>
          <w:rFonts w:ascii="Book Antiqua" w:hAnsi="Book Antiqua" w:cs="Times New Roman"/>
          <w:sz w:val="24"/>
        </w:rPr>
        <w:t xml:space="preserve">= 0.497, </w:t>
      </w:r>
      <w:r w:rsidRPr="00A94F32">
        <w:rPr>
          <w:rFonts w:ascii="Book Antiqua" w:hAnsi="Book Antiqua" w:cs="Times New Roman"/>
          <w:i/>
          <w:sz w:val="24"/>
        </w:rPr>
        <w:t>P</w:t>
      </w:r>
      <w:r w:rsidRPr="00A94F32">
        <w:rPr>
          <w:rFonts w:ascii="Book Antiqua" w:hAnsi="Book Antiqua" w:cs="Times New Roman"/>
          <w:sz w:val="24"/>
        </w:rPr>
        <w:t xml:space="preserve"> = 0.022), and TBIL level (</w:t>
      </w:r>
      <w:bookmarkStart w:id="44" w:name="OLE_LINK2"/>
      <w:proofErr w:type="spellStart"/>
      <w:r w:rsidRPr="00A94F32">
        <w:rPr>
          <w:rFonts w:ascii="Book Antiqua" w:hAnsi="Book Antiqua" w:cs="Times New Roman"/>
          <w:bCs/>
          <w:i/>
          <w:iCs/>
          <w:sz w:val="24"/>
          <w:u w:color="FF0000"/>
        </w:rPr>
        <w:t>r</w:t>
      </w:r>
      <w:r w:rsidRPr="00A94F32">
        <w:rPr>
          <w:rFonts w:ascii="Book Antiqua" w:hAnsi="Book Antiqua" w:cs="Times New Roman"/>
          <w:bCs/>
          <w:iCs/>
          <w:sz w:val="24"/>
          <w:u w:color="FF0000"/>
          <w:vertAlign w:val="subscript"/>
        </w:rPr>
        <w:t>s</w:t>
      </w:r>
      <w:bookmarkEnd w:id="44"/>
      <w:proofErr w:type="spellEnd"/>
      <w:r w:rsidRPr="00A94F32">
        <w:rPr>
          <w:rFonts w:ascii="Book Antiqua" w:hAnsi="Book Antiqua" w:cs="Times New Roman"/>
          <w:bCs/>
          <w:iCs/>
          <w:sz w:val="24"/>
          <w:u w:color="FF0000"/>
          <w:vertAlign w:val="subscript"/>
        </w:rPr>
        <w:t xml:space="preserve"> </w:t>
      </w:r>
      <w:r w:rsidRPr="00A94F32">
        <w:rPr>
          <w:rFonts w:ascii="Book Antiqua" w:hAnsi="Book Antiqua" w:cs="Times New Roman"/>
          <w:sz w:val="24"/>
        </w:rPr>
        <w:t xml:space="preserve">= 0.894, </w:t>
      </w:r>
      <w:r w:rsidRPr="00A94F32">
        <w:rPr>
          <w:rFonts w:ascii="Book Antiqua" w:hAnsi="Book Antiqua" w:cs="Times New Roman"/>
          <w:i/>
          <w:sz w:val="24"/>
        </w:rPr>
        <w:t>P</w:t>
      </w:r>
      <w:r w:rsidR="00A94F32" w:rsidRPr="00A94F32">
        <w:rPr>
          <w:rFonts w:ascii="Book Antiqua" w:hAnsi="Book Antiqua" w:cs="Times New Roman"/>
          <w:sz w:val="24"/>
        </w:rPr>
        <w:t xml:space="preserve"> &lt; 0.001) (Figure</w:t>
      </w:r>
      <w:r w:rsidRPr="00A94F32">
        <w:rPr>
          <w:rFonts w:ascii="Book Antiqua" w:hAnsi="Book Antiqua" w:cs="Times New Roman"/>
          <w:sz w:val="24"/>
        </w:rPr>
        <w:t xml:space="preserve"> 3A</w:t>
      </w:r>
      <w:r w:rsidR="00A94F32">
        <w:rPr>
          <w:rFonts w:ascii="Book Antiqua" w:hAnsi="Book Antiqua" w:cs="Times New Roman" w:hint="eastAsia"/>
          <w:sz w:val="24"/>
        </w:rPr>
        <w:t>-</w:t>
      </w:r>
      <w:r w:rsidRPr="00A94F32">
        <w:rPr>
          <w:rFonts w:ascii="Book Antiqua" w:hAnsi="Book Antiqua" w:cs="Times New Roman"/>
          <w:sz w:val="24"/>
        </w:rPr>
        <w:t>C).</w:t>
      </w:r>
    </w:p>
    <w:p w14:paraId="351AEAAC" w14:textId="77777777" w:rsidR="00556F61" w:rsidRPr="00A94F32" w:rsidRDefault="00556F61" w:rsidP="00FD2E95">
      <w:pPr>
        <w:snapToGrid w:val="0"/>
        <w:spacing w:line="360" w:lineRule="auto"/>
        <w:rPr>
          <w:rFonts w:ascii="Book Antiqua" w:hAnsi="Book Antiqua" w:cs="Times New Roman"/>
          <w:b/>
          <w:bCs/>
          <w:sz w:val="24"/>
        </w:rPr>
      </w:pPr>
    </w:p>
    <w:p w14:paraId="64A9A4F2" w14:textId="632517C2" w:rsidR="00556F61" w:rsidRPr="00A94F32" w:rsidRDefault="00011F23" w:rsidP="00FD2E95">
      <w:pPr>
        <w:snapToGrid w:val="0"/>
        <w:spacing w:line="360" w:lineRule="auto"/>
        <w:rPr>
          <w:rFonts w:ascii="Book Antiqua" w:hAnsi="Book Antiqua" w:cs="Times New Roman"/>
          <w:b/>
          <w:bCs/>
          <w:i/>
          <w:sz w:val="24"/>
        </w:rPr>
      </w:pPr>
      <w:r>
        <w:rPr>
          <w:rFonts w:ascii="Book Antiqua" w:hAnsi="Book Antiqua" w:cs="Times New Roman"/>
          <w:b/>
          <w:bCs/>
          <w:i/>
          <w:sz w:val="24"/>
        </w:rPr>
        <w:t>S</w:t>
      </w:r>
      <w:r w:rsidR="005F4D6E" w:rsidRPr="00A94F32">
        <w:rPr>
          <w:rFonts w:ascii="Book Antiqua" w:hAnsi="Book Antiqua" w:cs="Times New Roman"/>
          <w:b/>
          <w:bCs/>
          <w:i/>
          <w:sz w:val="24"/>
        </w:rPr>
        <w:t xml:space="preserve">erum </w:t>
      </w:r>
      <w:proofErr w:type="spellStart"/>
      <w:r w:rsidR="005F4D6E" w:rsidRPr="00A94F32">
        <w:rPr>
          <w:rFonts w:ascii="Book Antiqua" w:hAnsi="Book Antiqua" w:cs="Times New Roman"/>
          <w:b/>
          <w:bCs/>
          <w:i/>
          <w:sz w:val="24"/>
        </w:rPr>
        <w:t>sMR</w:t>
      </w:r>
      <w:proofErr w:type="spellEnd"/>
      <w:r w:rsidR="005F4D6E" w:rsidRPr="00A94F32">
        <w:rPr>
          <w:rFonts w:ascii="Book Antiqua" w:hAnsi="Book Antiqua" w:cs="Times New Roman"/>
          <w:b/>
          <w:i/>
          <w:sz w:val="24"/>
        </w:rPr>
        <w:t xml:space="preserve"> level </w:t>
      </w:r>
      <w:r>
        <w:rPr>
          <w:rFonts w:ascii="Book Antiqua" w:hAnsi="Book Antiqua" w:cs="Times New Roman"/>
          <w:b/>
          <w:bCs/>
          <w:i/>
          <w:sz w:val="24"/>
        </w:rPr>
        <w:t>i</w:t>
      </w:r>
      <w:r w:rsidRPr="00A94F32">
        <w:rPr>
          <w:rFonts w:ascii="Book Antiqua" w:hAnsi="Book Antiqua" w:cs="Times New Roman"/>
          <w:b/>
          <w:bCs/>
          <w:i/>
          <w:sz w:val="24"/>
        </w:rPr>
        <w:t xml:space="preserve">s </w:t>
      </w:r>
      <w:r w:rsidR="005F4D6E" w:rsidRPr="00A94F32">
        <w:rPr>
          <w:rFonts w:ascii="Book Antiqua" w:hAnsi="Book Antiqua" w:cs="Times New Roman"/>
          <w:b/>
          <w:bCs/>
          <w:i/>
          <w:sz w:val="24"/>
        </w:rPr>
        <w:t xml:space="preserve">an independent risk factor </w:t>
      </w:r>
      <w:r>
        <w:rPr>
          <w:rFonts w:ascii="Book Antiqua" w:hAnsi="Book Antiqua" w:cs="Times New Roman"/>
          <w:b/>
          <w:bCs/>
          <w:i/>
          <w:sz w:val="24"/>
        </w:rPr>
        <w:t>for</w:t>
      </w:r>
      <w:r w:rsidR="005F4D6E" w:rsidRPr="00A94F32">
        <w:rPr>
          <w:rFonts w:ascii="Book Antiqua" w:hAnsi="Book Antiqua" w:cs="Times New Roman"/>
          <w:b/>
          <w:bCs/>
          <w:i/>
          <w:sz w:val="24"/>
        </w:rPr>
        <w:t xml:space="preserve"> mortality in</w:t>
      </w:r>
      <w:r>
        <w:rPr>
          <w:rFonts w:ascii="Book Antiqua" w:hAnsi="Book Antiqua" w:cs="Times New Roman"/>
          <w:b/>
          <w:bCs/>
          <w:i/>
          <w:sz w:val="24"/>
        </w:rPr>
        <w:t xml:space="preserve"> </w:t>
      </w:r>
      <w:r w:rsidR="005F4D6E" w:rsidRPr="00A94F32">
        <w:rPr>
          <w:rFonts w:ascii="Book Antiqua" w:hAnsi="Book Antiqua" w:cs="Times New Roman"/>
          <w:b/>
          <w:bCs/>
          <w:i/>
          <w:sz w:val="24"/>
        </w:rPr>
        <w:t xml:space="preserve">HBV-ACLF patients </w:t>
      </w:r>
    </w:p>
    <w:p w14:paraId="5B29B74C" w14:textId="53BBF5FD"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To determine the potential of</w:t>
      </w:r>
      <w:r w:rsidR="00011F23">
        <w:rPr>
          <w:rFonts w:ascii="Book Antiqua" w:hAnsi="Book Antiqua" w:cs="Times New Roman"/>
          <w:sz w:val="24"/>
        </w:rPr>
        <w:t xml:space="preserve"> </w:t>
      </w:r>
      <w:r w:rsidRPr="00A94F32">
        <w:rPr>
          <w:rFonts w:ascii="Book Antiqua" w:hAnsi="Book Antiqua" w:cs="Times New Roman"/>
          <w:sz w:val="24"/>
        </w:rPr>
        <w:t xml:space="preserve">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to predict the prognosis of HBV-ACLF, univariate and multivariate logistic regression analyses were employed to test the following parameters (see Table 2). MELD score was calculated using the TBIL, Cr, and INR, so these three values were not used in the logistic regression. The multivariate analysis indicated that</w:t>
      </w:r>
      <w:r w:rsidR="00011F23">
        <w:rPr>
          <w:rFonts w:ascii="Book Antiqua" w:hAnsi="Book Antiqua" w:cs="Times New Roman"/>
          <w:sz w:val="24"/>
        </w:rPr>
        <w:t xml:space="preserve"> </w:t>
      </w:r>
      <w:r w:rsidRPr="00A94F32">
        <w:rPr>
          <w:rFonts w:ascii="Book Antiqua" w:hAnsi="Book Antiqua" w:cs="Times New Roman"/>
          <w:sz w:val="24"/>
        </w:rPr>
        <w:t xml:space="preserve">MELD score [odds ratio (OR) = 1.132, 95% confidence interval </w:t>
      </w:r>
      <w:r w:rsidR="00A94F32" w:rsidRPr="00A94F32">
        <w:rPr>
          <w:rFonts w:ascii="Book Antiqua" w:hAnsi="Book Antiqua" w:cs="Times New Roman"/>
          <w:sz w:val="24"/>
        </w:rPr>
        <w:t>(</w:t>
      </w:r>
      <w:r w:rsidRPr="00A94F32">
        <w:rPr>
          <w:rFonts w:ascii="Book Antiqua" w:hAnsi="Book Antiqua" w:cs="Times New Roman"/>
          <w:sz w:val="24"/>
        </w:rPr>
        <w:t>CI)</w:t>
      </w:r>
      <w:r w:rsidR="00835195">
        <w:rPr>
          <w:rFonts w:ascii="Book Antiqua" w:hAnsi="Book Antiqua" w:cs="Times New Roman"/>
          <w:sz w:val="24"/>
        </w:rPr>
        <w:t>:</w:t>
      </w:r>
      <w:r w:rsidRPr="00A94F32">
        <w:rPr>
          <w:rFonts w:ascii="Book Antiqua" w:hAnsi="Book Antiqua" w:cs="Times New Roman"/>
          <w:sz w:val="24"/>
        </w:rPr>
        <w:t xml:space="preserve"> 1.046</w:t>
      </w:r>
      <w:r w:rsidR="00A94F32" w:rsidRPr="00A94F32">
        <w:rPr>
          <w:rFonts w:ascii="Book Antiqua" w:hAnsi="Book Antiqua" w:cs="Times New Roman"/>
          <w:sz w:val="24"/>
        </w:rPr>
        <w:t>-</w:t>
      </w:r>
      <w:r w:rsidRPr="00A94F32">
        <w:rPr>
          <w:rFonts w:ascii="Book Antiqua" w:hAnsi="Book Antiqua" w:cs="Times New Roman"/>
          <w:sz w:val="24"/>
        </w:rPr>
        <w:t xml:space="preserve">1.396, </w:t>
      </w:r>
      <w:r w:rsidRPr="00A94F32">
        <w:rPr>
          <w:rFonts w:ascii="Book Antiqua" w:hAnsi="Book Antiqua" w:cs="Times New Roman"/>
          <w:i/>
          <w:iCs/>
          <w:sz w:val="24"/>
        </w:rPr>
        <w:t>P</w:t>
      </w:r>
      <w:r w:rsidRPr="00A94F32">
        <w:rPr>
          <w:rFonts w:ascii="Book Antiqua" w:hAnsi="Book Antiqua" w:cs="Times New Roman"/>
          <w:iCs/>
          <w:sz w:val="24"/>
        </w:rPr>
        <w:t xml:space="preserve"> </w:t>
      </w:r>
      <w:r w:rsidRPr="00A94F32">
        <w:rPr>
          <w:rFonts w:ascii="Book Antiqua" w:hAnsi="Book Antiqua" w:cs="Times New Roman"/>
          <w:sz w:val="24"/>
        </w:rPr>
        <w:t xml:space="preserve">= 0.001] and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(OR = 1.007, 95%CI</w:t>
      </w:r>
      <w:r w:rsidR="00835195">
        <w:rPr>
          <w:rFonts w:ascii="Book Antiqua" w:hAnsi="Book Antiqua" w:cs="Times New Roman"/>
          <w:sz w:val="24"/>
        </w:rPr>
        <w:t>:</w:t>
      </w:r>
      <w:r w:rsidRPr="00A94F32">
        <w:rPr>
          <w:rFonts w:ascii="Book Antiqua" w:hAnsi="Book Antiqua" w:cs="Times New Roman"/>
          <w:sz w:val="24"/>
        </w:rPr>
        <w:t xml:space="preserve"> 1.004</w:t>
      </w:r>
      <w:r w:rsidR="00A94F32" w:rsidRPr="00A94F32">
        <w:rPr>
          <w:rFonts w:ascii="Book Antiqua" w:hAnsi="Book Antiqua" w:cs="Times New Roman"/>
          <w:sz w:val="24"/>
        </w:rPr>
        <w:t>-</w:t>
      </w:r>
      <w:r w:rsidRPr="00A94F32">
        <w:rPr>
          <w:rFonts w:ascii="Book Antiqua" w:hAnsi="Book Antiqua" w:cs="Times New Roman"/>
          <w:sz w:val="24"/>
        </w:rPr>
        <w:t xml:space="preserve">1.012, </w:t>
      </w:r>
      <w:r w:rsidRPr="00A94F32">
        <w:rPr>
          <w:rFonts w:ascii="Book Antiqua" w:hAnsi="Book Antiqua" w:cs="Times New Roman"/>
          <w:i/>
          <w:iCs/>
          <w:sz w:val="24"/>
        </w:rPr>
        <w:t>P</w:t>
      </w:r>
      <w:r w:rsidRPr="00A94F32">
        <w:rPr>
          <w:rFonts w:ascii="Book Antiqua" w:hAnsi="Book Antiqua" w:cs="Times New Roman"/>
          <w:iCs/>
          <w:sz w:val="24"/>
        </w:rPr>
        <w:t xml:space="preserve"> </w:t>
      </w:r>
      <w:r w:rsidRPr="00A94F32">
        <w:rPr>
          <w:rFonts w:ascii="Book Antiqua" w:hAnsi="Book Antiqua" w:cs="Times New Roman"/>
          <w:sz w:val="24"/>
        </w:rPr>
        <w:t>= 0.001) were independent risk factors for the 90-day mortality (Table 2).</w:t>
      </w:r>
    </w:p>
    <w:p w14:paraId="6A69C136" w14:textId="77777777" w:rsidR="00556F61" w:rsidRPr="00A94F32" w:rsidRDefault="00556F61" w:rsidP="00FD2E95">
      <w:pPr>
        <w:snapToGrid w:val="0"/>
        <w:spacing w:line="360" w:lineRule="auto"/>
        <w:rPr>
          <w:rFonts w:ascii="Book Antiqua" w:hAnsi="Book Antiqua" w:cs="Times New Roman"/>
          <w:b/>
          <w:bCs/>
          <w:sz w:val="24"/>
        </w:rPr>
      </w:pPr>
    </w:p>
    <w:p w14:paraId="76263651" w14:textId="64AFF950" w:rsidR="00556F61" w:rsidRPr="00A94F32" w:rsidRDefault="00011F23" w:rsidP="00FD2E95">
      <w:pPr>
        <w:snapToGrid w:val="0"/>
        <w:spacing w:line="360" w:lineRule="auto"/>
        <w:rPr>
          <w:rFonts w:ascii="Book Antiqua" w:hAnsi="Book Antiqua" w:cs="Times New Roman"/>
          <w:b/>
          <w:bCs/>
          <w:i/>
          <w:sz w:val="24"/>
        </w:rPr>
      </w:pPr>
      <w:r>
        <w:rPr>
          <w:rFonts w:ascii="Book Antiqua" w:hAnsi="Book Antiqua" w:cs="Times New Roman"/>
          <w:b/>
          <w:bCs/>
          <w:i/>
          <w:sz w:val="24"/>
        </w:rPr>
        <w:t>S</w:t>
      </w:r>
      <w:r w:rsidR="005F4D6E" w:rsidRPr="00A94F32">
        <w:rPr>
          <w:rFonts w:ascii="Book Antiqua" w:hAnsi="Book Antiqua" w:cs="Times New Roman"/>
          <w:b/>
          <w:bCs/>
          <w:i/>
          <w:sz w:val="24"/>
        </w:rPr>
        <w:t xml:space="preserve">erum </w:t>
      </w:r>
      <w:proofErr w:type="spellStart"/>
      <w:r w:rsidR="005F4D6E" w:rsidRPr="00A94F32">
        <w:rPr>
          <w:rFonts w:ascii="Book Antiqua" w:hAnsi="Book Antiqua" w:cs="Times New Roman"/>
          <w:b/>
          <w:bCs/>
          <w:i/>
          <w:sz w:val="24"/>
        </w:rPr>
        <w:t>sMR</w:t>
      </w:r>
      <w:proofErr w:type="spellEnd"/>
      <w:r w:rsidR="005F4D6E" w:rsidRPr="00A94F32">
        <w:rPr>
          <w:rFonts w:ascii="Book Antiqua" w:hAnsi="Book Antiqua" w:cs="Times New Roman"/>
          <w:b/>
          <w:bCs/>
          <w:i/>
          <w:sz w:val="24"/>
        </w:rPr>
        <w:t xml:space="preserve"> level apparently </w:t>
      </w:r>
      <w:r w:rsidRPr="00A94F32">
        <w:rPr>
          <w:rFonts w:ascii="Book Antiqua" w:hAnsi="Book Antiqua" w:cs="Times New Roman"/>
          <w:b/>
          <w:bCs/>
          <w:i/>
          <w:sz w:val="24"/>
        </w:rPr>
        <w:t>improve</w:t>
      </w:r>
      <w:r>
        <w:rPr>
          <w:rFonts w:ascii="Book Antiqua" w:hAnsi="Book Antiqua" w:cs="Times New Roman"/>
          <w:b/>
          <w:bCs/>
          <w:i/>
          <w:sz w:val="24"/>
        </w:rPr>
        <w:t>s</w:t>
      </w:r>
      <w:r w:rsidRPr="00A94F32">
        <w:rPr>
          <w:rFonts w:ascii="Book Antiqua" w:hAnsi="Book Antiqua" w:cs="Times New Roman"/>
          <w:b/>
          <w:bCs/>
          <w:i/>
          <w:sz w:val="24"/>
        </w:rPr>
        <w:t xml:space="preserve"> </w:t>
      </w:r>
      <w:r>
        <w:rPr>
          <w:rFonts w:ascii="Book Antiqua" w:hAnsi="Book Antiqua" w:cs="Times New Roman"/>
          <w:b/>
          <w:bCs/>
          <w:i/>
          <w:sz w:val="24"/>
        </w:rPr>
        <w:t xml:space="preserve">performance of </w:t>
      </w:r>
      <w:r w:rsidR="005F4D6E" w:rsidRPr="00A94F32">
        <w:rPr>
          <w:rFonts w:ascii="Book Antiqua" w:hAnsi="Book Antiqua" w:cs="Times New Roman"/>
          <w:b/>
          <w:bCs/>
          <w:i/>
          <w:sz w:val="24"/>
        </w:rPr>
        <w:t xml:space="preserve">MELD score </w:t>
      </w:r>
      <w:r>
        <w:rPr>
          <w:rFonts w:ascii="Book Antiqua" w:hAnsi="Book Antiqua" w:cs="Times New Roman"/>
          <w:b/>
          <w:bCs/>
          <w:i/>
          <w:sz w:val="24"/>
        </w:rPr>
        <w:t>for</w:t>
      </w:r>
      <w:r w:rsidR="005F4D6E" w:rsidRPr="00A94F32">
        <w:rPr>
          <w:rFonts w:ascii="Book Antiqua" w:hAnsi="Book Antiqua" w:cs="Times New Roman"/>
          <w:b/>
          <w:bCs/>
          <w:i/>
          <w:sz w:val="24"/>
        </w:rPr>
        <w:t xml:space="preserve"> predicting</w:t>
      </w:r>
      <w:r>
        <w:rPr>
          <w:rFonts w:ascii="Book Antiqua" w:hAnsi="Book Antiqua" w:cs="Times New Roman"/>
          <w:b/>
          <w:bCs/>
          <w:i/>
          <w:sz w:val="24"/>
        </w:rPr>
        <w:t xml:space="preserve"> </w:t>
      </w:r>
      <w:r w:rsidR="005F4D6E" w:rsidRPr="00A94F32">
        <w:rPr>
          <w:rFonts w:ascii="Book Antiqua" w:hAnsi="Book Antiqua" w:cs="Times New Roman"/>
          <w:b/>
          <w:bCs/>
          <w:i/>
          <w:sz w:val="24"/>
        </w:rPr>
        <w:t>prognosis of</w:t>
      </w:r>
      <w:r>
        <w:rPr>
          <w:rFonts w:ascii="Book Antiqua" w:hAnsi="Book Antiqua" w:cs="Times New Roman"/>
          <w:b/>
          <w:bCs/>
          <w:i/>
          <w:sz w:val="24"/>
        </w:rPr>
        <w:t xml:space="preserve"> </w:t>
      </w:r>
      <w:r w:rsidR="005F4D6E" w:rsidRPr="00A94F32">
        <w:rPr>
          <w:rFonts w:ascii="Book Antiqua" w:hAnsi="Book Antiqua" w:cs="Times New Roman"/>
          <w:b/>
          <w:bCs/>
          <w:i/>
          <w:sz w:val="24"/>
        </w:rPr>
        <w:t>HBV</w:t>
      </w:r>
      <w:r w:rsidR="002A3B17">
        <w:rPr>
          <w:rFonts w:ascii="Book Antiqua" w:hAnsi="Book Antiqua" w:cs="Times New Roman" w:hint="eastAsia"/>
          <w:b/>
          <w:bCs/>
          <w:i/>
          <w:sz w:val="24"/>
        </w:rPr>
        <w:t>-</w:t>
      </w:r>
      <w:r w:rsidR="005F4D6E" w:rsidRPr="00A94F32">
        <w:rPr>
          <w:rFonts w:ascii="Book Antiqua" w:hAnsi="Book Antiqua" w:cs="Times New Roman"/>
          <w:b/>
          <w:bCs/>
          <w:i/>
          <w:sz w:val="24"/>
        </w:rPr>
        <w:t>ACLF patients</w:t>
      </w:r>
    </w:p>
    <w:p w14:paraId="32FEAB60" w14:textId="67623794" w:rsidR="00556F61" w:rsidRPr="00A94F32" w:rsidRDefault="00011F23" w:rsidP="00FD2E95">
      <w:pPr>
        <w:snapToGrid w:val="0"/>
        <w:spacing w:line="360" w:lineRule="auto"/>
        <w:rPr>
          <w:rFonts w:ascii="Book Antiqua" w:hAnsi="Book Antiqua" w:cs="Times New Roman"/>
          <w:sz w:val="24"/>
        </w:rPr>
      </w:pPr>
      <w:r>
        <w:rPr>
          <w:rFonts w:ascii="Book Antiqua" w:hAnsi="Book Antiqua" w:cs="Times New Roman"/>
          <w:sz w:val="24"/>
        </w:rPr>
        <w:t>P</w:t>
      </w:r>
      <w:r w:rsidR="005F4D6E" w:rsidRPr="00A94F32">
        <w:rPr>
          <w:rFonts w:ascii="Book Antiqua" w:hAnsi="Book Antiqua" w:cs="Times New Roman"/>
          <w:sz w:val="24"/>
        </w:rPr>
        <w:t xml:space="preserve">atients with HBV-ACLF were stratified into two groups in accordance with the cutoff value of serum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The best cutoff value of</w:t>
      </w:r>
      <w:r>
        <w:rPr>
          <w:rFonts w:ascii="Book Antiqua" w:hAnsi="Book Antiqua" w:cs="Times New Roman"/>
          <w:sz w:val="24"/>
        </w:rPr>
        <w:t xml:space="preserve">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was identified using</w:t>
      </w:r>
      <w:r>
        <w:rPr>
          <w:rFonts w:ascii="Book Antiqua" w:hAnsi="Book Antiqua" w:cs="Times New Roman"/>
          <w:sz w:val="24"/>
        </w:rPr>
        <w:t xml:space="preserve"> </w:t>
      </w:r>
      <w:r w:rsidR="005F4D6E" w:rsidRPr="00A94F32">
        <w:rPr>
          <w:rFonts w:ascii="Book Antiqua" w:hAnsi="Book Antiqua" w:cs="Times New Roman"/>
          <w:sz w:val="24"/>
        </w:rPr>
        <w:t xml:space="preserve">SPSS Modeler 18.0 software (low risk: &lt;99.84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and high risk: ≥99.84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 xml:space="preserve">/mL). The </w:t>
      </w:r>
      <w:r w:rsidRPr="00A94F32">
        <w:rPr>
          <w:rFonts w:ascii="Book Antiqua" w:hAnsi="Book Antiqua" w:cs="Times New Roman"/>
          <w:sz w:val="24"/>
        </w:rPr>
        <w:t xml:space="preserve">90-day </w:t>
      </w:r>
      <w:r w:rsidR="005F4D6E" w:rsidRPr="00A94F32">
        <w:rPr>
          <w:rFonts w:ascii="Book Antiqua" w:hAnsi="Book Antiqua" w:cs="Times New Roman"/>
          <w:sz w:val="24"/>
        </w:rPr>
        <w:t>mortality rates</w:t>
      </w:r>
      <w:r>
        <w:rPr>
          <w:rFonts w:ascii="Book Antiqua" w:hAnsi="Book Antiqua" w:cs="Times New Roman"/>
          <w:sz w:val="24"/>
        </w:rPr>
        <w:t xml:space="preserve"> </w:t>
      </w:r>
      <w:r w:rsidR="005F4D6E" w:rsidRPr="00A94F32">
        <w:rPr>
          <w:rFonts w:ascii="Book Antiqua" w:hAnsi="Book Antiqua" w:cs="Times New Roman"/>
          <w:sz w:val="24"/>
        </w:rPr>
        <w:t xml:space="preserve">were 27.3% (3/11) for the </w:t>
      </w:r>
      <w:r w:rsidRPr="00A94F32">
        <w:rPr>
          <w:rFonts w:ascii="Book Antiqua" w:hAnsi="Book Antiqua" w:cs="Times New Roman"/>
          <w:sz w:val="24"/>
        </w:rPr>
        <w:t xml:space="preserve">low-risk </w:t>
      </w:r>
      <w:r w:rsidR="005F4D6E" w:rsidRPr="00A94F32">
        <w:rPr>
          <w:rFonts w:ascii="Book Antiqua" w:hAnsi="Book Antiqua" w:cs="Times New Roman"/>
          <w:sz w:val="24"/>
        </w:rPr>
        <w:t>group</w:t>
      </w:r>
      <w:r>
        <w:rPr>
          <w:rFonts w:ascii="Book Antiqua" w:hAnsi="Book Antiqua" w:cs="Times New Roman"/>
          <w:sz w:val="24"/>
        </w:rPr>
        <w:t xml:space="preserve"> </w:t>
      </w:r>
      <w:r w:rsidR="005F4D6E" w:rsidRPr="00A94F32">
        <w:rPr>
          <w:rFonts w:ascii="Book Antiqua" w:hAnsi="Book Antiqua" w:cs="Times New Roman"/>
          <w:sz w:val="24"/>
        </w:rPr>
        <w:t xml:space="preserve">and 87.5% (28/32) for the </w:t>
      </w:r>
      <w:r w:rsidRPr="00A94F32">
        <w:rPr>
          <w:rFonts w:ascii="Book Antiqua" w:hAnsi="Book Antiqua" w:cs="Times New Roman"/>
          <w:sz w:val="24"/>
        </w:rPr>
        <w:t xml:space="preserve">high-risk </w:t>
      </w:r>
      <w:r w:rsidR="005F4D6E" w:rsidRPr="00A94F32">
        <w:rPr>
          <w:rFonts w:ascii="Book Antiqua" w:hAnsi="Book Antiqua" w:cs="Times New Roman"/>
          <w:sz w:val="24"/>
        </w:rPr>
        <w:t>group k, and</w:t>
      </w:r>
      <w:r w:rsidR="008736B7">
        <w:rPr>
          <w:rFonts w:ascii="Book Antiqua" w:hAnsi="Book Antiqua" w:cs="Times New Roman"/>
          <w:sz w:val="24"/>
        </w:rPr>
        <w:t xml:space="preserve"> </w:t>
      </w:r>
      <w:r w:rsidR="005F4D6E" w:rsidRPr="00A94F32">
        <w:rPr>
          <w:rFonts w:ascii="Book Antiqua" w:hAnsi="Book Antiqua" w:cs="Times New Roman"/>
          <w:sz w:val="24"/>
        </w:rPr>
        <w:t xml:space="preserve">patients with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levels ≥ 99.84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/mL</w:t>
      </w:r>
      <w:r w:rsidR="00A94F32" w:rsidRPr="00A94F32">
        <w:rPr>
          <w:rFonts w:ascii="Book Antiqua" w:hAnsi="Book Antiqua" w:cs="Times New Roman"/>
          <w:sz w:val="24"/>
        </w:rPr>
        <w:t xml:space="preserve"> had poor prognoses (Figure</w:t>
      </w:r>
      <w:r w:rsidR="005F4D6E" w:rsidRPr="00A94F32">
        <w:rPr>
          <w:rFonts w:ascii="Book Antiqua" w:hAnsi="Book Antiqua" w:cs="Times New Roman"/>
          <w:sz w:val="24"/>
        </w:rPr>
        <w:t xml:space="preserve"> 4). When the optimal cut-off value was 99.84 </w:t>
      </w:r>
      <w:proofErr w:type="spellStart"/>
      <w:r w:rsidR="005F4D6E" w:rsidRPr="00A94F32">
        <w:rPr>
          <w:rFonts w:ascii="Book Antiqua" w:hAnsi="Book Antiqua" w:cs="Times New Roman"/>
          <w:sz w:val="24"/>
        </w:rPr>
        <w:t>pg</w:t>
      </w:r>
      <w:proofErr w:type="spellEnd"/>
      <w:r w:rsidR="005F4D6E" w:rsidRPr="00A94F32">
        <w:rPr>
          <w:rFonts w:ascii="Book Antiqua" w:hAnsi="Book Antiqua" w:cs="Times New Roman"/>
          <w:sz w:val="24"/>
        </w:rPr>
        <w:t>/mL, the sensitivity and specificity of</w:t>
      </w:r>
      <w:r w:rsidR="008A212E">
        <w:rPr>
          <w:rFonts w:ascii="Book Antiqua" w:hAnsi="Book Antiqua" w:cs="Times New Roman"/>
          <w:sz w:val="24"/>
        </w:rPr>
        <w:t xml:space="preserve">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w:t>
      </w:r>
      <w:r w:rsidR="008A212E">
        <w:rPr>
          <w:rFonts w:ascii="Book Antiqua" w:hAnsi="Book Antiqua" w:cs="Times New Roman"/>
          <w:sz w:val="24"/>
        </w:rPr>
        <w:t>for predicting</w:t>
      </w:r>
      <w:r w:rsidR="008A212E" w:rsidRPr="00A94F32">
        <w:rPr>
          <w:rFonts w:ascii="Book Antiqua" w:hAnsi="Book Antiqua" w:cs="Times New Roman"/>
          <w:sz w:val="24"/>
        </w:rPr>
        <w:t xml:space="preserve"> </w:t>
      </w:r>
      <w:r w:rsidR="005F4D6E" w:rsidRPr="00A94F32">
        <w:rPr>
          <w:rFonts w:ascii="Book Antiqua" w:hAnsi="Book Antiqua" w:cs="Times New Roman"/>
          <w:sz w:val="24"/>
        </w:rPr>
        <w:t>the 90-day mortality</w:t>
      </w:r>
      <w:r w:rsidR="008A212E">
        <w:rPr>
          <w:rFonts w:ascii="Book Antiqua" w:hAnsi="Book Antiqua" w:cs="Times New Roman"/>
          <w:sz w:val="24"/>
        </w:rPr>
        <w:t xml:space="preserve"> </w:t>
      </w:r>
      <w:r w:rsidR="005F4D6E" w:rsidRPr="00A94F32">
        <w:rPr>
          <w:rFonts w:ascii="Book Antiqua" w:hAnsi="Book Antiqua" w:cs="Times New Roman"/>
          <w:sz w:val="24"/>
        </w:rPr>
        <w:t xml:space="preserve">were 70.6% and 83.3%, respectively. In addition, compared with the single MELD score, the new prognostic model </w:t>
      </w:r>
      <w:r w:rsidR="008A212E" w:rsidRPr="00A94F32">
        <w:rPr>
          <w:rFonts w:ascii="Book Antiqua" w:hAnsi="Book Antiqua" w:cs="Times New Roman"/>
          <w:sz w:val="24"/>
        </w:rPr>
        <w:t>combin</w:t>
      </w:r>
      <w:r w:rsidR="008A212E">
        <w:rPr>
          <w:rFonts w:ascii="Book Antiqua" w:hAnsi="Book Antiqua" w:cs="Times New Roman"/>
          <w:sz w:val="24"/>
        </w:rPr>
        <w:t>ing</w:t>
      </w:r>
      <w:r w:rsidR="005F4D6E" w:rsidRPr="00A94F32">
        <w:rPr>
          <w:rFonts w:ascii="Book Antiqua" w:hAnsi="Book Antiqua" w:cs="Times New Roman"/>
          <w:sz w:val="24"/>
        </w:rPr>
        <w:t xml:space="preserve"> MELD</w:t>
      </w:r>
      <w:r w:rsidR="008A212E">
        <w:rPr>
          <w:rFonts w:ascii="Book Antiqua" w:hAnsi="Book Antiqua" w:cs="Times New Roman"/>
          <w:sz w:val="24"/>
        </w:rPr>
        <w:t xml:space="preserve"> with</w:t>
      </w:r>
      <w:r w:rsidR="005F4D6E" w:rsidRPr="00A94F32">
        <w:rPr>
          <w:rFonts w:ascii="Book Antiqua" w:hAnsi="Book Antiqua" w:cs="Times New Roman"/>
          <w:sz w:val="24"/>
        </w:rPr>
        <w:t xml:space="preserve">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showed a significant advantage in terms of</w:t>
      </w:r>
      <w:r w:rsidR="008A212E">
        <w:rPr>
          <w:rFonts w:ascii="Book Antiqua" w:hAnsi="Book Antiqua" w:cs="Times New Roman"/>
          <w:sz w:val="24"/>
        </w:rPr>
        <w:t xml:space="preserve"> </w:t>
      </w:r>
      <w:r w:rsidR="005F4D6E" w:rsidRPr="00A94F32">
        <w:rPr>
          <w:rFonts w:ascii="Book Antiqua" w:hAnsi="Book Antiqua" w:cs="Times New Roman"/>
          <w:sz w:val="24"/>
        </w:rPr>
        <w:t>prognostic accuracy</w:t>
      </w:r>
      <w:r w:rsidR="008A212E">
        <w:rPr>
          <w:rFonts w:ascii="Book Antiqua" w:hAnsi="Book Antiqua" w:cs="Times New Roman"/>
          <w:sz w:val="24"/>
        </w:rPr>
        <w:t xml:space="preserve"> </w:t>
      </w:r>
      <w:r w:rsidR="005F4D6E" w:rsidRPr="00A94F32">
        <w:rPr>
          <w:rFonts w:ascii="Book Antiqua" w:hAnsi="Book Antiqua" w:cs="Times New Roman"/>
          <w:sz w:val="24"/>
        </w:rPr>
        <w:t xml:space="preserve">(AUROC = 0.903 and 0.717, respectively, </w:t>
      </w:r>
      <w:r w:rsidR="005F4D6E" w:rsidRPr="00A94F32">
        <w:rPr>
          <w:rFonts w:ascii="Book Antiqua" w:hAnsi="Book Antiqua" w:cs="Times New Roman"/>
          <w:i/>
          <w:iCs/>
          <w:sz w:val="24"/>
        </w:rPr>
        <w:t>P</w:t>
      </w:r>
      <w:r w:rsidR="005F4D6E" w:rsidRPr="00A94F32">
        <w:rPr>
          <w:rFonts w:ascii="Book Antiqua" w:hAnsi="Book Antiqua" w:cs="Times New Roman"/>
          <w:iCs/>
          <w:sz w:val="24"/>
        </w:rPr>
        <w:t xml:space="preserve"> </w:t>
      </w:r>
      <w:r w:rsidR="00A94F32" w:rsidRPr="00A94F32">
        <w:rPr>
          <w:rFonts w:ascii="Book Antiqua" w:hAnsi="Book Antiqua" w:cs="Times New Roman"/>
          <w:sz w:val="24"/>
        </w:rPr>
        <w:t>= 0.025) (Figure</w:t>
      </w:r>
      <w:r w:rsidR="005F4D6E" w:rsidRPr="00A94F32">
        <w:rPr>
          <w:rFonts w:ascii="Book Antiqua" w:hAnsi="Book Antiqua" w:cs="Times New Roman"/>
          <w:sz w:val="24"/>
        </w:rPr>
        <w:t xml:space="preserve"> 5).</w:t>
      </w:r>
    </w:p>
    <w:p w14:paraId="6F0155B8" w14:textId="77777777" w:rsidR="00556F61" w:rsidRPr="00A94F32" w:rsidRDefault="00556F61" w:rsidP="00FD2E95">
      <w:pPr>
        <w:snapToGrid w:val="0"/>
        <w:spacing w:line="360" w:lineRule="auto"/>
        <w:rPr>
          <w:rFonts w:ascii="Book Antiqua" w:hAnsi="Book Antiqua" w:cs="Times New Roman"/>
          <w:b/>
          <w:bCs/>
          <w:sz w:val="24"/>
        </w:rPr>
      </w:pPr>
    </w:p>
    <w:p w14:paraId="21425780" w14:textId="77777777" w:rsidR="00556F61" w:rsidRPr="00A94F32" w:rsidRDefault="00A94F32"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t>DISCUSSION</w:t>
      </w:r>
    </w:p>
    <w:p w14:paraId="09239375" w14:textId="434E06AB"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Our study demonstrated that</w:t>
      </w:r>
      <w:r w:rsidR="00237058">
        <w:rPr>
          <w:rFonts w:ascii="Book Antiqua" w:hAnsi="Book Antiqua" w:cs="Times New Roman"/>
          <w:sz w:val="24"/>
        </w:rPr>
        <w:t xml:space="preserve"> </w:t>
      </w:r>
      <w:r w:rsidRPr="00A94F32">
        <w:rPr>
          <w:rFonts w:ascii="Book Antiqua" w:hAnsi="Book Antiqua" w:cs="Times New Roman"/>
          <w:sz w:val="24"/>
        </w:rPr>
        <w:t xml:space="preserve">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levels in</w:t>
      </w:r>
      <w:r w:rsidR="00237058">
        <w:rPr>
          <w:rFonts w:ascii="Book Antiqua" w:hAnsi="Book Antiqua" w:cs="Times New Roman"/>
          <w:sz w:val="24"/>
        </w:rPr>
        <w:t xml:space="preserve"> </w:t>
      </w:r>
      <w:r w:rsidRPr="00A94F32">
        <w:rPr>
          <w:rFonts w:ascii="Book Antiqua" w:hAnsi="Book Antiqua" w:cs="Times New Roman"/>
          <w:sz w:val="24"/>
        </w:rPr>
        <w:t xml:space="preserve">patients with HBV-ACLF were increased significantly, and they helped to distinguish the survivors from </w:t>
      </w:r>
      <w:r w:rsidRPr="00A94F32">
        <w:rPr>
          <w:rFonts w:ascii="Book Antiqua" w:hAnsi="Book Antiqua" w:cs="Times New Roman"/>
          <w:sz w:val="24"/>
        </w:rPr>
        <w:lastRenderedPageBreak/>
        <w:t xml:space="preserve">non-survivors. </w:t>
      </w:r>
      <w:r w:rsidR="00237058">
        <w:rPr>
          <w:rFonts w:ascii="Book Antiqua" w:hAnsi="Book Antiqua" w:cs="Times New Roman"/>
          <w:sz w:val="24"/>
        </w:rPr>
        <w:t>S</w:t>
      </w:r>
      <w:r w:rsidRPr="00A94F32">
        <w:rPr>
          <w:rFonts w:ascii="Book Antiqua" w:hAnsi="Book Antiqua" w:cs="Times New Roman"/>
          <w:sz w:val="24"/>
        </w:rPr>
        <w:t xml:space="preserve">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positively correlated with</w:t>
      </w:r>
      <w:r w:rsidR="00237058">
        <w:rPr>
          <w:rFonts w:ascii="Book Antiqua" w:hAnsi="Book Antiqua" w:cs="Times New Roman"/>
          <w:sz w:val="24"/>
        </w:rPr>
        <w:t xml:space="preserve"> </w:t>
      </w:r>
      <w:r w:rsidRPr="00A94F32">
        <w:rPr>
          <w:rFonts w:ascii="Book Antiqua" w:hAnsi="Book Antiqua" w:cs="Times New Roman"/>
          <w:sz w:val="24"/>
        </w:rPr>
        <w:t>MELD score</w:t>
      </w:r>
      <w:r w:rsidR="00237058">
        <w:rPr>
          <w:rFonts w:ascii="Book Antiqua" w:hAnsi="Book Antiqua" w:cs="Times New Roman"/>
          <w:sz w:val="24"/>
        </w:rPr>
        <w:t xml:space="preserve"> and </w:t>
      </w:r>
      <w:r w:rsidRPr="00A94F32">
        <w:rPr>
          <w:rFonts w:ascii="Book Antiqua" w:hAnsi="Book Antiqua" w:cs="Times New Roman"/>
          <w:sz w:val="24"/>
        </w:rPr>
        <w:t>HBV-DNA and TBIL levels. In addition, the results of this study showed that</w:t>
      </w:r>
      <w:r w:rsidR="00237058">
        <w:rPr>
          <w:rFonts w:ascii="Book Antiqua" w:hAnsi="Book Antiqua" w:cs="Times New Roman"/>
          <w:sz w:val="24"/>
        </w:rPr>
        <w:t xml:space="preserve"> </w:t>
      </w:r>
      <w:r w:rsidRPr="00A94F32">
        <w:rPr>
          <w:rFonts w:ascii="Book Antiqua" w:hAnsi="Book Antiqua" w:cs="Times New Roman"/>
          <w:sz w:val="24"/>
        </w:rPr>
        <w:t xml:space="preserve">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an independent risk factor for the prognosis of HBV-ACLF.</w:t>
      </w:r>
    </w:p>
    <w:p w14:paraId="34DCADB2" w14:textId="5BDF78FC"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 xml:space="preserve">As described previously, HBV-ACLF refers to liver failure caused by the acute aggravation of liver injury in CHB </w:t>
      </w:r>
      <w:proofErr w:type="gramStart"/>
      <w:r w:rsidRPr="00A94F32">
        <w:rPr>
          <w:rFonts w:ascii="Book Antiqua" w:hAnsi="Book Antiqua" w:cs="Times New Roman"/>
          <w:sz w:val="24"/>
        </w:rPr>
        <w:t>patients</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1</w:t>
      </w:r>
      <w:r w:rsidR="00237058">
        <w:rPr>
          <w:rFonts w:ascii="Book Antiqua" w:hAnsi="Book Antiqua" w:cs="Times New Roman"/>
          <w:sz w:val="24"/>
          <w:vertAlign w:val="superscript"/>
        </w:rPr>
        <w:t>,</w:t>
      </w:r>
      <w:r w:rsidRPr="00A94F32">
        <w:rPr>
          <w:rFonts w:ascii="Book Antiqua" w:hAnsi="Book Antiqua" w:cs="Times New Roman"/>
          <w:sz w:val="24"/>
          <w:vertAlign w:val="superscript"/>
        </w:rPr>
        <w:t>2]</w:t>
      </w:r>
      <w:r w:rsidRPr="00A94F32">
        <w:rPr>
          <w:rFonts w:ascii="Book Antiqua" w:hAnsi="Book Antiqua" w:cs="Times New Roman"/>
          <w:sz w:val="24"/>
        </w:rPr>
        <w:t xml:space="preserve">. At present, the pathogenesis of the disease has not been fully clarified, but most researchers believe that immune damage plays a key role in HBV-ACLF. </w:t>
      </w:r>
      <w:proofErr w:type="spellStart"/>
      <w:r w:rsidRPr="00A94F32">
        <w:rPr>
          <w:rFonts w:ascii="Book Antiqua" w:hAnsi="Book Antiqua" w:cs="Times New Roman"/>
          <w:sz w:val="24"/>
        </w:rPr>
        <w:t>Immunocytes</w:t>
      </w:r>
      <w:proofErr w:type="spellEnd"/>
      <w:r w:rsidRPr="00A94F32">
        <w:rPr>
          <w:rFonts w:ascii="Book Antiqua" w:hAnsi="Book Antiqua" w:cs="Times New Roman"/>
          <w:sz w:val="24"/>
        </w:rPr>
        <w:t>, such as macrophages, are activated in the pathogenesis of HBV-ACLF; they release a large number of inflammatory mediators and cytokines</w:t>
      </w:r>
      <w:r w:rsidR="00237058">
        <w:rPr>
          <w:rFonts w:ascii="Book Antiqua" w:hAnsi="Book Antiqua" w:cs="Times New Roman"/>
          <w:sz w:val="24"/>
        </w:rPr>
        <w:t xml:space="preserve"> which </w:t>
      </w:r>
      <w:r w:rsidRPr="00A94F32">
        <w:rPr>
          <w:rFonts w:ascii="Book Antiqua" w:hAnsi="Book Antiqua" w:cs="Times New Roman"/>
          <w:sz w:val="24"/>
        </w:rPr>
        <w:t xml:space="preserve">participate in the inflammatory response of the liver. The expression level of the macrophages is closely related to the development and prognosis of the </w:t>
      </w:r>
      <w:proofErr w:type="gramStart"/>
      <w:r w:rsidRPr="00A94F32">
        <w:rPr>
          <w:rFonts w:ascii="Book Antiqua" w:hAnsi="Book Antiqua" w:cs="Times New Roman"/>
          <w:sz w:val="24"/>
        </w:rPr>
        <w:t>disease</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3,15]</w:t>
      </w:r>
      <w:r w:rsidRPr="00A94F32">
        <w:rPr>
          <w:rFonts w:ascii="Book Antiqua" w:hAnsi="Book Antiqua" w:cs="Times New Roman"/>
          <w:sz w:val="24"/>
        </w:rPr>
        <w:t xml:space="preserve">. As a macrophage activation marker, MR mediates a series of immune responses that recognize, phagocytose, and clear </w:t>
      </w:r>
      <w:proofErr w:type="gramStart"/>
      <w:r w:rsidRPr="00A94F32">
        <w:rPr>
          <w:rFonts w:ascii="Book Antiqua" w:hAnsi="Book Antiqua" w:cs="Times New Roman"/>
          <w:sz w:val="24"/>
        </w:rPr>
        <w:t>pathogens</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6]</w:t>
      </w:r>
      <w:r w:rsidRPr="00A94F32">
        <w:rPr>
          <w:rFonts w:ascii="Book Antiqua" w:hAnsi="Book Antiqua" w:cs="Times New Roman"/>
          <w:sz w:val="24"/>
        </w:rPr>
        <w:t xml:space="preserve">. The </w:t>
      </w:r>
      <w:r w:rsidR="00237058" w:rsidRPr="00A94F32">
        <w:rPr>
          <w:rFonts w:ascii="Book Antiqua" w:hAnsi="Book Antiqua" w:cs="Times New Roman"/>
          <w:sz w:val="24"/>
        </w:rPr>
        <w:t xml:space="preserve">serum </w:t>
      </w:r>
      <w:r w:rsidR="00237058">
        <w:rPr>
          <w:rFonts w:ascii="Book Antiqua" w:hAnsi="Book Antiqua" w:cs="Times New Roman"/>
          <w:sz w:val="24"/>
        </w:rPr>
        <w:t xml:space="preserve">containing </w:t>
      </w:r>
      <w:proofErr w:type="spellStart"/>
      <w:r w:rsidRPr="00A94F32">
        <w:rPr>
          <w:rFonts w:ascii="Book Antiqua" w:hAnsi="Book Antiqua" w:cs="Times New Roman"/>
          <w:sz w:val="24"/>
        </w:rPr>
        <w:t>sMR</w:t>
      </w:r>
      <w:proofErr w:type="spellEnd"/>
      <w:r w:rsidR="00237058">
        <w:rPr>
          <w:rFonts w:ascii="Book Antiqua" w:hAnsi="Book Antiqua" w:cs="Times New Roman"/>
          <w:sz w:val="24"/>
        </w:rPr>
        <w:t xml:space="preserve"> </w:t>
      </w:r>
      <w:r w:rsidRPr="00A94F32">
        <w:rPr>
          <w:rFonts w:ascii="Book Antiqua" w:hAnsi="Book Antiqua" w:cs="Times New Roman"/>
          <w:sz w:val="24"/>
        </w:rPr>
        <w:t>can be stored at -</w:t>
      </w:r>
      <w:r w:rsidR="006B705D">
        <w:rPr>
          <w:rFonts w:ascii="Book Antiqua" w:hAnsi="Book Antiqua" w:cs="Times New Roman" w:hint="eastAsia"/>
          <w:sz w:val="24"/>
        </w:rPr>
        <w:t xml:space="preserve"> </w:t>
      </w:r>
      <w:r w:rsidRPr="00A94F32">
        <w:rPr>
          <w:rFonts w:ascii="Book Antiqua" w:hAnsi="Book Antiqua" w:cs="Times New Roman"/>
          <w:sz w:val="24"/>
        </w:rPr>
        <w:t>80</w:t>
      </w:r>
      <w:bookmarkStart w:id="45" w:name="_Hlk11931978"/>
      <w:bookmarkStart w:id="46" w:name="OLE_LINK878"/>
      <w:r w:rsidR="00A94F32">
        <w:rPr>
          <w:rFonts w:ascii="Book Antiqua" w:hAnsi="Book Antiqua" w:cs="Times New Roman" w:hint="eastAsia"/>
          <w:sz w:val="24"/>
        </w:rPr>
        <w:t xml:space="preserve"> </w:t>
      </w:r>
      <w:r w:rsidR="00A94F32" w:rsidRPr="00FE4577">
        <w:rPr>
          <w:rFonts w:ascii="Book Antiqua" w:hAnsi="Book Antiqua"/>
          <w:sz w:val="24"/>
        </w:rPr>
        <w:t>°C</w:t>
      </w:r>
      <w:bookmarkEnd w:id="45"/>
      <w:bookmarkEnd w:id="46"/>
      <w:r w:rsidRPr="00A94F32">
        <w:rPr>
          <w:rFonts w:ascii="Book Antiqua" w:hAnsi="Book Antiqua" w:cs="Times New Roman"/>
          <w:sz w:val="24"/>
        </w:rPr>
        <w:t xml:space="preserve"> for 20 </w:t>
      </w:r>
      <w:proofErr w:type="spellStart"/>
      <w:r w:rsidRPr="00A94F32">
        <w:rPr>
          <w:rFonts w:ascii="Book Antiqua" w:hAnsi="Book Antiqua" w:cs="Times New Roman"/>
          <w:sz w:val="24"/>
        </w:rPr>
        <w:t>mo</w:t>
      </w:r>
      <w:proofErr w:type="spellEnd"/>
      <w:r w:rsidRPr="00A94F32">
        <w:rPr>
          <w:rFonts w:ascii="Book Antiqua" w:hAnsi="Book Antiqua" w:cs="Times New Roman"/>
          <w:sz w:val="24"/>
        </w:rPr>
        <w:t>, and it can be detected by</w:t>
      </w:r>
      <w:r w:rsidR="00237058">
        <w:rPr>
          <w:rFonts w:ascii="Book Antiqua" w:hAnsi="Book Antiqua" w:cs="Times New Roman"/>
          <w:sz w:val="24"/>
        </w:rPr>
        <w:t xml:space="preserve"> </w:t>
      </w:r>
      <w:proofErr w:type="gramStart"/>
      <w:r w:rsidRPr="00A94F32">
        <w:rPr>
          <w:rFonts w:ascii="Book Antiqua" w:hAnsi="Book Antiqua" w:cs="Times New Roman"/>
          <w:sz w:val="24"/>
        </w:rPr>
        <w:t>ELISA</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8]</w:t>
      </w:r>
      <w:r w:rsidRPr="00A94F32">
        <w:rPr>
          <w:rFonts w:ascii="Book Antiqua" w:hAnsi="Book Antiqua" w:cs="Times New Roman"/>
          <w:sz w:val="24"/>
        </w:rPr>
        <w:t>.</w:t>
      </w:r>
    </w:p>
    <w:p w14:paraId="1100565D" w14:textId="4CEF08DB"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This study found that compared with</w:t>
      </w:r>
      <w:r w:rsidR="00237058">
        <w:rPr>
          <w:rFonts w:ascii="Book Antiqua" w:hAnsi="Book Antiqua" w:cs="Times New Roman"/>
          <w:sz w:val="24"/>
        </w:rPr>
        <w:t xml:space="preserve"> </w:t>
      </w:r>
      <w:r w:rsidRPr="00A94F32">
        <w:rPr>
          <w:rFonts w:ascii="Book Antiqua" w:hAnsi="Book Antiqua" w:cs="Times New Roman"/>
          <w:sz w:val="24"/>
        </w:rPr>
        <w:t>HCs and CHB patients, the expression level of</w:t>
      </w:r>
      <w:r w:rsidR="00237058">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in</w:t>
      </w:r>
      <w:r w:rsidR="00237058">
        <w:rPr>
          <w:rFonts w:ascii="Book Antiqua" w:hAnsi="Book Antiqua" w:cs="Times New Roman"/>
          <w:sz w:val="24"/>
        </w:rPr>
        <w:t xml:space="preserve"> </w:t>
      </w:r>
      <w:r w:rsidRPr="00A94F32">
        <w:rPr>
          <w:rFonts w:ascii="Book Antiqua" w:hAnsi="Book Antiqua" w:cs="Times New Roman"/>
          <w:sz w:val="24"/>
        </w:rPr>
        <w:t>serum of</w:t>
      </w:r>
      <w:r w:rsidR="00237058">
        <w:rPr>
          <w:rFonts w:ascii="Book Antiqua" w:hAnsi="Book Antiqua" w:cs="Times New Roman"/>
          <w:sz w:val="24"/>
        </w:rPr>
        <w:t xml:space="preserve"> </w:t>
      </w:r>
      <w:r w:rsidRPr="00A94F32">
        <w:rPr>
          <w:rFonts w:ascii="Book Antiqua" w:hAnsi="Book Antiqua" w:cs="Times New Roman"/>
          <w:sz w:val="24"/>
        </w:rPr>
        <w:t>HBV-ACLF patients was significantly increased. Moreover, sCD163, a marker of macrophage activation, is also significantly elevated in patients with HBV</w:t>
      </w:r>
      <w:r w:rsidR="002A3B17">
        <w:rPr>
          <w:rFonts w:ascii="Book Antiqua" w:hAnsi="Book Antiqua" w:cs="Times New Roman" w:hint="eastAsia"/>
          <w:sz w:val="24"/>
        </w:rPr>
        <w:t>-</w:t>
      </w:r>
      <w:proofErr w:type="gramStart"/>
      <w:r w:rsidRPr="00A94F32">
        <w:rPr>
          <w:rFonts w:ascii="Book Antiqua" w:hAnsi="Book Antiqua" w:cs="Times New Roman"/>
          <w:sz w:val="24"/>
        </w:rPr>
        <w:t>ACLF</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3]</w:t>
      </w:r>
      <w:r w:rsidRPr="00A94F32">
        <w:rPr>
          <w:rFonts w:ascii="Book Antiqua" w:hAnsi="Book Antiqua" w:cs="Times New Roman"/>
          <w:sz w:val="24"/>
        </w:rPr>
        <w:t xml:space="preserve">. Therefore, we speculate that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and sCD163 may play important roles in the immune process of acute liver inflammation. </w:t>
      </w:r>
      <w:proofErr w:type="spellStart"/>
      <w:r w:rsidRPr="00A94F32">
        <w:rPr>
          <w:rFonts w:ascii="Book Antiqua" w:hAnsi="Book Antiqua" w:cs="Times New Roman"/>
          <w:sz w:val="24"/>
        </w:rPr>
        <w:t>Laursen</w:t>
      </w:r>
      <w:proofErr w:type="spellEnd"/>
      <w:r w:rsidRPr="00A94F32">
        <w:rPr>
          <w:rFonts w:ascii="Book Antiqua" w:hAnsi="Book Antiqua" w:cs="Times New Roman"/>
          <w:sz w:val="24"/>
        </w:rPr>
        <w:t xml:space="preserve"> </w:t>
      </w:r>
      <w:r w:rsidRPr="002A3B17">
        <w:rPr>
          <w:rFonts w:ascii="Book Antiqua" w:hAnsi="Book Antiqua" w:cs="Times New Roman"/>
          <w:i/>
          <w:sz w:val="24"/>
        </w:rPr>
        <w:t xml:space="preserve">et </w:t>
      </w:r>
      <w:proofErr w:type="gramStart"/>
      <w:r w:rsidRPr="002A3B17">
        <w:rPr>
          <w:rFonts w:ascii="Book Antiqua" w:hAnsi="Book Antiqua" w:cs="Times New Roman"/>
          <w:i/>
          <w:sz w:val="24"/>
        </w:rPr>
        <w:t>al</w:t>
      </w:r>
      <w:r w:rsidR="002A3B17" w:rsidRPr="002A3B17">
        <w:rPr>
          <w:rFonts w:ascii="Book Antiqua" w:hAnsi="Book Antiqua" w:cs="Times New Roman" w:hint="eastAsia"/>
          <w:sz w:val="24"/>
          <w:vertAlign w:val="superscript"/>
        </w:rPr>
        <w:t>[</w:t>
      </w:r>
      <w:proofErr w:type="gramEnd"/>
      <w:r w:rsidR="002A3B17" w:rsidRPr="002A3B17">
        <w:rPr>
          <w:rFonts w:ascii="Book Antiqua" w:hAnsi="Book Antiqua" w:cs="Times New Roman" w:hint="eastAsia"/>
          <w:sz w:val="24"/>
          <w:vertAlign w:val="superscript"/>
        </w:rPr>
        <w:t>11]</w:t>
      </w:r>
      <w:r w:rsidRPr="00A94F32">
        <w:rPr>
          <w:rFonts w:ascii="Book Antiqua" w:hAnsi="Book Antiqua" w:cs="Times New Roman"/>
          <w:sz w:val="24"/>
        </w:rPr>
        <w:t xml:space="preserve"> found that the macrophage activation markers sCD163 and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were associated with activity and fibrosis in the liver biopsies of patients with CHB. At the same time, we found that the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of CHB patients was significantly higher than that of HCs, suggesting that</w:t>
      </w:r>
      <w:r w:rsidR="00237058">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may also play an important role in the pathogenesis of CHB. We also analyzed the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levels in the early, middle, and </w:t>
      </w:r>
      <w:r w:rsidR="00237058" w:rsidRPr="00A94F32">
        <w:rPr>
          <w:rFonts w:ascii="Book Antiqua" w:hAnsi="Book Antiqua" w:cs="Times New Roman"/>
          <w:sz w:val="24"/>
        </w:rPr>
        <w:t>late</w:t>
      </w:r>
      <w:r w:rsidR="00237058">
        <w:rPr>
          <w:rFonts w:ascii="Book Antiqua" w:hAnsi="Book Antiqua" w:cs="Times New Roman"/>
          <w:sz w:val="24"/>
        </w:rPr>
        <w:t xml:space="preserve"> </w:t>
      </w:r>
      <w:r w:rsidRPr="00A94F32">
        <w:rPr>
          <w:rFonts w:ascii="Book Antiqua" w:hAnsi="Book Antiqua" w:cs="Times New Roman"/>
          <w:sz w:val="24"/>
        </w:rPr>
        <w:t xml:space="preserve">stages of HBV-ACLF. The results showed that the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expression level increased gradually with the increase in the severity of the disease, indicating that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is closely related to </w:t>
      </w:r>
      <w:r w:rsidR="00237058" w:rsidRPr="00A94F32">
        <w:rPr>
          <w:rFonts w:ascii="Book Antiqua" w:hAnsi="Book Antiqua" w:cs="Times New Roman"/>
          <w:sz w:val="24"/>
        </w:rPr>
        <w:t>disease</w:t>
      </w:r>
      <w:r w:rsidRPr="00A94F32">
        <w:rPr>
          <w:rFonts w:ascii="Book Antiqua" w:hAnsi="Book Antiqua" w:cs="Times New Roman"/>
          <w:sz w:val="24"/>
        </w:rPr>
        <w:t xml:space="preserve"> severity</w:t>
      </w:r>
      <w:r w:rsidR="00237058">
        <w:rPr>
          <w:rFonts w:ascii="Book Antiqua" w:hAnsi="Book Antiqua" w:cs="Times New Roman"/>
          <w:sz w:val="24"/>
        </w:rPr>
        <w:t xml:space="preserve"> </w:t>
      </w:r>
      <w:r w:rsidRPr="00A94F32">
        <w:rPr>
          <w:rFonts w:ascii="Book Antiqua" w:hAnsi="Book Antiqua" w:cs="Times New Roman"/>
          <w:sz w:val="24"/>
        </w:rPr>
        <w:t xml:space="preserve">in HBV-ACLF patients. </w:t>
      </w:r>
    </w:p>
    <w:p w14:paraId="54FDF950" w14:textId="1869753E"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 xml:space="preserve">MELD score has been used widely to evaluate the prognosis of HBV-ACLF. </w:t>
      </w:r>
      <w:r w:rsidRPr="00A94F32">
        <w:rPr>
          <w:rFonts w:ascii="Book Antiqua" w:hAnsi="Book Antiqua" w:cs="Times New Roman"/>
          <w:sz w:val="24"/>
        </w:rPr>
        <w:lastRenderedPageBreak/>
        <w:t>Through a correlation analysis, we found that</w:t>
      </w:r>
      <w:r w:rsidR="00237058">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positively correlated with</w:t>
      </w:r>
      <w:r w:rsidR="00237058">
        <w:rPr>
          <w:rFonts w:ascii="Book Antiqua" w:hAnsi="Book Antiqua" w:cs="Times New Roman"/>
          <w:sz w:val="24"/>
        </w:rPr>
        <w:t xml:space="preserve"> </w:t>
      </w:r>
      <w:r w:rsidRPr="00A94F32">
        <w:rPr>
          <w:rFonts w:ascii="Book Antiqua" w:hAnsi="Book Antiqua" w:cs="Times New Roman"/>
          <w:sz w:val="24"/>
        </w:rPr>
        <w:t xml:space="preserve">MELD score, HBV-DNA level, and TBIL level. When combined with the previous experimental results, we concluded that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closely related to liver inflammatory injury and </w:t>
      </w:r>
      <w:r w:rsidR="00237058" w:rsidRPr="00A94F32">
        <w:rPr>
          <w:rFonts w:ascii="Book Antiqua" w:hAnsi="Book Antiqua" w:cs="Times New Roman"/>
          <w:sz w:val="24"/>
        </w:rPr>
        <w:t>disease</w:t>
      </w:r>
      <w:r w:rsidR="00237058" w:rsidRPr="00A94F32" w:rsidDel="00237058">
        <w:rPr>
          <w:rFonts w:ascii="Book Antiqua" w:hAnsi="Book Antiqua" w:cs="Times New Roman"/>
          <w:sz w:val="24"/>
        </w:rPr>
        <w:t xml:space="preserve"> </w:t>
      </w:r>
      <w:r w:rsidRPr="00A94F32">
        <w:rPr>
          <w:rFonts w:ascii="Book Antiqua" w:hAnsi="Book Antiqua" w:cs="Times New Roman"/>
          <w:sz w:val="24"/>
        </w:rPr>
        <w:t>severity in patients with HBV-ACLF. Previous studies have indicated that</w:t>
      </w:r>
      <w:r w:rsidR="00237058">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may be a potential biomarker for liver diseases and infectious </w:t>
      </w:r>
      <w:proofErr w:type="gramStart"/>
      <w:r w:rsidRPr="00A94F32">
        <w:rPr>
          <w:rFonts w:ascii="Book Antiqua" w:hAnsi="Book Antiqua" w:cs="Times New Roman"/>
          <w:sz w:val="24"/>
        </w:rPr>
        <w:t>diseases</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8]</w:t>
      </w:r>
      <w:r w:rsidRPr="00A94F32">
        <w:rPr>
          <w:rFonts w:ascii="Book Antiqua" w:hAnsi="Book Antiqua" w:cs="Times New Roman"/>
          <w:sz w:val="24"/>
        </w:rPr>
        <w:t>. Moreover, Japanese scholars have found that</w:t>
      </w:r>
      <w:r w:rsidR="00237058">
        <w:rPr>
          <w:rFonts w:ascii="Book Antiqua" w:hAnsi="Book Antiqua" w:cs="Times New Roman"/>
          <w:sz w:val="24"/>
        </w:rPr>
        <w:t xml:space="preserve"> </w:t>
      </w:r>
      <w:r w:rsidRPr="00A94F32">
        <w:rPr>
          <w:rFonts w:ascii="Book Antiqua" w:hAnsi="Book Antiqua" w:cs="Times New Roman"/>
          <w:sz w:val="24"/>
        </w:rPr>
        <w:t xml:space="preserve">serum sCD206 was increased in pulmonary tuberculosis (PTB), and that it was associated with the prognosis; therefore, it could be a potential biomarker for </w:t>
      </w:r>
      <w:proofErr w:type="gramStart"/>
      <w:r w:rsidRPr="00A94F32">
        <w:rPr>
          <w:rFonts w:ascii="Book Antiqua" w:hAnsi="Book Antiqua" w:cs="Times New Roman"/>
          <w:sz w:val="24"/>
        </w:rPr>
        <w:t>PTB</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16]</w:t>
      </w:r>
      <w:r w:rsidRPr="00A94F32">
        <w:rPr>
          <w:rFonts w:ascii="Book Antiqua" w:hAnsi="Book Antiqua" w:cs="Times New Roman"/>
          <w:sz w:val="24"/>
        </w:rPr>
        <w:t xml:space="preserve">. </w:t>
      </w:r>
      <w:proofErr w:type="spellStart"/>
      <w:r w:rsidRPr="00A94F32">
        <w:rPr>
          <w:rFonts w:ascii="Book Antiqua" w:hAnsi="Book Antiqua" w:cs="Times New Roman"/>
          <w:sz w:val="24"/>
        </w:rPr>
        <w:t>Relster</w:t>
      </w:r>
      <w:proofErr w:type="spellEnd"/>
      <w:r w:rsidRPr="00A94F32">
        <w:rPr>
          <w:rFonts w:ascii="Book Antiqua" w:hAnsi="Book Antiqua" w:cs="Times New Roman"/>
          <w:sz w:val="24"/>
        </w:rPr>
        <w:t xml:space="preserve"> </w:t>
      </w:r>
      <w:r w:rsidRPr="008736B7">
        <w:rPr>
          <w:rFonts w:ascii="Book Antiqua" w:hAnsi="Book Antiqua" w:cs="Times New Roman"/>
          <w:i/>
          <w:sz w:val="24"/>
        </w:rPr>
        <w:t>et al</w:t>
      </w:r>
      <w:r w:rsidRPr="00A94F32">
        <w:rPr>
          <w:rFonts w:ascii="Book Antiqua" w:hAnsi="Book Antiqua" w:cs="Times New Roman"/>
          <w:sz w:val="24"/>
        </w:rPr>
        <w:t xml:space="preserve"> showed that the macrophage activation marker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holds potential as a new diagnostic and early prognostic biomarker for patients with acute infectious diseases, with or without </w:t>
      </w:r>
      <w:proofErr w:type="gramStart"/>
      <w:r w:rsidRPr="00A94F32">
        <w:rPr>
          <w:rFonts w:ascii="Book Antiqua" w:hAnsi="Book Antiqua" w:cs="Times New Roman"/>
          <w:sz w:val="24"/>
        </w:rPr>
        <w:t>sepsis</w:t>
      </w:r>
      <w:r w:rsidRPr="00A94F32">
        <w:rPr>
          <w:rFonts w:ascii="Book Antiqua" w:hAnsi="Book Antiqua" w:cs="Times New Roman"/>
          <w:sz w:val="24"/>
          <w:vertAlign w:val="superscript"/>
        </w:rPr>
        <w:t>[</w:t>
      </w:r>
      <w:proofErr w:type="gramEnd"/>
      <w:r w:rsidRPr="00A94F32">
        <w:rPr>
          <w:rFonts w:ascii="Book Antiqua" w:hAnsi="Book Antiqua" w:cs="Times New Roman"/>
          <w:sz w:val="24"/>
          <w:vertAlign w:val="superscript"/>
        </w:rPr>
        <w:t>17]</w:t>
      </w:r>
      <w:r w:rsidRPr="00A94F32">
        <w:rPr>
          <w:rFonts w:ascii="Book Antiqua" w:hAnsi="Book Antiqua" w:cs="Times New Roman"/>
          <w:sz w:val="24"/>
        </w:rPr>
        <w:t>. In order to verify whether</w:t>
      </w:r>
      <w:r w:rsidR="00237058">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could be a predictor of HBV-ACLF prognosis, a multivariate logistic regression analysis was performed, and the results showed that</w:t>
      </w:r>
      <w:r w:rsidR="00237058">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an independent risk factor for</w:t>
      </w:r>
      <w:r w:rsidR="00237058">
        <w:rPr>
          <w:rFonts w:ascii="Book Antiqua" w:hAnsi="Book Antiqua" w:cs="Times New Roman"/>
          <w:sz w:val="24"/>
        </w:rPr>
        <w:t xml:space="preserve"> </w:t>
      </w:r>
      <w:r w:rsidRPr="00A94F32">
        <w:rPr>
          <w:rFonts w:ascii="Book Antiqua" w:hAnsi="Book Antiqua" w:cs="Times New Roman"/>
          <w:sz w:val="24"/>
        </w:rPr>
        <w:t xml:space="preserve">mortality in HBV-ACLF patients. In addition, it apparently improved the </w:t>
      </w:r>
      <w:r w:rsidR="00237058">
        <w:rPr>
          <w:rFonts w:ascii="Book Antiqua" w:hAnsi="Book Antiqua" w:cs="Times New Roman"/>
          <w:sz w:val="24"/>
        </w:rPr>
        <w:t xml:space="preserve">performance of </w:t>
      </w:r>
      <w:r w:rsidRPr="00A94F32">
        <w:rPr>
          <w:rFonts w:ascii="Book Antiqua" w:hAnsi="Book Antiqua" w:cs="Times New Roman"/>
          <w:sz w:val="24"/>
        </w:rPr>
        <w:t>MELD score for predicting</w:t>
      </w:r>
      <w:r w:rsidR="00237058">
        <w:rPr>
          <w:rFonts w:ascii="Book Antiqua" w:hAnsi="Book Antiqua" w:cs="Times New Roman"/>
          <w:sz w:val="24"/>
        </w:rPr>
        <w:t xml:space="preserve"> </w:t>
      </w:r>
      <w:r w:rsidRPr="00A94F32">
        <w:rPr>
          <w:rFonts w:ascii="Book Antiqua" w:hAnsi="Book Antiqua" w:cs="Times New Roman"/>
          <w:sz w:val="24"/>
        </w:rPr>
        <w:t>HBV-ACLF prognosis.</w:t>
      </w:r>
    </w:p>
    <w:p w14:paraId="2E524F80" w14:textId="311533C7" w:rsidR="00556F61" w:rsidRPr="00A94F32" w:rsidRDefault="005F4D6E" w:rsidP="00FD2E95">
      <w:pPr>
        <w:snapToGrid w:val="0"/>
        <w:spacing w:line="360" w:lineRule="auto"/>
        <w:ind w:firstLineChars="150" w:firstLine="360"/>
        <w:rPr>
          <w:rFonts w:ascii="Book Antiqua" w:hAnsi="Book Antiqua" w:cs="Times New Roman"/>
          <w:b/>
          <w:bCs/>
          <w:sz w:val="24"/>
        </w:rPr>
      </w:pPr>
      <w:r w:rsidRPr="00A94F32">
        <w:rPr>
          <w:rFonts w:ascii="Book Antiqua" w:hAnsi="Book Antiqua" w:cs="Times New Roman"/>
          <w:sz w:val="24"/>
        </w:rPr>
        <w:t xml:space="preserve">Our study did have some limitations. First of all, 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obviously correlated with</w:t>
      </w:r>
      <w:r w:rsidR="00237058">
        <w:rPr>
          <w:rFonts w:ascii="Book Antiqua" w:hAnsi="Book Antiqua" w:cs="Times New Roman"/>
          <w:sz w:val="24"/>
        </w:rPr>
        <w:t xml:space="preserve"> </w:t>
      </w:r>
      <w:r w:rsidRPr="00A94F32">
        <w:rPr>
          <w:rFonts w:ascii="Book Antiqua" w:hAnsi="Book Antiqua" w:cs="Times New Roman"/>
          <w:sz w:val="24"/>
        </w:rPr>
        <w:t>HBV-ACLF prognosis, but the mechanisms underlying the role of</w:t>
      </w:r>
      <w:r w:rsidR="00237058">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were not investigated. Second, the dynamic changes in</w:t>
      </w:r>
      <w:r w:rsidR="00237058">
        <w:rPr>
          <w:rFonts w:ascii="Book Antiqua" w:hAnsi="Book Antiqua" w:cs="Times New Roman"/>
          <w:sz w:val="24"/>
        </w:rPr>
        <w:t xml:space="preserve"> </w:t>
      </w:r>
      <w:r w:rsidRPr="00A94F32">
        <w:rPr>
          <w:rFonts w:ascii="Book Antiqua" w:hAnsi="Book Antiqua" w:cs="Times New Roman"/>
          <w:sz w:val="24"/>
        </w:rPr>
        <w:t xml:space="preserve">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should be determined during the progression of HBV-ACLF. Finally, multicenter studies with large sample sizes are also required to confirm the current findings.</w:t>
      </w:r>
    </w:p>
    <w:p w14:paraId="26C0A862" w14:textId="54DA9264"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 xml:space="preserve">In conclusion, 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t>
      </w:r>
      <w:r w:rsidR="00237058">
        <w:rPr>
          <w:rFonts w:ascii="Book Antiqua" w:hAnsi="Book Antiqua" w:cs="Times New Roman"/>
          <w:sz w:val="24"/>
        </w:rPr>
        <w:t>i</w:t>
      </w:r>
      <w:r w:rsidR="00237058" w:rsidRPr="00A94F32">
        <w:rPr>
          <w:rFonts w:ascii="Book Antiqua" w:hAnsi="Book Antiqua" w:cs="Times New Roman"/>
          <w:sz w:val="24"/>
        </w:rPr>
        <w:t xml:space="preserve">s </w:t>
      </w:r>
      <w:r w:rsidRPr="00A94F32">
        <w:rPr>
          <w:rFonts w:ascii="Book Antiqua" w:hAnsi="Book Antiqua" w:cs="Times New Roman"/>
          <w:sz w:val="24"/>
        </w:rPr>
        <w:t>significantly elevated in</w:t>
      </w:r>
      <w:r w:rsidR="00237058">
        <w:rPr>
          <w:rFonts w:ascii="Book Antiqua" w:hAnsi="Book Antiqua" w:cs="Times New Roman"/>
          <w:sz w:val="24"/>
        </w:rPr>
        <w:t xml:space="preserve"> </w:t>
      </w:r>
      <w:r w:rsidRPr="00A94F32">
        <w:rPr>
          <w:rFonts w:ascii="Book Antiqua" w:hAnsi="Book Antiqua" w:cs="Times New Roman"/>
          <w:sz w:val="24"/>
        </w:rPr>
        <w:t xml:space="preserve">HBV-ACLF patients, and it </w:t>
      </w:r>
      <w:r w:rsidR="00237058">
        <w:rPr>
          <w:rFonts w:ascii="Book Antiqua" w:hAnsi="Book Antiqua" w:cs="Times New Roman"/>
          <w:sz w:val="24"/>
        </w:rPr>
        <w:t>i</w:t>
      </w:r>
      <w:r w:rsidR="00237058" w:rsidRPr="00A94F32">
        <w:rPr>
          <w:rFonts w:ascii="Book Antiqua" w:hAnsi="Book Antiqua" w:cs="Times New Roman"/>
          <w:sz w:val="24"/>
        </w:rPr>
        <w:t xml:space="preserve">s </w:t>
      </w:r>
      <w:r w:rsidRPr="00A94F32">
        <w:rPr>
          <w:rFonts w:ascii="Book Antiqua" w:hAnsi="Book Antiqua" w:cs="Times New Roman"/>
          <w:sz w:val="24"/>
        </w:rPr>
        <w:t>apparently associated with</w:t>
      </w:r>
      <w:r w:rsidR="00237058">
        <w:rPr>
          <w:rFonts w:ascii="Book Antiqua" w:hAnsi="Book Antiqua" w:cs="Times New Roman"/>
          <w:sz w:val="24"/>
        </w:rPr>
        <w:t xml:space="preserve"> </w:t>
      </w:r>
      <w:r w:rsidRPr="00A94F32">
        <w:rPr>
          <w:rFonts w:ascii="Book Antiqua" w:hAnsi="Book Antiqua" w:cs="Times New Roman"/>
          <w:sz w:val="24"/>
        </w:rPr>
        <w:t xml:space="preserve">indicators of liver injury and </w:t>
      </w:r>
      <w:r w:rsidR="00237058" w:rsidRPr="00A94F32">
        <w:rPr>
          <w:rFonts w:ascii="Book Antiqua" w:hAnsi="Book Antiqua" w:cs="Times New Roman"/>
          <w:sz w:val="24"/>
        </w:rPr>
        <w:t xml:space="preserve">disease </w:t>
      </w:r>
      <w:r w:rsidRPr="00A94F32">
        <w:rPr>
          <w:rFonts w:ascii="Book Antiqua" w:hAnsi="Book Antiqua" w:cs="Times New Roman"/>
          <w:sz w:val="24"/>
        </w:rPr>
        <w:t xml:space="preserve">severity. In addition,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t>
      </w:r>
      <w:r w:rsidR="00237058">
        <w:rPr>
          <w:rFonts w:ascii="Book Antiqua" w:hAnsi="Book Antiqua" w:cs="Times New Roman"/>
          <w:sz w:val="24"/>
        </w:rPr>
        <w:t>i</w:t>
      </w:r>
      <w:r w:rsidR="00237058" w:rsidRPr="00A94F32">
        <w:rPr>
          <w:rFonts w:ascii="Book Antiqua" w:hAnsi="Book Antiqua" w:cs="Times New Roman"/>
          <w:sz w:val="24"/>
        </w:rPr>
        <w:t xml:space="preserve">s </w:t>
      </w:r>
      <w:r w:rsidRPr="00A94F32">
        <w:rPr>
          <w:rFonts w:ascii="Book Antiqua" w:hAnsi="Book Antiqua" w:cs="Times New Roman"/>
          <w:sz w:val="24"/>
        </w:rPr>
        <w:t xml:space="preserve">an independent risk factor </w:t>
      </w:r>
      <w:r w:rsidR="00237058">
        <w:rPr>
          <w:rFonts w:ascii="Book Antiqua" w:hAnsi="Book Antiqua" w:cs="Times New Roman"/>
          <w:sz w:val="24"/>
        </w:rPr>
        <w:t xml:space="preserve">for </w:t>
      </w:r>
      <w:r w:rsidRPr="00A94F32">
        <w:rPr>
          <w:rFonts w:ascii="Book Antiqua" w:hAnsi="Book Antiqua" w:cs="Times New Roman"/>
          <w:sz w:val="24"/>
        </w:rPr>
        <w:t>the prognosis of HBV-ACLF. The present findings collectively suggest that</w:t>
      </w:r>
      <w:r w:rsidR="00237058">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may be a predictor of the prognosis in</w:t>
      </w:r>
      <w:r w:rsidR="00237058">
        <w:rPr>
          <w:rFonts w:ascii="Book Antiqua" w:hAnsi="Book Antiqua" w:cs="Times New Roman"/>
          <w:sz w:val="24"/>
        </w:rPr>
        <w:t xml:space="preserve"> </w:t>
      </w:r>
      <w:r w:rsidRPr="00A94F32">
        <w:rPr>
          <w:rFonts w:ascii="Book Antiqua" w:hAnsi="Book Antiqua" w:cs="Times New Roman"/>
          <w:sz w:val="24"/>
        </w:rPr>
        <w:t>patients with HBV-ACLF.</w:t>
      </w:r>
    </w:p>
    <w:p w14:paraId="48088AFF" w14:textId="77777777" w:rsidR="00556F61" w:rsidRPr="00A94F32" w:rsidRDefault="00556F61" w:rsidP="00FD2E95">
      <w:pPr>
        <w:snapToGrid w:val="0"/>
        <w:spacing w:line="360" w:lineRule="auto"/>
        <w:rPr>
          <w:rFonts w:ascii="Book Antiqua" w:hAnsi="Book Antiqua" w:cs="Times New Roman"/>
          <w:sz w:val="24"/>
        </w:rPr>
      </w:pPr>
    </w:p>
    <w:p w14:paraId="0AC938D9" w14:textId="77777777" w:rsidR="00556F61" w:rsidRPr="00A94F32" w:rsidRDefault="005F4D6E" w:rsidP="00FD2E95">
      <w:pPr>
        <w:adjustRightInd w:val="0"/>
        <w:snapToGrid w:val="0"/>
        <w:spacing w:line="360" w:lineRule="auto"/>
        <w:rPr>
          <w:rFonts w:ascii="Book Antiqua" w:hAnsi="Book Antiqua"/>
          <w:b/>
          <w:sz w:val="24"/>
        </w:rPr>
      </w:pPr>
      <w:bookmarkStart w:id="47" w:name="OLE_LINK83"/>
      <w:bookmarkStart w:id="48" w:name="OLE_LINK86"/>
      <w:bookmarkStart w:id="49" w:name="_Hlk5627588"/>
      <w:bookmarkStart w:id="50" w:name="OLE_LINK899"/>
      <w:r w:rsidRPr="00A94F32">
        <w:rPr>
          <w:rFonts w:ascii="Book Antiqua" w:hAnsi="Book Antiqua" w:cs="Garamond-Bold"/>
          <w:b/>
          <w:bCs/>
          <w:sz w:val="24"/>
        </w:rPr>
        <w:t xml:space="preserve">ARTICLE HIGHLIGHTS </w:t>
      </w:r>
      <w:bookmarkEnd w:id="47"/>
      <w:bookmarkEnd w:id="48"/>
      <w:bookmarkEnd w:id="49"/>
      <w:bookmarkEnd w:id="50"/>
    </w:p>
    <w:p w14:paraId="649698FF"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Research background</w:t>
      </w:r>
    </w:p>
    <w:p w14:paraId="00786960" w14:textId="602EF8BE" w:rsidR="00556F61"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Since hepatitis B virus-related acute-on-chronic liver failure (HBV-ACLF) is a </w:t>
      </w:r>
      <w:r w:rsidRPr="00A94F32">
        <w:rPr>
          <w:rFonts w:ascii="Book Antiqua" w:hAnsi="Book Antiqua" w:cs="Times New Roman"/>
          <w:sz w:val="24"/>
        </w:rPr>
        <w:lastRenderedPageBreak/>
        <w:t xml:space="preserve">syndrome with a high short-term mortality rate, </w:t>
      </w:r>
      <w:r w:rsidR="00237058">
        <w:rPr>
          <w:rFonts w:ascii="Book Antiqua" w:hAnsi="Book Antiqua" w:cs="Times New Roman"/>
          <w:sz w:val="24"/>
        </w:rPr>
        <w:t xml:space="preserve">and </w:t>
      </w:r>
      <w:r w:rsidRPr="00A94F32">
        <w:rPr>
          <w:rFonts w:ascii="Book Antiqua" w:hAnsi="Book Antiqua" w:cs="Times New Roman"/>
          <w:sz w:val="24"/>
        </w:rPr>
        <w:t xml:space="preserve">clinically identifying those patients </w:t>
      </w:r>
      <w:r w:rsidR="00237058">
        <w:rPr>
          <w:rFonts w:ascii="Book Antiqua" w:hAnsi="Book Antiqua" w:cs="Times New Roman"/>
          <w:sz w:val="24"/>
        </w:rPr>
        <w:t>at</w:t>
      </w:r>
      <w:r w:rsidR="00237058" w:rsidRPr="00A94F32">
        <w:rPr>
          <w:rFonts w:ascii="Book Antiqua" w:hAnsi="Book Antiqua" w:cs="Times New Roman"/>
          <w:sz w:val="24"/>
        </w:rPr>
        <w:t xml:space="preserve"> </w:t>
      </w:r>
      <w:r w:rsidRPr="00A94F32">
        <w:rPr>
          <w:rFonts w:ascii="Book Antiqua" w:hAnsi="Book Antiqua" w:cs="Times New Roman"/>
          <w:sz w:val="24"/>
        </w:rPr>
        <w:t>a high mortality risk is of great significance.</w:t>
      </w:r>
    </w:p>
    <w:p w14:paraId="266F2938" w14:textId="77777777" w:rsidR="002A3B17" w:rsidRPr="00A94F32" w:rsidRDefault="002A3B17" w:rsidP="00FD2E95">
      <w:pPr>
        <w:snapToGrid w:val="0"/>
        <w:spacing w:line="360" w:lineRule="auto"/>
        <w:rPr>
          <w:rFonts w:ascii="Book Antiqua" w:hAnsi="Book Antiqua" w:cs="Times New Roman"/>
          <w:sz w:val="24"/>
        </w:rPr>
      </w:pPr>
    </w:p>
    <w:p w14:paraId="118D1CAB"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Research motivation</w:t>
      </w:r>
    </w:p>
    <w:p w14:paraId="6D918A7F" w14:textId="050978E1" w:rsidR="00556F61" w:rsidRDefault="005F4D6E" w:rsidP="00FD2E95">
      <w:pPr>
        <w:snapToGrid w:val="0"/>
        <w:spacing w:line="360" w:lineRule="auto"/>
        <w:rPr>
          <w:rFonts w:ascii="Book Antiqua" w:hAnsi="Book Antiqua" w:cs="Times New Roman"/>
          <w:bCs/>
          <w:sz w:val="24"/>
        </w:rPr>
      </w:pPr>
      <w:r w:rsidRPr="00A94F32">
        <w:rPr>
          <w:rFonts w:ascii="Book Antiqua" w:hAnsi="Book Antiqua" w:cs="Times New Roman"/>
          <w:bCs/>
          <w:sz w:val="24"/>
        </w:rPr>
        <w:t>The aim of this study was to investigate the clinical value of soluble mannose receptor (</w:t>
      </w:r>
      <w:proofErr w:type="spellStart"/>
      <w:r w:rsidRPr="00A94F32">
        <w:rPr>
          <w:rFonts w:ascii="Book Antiqua" w:hAnsi="Book Antiqua" w:cs="Times New Roman"/>
          <w:bCs/>
          <w:sz w:val="24"/>
        </w:rPr>
        <w:t>sMR</w:t>
      </w:r>
      <w:proofErr w:type="spellEnd"/>
      <w:r w:rsidRPr="00A94F32">
        <w:rPr>
          <w:rFonts w:ascii="Book Antiqua" w:hAnsi="Book Antiqua" w:cs="Times New Roman"/>
          <w:bCs/>
          <w:sz w:val="24"/>
        </w:rPr>
        <w:t>) in patients with HBV-ACLF.</w:t>
      </w:r>
    </w:p>
    <w:p w14:paraId="037B1F71" w14:textId="77777777" w:rsidR="002A3B17" w:rsidRPr="00A94F32" w:rsidRDefault="002A3B17" w:rsidP="00FD2E95">
      <w:pPr>
        <w:snapToGrid w:val="0"/>
        <w:spacing w:line="360" w:lineRule="auto"/>
        <w:rPr>
          <w:rFonts w:ascii="Book Antiqua" w:hAnsi="Book Antiqua" w:cs="Times New Roman"/>
          <w:bCs/>
          <w:sz w:val="24"/>
        </w:rPr>
      </w:pPr>
    </w:p>
    <w:p w14:paraId="2571E022"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Research objectives</w:t>
      </w:r>
    </w:p>
    <w:p w14:paraId="1CB04707" w14:textId="5770F6F2" w:rsidR="00556F61"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To investigate the clinical value of</w:t>
      </w:r>
      <w:r w:rsidR="00237058">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for predicting</w:t>
      </w:r>
      <w:r w:rsidR="00237058">
        <w:rPr>
          <w:rFonts w:ascii="Book Antiqua" w:hAnsi="Book Antiqua" w:cs="Times New Roman"/>
          <w:sz w:val="24"/>
        </w:rPr>
        <w:t xml:space="preserve"> </w:t>
      </w:r>
      <w:r w:rsidRPr="00A94F32">
        <w:rPr>
          <w:rFonts w:ascii="Book Antiqua" w:hAnsi="Book Antiqua" w:cs="Times New Roman"/>
          <w:sz w:val="24"/>
        </w:rPr>
        <w:t>90-d mortality of patients with HBV-ACLF.</w:t>
      </w:r>
    </w:p>
    <w:p w14:paraId="31A1A6BE" w14:textId="77777777" w:rsidR="002A3B17" w:rsidRPr="00A94F32" w:rsidRDefault="002A3B17" w:rsidP="00FD2E95">
      <w:pPr>
        <w:snapToGrid w:val="0"/>
        <w:spacing w:line="360" w:lineRule="auto"/>
        <w:rPr>
          <w:rFonts w:ascii="Book Antiqua" w:hAnsi="Book Antiqua" w:cs="Times New Roman"/>
          <w:sz w:val="24"/>
        </w:rPr>
      </w:pPr>
    </w:p>
    <w:p w14:paraId="2186A0A4" w14:textId="77777777" w:rsidR="00556F61" w:rsidRPr="00A94F32" w:rsidRDefault="005F4D6E" w:rsidP="00FD2E95">
      <w:pPr>
        <w:snapToGrid w:val="0"/>
        <w:spacing w:line="360" w:lineRule="auto"/>
        <w:rPr>
          <w:rFonts w:ascii="Book Antiqua" w:hAnsi="Book Antiqua" w:cs="Times New Roman"/>
          <w:b/>
          <w:bCs/>
          <w:i/>
          <w:iCs/>
          <w:sz w:val="24"/>
        </w:rPr>
      </w:pPr>
      <w:r w:rsidRPr="00A94F32">
        <w:rPr>
          <w:rFonts w:ascii="Book Antiqua" w:hAnsi="Book Antiqua" w:cs="Times New Roman"/>
          <w:b/>
          <w:bCs/>
          <w:i/>
          <w:iCs/>
          <w:sz w:val="24"/>
        </w:rPr>
        <w:t>Research methods</w:t>
      </w:r>
    </w:p>
    <w:p w14:paraId="44CD7058" w14:textId="77777777" w:rsidR="00556F61" w:rsidRDefault="005F4D6E" w:rsidP="00FD2E95">
      <w:pPr>
        <w:snapToGrid w:val="0"/>
        <w:spacing w:line="360" w:lineRule="auto"/>
        <w:rPr>
          <w:rFonts w:ascii="Book Antiqua" w:hAnsi="Book Antiqua" w:cs="Times New Roman"/>
          <w:bCs/>
          <w:sz w:val="24"/>
        </w:rPr>
      </w:pPr>
      <w:r w:rsidRPr="00A94F32">
        <w:rPr>
          <w:rFonts w:ascii="Book Antiqua" w:hAnsi="Book Antiqua" w:cs="Times New Roman"/>
          <w:bCs/>
          <w:sz w:val="24"/>
        </w:rPr>
        <w:t xml:space="preserve">A total of 43 patients with HBV-ACLF were enrolled in this </w:t>
      </w:r>
      <w:r w:rsidRPr="00A94F32">
        <w:rPr>
          <w:rFonts w:ascii="Book Antiqua" w:hAnsi="Book Antiqua" w:cs="Times New Roman"/>
          <w:sz w:val="24"/>
        </w:rPr>
        <w:t>r</w:t>
      </w:r>
      <w:r w:rsidRPr="00A94F32">
        <w:rPr>
          <w:rFonts w:ascii="Book Antiqua" w:hAnsi="Book Antiqua" w:cs="Times New Roman"/>
          <w:bCs/>
          <w:sz w:val="24"/>
        </w:rPr>
        <w:t xml:space="preserve">etrospective study, and their serum </w:t>
      </w:r>
      <w:proofErr w:type="spellStart"/>
      <w:r w:rsidRPr="00A94F32">
        <w:rPr>
          <w:rFonts w:ascii="Book Antiqua" w:hAnsi="Book Antiqua" w:cs="Times New Roman"/>
          <w:bCs/>
          <w:sz w:val="24"/>
        </w:rPr>
        <w:t>sMR</w:t>
      </w:r>
      <w:proofErr w:type="spellEnd"/>
      <w:r w:rsidRPr="00A94F32">
        <w:rPr>
          <w:rFonts w:ascii="Book Antiqua" w:hAnsi="Book Antiqua" w:cs="Times New Roman"/>
          <w:bCs/>
          <w:sz w:val="24"/>
        </w:rPr>
        <w:t xml:space="preserve"> levels were determined using an enzyme-linked immunosorbent assay. A multivariate logistic regression analysis was used to analyze the independent risk factors for mortality. </w:t>
      </w:r>
    </w:p>
    <w:p w14:paraId="185BC5B9" w14:textId="77777777" w:rsidR="002A3B17" w:rsidRPr="00A94F32" w:rsidRDefault="002A3B17" w:rsidP="00FD2E95">
      <w:pPr>
        <w:snapToGrid w:val="0"/>
        <w:spacing w:line="360" w:lineRule="auto"/>
        <w:rPr>
          <w:rFonts w:ascii="Book Antiqua" w:hAnsi="Book Antiqua" w:cs="Times New Roman"/>
          <w:bCs/>
          <w:sz w:val="24"/>
        </w:rPr>
      </w:pPr>
    </w:p>
    <w:p w14:paraId="13BD1750" w14:textId="77777777" w:rsidR="00556F61" w:rsidRPr="00A94F32" w:rsidRDefault="005F4D6E" w:rsidP="00FD2E95">
      <w:pPr>
        <w:snapToGrid w:val="0"/>
        <w:spacing w:line="360" w:lineRule="auto"/>
        <w:rPr>
          <w:rFonts w:ascii="Book Antiqua" w:hAnsi="Book Antiqua" w:cs="Times New Roman"/>
          <w:b/>
          <w:i/>
          <w:iCs/>
          <w:sz w:val="24"/>
        </w:rPr>
      </w:pPr>
      <w:r w:rsidRPr="00A94F32">
        <w:rPr>
          <w:rFonts w:ascii="Book Antiqua" w:hAnsi="Book Antiqua" w:cs="Times New Roman"/>
          <w:b/>
          <w:i/>
          <w:iCs/>
          <w:sz w:val="24"/>
        </w:rPr>
        <w:t>Research results</w:t>
      </w:r>
    </w:p>
    <w:p w14:paraId="58340804" w14:textId="7DEE5DA6" w:rsidR="00556F61"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When compared with</w:t>
      </w:r>
      <w:r w:rsidR="00237058">
        <w:rPr>
          <w:rFonts w:ascii="Book Antiqua" w:hAnsi="Book Antiqua" w:cs="Times New Roman"/>
          <w:sz w:val="24"/>
        </w:rPr>
        <w:t xml:space="preserve"> </w:t>
      </w:r>
      <w:r w:rsidRPr="00A94F32">
        <w:rPr>
          <w:rFonts w:ascii="Book Antiqua" w:hAnsi="Book Antiqua" w:cs="Times New Roman"/>
          <w:sz w:val="24"/>
        </w:rPr>
        <w:t>chronic hepatitis B patients and</w:t>
      </w:r>
      <w:r w:rsidR="00237058">
        <w:rPr>
          <w:rFonts w:ascii="Book Antiqua" w:hAnsi="Book Antiqua" w:cs="Times New Roman"/>
          <w:sz w:val="24"/>
        </w:rPr>
        <w:t xml:space="preserve"> </w:t>
      </w:r>
      <w:r w:rsidRPr="00A94F32">
        <w:rPr>
          <w:rFonts w:ascii="Book Antiqua" w:hAnsi="Book Antiqua" w:cs="Times New Roman"/>
          <w:sz w:val="24"/>
        </w:rPr>
        <w:t xml:space="preserve">healthy controls, 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significantly higher in</w:t>
      </w:r>
      <w:r w:rsidR="00237058">
        <w:rPr>
          <w:rFonts w:ascii="Book Antiqua" w:hAnsi="Book Antiqua" w:cs="Times New Roman"/>
          <w:sz w:val="24"/>
        </w:rPr>
        <w:t xml:space="preserve"> </w:t>
      </w:r>
      <w:r w:rsidRPr="00A94F32">
        <w:rPr>
          <w:rFonts w:ascii="Book Antiqua" w:hAnsi="Book Antiqua" w:cs="Times New Roman"/>
          <w:sz w:val="24"/>
        </w:rPr>
        <w:t xml:space="preserve">HBV-ACLF patients. </w:t>
      </w:r>
      <w:r w:rsidR="00237058">
        <w:rPr>
          <w:rFonts w:ascii="Book Antiqua" w:hAnsi="Book Antiqua" w:cs="Times New Roman"/>
          <w:sz w:val="24"/>
        </w:rPr>
        <w:t xml:space="preserve">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helped to distinguish the survivors from non-survivors, and it was positively correlated with</w:t>
      </w:r>
      <w:r w:rsidR="00237058">
        <w:rPr>
          <w:rFonts w:ascii="Book Antiqua" w:hAnsi="Book Antiqua" w:cs="Times New Roman"/>
          <w:sz w:val="24"/>
        </w:rPr>
        <w:t xml:space="preserve"> </w:t>
      </w:r>
      <w:r w:rsidRPr="00A94F32">
        <w:rPr>
          <w:rFonts w:ascii="Book Antiqua" w:hAnsi="Book Antiqua" w:cs="Times New Roman"/>
          <w:sz w:val="24"/>
        </w:rPr>
        <w:t>model for end-stage liver disease (MELD) score, HBV-DNA</w:t>
      </w:r>
      <w:r w:rsidR="00E175F4">
        <w:rPr>
          <w:rFonts w:ascii="Book Antiqua" w:hAnsi="Book Antiqua" w:cs="Times New Roman"/>
          <w:sz w:val="24"/>
        </w:rPr>
        <w:t xml:space="preserve"> </w:t>
      </w:r>
      <w:r w:rsidR="00E175F4" w:rsidRPr="00A94F32">
        <w:rPr>
          <w:rFonts w:ascii="Book Antiqua" w:hAnsi="Book Antiqua" w:cs="Times New Roman"/>
          <w:sz w:val="24"/>
        </w:rPr>
        <w:t>level</w:t>
      </w:r>
      <w:r w:rsidR="00E175F4">
        <w:rPr>
          <w:rFonts w:ascii="Book Antiqua" w:hAnsi="Book Antiqua" w:cs="Times New Roman"/>
          <w:sz w:val="24"/>
        </w:rPr>
        <w:t>, and total bilirubin level</w:t>
      </w:r>
      <w:r w:rsidRPr="00A94F32">
        <w:rPr>
          <w:rFonts w:ascii="Book Antiqua" w:hAnsi="Book Antiqua" w:cs="Times New Roman"/>
          <w:sz w:val="24"/>
        </w:rPr>
        <w:t xml:space="preserve">. In addition, 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was an independent risk factor and significantly improved the </w:t>
      </w:r>
      <w:r w:rsidR="00237058">
        <w:rPr>
          <w:rFonts w:ascii="Book Antiqua" w:hAnsi="Book Antiqua" w:cs="Times New Roman"/>
          <w:sz w:val="24"/>
        </w:rPr>
        <w:t xml:space="preserve">performance of </w:t>
      </w:r>
      <w:r w:rsidRPr="00A94F32">
        <w:rPr>
          <w:rFonts w:ascii="Book Antiqua" w:hAnsi="Book Antiqua" w:cs="Times New Roman"/>
          <w:sz w:val="24"/>
        </w:rPr>
        <w:t>MELD score in predicting the prognosis of HBV-ACLF patients.</w:t>
      </w:r>
    </w:p>
    <w:p w14:paraId="5F2464E2" w14:textId="77777777" w:rsidR="002A3B17" w:rsidRPr="00A94F32" w:rsidRDefault="002A3B17" w:rsidP="00FD2E95">
      <w:pPr>
        <w:snapToGrid w:val="0"/>
        <w:spacing w:line="360" w:lineRule="auto"/>
        <w:rPr>
          <w:rFonts w:ascii="Book Antiqua" w:hAnsi="Book Antiqua" w:cs="Times New Roman"/>
          <w:sz w:val="24"/>
        </w:rPr>
      </w:pPr>
    </w:p>
    <w:p w14:paraId="123F0D5E" w14:textId="77777777" w:rsidR="00556F61" w:rsidRPr="00A94F32" w:rsidRDefault="005F4D6E" w:rsidP="00FD2E95">
      <w:pPr>
        <w:snapToGrid w:val="0"/>
        <w:spacing w:line="360" w:lineRule="auto"/>
        <w:rPr>
          <w:rFonts w:ascii="Book Antiqua" w:hAnsi="Book Antiqua" w:cs="Times New Roman"/>
          <w:b/>
          <w:bCs/>
          <w:i/>
          <w:iCs/>
          <w:sz w:val="24"/>
        </w:rPr>
      </w:pPr>
      <w:r w:rsidRPr="00A94F32">
        <w:rPr>
          <w:rFonts w:ascii="Book Antiqua" w:hAnsi="Book Antiqua" w:cs="Times New Roman"/>
          <w:b/>
          <w:bCs/>
          <w:i/>
          <w:iCs/>
          <w:sz w:val="24"/>
        </w:rPr>
        <w:t>Research conclusions</w:t>
      </w:r>
    </w:p>
    <w:p w14:paraId="17F08BC5" w14:textId="600813F1" w:rsidR="00556F61" w:rsidRDefault="00237058" w:rsidP="00FD2E95">
      <w:pPr>
        <w:snapToGrid w:val="0"/>
        <w:spacing w:line="360" w:lineRule="auto"/>
        <w:rPr>
          <w:rFonts w:ascii="Book Antiqua" w:hAnsi="Book Antiqua" w:cs="Times New Roman"/>
          <w:sz w:val="24"/>
        </w:rPr>
      </w:pPr>
      <w:r>
        <w:rPr>
          <w:rFonts w:ascii="Book Antiqua" w:hAnsi="Book Antiqua" w:cs="Times New Roman"/>
          <w:sz w:val="24"/>
        </w:rPr>
        <w:t>S</w:t>
      </w:r>
      <w:r w:rsidR="005F4D6E" w:rsidRPr="00A94F32">
        <w:rPr>
          <w:rFonts w:ascii="Book Antiqua" w:hAnsi="Book Antiqua" w:cs="Times New Roman"/>
          <w:sz w:val="24"/>
        </w:rPr>
        <w:t xml:space="preserve">erum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w:t>
      </w:r>
      <w:r>
        <w:rPr>
          <w:rFonts w:ascii="Book Antiqua" w:hAnsi="Book Antiqua" w:cs="Times New Roman"/>
          <w:sz w:val="24"/>
        </w:rPr>
        <w:t>i</w:t>
      </w:r>
      <w:r w:rsidRPr="00A94F32">
        <w:rPr>
          <w:rFonts w:ascii="Book Antiqua" w:hAnsi="Book Antiqua" w:cs="Times New Roman"/>
          <w:sz w:val="24"/>
        </w:rPr>
        <w:t xml:space="preserve">s </w:t>
      </w:r>
      <w:r w:rsidR="005F4D6E" w:rsidRPr="00A94F32">
        <w:rPr>
          <w:rFonts w:ascii="Book Antiqua" w:hAnsi="Book Antiqua" w:cs="Times New Roman"/>
          <w:sz w:val="24"/>
        </w:rPr>
        <w:t>significantly elevated in</w:t>
      </w:r>
      <w:r>
        <w:rPr>
          <w:rFonts w:ascii="Book Antiqua" w:hAnsi="Book Antiqua" w:cs="Times New Roman"/>
          <w:sz w:val="24"/>
        </w:rPr>
        <w:t xml:space="preserve"> </w:t>
      </w:r>
      <w:r w:rsidR="005F4D6E" w:rsidRPr="00A94F32">
        <w:rPr>
          <w:rFonts w:ascii="Book Antiqua" w:hAnsi="Book Antiqua" w:cs="Times New Roman"/>
          <w:sz w:val="24"/>
        </w:rPr>
        <w:t xml:space="preserve">patients with HBV-ACLF, and it </w:t>
      </w:r>
      <w:r>
        <w:rPr>
          <w:rFonts w:ascii="Book Antiqua" w:hAnsi="Book Antiqua" w:cs="Times New Roman"/>
          <w:sz w:val="24"/>
        </w:rPr>
        <w:t>i</w:t>
      </w:r>
      <w:r w:rsidRPr="00A94F32">
        <w:rPr>
          <w:rFonts w:ascii="Book Antiqua" w:hAnsi="Book Antiqua" w:cs="Times New Roman"/>
          <w:sz w:val="24"/>
        </w:rPr>
        <w:t xml:space="preserve">s </w:t>
      </w:r>
      <w:r w:rsidR="005F4D6E" w:rsidRPr="00A94F32">
        <w:rPr>
          <w:rFonts w:ascii="Book Antiqua" w:hAnsi="Book Antiqua" w:cs="Times New Roman"/>
          <w:sz w:val="24"/>
        </w:rPr>
        <w:t xml:space="preserve">significantly associated with indicators of liver injury and </w:t>
      </w:r>
      <w:r>
        <w:rPr>
          <w:rFonts w:ascii="Book Antiqua" w:hAnsi="Book Antiqua" w:cs="Times New Roman"/>
          <w:sz w:val="24"/>
        </w:rPr>
        <w:t>disease</w:t>
      </w:r>
      <w:r w:rsidRPr="00A94F32">
        <w:rPr>
          <w:rFonts w:ascii="Book Antiqua" w:hAnsi="Book Antiqua" w:cs="Times New Roman"/>
          <w:sz w:val="24"/>
        </w:rPr>
        <w:t xml:space="preserve"> </w:t>
      </w:r>
      <w:r w:rsidR="005F4D6E" w:rsidRPr="00A94F32">
        <w:rPr>
          <w:rFonts w:ascii="Book Antiqua" w:hAnsi="Book Antiqua" w:cs="Times New Roman"/>
          <w:sz w:val="24"/>
        </w:rPr>
        <w:t xml:space="preserve">severity. Additionally,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is negatively correlated with </w:t>
      </w:r>
      <w:proofErr w:type="gramStart"/>
      <w:r w:rsidR="005F4D6E" w:rsidRPr="00A94F32">
        <w:rPr>
          <w:rFonts w:ascii="Book Antiqua" w:hAnsi="Book Antiqua" w:cs="Times New Roman"/>
          <w:sz w:val="24"/>
        </w:rPr>
        <w:t>patients</w:t>
      </w:r>
      <w:proofErr w:type="gramEnd"/>
      <w:r w:rsidR="005F4D6E" w:rsidRPr="00A94F32">
        <w:rPr>
          <w:rFonts w:ascii="Book Antiqua" w:hAnsi="Book Antiqua" w:cs="Times New Roman"/>
          <w:sz w:val="24"/>
        </w:rPr>
        <w:t xml:space="preserve"> outcome. Finally, </w:t>
      </w:r>
      <w:proofErr w:type="spellStart"/>
      <w:r w:rsidR="005F4D6E" w:rsidRPr="00A94F32">
        <w:rPr>
          <w:rFonts w:ascii="Book Antiqua" w:hAnsi="Book Antiqua" w:cs="Times New Roman"/>
          <w:sz w:val="24"/>
        </w:rPr>
        <w:t>sMR</w:t>
      </w:r>
      <w:proofErr w:type="spellEnd"/>
      <w:r w:rsidR="005F4D6E" w:rsidRPr="00A94F32">
        <w:rPr>
          <w:rFonts w:ascii="Book Antiqua" w:hAnsi="Book Antiqua" w:cs="Times New Roman"/>
          <w:sz w:val="24"/>
        </w:rPr>
        <w:t xml:space="preserve"> level may be a pred</w:t>
      </w:r>
      <w:r w:rsidR="005F4D6E" w:rsidRPr="00A94F32">
        <w:rPr>
          <w:rFonts w:ascii="Book Antiqua" w:hAnsi="Book Antiqua" w:cs="Times New Roman"/>
          <w:sz w:val="24"/>
        </w:rPr>
        <w:t>ictor of the prognosis of patients with HBV-ACLF.</w:t>
      </w:r>
    </w:p>
    <w:p w14:paraId="022EB606" w14:textId="77777777" w:rsidR="002A3B17" w:rsidRPr="00A94F32" w:rsidRDefault="002A3B17" w:rsidP="00FD2E95">
      <w:pPr>
        <w:snapToGrid w:val="0"/>
        <w:spacing w:line="360" w:lineRule="auto"/>
        <w:rPr>
          <w:rFonts w:ascii="Book Antiqua" w:hAnsi="Book Antiqua" w:cs="Times New Roman"/>
          <w:sz w:val="24"/>
        </w:rPr>
      </w:pPr>
    </w:p>
    <w:p w14:paraId="5509B329"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Research perspectives</w:t>
      </w:r>
    </w:p>
    <w:p w14:paraId="702B0176" w14:textId="089576E5" w:rsidR="00556F61" w:rsidRPr="00A94F32" w:rsidRDefault="005F4D6E" w:rsidP="00FD2E95">
      <w:pPr>
        <w:snapToGrid w:val="0"/>
        <w:spacing w:line="360" w:lineRule="auto"/>
        <w:rPr>
          <w:rFonts w:ascii="Book Antiqua" w:hAnsi="Book Antiqua"/>
          <w:b/>
          <w:sz w:val="24"/>
        </w:rPr>
      </w:pPr>
      <w:r w:rsidRPr="00A94F32">
        <w:rPr>
          <w:rFonts w:ascii="Book Antiqua" w:eastAsia="宋体" w:hAnsi="Book Antiqua"/>
          <w:bCs/>
          <w:sz w:val="24"/>
        </w:rPr>
        <w:t xml:space="preserve">Future studies are needed to </w:t>
      </w:r>
      <w:r w:rsidRPr="00A94F32">
        <w:rPr>
          <w:rFonts w:ascii="Book Antiqua" w:eastAsia="Times New Roman" w:hAnsi="Book Antiqua"/>
          <w:bCs/>
          <w:sz w:val="24"/>
        </w:rPr>
        <w:t>in</w:t>
      </w:r>
      <w:r w:rsidRPr="00A94F32">
        <w:rPr>
          <w:rFonts w:ascii="Book Antiqua" w:eastAsia="Times New Roman" w:hAnsi="Book Antiqua"/>
          <w:bCs/>
          <w:sz w:val="24"/>
        </w:rPr>
        <w:t>vestigate</w:t>
      </w:r>
      <w:r w:rsidRPr="00A94F32">
        <w:rPr>
          <w:rFonts w:ascii="Book Antiqua" w:eastAsia="宋体" w:hAnsi="Book Antiqua"/>
          <w:bCs/>
          <w:sz w:val="24"/>
        </w:rPr>
        <w:t xml:space="preserve"> </w:t>
      </w:r>
      <w:r w:rsidRPr="00A94F32">
        <w:rPr>
          <w:rFonts w:ascii="Book Antiqua" w:eastAsia="Times New Roman" w:hAnsi="Book Antiqua"/>
          <w:bCs/>
          <w:sz w:val="24"/>
        </w:rPr>
        <w:t xml:space="preserve">the mechanisms underlying the role of </w:t>
      </w:r>
      <w:proofErr w:type="spellStart"/>
      <w:r w:rsidRPr="00A94F32">
        <w:rPr>
          <w:rFonts w:ascii="Book Antiqua" w:eastAsia="Times New Roman" w:hAnsi="Book Antiqua"/>
          <w:bCs/>
          <w:sz w:val="24"/>
        </w:rPr>
        <w:t>sMR</w:t>
      </w:r>
      <w:proofErr w:type="spellEnd"/>
      <w:r w:rsidRPr="00A94F32">
        <w:rPr>
          <w:rFonts w:ascii="Book Antiqua" w:eastAsia="Times New Roman" w:hAnsi="Book Antiqua"/>
          <w:bCs/>
          <w:sz w:val="24"/>
        </w:rPr>
        <w:t>.</w:t>
      </w:r>
      <w:r w:rsidRPr="00A94F32">
        <w:rPr>
          <w:rFonts w:ascii="Book Antiqua" w:hAnsi="Book Antiqua" w:cs="Times New Roman"/>
          <w:sz w:val="24"/>
        </w:rPr>
        <w:t xml:space="preserve"> And </w:t>
      </w:r>
      <w:r w:rsidR="00215647">
        <w:rPr>
          <w:rFonts w:ascii="Book Antiqua" w:hAnsi="Book Antiqua" w:cs="Times New Roman"/>
          <w:sz w:val="24"/>
        </w:rPr>
        <w:t>i</w:t>
      </w:r>
      <w:r w:rsidR="00215647" w:rsidRPr="00A94F32">
        <w:rPr>
          <w:rFonts w:ascii="Book Antiqua" w:hAnsi="Book Antiqua" w:cs="Times New Roman"/>
          <w:sz w:val="24"/>
        </w:rPr>
        <w:t xml:space="preserve">t </w:t>
      </w:r>
      <w:r w:rsidRPr="00A94F32">
        <w:rPr>
          <w:rFonts w:ascii="Book Antiqua" w:hAnsi="Book Antiqua" w:cs="Times New Roman"/>
          <w:sz w:val="24"/>
        </w:rPr>
        <w:t>is necessary to determine the dynamic changes in</w:t>
      </w:r>
      <w:r w:rsidR="00215647">
        <w:rPr>
          <w:rFonts w:ascii="Book Antiqua" w:hAnsi="Book Antiqua" w:cs="Times New Roman"/>
          <w:sz w:val="24"/>
        </w:rPr>
        <w:t xml:space="preserve"> </w:t>
      </w:r>
      <w:r w:rsidRPr="00A94F32">
        <w:rPr>
          <w:rFonts w:ascii="Book Antiqua" w:hAnsi="Book Antiqua" w:cs="Times New Roman"/>
          <w:sz w:val="24"/>
        </w:rPr>
        <w:t xml:space="preserve">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during the progression of HBV-ACLF. </w:t>
      </w:r>
      <w:r w:rsidRPr="00A94F32">
        <w:rPr>
          <w:rFonts w:ascii="Book Antiqua" w:eastAsia="宋体" w:hAnsi="Book Antiqua" w:cs="Times New Roman"/>
          <w:sz w:val="24"/>
        </w:rPr>
        <w:t>M</w:t>
      </w:r>
      <w:r w:rsidRPr="00A94F32">
        <w:rPr>
          <w:rFonts w:ascii="Book Antiqua" w:hAnsi="Book Antiqua" w:cs="Times New Roman"/>
          <w:sz w:val="24"/>
        </w:rPr>
        <w:t>ulticenter trials</w:t>
      </w:r>
      <w:r w:rsidRPr="00A94F32">
        <w:rPr>
          <w:rFonts w:ascii="Book Antiqua" w:hAnsi="Book Antiqua" w:cs="Times New Roman"/>
          <w:sz w:val="24"/>
        </w:rPr>
        <w:t xml:space="preserve"> with large sample sizes are also required to confirm the current findings.</w:t>
      </w:r>
    </w:p>
    <w:p w14:paraId="3CE40D58" w14:textId="77777777" w:rsidR="00A94F32" w:rsidRPr="00A94F32" w:rsidRDefault="00A94F32" w:rsidP="00FD2E95">
      <w:pPr>
        <w:widowControl/>
        <w:snapToGrid w:val="0"/>
        <w:spacing w:line="360" w:lineRule="auto"/>
        <w:jc w:val="left"/>
        <w:rPr>
          <w:rFonts w:ascii="Book Antiqua" w:eastAsia="Times New Roman" w:hAnsi="Book Antiqua"/>
          <w:b/>
          <w:sz w:val="24"/>
        </w:rPr>
      </w:pPr>
      <w:r w:rsidRPr="00A94F32">
        <w:rPr>
          <w:rFonts w:ascii="Book Antiqua" w:eastAsia="Times New Roman" w:hAnsi="Book Antiqua"/>
          <w:b/>
          <w:sz w:val="24"/>
        </w:rPr>
        <w:br w:type="page"/>
      </w:r>
    </w:p>
    <w:p w14:paraId="13E0BE04" w14:textId="77777777" w:rsidR="00556F61" w:rsidRPr="00A94F32" w:rsidRDefault="005F4D6E" w:rsidP="00FD2E95">
      <w:pPr>
        <w:pStyle w:val="EndNoteBibliography"/>
        <w:snapToGrid w:val="0"/>
        <w:spacing w:line="360" w:lineRule="auto"/>
        <w:rPr>
          <w:rFonts w:ascii="Book Antiqua" w:eastAsia="宋体" w:hAnsi="Book Antiqua"/>
          <w:b/>
          <w:sz w:val="24"/>
        </w:rPr>
      </w:pPr>
      <w:r w:rsidRPr="00A94F32">
        <w:rPr>
          <w:rFonts w:ascii="Book Antiqua" w:eastAsia="宋体" w:hAnsi="Book Antiqua"/>
          <w:b/>
          <w:sz w:val="24"/>
        </w:rPr>
        <w:lastRenderedPageBreak/>
        <w:t>REFERENCES</w:t>
      </w:r>
    </w:p>
    <w:p w14:paraId="2FE65926"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 </w:t>
      </w:r>
      <w:proofErr w:type="spellStart"/>
      <w:r w:rsidRPr="002A3B17">
        <w:rPr>
          <w:rFonts w:ascii="Book Antiqua" w:hAnsi="Book Antiqua"/>
          <w:b/>
          <w:sz w:val="24"/>
        </w:rPr>
        <w:t>Hernaez</w:t>
      </w:r>
      <w:proofErr w:type="spellEnd"/>
      <w:r w:rsidRPr="002A3B17">
        <w:rPr>
          <w:rFonts w:ascii="Book Antiqua" w:hAnsi="Book Antiqua"/>
          <w:b/>
          <w:sz w:val="24"/>
        </w:rPr>
        <w:t xml:space="preserve"> R</w:t>
      </w:r>
      <w:r w:rsidRPr="002A3B17">
        <w:rPr>
          <w:rFonts w:ascii="Book Antiqua" w:hAnsi="Book Antiqua"/>
          <w:sz w:val="24"/>
        </w:rPr>
        <w:t xml:space="preserve">, </w:t>
      </w:r>
      <w:proofErr w:type="spellStart"/>
      <w:r w:rsidRPr="002A3B17">
        <w:rPr>
          <w:rFonts w:ascii="Book Antiqua" w:hAnsi="Book Antiqua"/>
          <w:sz w:val="24"/>
        </w:rPr>
        <w:t>Solà</w:t>
      </w:r>
      <w:proofErr w:type="spellEnd"/>
      <w:r w:rsidRPr="002A3B17">
        <w:rPr>
          <w:rFonts w:ascii="Book Antiqua" w:hAnsi="Book Antiqua"/>
          <w:sz w:val="24"/>
        </w:rPr>
        <w:t xml:space="preserve"> E, Moreau R, </w:t>
      </w:r>
      <w:proofErr w:type="spellStart"/>
      <w:r w:rsidRPr="002A3B17">
        <w:rPr>
          <w:rFonts w:ascii="Book Antiqua" w:hAnsi="Book Antiqua"/>
          <w:sz w:val="24"/>
        </w:rPr>
        <w:t>Ginès</w:t>
      </w:r>
      <w:proofErr w:type="spellEnd"/>
      <w:r w:rsidRPr="002A3B17">
        <w:rPr>
          <w:rFonts w:ascii="Book Antiqua" w:hAnsi="Book Antiqua"/>
          <w:sz w:val="24"/>
        </w:rPr>
        <w:t xml:space="preserve"> P. Acute-on-chronic liver failure: an update. </w:t>
      </w:r>
      <w:r w:rsidRPr="002A3B17">
        <w:rPr>
          <w:rFonts w:ascii="Book Antiqua" w:hAnsi="Book Antiqua"/>
          <w:i/>
          <w:sz w:val="24"/>
        </w:rPr>
        <w:t>Gut</w:t>
      </w:r>
      <w:r w:rsidRPr="002A3B17">
        <w:rPr>
          <w:rFonts w:ascii="Book Antiqua" w:hAnsi="Book Antiqua"/>
          <w:sz w:val="24"/>
        </w:rPr>
        <w:t xml:space="preserve"> 2017; </w:t>
      </w:r>
      <w:r w:rsidRPr="002A3B17">
        <w:rPr>
          <w:rFonts w:ascii="Book Antiqua" w:hAnsi="Book Antiqua"/>
          <w:b/>
          <w:sz w:val="24"/>
        </w:rPr>
        <w:t>66</w:t>
      </w:r>
      <w:r w:rsidRPr="002A3B17">
        <w:rPr>
          <w:rFonts w:ascii="Book Antiqua" w:hAnsi="Book Antiqua"/>
          <w:sz w:val="24"/>
        </w:rPr>
        <w:t>: 541-553 [PMID: 28053053 DOI: 10.1136/gutjnl-2016-312670]</w:t>
      </w:r>
    </w:p>
    <w:p w14:paraId="32F6DB66"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2 </w:t>
      </w:r>
      <w:r w:rsidRPr="002A3B17">
        <w:rPr>
          <w:rFonts w:ascii="Book Antiqua" w:hAnsi="Book Antiqua"/>
          <w:b/>
          <w:sz w:val="24"/>
        </w:rPr>
        <w:t>You S</w:t>
      </w:r>
      <w:r w:rsidRPr="002A3B17">
        <w:rPr>
          <w:rFonts w:ascii="Book Antiqua" w:hAnsi="Book Antiqua"/>
          <w:sz w:val="24"/>
        </w:rPr>
        <w:t xml:space="preserve">, </w:t>
      </w:r>
      <w:proofErr w:type="spellStart"/>
      <w:r w:rsidRPr="002A3B17">
        <w:rPr>
          <w:rFonts w:ascii="Book Antiqua" w:hAnsi="Book Antiqua"/>
          <w:sz w:val="24"/>
        </w:rPr>
        <w:t>Rong</w:t>
      </w:r>
      <w:proofErr w:type="spellEnd"/>
      <w:r w:rsidRPr="002A3B17">
        <w:rPr>
          <w:rFonts w:ascii="Book Antiqua" w:hAnsi="Book Antiqua"/>
          <w:sz w:val="24"/>
        </w:rPr>
        <w:t xml:space="preserve"> Y, Zhu B, Zhang A, </w:t>
      </w:r>
      <w:proofErr w:type="spellStart"/>
      <w:r w:rsidRPr="002A3B17">
        <w:rPr>
          <w:rFonts w:ascii="Book Antiqua" w:hAnsi="Book Antiqua"/>
          <w:sz w:val="24"/>
        </w:rPr>
        <w:t>Zang</w:t>
      </w:r>
      <w:proofErr w:type="spellEnd"/>
      <w:r w:rsidRPr="002A3B17">
        <w:rPr>
          <w:rFonts w:ascii="Book Antiqua" w:hAnsi="Book Antiqua"/>
          <w:sz w:val="24"/>
        </w:rPr>
        <w:t xml:space="preserve"> H, Liu H, Li D, Wan Z, Xin S. Changing etiology of liver failure in 3,916 patients from northern China: a 10-year survey. </w:t>
      </w:r>
      <w:proofErr w:type="spellStart"/>
      <w:r w:rsidRPr="002A3B17">
        <w:rPr>
          <w:rFonts w:ascii="Book Antiqua" w:hAnsi="Book Antiqua"/>
          <w:i/>
          <w:sz w:val="24"/>
        </w:rPr>
        <w:t>Hepatol</w:t>
      </w:r>
      <w:proofErr w:type="spellEnd"/>
      <w:r w:rsidRPr="002A3B17">
        <w:rPr>
          <w:rFonts w:ascii="Book Antiqua" w:hAnsi="Book Antiqua"/>
          <w:i/>
          <w:sz w:val="24"/>
        </w:rPr>
        <w:t xml:space="preserve"> </w:t>
      </w:r>
      <w:proofErr w:type="spellStart"/>
      <w:r w:rsidRPr="002A3B17">
        <w:rPr>
          <w:rFonts w:ascii="Book Antiqua" w:hAnsi="Book Antiqua"/>
          <w:i/>
          <w:sz w:val="24"/>
        </w:rPr>
        <w:t>Int</w:t>
      </w:r>
      <w:proofErr w:type="spellEnd"/>
      <w:r w:rsidRPr="002A3B17">
        <w:rPr>
          <w:rFonts w:ascii="Book Antiqua" w:hAnsi="Book Antiqua"/>
          <w:sz w:val="24"/>
        </w:rPr>
        <w:t xml:space="preserve"> 2013; </w:t>
      </w:r>
      <w:r w:rsidRPr="002A3B17">
        <w:rPr>
          <w:rFonts w:ascii="Book Antiqua" w:hAnsi="Book Antiqua"/>
          <w:b/>
          <w:sz w:val="24"/>
        </w:rPr>
        <w:t>7</w:t>
      </w:r>
      <w:r w:rsidRPr="002A3B17">
        <w:rPr>
          <w:rFonts w:ascii="Book Antiqua" w:hAnsi="Book Antiqua"/>
          <w:sz w:val="24"/>
        </w:rPr>
        <w:t>: 714-720 [PMID: 26201805 DOI: 10.1007/s12072-013-9424-5]</w:t>
      </w:r>
    </w:p>
    <w:p w14:paraId="434BB4AB"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3 </w:t>
      </w:r>
      <w:r w:rsidRPr="002A3B17">
        <w:rPr>
          <w:rFonts w:ascii="Book Antiqua" w:hAnsi="Book Antiqua"/>
          <w:b/>
          <w:sz w:val="24"/>
        </w:rPr>
        <w:t>Ye H</w:t>
      </w:r>
      <w:r w:rsidRPr="002A3B17">
        <w:rPr>
          <w:rFonts w:ascii="Book Antiqua" w:hAnsi="Book Antiqua"/>
          <w:sz w:val="24"/>
        </w:rPr>
        <w:t xml:space="preserve">, Wang LY, Zhao J, Wang K. Increased CD163 expression is associated with acute-on-chronic hepatitis B liver failure. </w:t>
      </w:r>
      <w:r w:rsidRPr="002A3B17">
        <w:rPr>
          <w:rFonts w:ascii="Book Antiqua" w:hAnsi="Book Antiqua"/>
          <w:i/>
          <w:sz w:val="24"/>
        </w:rPr>
        <w:t xml:space="preserve">World J </w:t>
      </w:r>
      <w:proofErr w:type="spellStart"/>
      <w:r w:rsidRPr="002A3B17">
        <w:rPr>
          <w:rFonts w:ascii="Book Antiqua" w:hAnsi="Book Antiqua"/>
          <w:i/>
          <w:sz w:val="24"/>
        </w:rPr>
        <w:t>Gastroenterol</w:t>
      </w:r>
      <w:proofErr w:type="spellEnd"/>
      <w:r w:rsidRPr="002A3B17">
        <w:rPr>
          <w:rFonts w:ascii="Book Antiqua" w:hAnsi="Book Antiqua"/>
          <w:sz w:val="24"/>
        </w:rPr>
        <w:t xml:space="preserve"> 2013; </w:t>
      </w:r>
      <w:r w:rsidRPr="002A3B17">
        <w:rPr>
          <w:rFonts w:ascii="Book Antiqua" w:hAnsi="Book Antiqua"/>
          <w:b/>
          <w:sz w:val="24"/>
        </w:rPr>
        <w:t>19</w:t>
      </w:r>
      <w:r w:rsidRPr="002A3B17">
        <w:rPr>
          <w:rFonts w:ascii="Book Antiqua" w:hAnsi="Book Antiqua"/>
          <w:sz w:val="24"/>
        </w:rPr>
        <w:t>: 2818-2825 [PMID: 23687420 DOI: 10.3748/wjg.v19.i18.2818]</w:t>
      </w:r>
    </w:p>
    <w:p w14:paraId="4A5ECB14"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4 </w:t>
      </w:r>
      <w:proofErr w:type="spellStart"/>
      <w:r w:rsidRPr="002A3B17">
        <w:rPr>
          <w:rFonts w:ascii="Book Antiqua" w:hAnsi="Book Antiqua"/>
          <w:b/>
          <w:sz w:val="24"/>
        </w:rPr>
        <w:t>Shapouri-Moghaddam</w:t>
      </w:r>
      <w:proofErr w:type="spellEnd"/>
      <w:r w:rsidRPr="002A3B17">
        <w:rPr>
          <w:rFonts w:ascii="Book Antiqua" w:hAnsi="Book Antiqua"/>
          <w:b/>
          <w:sz w:val="24"/>
        </w:rPr>
        <w:t xml:space="preserve"> A</w:t>
      </w:r>
      <w:r w:rsidRPr="002A3B17">
        <w:rPr>
          <w:rFonts w:ascii="Book Antiqua" w:hAnsi="Book Antiqua"/>
          <w:sz w:val="24"/>
        </w:rPr>
        <w:t xml:space="preserve">, </w:t>
      </w:r>
      <w:proofErr w:type="spellStart"/>
      <w:r w:rsidRPr="002A3B17">
        <w:rPr>
          <w:rFonts w:ascii="Book Antiqua" w:hAnsi="Book Antiqua"/>
          <w:sz w:val="24"/>
        </w:rPr>
        <w:t>Mohammadian</w:t>
      </w:r>
      <w:proofErr w:type="spellEnd"/>
      <w:r w:rsidRPr="002A3B17">
        <w:rPr>
          <w:rFonts w:ascii="Book Antiqua" w:hAnsi="Book Antiqua"/>
          <w:sz w:val="24"/>
        </w:rPr>
        <w:t xml:space="preserve"> S, </w:t>
      </w:r>
      <w:proofErr w:type="spellStart"/>
      <w:r w:rsidRPr="002A3B17">
        <w:rPr>
          <w:rFonts w:ascii="Book Antiqua" w:hAnsi="Book Antiqua"/>
          <w:sz w:val="24"/>
        </w:rPr>
        <w:t>Vazini</w:t>
      </w:r>
      <w:proofErr w:type="spellEnd"/>
      <w:r w:rsidRPr="002A3B17">
        <w:rPr>
          <w:rFonts w:ascii="Book Antiqua" w:hAnsi="Book Antiqua"/>
          <w:sz w:val="24"/>
        </w:rPr>
        <w:t xml:space="preserve"> H, </w:t>
      </w:r>
      <w:proofErr w:type="spellStart"/>
      <w:r w:rsidRPr="002A3B17">
        <w:rPr>
          <w:rFonts w:ascii="Book Antiqua" w:hAnsi="Book Antiqua"/>
          <w:sz w:val="24"/>
        </w:rPr>
        <w:t>Taghadosi</w:t>
      </w:r>
      <w:proofErr w:type="spellEnd"/>
      <w:r w:rsidRPr="002A3B17">
        <w:rPr>
          <w:rFonts w:ascii="Book Antiqua" w:hAnsi="Book Antiqua"/>
          <w:sz w:val="24"/>
        </w:rPr>
        <w:t xml:space="preserve"> M, </w:t>
      </w:r>
      <w:proofErr w:type="spellStart"/>
      <w:r w:rsidRPr="002A3B17">
        <w:rPr>
          <w:rFonts w:ascii="Book Antiqua" w:hAnsi="Book Antiqua"/>
          <w:sz w:val="24"/>
        </w:rPr>
        <w:t>Esmaeili</w:t>
      </w:r>
      <w:proofErr w:type="spellEnd"/>
      <w:r w:rsidRPr="002A3B17">
        <w:rPr>
          <w:rFonts w:ascii="Book Antiqua" w:hAnsi="Book Antiqua"/>
          <w:sz w:val="24"/>
        </w:rPr>
        <w:t xml:space="preserve"> SA, </w:t>
      </w:r>
      <w:proofErr w:type="spellStart"/>
      <w:r w:rsidRPr="002A3B17">
        <w:rPr>
          <w:rFonts w:ascii="Book Antiqua" w:hAnsi="Book Antiqua"/>
          <w:sz w:val="24"/>
        </w:rPr>
        <w:t>Mardani</w:t>
      </w:r>
      <w:proofErr w:type="spellEnd"/>
      <w:r w:rsidRPr="002A3B17">
        <w:rPr>
          <w:rFonts w:ascii="Book Antiqua" w:hAnsi="Book Antiqua"/>
          <w:sz w:val="24"/>
        </w:rPr>
        <w:t xml:space="preserve"> F, </w:t>
      </w:r>
      <w:proofErr w:type="spellStart"/>
      <w:r w:rsidRPr="002A3B17">
        <w:rPr>
          <w:rFonts w:ascii="Book Antiqua" w:hAnsi="Book Antiqua"/>
          <w:sz w:val="24"/>
        </w:rPr>
        <w:t>Seifi</w:t>
      </w:r>
      <w:proofErr w:type="spellEnd"/>
      <w:r w:rsidRPr="002A3B17">
        <w:rPr>
          <w:rFonts w:ascii="Book Antiqua" w:hAnsi="Book Antiqua"/>
          <w:sz w:val="24"/>
        </w:rPr>
        <w:t xml:space="preserve"> B, </w:t>
      </w:r>
      <w:proofErr w:type="spellStart"/>
      <w:r w:rsidRPr="002A3B17">
        <w:rPr>
          <w:rFonts w:ascii="Book Antiqua" w:hAnsi="Book Antiqua"/>
          <w:sz w:val="24"/>
        </w:rPr>
        <w:t>Mohammadi</w:t>
      </w:r>
      <w:proofErr w:type="spellEnd"/>
      <w:r w:rsidRPr="002A3B17">
        <w:rPr>
          <w:rFonts w:ascii="Book Antiqua" w:hAnsi="Book Antiqua"/>
          <w:sz w:val="24"/>
        </w:rPr>
        <w:t xml:space="preserve"> A, </w:t>
      </w:r>
      <w:proofErr w:type="spellStart"/>
      <w:r w:rsidRPr="002A3B17">
        <w:rPr>
          <w:rFonts w:ascii="Book Antiqua" w:hAnsi="Book Antiqua"/>
          <w:sz w:val="24"/>
        </w:rPr>
        <w:t>Afshari</w:t>
      </w:r>
      <w:proofErr w:type="spellEnd"/>
      <w:r w:rsidRPr="002A3B17">
        <w:rPr>
          <w:rFonts w:ascii="Book Antiqua" w:hAnsi="Book Antiqua"/>
          <w:sz w:val="24"/>
        </w:rPr>
        <w:t xml:space="preserve"> JT, </w:t>
      </w:r>
      <w:proofErr w:type="spellStart"/>
      <w:r w:rsidRPr="002A3B17">
        <w:rPr>
          <w:rFonts w:ascii="Book Antiqua" w:hAnsi="Book Antiqua"/>
          <w:sz w:val="24"/>
        </w:rPr>
        <w:t>Sahebkar</w:t>
      </w:r>
      <w:proofErr w:type="spellEnd"/>
      <w:r w:rsidRPr="002A3B17">
        <w:rPr>
          <w:rFonts w:ascii="Book Antiqua" w:hAnsi="Book Antiqua"/>
          <w:sz w:val="24"/>
        </w:rPr>
        <w:t xml:space="preserve"> A. Macrophage plasticity, polarization, and function in health and disease. </w:t>
      </w:r>
      <w:r w:rsidRPr="002A3B17">
        <w:rPr>
          <w:rFonts w:ascii="Book Antiqua" w:hAnsi="Book Antiqua"/>
          <w:i/>
          <w:sz w:val="24"/>
        </w:rPr>
        <w:t xml:space="preserve">J Cell </w:t>
      </w:r>
      <w:proofErr w:type="spellStart"/>
      <w:r w:rsidRPr="002A3B17">
        <w:rPr>
          <w:rFonts w:ascii="Book Antiqua" w:hAnsi="Book Antiqua"/>
          <w:i/>
          <w:sz w:val="24"/>
        </w:rPr>
        <w:t>Physiol</w:t>
      </w:r>
      <w:proofErr w:type="spellEnd"/>
      <w:r w:rsidRPr="002A3B17">
        <w:rPr>
          <w:rFonts w:ascii="Book Antiqua" w:hAnsi="Book Antiqua"/>
          <w:sz w:val="24"/>
        </w:rPr>
        <w:t xml:space="preserve"> 2018; </w:t>
      </w:r>
      <w:r w:rsidRPr="002A3B17">
        <w:rPr>
          <w:rFonts w:ascii="Book Antiqua" w:hAnsi="Book Antiqua"/>
          <w:b/>
          <w:sz w:val="24"/>
        </w:rPr>
        <w:t>233</w:t>
      </w:r>
      <w:r w:rsidRPr="002A3B17">
        <w:rPr>
          <w:rFonts w:ascii="Book Antiqua" w:hAnsi="Book Antiqua"/>
          <w:sz w:val="24"/>
        </w:rPr>
        <w:t>: 6425-6440 [PMID: 29319160 DOI: 10.1002/jcp.26429]</w:t>
      </w:r>
    </w:p>
    <w:p w14:paraId="31A198A1"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5 </w:t>
      </w:r>
      <w:r w:rsidRPr="002A3B17">
        <w:rPr>
          <w:rFonts w:ascii="Book Antiqua" w:hAnsi="Book Antiqua"/>
          <w:b/>
          <w:sz w:val="24"/>
        </w:rPr>
        <w:t>Rey-Giraud F</w:t>
      </w:r>
      <w:r w:rsidRPr="002A3B17">
        <w:rPr>
          <w:rFonts w:ascii="Book Antiqua" w:hAnsi="Book Antiqua"/>
          <w:sz w:val="24"/>
        </w:rPr>
        <w:t xml:space="preserve">, </w:t>
      </w:r>
      <w:proofErr w:type="spellStart"/>
      <w:r w:rsidRPr="002A3B17">
        <w:rPr>
          <w:rFonts w:ascii="Book Antiqua" w:hAnsi="Book Antiqua"/>
          <w:sz w:val="24"/>
        </w:rPr>
        <w:t>Hafner</w:t>
      </w:r>
      <w:proofErr w:type="spellEnd"/>
      <w:r w:rsidRPr="002A3B17">
        <w:rPr>
          <w:rFonts w:ascii="Book Antiqua" w:hAnsi="Book Antiqua"/>
          <w:sz w:val="24"/>
        </w:rPr>
        <w:t xml:space="preserve"> M, </w:t>
      </w:r>
      <w:proofErr w:type="spellStart"/>
      <w:r w:rsidRPr="002A3B17">
        <w:rPr>
          <w:rFonts w:ascii="Book Antiqua" w:hAnsi="Book Antiqua"/>
          <w:sz w:val="24"/>
        </w:rPr>
        <w:t>Ries</w:t>
      </w:r>
      <w:proofErr w:type="spellEnd"/>
      <w:r w:rsidRPr="002A3B17">
        <w:rPr>
          <w:rFonts w:ascii="Book Antiqua" w:hAnsi="Book Antiqua"/>
          <w:sz w:val="24"/>
        </w:rPr>
        <w:t xml:space="preserve"> CH. In vitro generation of monocyte-derived macrophages under serum-free conditions improves their tumor promoting functions. </w:t>
      </w:r>
      <w:proofErr w:type="spellStart"/>
      <w:r w:rsidRPr="002A3B17">
        <w:rPr>
          <w:rFonts w:ascii="Book Antiqua" w:hAnsi="Book Antiqua"/>
          <w:i/>
          <w:sz w:val="24"/>
        </w:rPr>
        <w:t>PLoS</w:t>
      </w:r>
      <w:proofErr w:type="spellEnd"/>
      <w:r w:rsidRPr="002A3B17">
        <w:rPr>
          <w:rFonts w:ascii="Book Antiqua" w:hAnsi="Book Antiqua"/>
          <w:i/>
          <w:sz w:val="24"/>
        </w:rPr>
        <w:t xml:space="preserve"> One</w:t>
      </w:r>
      <w:r w:rsidRPr="002A3B17">
        <w:rPr>
          <w:rFonts w:ascii="Book Antiqua" w:hAnsi="Book Antiqua"/>
          <w:sz w:val="24"/>
        </w:rPr>
        <w:t xml:space="preserve"> 2012; </w:t>
      </w:r>
      <w:r w:rsidRPr="002A3B17">
        <w:rPr>
          <w:rFonts w:ascii="Book Antiqua" w:hAnsi="Book Antiqua"/>
          <w:b/>
          <w:sz w:val="24"/>
        </w:rPr>
        <w:t>7</w:t>
      </w:r>
      <w:r w:rsidRPr="002A3B17">
        <w:rPr>
          <w:rFonts w:ascii="Book Antiqua" w:hAnsi="Book Antiqua"/>
          <w:sz w:val="24"/>
        </w:rPr>
        <w:t>: e42656 [PMID: 22880072 DOI: 10.1371/journal.pone.0042656]</w:t>
      </w:r>
    </w:p>
    <w:p w14:paraId="1F693494"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6 </w:t>
      </w:r>
      <w:r w:rsidRPr="002A3B17">
        <w:rPr>
          <w:rFonts w:ascii="Book Antiqua" w:hAnsi="Book Antiqua"/>
          <w:b/>
          <w:sz w:val="24"/>
        </w:rPr>
        <w:t>Martinez-</w:t>
      </w:r>
      <w:proofErr w:type="spellStart"/>
      <w:r w:rsidRPr="002A3B17">
        <w:rPr>
          <w:rFonts w:ascii="Book Antiqua" w:hAnsi="Book Antiqua"/>
          <w:b/>
          <w:sz w:val="24"/>
        </w:rPr>
        <w:t>Pomares</w:t>
      </w:r>
      <w:proofErr w:type="spellEnd"/>
      <w:r w:rsidRPr="002A3B17">
        <w:rPr>
          <w:rFonts w:ascii="Book Antiqua" w:hAnsi="Book Antiqua"/>
          <w:b/>
          <w:sz w:val="24"/>
        </w:rPr>
        <w:t xml:space="preserve"> L</w:t>
      </w:r>
      <w:r w:rsidRPr="002A3B17">
        <w:rPr>
          <w:rFonts w:ascii="Book Antiqua" w:hAnsi="Book Antiqua"/>
          <w:sz w:val="24"/>
        </w:rPr>
        <w:t xml:space="preserve">. The mannose receptor. </w:t>
      </w:r>
      <w:r w:rsidRPr="002A3B17">
        <w:rPr>
          <w:rFonts w:ascii="Book Antiqua" w:hAnsi="Book Antiqua"/>
          <w:i/>
          <w:sz w:val="24"/>
        </w:rPr>
        <w:t xml:space="preserve">J </w:t>
      </w:r>
      <w:proofErr w:type="spellStart"/>
      <w:r w:rsidRPr="002A3B17">
        <w:rPr>
          <w:rFonts w:ascii="Book Antiqua" w:hAnsi="Book Antiqua"/>
          <w:i/>
          <w:sz w:val="24"/>
        </w:rPr>
        <w:t>Leukoc</w:t>
      </w:r>
      <w:proofErr w:type="spellEnd"/>
      <w:r w:rsidRPr="002A3B17">
        <w:rPr>
          <w:rFonts w:ascii="Book Antiqua" w:hAnsi="Book Antiqua"/>
          <w:i/>
          <w:sz w:val="24"/>
        </w:rPr>
        <w:t xml:space="preserve"> </w:t>
      </w:r>
      <w:proofErr w:type="spellStart"/>
      <w:r w:rsidRPr="002A3B17">
        <w:rPr>
          <w:rFonts w:ascii="Book Antiqua" w:hAnsi="Book Antiqua"/>
          <w:i/>
          <w:sz w:val="24"/>
        </w:rPr>
        <w:t>Biol</w:t>
      </w:r>
      <w:proofErr w:type="spellEnd"/>
      <w:r w:rsidRPr="002A3B17">
        <w:rPr>
          <w:rFonts w:ascii="Book Antiqua" w:hAnsi="Book Antiqua"/>
          <w:sz w:val="24"/>
        </w:rPr>
        <w:t xml:space="preserve"> 2012; </w:t>
      </w:r>
      <w:r w:rsidRPr="002A3B17">
        <w:rPr>
          <w:rFonts w:ascii="Book Antiqua" w:hAnsi="Book Antiqua"/>
          <w:b/>
          <w:sz w:val="24"/>
        </w:rPr>
        <w:t>92</w:t>
      </w:r>
      <w:r w:rsidRPr="002A3B17">
        <w:rPr>
          <w:rFonts w:ascii="Book Antiqua" w:hAnsi="Book Antiqua"/>
          <w:sz w:val="24"/>
        </w:rPr>
        <w:t>: 1177-1186 [PMID: 22966131 DOI: 10.1189/jlb.0512231]</w:t>
      </w:r>
    </w:p>
    <w:p w14:paraId="2212CE4F"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7 </w:t>
      </w:r>
      <w:proofErr w:type="spellStart"/>
      <w:r w:rsidRPr="002A3B17">
        <w:rPr>
          <w:rFonts w:ascii="Book Antiqua" w:hAnsi="Book Antiqua"/>
          <w:b/>
          <w:sz w:val="24"/>
        </w:rPr>
        <w:t>Jordens</w:t>
      </w:r>
      <w:proofErr w:type="spellEnd"/>
      <w:r w:rsidRPr="002A3B17">
        <w:rPr>
          <w:rFonts w:ascii="Book Antiqua" w:hAnsi="Book Antiqua"/>
          <w:b/>
          <w:sz w:val="24"/>
        </w:rPr>
        <w:t xml:space="preserve"> R</w:t>
      </w:r>
      <w:r w:rsidRPr="002A3B17">
        <w:rPr>
          <w:rFonts w:ascii="Book Antiqua" w:hAnsi="Book Antiqua"/>
          <w:sz w:val="24"/>
        </w:rPr>
        <w:t xml:space="preserve">, Thompson A, </w:t>
      </w:r>
      <w:proofErr w:type="spellStart"/>
      <w:r w:rsidRPr="002A3B17">
        <w:rPr>
          <w:rFonts w:ascii="Book Antiqua" w:hAnsi="Book Antiqua"/>
          <w:sz w:val="24"/>
        </w:rPr>
        <w:t>Amons</w:t>
      </w:r>
      <w:proofErr w:type="spellEnd"/>
      <w:r w:rsidRPr="002A3B17">
        <w:rPr>
          <w:rFonts w:ascii="Book Antiqua" w:hAnsi="Book Antiqua"/>
          <w:sz w:val="24"/>
        </w:rPr>
        <w:t xml:space="preserve"> R, </w:t>
      </w:r>
      <w:proofErr w:type="spellStart"/>
      <w:r w:rsidRPr="002A3B17">
        <w:rPr>
          <w:rFonts w:ascii="Book Antiqua" w:hAnsi="Book Antiqua"/>
          <w:sz w:val="24"/>
        </w:rPr>
        <w:t>Koning</w:t>
      </w:r>
      <w:proofErr w:type="spellEnd"/>
      <w:r w:rsidRPr="002A3B17">
        <w:rPr>
          <w:rFonts w:ascii="Book Antiqua" w:hAnsi="Book Antiqua"/>
          <w:sz w:val="24"/>
        </w:rPr>
        <w:t xml:space="preserve"> F. Human dendritic cells shed a functional, soluble form of the mannose receptor. </w:t>
      </w:r>
      <w:proofErr w:type="spellStart"/>
      <w:r w:rsidRPr="002A3B17">
        <w:rPr>
          <w:rFonts w:ascii="Book Antiqua" w:hAnsi="Book Antiqua"/>
          <w:i/>
          <w:sz w:val="24"/>
        </w:rPr>
        <w:t>Int</w:t>
      </w:r>
      <w:proofErr w:type="spellEnd"/>
      <w:r w:rsidRPr="002A3B17">
        <w:rPr>
          <w:rFonts w:ascii="Book Antiqua" w:hAnsi="Book Antiqua"/>
          <w:i/>
          <w:sz w:val="24"/>
        </w:rPr>
        <w:t xml:space="preserve"> </w:t>
      </w:r>
      <w:proofErr w:type="spellStart"/>
      <w:r w:rsidRPr="002A3B17">
        <w:rPr>
          <w:rFonts w:ascii="Book Antiqua" w:hAnsi="Book Antiqua"/>
          <w:i/>
          <w:sz w:val="24"/>
        </w:rPr>
        <w:t>Immunol</w:t>
      </w:r>
      <w:proofErr w:type="spellEnd"/>
      <w:r w:rsidRPr="002A3B17">
        <w:rPr>
          <w:rFonts w:ascii="Book Antiqua" w:hAnsi="Book Antiqua"/>
          <w:sz w:val="24"/>
        </w:rPr>
        <w:t xml:space="preserve"> 1999; </w:t>
      </w:r>
      <w:r w:rsidRPr="002A3B17">
        <w:rPr>
          <w:rFonts w:ascii="Book Antiqua" w:hAnsi="Book Antiqua"/>
          <w:b/>
          <w:sz w:val="24"/>
        </w:rPr>
        <w:t>11</w:t>
      </w:r>
      <w:r w:rsidRPr="002A3B17">
        <w:rPr>
          <w:rFonts w:ascii="Book Antiqua" w:hAnsi="Book Antiqua"/>
          <w:sz w:val="24"/>
        </w:rPr>
        <w:t>: 1775-1780 [PMID: 10545481 DOI: 10.1093/</w:t>
      </w:r>
      <w:proofErr w:type="spellStart"/>
      <w:r w:rsidRPr="002A3B17">
        <w:rPr>
          <w:rFonts w:ascii="Book Antiqua" w:hAnsi="Book Antiqua"/>
          <w:sz w:val="24"/>
        </w:rPr>
        <w:t>intimm</w:t>
      </w:r>
      <w:proofErr w:type="spellEnd"/>
      <w:r w:rsidRPr="002A3B17">
        <w:rPr>
          <w:rFonts w:ascii="Book Antiqua" w:hAnsi="Book Antiqua"/>
          <w:sz w:val="24"/>
        </w:rPr>
        <w:t>/11.11.1775]</w:t>
      </w:r>
    </w:p>
    <w:p w14:paraId="46817D8C"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8 </w:t>
      </w:r>
      <w:proofErr w:type="spellStart"/>
      <w:r w:rsidRPr="002A3B17">
        <w:rPr>
          <w:rFonts w:ascii="Book Antiqua" w:hAnsi="Book Antiqua"/>
          <w:b/>
          <w:sz w:val="24"/>
        </w:rPr>
        <w:t>Rødgaard</w:t>
      </w:r>
      <w:proofErr w:type="spellEnd"/>
      <w:r w:rsidRPr="002A3B17">
        <w:rPr>
          <w:rFonts w:ascii="Book Antiqua" w:hAnsi="Book Antiqua"/>
          <w:b/>
          <w:sz w:val="24"/>
        </w:rPr>
        <w:t>-Hansen S</w:t>
      </w:r>
      <w:r w:rsidRPr="002A3B17">
        <w:rPr>
          <w:rFonts w:ascii="Book Antiqua" w:hAnsi="Book Antiqua"/>
          <w:sz w:val="24"/>
        </w:rPr>
        <w:t xml:space="preserve">, </w:t>
      </w:r>
      <w:proofErr w:type="spellStart"/>
      <w:r w:rsidRPr="002A3B17">
        <w:rPr>
          <w:rFonts w:ascii="Book Antiqua" w:hAnsi="Book Antiqua"/>
          <w:sz w:val="24"/>
        </w:rPr>
        <w:t>Rafique</w:t>
      </w:r>
      <w:proofErr w:type="spellEnd"/>
      <w:r w:rsidRPr="002A3B17">
        <w:rPr>
          <w:rFonts w:ascii="Book Antiqua" w:hAnsi="Book Antiqua"/>
          <w:sz w:val="24"/>
        </w:rPr>
        <w:t xml:space="preserve"> A, Christensen PA, </w:t>
      </w:r>
      <w:proofErr w:type="spellStart"/>
      <w:r w:rsidRPr="002A3B17">
        <w:rPr>
          <w:rFonts w:ascii="Book Antiqua" w:hAnsi="Book Antiqua"/>
          <w:sz w:val="24"/>
        </w:rPr>
        <w:t>Maniecki</w:t>
      </w:r>
      <w:proofErr w:type="spellEnd"/>
      <w:r w:rsidRPr="002A3B17">
        <w:rPr>
          <w:rFonts w:ascii="Book Antiqua" w:hAnsi="Book Antiqua"/>
          <w:sz w:val="24"/>
        </w:rPr>
        <w:t xml:space="preserve"> MB, </w:t>
      </w:r>
      <w:proofErr w:type="spellStart"/>
      <w:r w:rsidRPr="002A3B17">
        <w:rPr>
          <w:rFonts w:ascii="Book Antiqua" w:hAnsi="Book Antiqua"/>
          <w:sz w:val="24"/>
        </w:rPr>
        <w:t>Sandahl</w:t>
      </w:r>
      <w:proofErr w:type="spellEnd"/>
      <w:r w:rsidRPr="002A3B17">
        <w:rPr>
          <w:rFonts w:ascii="Book Antiqua" w:hAnsi="Book Antiqua"/>
          <w:sz w:val="24"/>
        </w:rPr>
        <w:t xml:space="preserve"> TD, </w:t>
      </w:r>
      <w:proofErr w:type="spellStart"/>
      <w:r w:rsidRPr="002A3B17">
        <w:rPr>
          <w:rFonts w:ascii="Book Antiqua" w:hAnsi="Book Antiqua"/>
          <w:sz w:val="24"/>
        </w:rPr>
        <w:t>Nexø</w:t>
      </w:r>
      <w:proofErr w:type="spellEnd"/>
      <w:r w:rsidRPr="002A3B17">
        <w:rPr>
          <w:rFonts w:ascii="Book Antiqua" w:hAnsi="Book Antiqua"/>
          <w:sz w:val="24"/>
        </w:rPr>
        <w:t xml:space="preserve"> E, </w:t>
      </w:r>
      <w:proofErr w:type="spellStart"/>
      <w:r w:rsidRPr="002A3B17">
        <w:rPr>
          <w:rFonts w:ascii="Book Antiqua" w:hAnsi="Book Antiqua"/>
          <w:sz w:val="24"/>
        </w:rPr>
        <w:t>Møller</w:t>
      </w:r>
      <w:proofErr w:type="spellEnd"/>
      <w:r w:rsidRPr="002A3B17">
        <w:rPr>
          <w:rFonts w:ascii="Book Antiqua" w:hAnsi="Book Antiqua"/>
          <w:sz w:val="24"/>
        </w:rPr>
        <w:t xml:space="preserve"> HJ. A soluble form of the macrophage-related mannose receptor (MR/CD206) is present in human serum and elevated in critical illness. </w:t>
      </w:r>
      <w:proofErr w:type="spellStart"/>
      <w:r w:rsidRPr="002A3B17">
        <w:rPr>
          <w:rFonts w:ascii="Book Antiqua" w:hAnsi="Book Antiqua"/>
          <w:i/>
          <w:sz w:val="24"/>
        </w:rPr>
        <w:t>Clin</w:t>
      </w:r>
      <w:proofErr w:type="spellEnd"/>
      <w:r w:rsidRPr="002A3B17">
        <w:rPr>
          <w:rFonts w:ascii="Book Antiqua" w:hAnsi="Book Antiqua"/>
          <w:i/>
          <w:sz w:val="24"/>
        </w:rPr>
        <w:t xml:space="preserve"> </w:t>
      </w:r>
      <w:proofErr w:type="spellStart"/>
      <w:r w:rsidRPr="002A3B17">
        <w:rPr>
          <w:rFonts w:ascii="Book Antiqua" w:hAnsi="Book Antiqua"/>
          <w:i/>
          <w:sz w:val="24"/>
        </w:rPr>
        <w:t>Chem</w:t>
      </w:r>
      <w:proofErr w:type="spellEnd"/>
      <w:r w:rsidRPr="002A3B17">
        <w:rPr>
          <w:rFonts w:ascii="Book Antiqua" w:hAnsi="Book Antiqua"/>
          <w:i/>
          <w:sz w:val="24"/>
        </w:rPr>
        <w:t xml:space="preserve"> Lab Med</w:t>
      </w:r>
      <w:r w:rsidRPr="002A3B17">
        <w:rPr>
          <w:rFonts w:ascii="Book Antiqua" w:hAnsi="Book Antiqua"/>
          <w:sz w:val="24"/>
        </w:rPr>
        <w:t xml:space="preserve"> 2014; </w:t>
      </w:r>
      <w:r w:rsidRPr="002A3B17">
        <w:rPr>
          <w:rFonts w:ascii="Book Antiqua" w:hAnsi="Book Antiqua"/>
          <w:b/>
          <w:sz w:val="24"/>
        </w:rPr>
        <w:t>52</w:t>
      </w:r>
      <w:r w:rsidRPr="002A3B17">
        <w:rPr>
          <w:rFonts w:ascii="Book Antiqua" w:hAnsi="Book Antiqua"/>
          <w:sz w:val="24"/>
        </w:rPr>
        <w:t>: 453-461 [PMID: 24114918 DOI: 10.1515/cclm-2013-0451]</w:t>
      </w:r>
    </w:p>
    <w:p w14:paraId="70BA3D52"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9 </w:t>
      </w:r>
      <w:proofErr w:type="spellStart"/>
      <w:r w:rsidRPr="002A3B17">
        <w:rPr>
          <w:rFonts w:ascii="Book Antiqua" w:hAnsi="Book Antiqua"/>
          <w:b/>
          <w:sz w:val="24"/>
        </w:rPr>
        <w:t>Sandahl</w:t>
      </w:r>
      <w:proofErr w:type="spellEnd"/>
      <w:r w:rsidRPr="002A3B17">
        <w:rPr>
          <w:rFonts w:ascii="Book Antiqua" w:hAnsi="Book Antiqua"/>
          <w:b/>
          <w:sz w:val="24"/>
        </w:rPr>
        <w:t xml:space="preserve"> TD</w:t>
      </w:r>
      <w:r w:rsidRPr="002A3B17">
        <w:rPr>
          <w:rFonts w:ascii="Book Antiqua" w:hAnsi="Book Antiqua"/>
          <w:sz w:val="24"/>
        </w:rPr>
        <w:t xml:space="preserve">, </w:t>
      </w:r>
      <w:proofErr w:type="spellStart"/>
      <w:r w:rsidRPr="002A3B17">
        <w:rPr>
          <w:rFonts w:ascii="Book Antiqua" w:hAnsi="Book Antiqua"/>
          <w:sz w:val="24"/>
        </w:rPr>
        <w:t>Støy</w:t>
      </w:r>
      <w:proofErr w:type="spellEnd"/>
      <w:r w:rsidRPr="002A3B17">
        <w:rPr>
          <w:rFonts w:ascii="Book Antiqua" w:hAnsi="Book Antiqua"/>
          <w:sz w:val="24"/>
        </w:rPr>
        <w:t xml:space="preserve"> SH, </w:t>
      </w:r>
      <w:proofErr w:type="spellStart"/>
      <w:r w:rsidRPr="002A3B17">
        <w:rPr>
          <w:rFonts w:ascii="Book Antiqua" w:hAnsi="Book Antiqua"/>
          <w:sz w:val="24"/>
        </w:rPr>
        <w:t>Laursen</w:t>
      </w:r>
      <w:proofErr w:type="spellEnd"/>
      <w:r w:rsidRPr="002A3B17">
        <w:rPr>
          <w:rFonts w:ascii="Book Antiqua" w:hAnsi="Book Antiqua"/>
          <w:sz w:val="24"/>
        </w:rPr>
        <w:t xml:space="preserve"> TL, </w:t>
      </w:r>
      <w:proofErr w:type="spellStart"/>
      <w:r w:rsidRPr="002A3B17">
        <w:rPr>
          <w:rFonts w:ascii="Book Antiqua" w:hAnsi="Book Antiqua"/>
          <w:sz w:val="24"/>
        </w:rPr>
        <w:t>Rødgaard</w:t>
      </w:r>
      <w:proofErr w:type="spellEnd"/>
      <w:r w:rsidRPr="002A3B17">
        <w:rPr>
          <w:rFonts w:ascii="Book Antiqua" w:hAnsi="Book Antiqua"/>
          <w:sz w:val="24"/>
        </w:rPr>
        <w:t xml:space="preserve">-Hansen S, </w:t>
      </w:r>
      <w:proofErr w:type="spellStart"/>
      <w:r w:rsidRPr="002A3B17">
        <w:rPr>
          <w:rFonts w:ascii="Book Antiqua" w:hAnsi="Book Antiqua"/>
          <w:sz w:val="24"/>
        </w:rPr>
        <w:t>Møller</w:t>
      </w:r>
      <w:proofErr w:type="spellEnd"/>
      <w:r w:rsidRPr="002A3B17">
        <w:rPr>
          <w:rFonts w:ascii="Book Antiqua" w:hAnsi="Book Antiqua"/>
          <w:sz w:val="24"/>
        </w:rPr>
        <w:t xml:space="preserve"> HJ, </w:t>
      </w:r>
      <w:proofErr w:type="spellStart"/>
      <w:r w:rsidRPr="002A3B17">
        <w:rPr>
          <w:rFonts w:ascii="Book Antiqua" w:hAnsi="Book Antiqua"/>
          <w:sz w:val="24"/>
        </w:rPr>
        <w:t>Møller</w:t>
      </w:r>
      <w:proofErr w:type="spellEnd"/>
      <w:r w:rsidRPr="002A3B17">
        <w:rPr>
          <w:rFonts w:ascii="Book Antiqua" w:hAnsi="Book Antiqua"/>
          <w:sz w:val="24"/>
        </w:rPr>
        <w:t xml:space="preserve"> S, </w:t>
      </w:r>
      <w:proofErr w:type="spellStart"/>
      <w:r w:rsidRPr="002A3B17">
        <w:rPr>
          <w:rFonts w:ascii="Book Antiqua" w:hAnsi="Book Antiqua"/>
          <w:sz w:val="24"/>
        </w:rPr>
        <w:t>Vilstrup</w:t>
      </w:r>
      <w:proofErr w:type="spellEnd"/>
      <w:r w:rsidRPr="002A3B17">
        <w:rPr>
          <w:rFonts w:ascii="Book Antiqua" w:hAnsi="Book Antiqua"/>
          <w:sz w:val="24"/>
        </w:rPr>
        <w:t xml:space="preserve"> H, </w:t>
      </w:r>
      <w:proofErr w:type="spellStart"/>
      <w:r w:rsidRPr="002A3B17">
        <w:rPr>
          <w:rFonts w:ascii="Book Antiqua" w:hAnsi="Book Antiqua"/>
          <w:sz w:val="24"/>
        </w:rPr>
        <w:t>Grønbæk</w:t>
      </w:r>
      <w:proofErr w:type="spellEnd"/>
      <w:r w:rsidRPr="002A3B17">
        <w:rPr>
          <w:rFonts w:ascii="Book Antiqua" w:hAnsi="Book Antiqua"/>
          <w:sz w:val="24"/>
        </w:rPr>
        <w:t xml:space="preserve"> H. The soluble mannose receptor (</w:t>
      </w:r>
      <w:proofErr w:type="spellStart"/>
      <w:r w:rsidRPr="002A3B17">
        <w:rPr>
          <w:rFonts w:ascii="Book Antiqua" w:hAnsi="Book Antiqua"/>
          <w:sz w:val="24"/>
        </w:rPr>
        <w:t>sMR</w:t>
      </w:r>
      <w:proofErr w:type="spellEnd"/>
      <w:r w:rsidRPr="002A3B17">
        <w:rPr>
          <w:rFonts w:ascii="Book Antiqua" w:hAnsi="Book Antiqua"/>
          <w:sz w:val="24"/>
        </w:rPr>
        <w:t xml:space="preserve">) is elevated in alcoholic liver disease and associated with disease severity, portal hypertension, </w:t>
      </w:r>
      <w:r w:rsidRPr="002A3B17">
        <w:rPr>
          <w:rFonts w:ascii="Book Antiqua" w:hAnsi="Book Antiqua"/>
          <w:sz w:val="24"/>
        </w:rPr>
        <w:lastRenderedPageBreak/>
        <w:t xml:space="preserve">and mortality in cirrhosis patients. </w:t>
      </w:r>
      <w:proofErr w:type="spellStart"/>
      <w:r w:rsidRPr="002A3B17">
        <w:rPr>
          <w:rFonts w:ascii="Book Antiqua" w:hAnsi="Book Antiqua"/>
          <w:i/>
          <w:sz w:val="24"/>
        </w:rPr>
        <w:t>PLoS</w:t>
      </w:r>
      <w:proofErr w:type="spellEnd"/>
      <w:r w:rsidRPr="002A3B17">
        <w:rPr>
          <w:rFonts w:ascii="Book Antiqua" w:hAnsi="Book Antiqua"/>
          <w:i/>
          <w:sz w:val="24"/>
        </w:rPr>
        <w:t xml:space="preserve"> One</w:t>
      </w:r>
      <w:r w:rsidRPr="002A3B17">
        <w:rPr>
          <w:rFonts w:ascii="Book Antiqua" w:hAnsi="Book Antiqua"/>
          <w:sz w:val="24"/>
        </w:rPr>
        <w:t xml:space="preserve"> 2017; </w:t>
      </w:r>
      <w:r w:rsidRPr="002A3B17">
        <w:rPr>
          <w:rFonts w:ascii="Book Antiqua" w:hAnsi="Book Antiqua"/>
          <w:b/>
          <w:sz w:val="24"/>
        </w:rPr>
        <w:t>12</w:t>
      </w:r>
      <w:r w:rsidRPr="002A3B17">
        <w:rPr>
          <w:rFonts w:ascii="Book Antiqua" w:hAnsi="Book Antiqua"/>
          <w:sz w:val="24"/>
        </w:rPr>
        <w:t>: e0189345 [PMID: 29236785 DOI: 10.1371/journal.pone.0189345]</w:t>
      </w:r>
    </w:p>
    <w:p w14:paraId="33CF6E59"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10 </w:t>
      </w:r>
      <w:proofErr w:type="spellStart"/>
      <w:r w:rsidRPr="002A3B17">
        <w:rPr>
          <w:rFonts w:ascii="Book Antiqua" w:hAnsi="Book Antiqua"/>
          <w:b/>
          <w:sz w:val="24"/>
        </w:rPr>
        <w:t>Laursen</w:t>
      </w:r>
      <w:proofErr w:type="spellEnd"/>
      <w:r w:rsidRPr="002A3B17">
        <w:rPr>
          <w:rFonts w:ascii="Book Antiqua" w:hAnsi="Book Antiqua"/>
          <w:b/>
          <w:sz w:val="24"/>
        </w:rPr>
        <w:t xml:space="preserve"> TL</w:t>
      </w:r>
      <w:r w:rsidRPr="002A3B17">
        <w:rPr>
          <w:rFonts w:ascii="Book Antiqua" w:hAnsi="Book Antiqua"/>
          <w:sz w:val="24"/>
        </w:rPr>
        <w:t xml:space="preserve">, </w:t>
      </w:r>
      <w:proofErr w:type="spellStart"/>
      <w:r w:rsidRPr="002A3B17">
        <w:rPr>
          <w:rFonts w:ascii="Book Antiqua" w:hAnsi="Book Antiqua"/>
          <w:sz w:val="24"/>
        </w:rPr>
        <w:t>Rødgaard</w:t>
      </w:r>
      <w:proofErr w:type="spellEnd"/>
      <w:r w:rsidRPr="002A3B17">
        <w:rPr>
          <w:rFonts w:ascii="Book Antiqua" w:hAnsi="Book Antiqua"/>
          <w:sz w:val="24"/>
        </w:rPr>
        <w:t xml:space="preserve">-Hansen S, </w:t>
      </w:r>
      <w:proofErr w:type="spellStart"/>
      <w:r w:rsidRPr="002A3B17">
        <w:rPr>
          <w:rFonts w:ascii="Book Antiqua" w:hAnsi="Book Antiqua"/>
          <w:sz w:val="24"/>
        </w:rPr>
        <w:t>Møller</w:t>
      </w:r>
      <w:proofErr w:type="spellEnd"/>
      <w:r w:rsidRPr="002A3B17">
        <w:rPr>
          <w:rFonts w:ascii="Book Antiqua" w:hAnsi="Book Antiqua"/>
          <w:sz w:val="24"/>
        </w:rPr>
        <w:t xml:space="preserve"> HJ, Mortensen C, </w:t>
      </w:r>
      <w:proofErr w:type="spellStart"/>
      <w:r w:rsidRPr="002A3B17">
        <w:rPr>
          <w:rFonts w:ascii="Book Antiqua" w:hAnsi="Book Antiqua"/>
          <w:sz w:val="24"/>
        </w:rPr>
        <w:t>Karlsen</w:t>
      </w:r>
      <w:proofErr w:type="spellEnd"/>
      <w:r w:rsidRPr="002A3B17">
        <w:rPr>
          <w:rFonts w:ascii="Book Antiqua" w:hAnsi="Book Antiqua"/>
          <w:sz w:val="24"/>
        </w:rPr>
        <w:t xml:space="preserve"> S, Nielsen DT, </w:t>
      </w:r>
      <w:proofErr w:type="spellStart"/>
      <w:r w:rsidRPr="002A3B17">
        <w:rPr>
          <w:rFonts w:ascii="Book Antiqua" w:hAnsi="Book Antiqua"/>
          <w:sz w:val="24"/>
        </w:rPr>
        <w:t>Frevert</w:t>
      </w:r>
      <w:proofErr w:type="spellEnd"/>
      <w:r w:rsidRPr="002A3B17">
        <w:rPr>
          <w:rFonts w:ascii="Book Antiqua" w:hAnsi="Book Antiqua"/>
          <w:sz w:val="24"/>
        </w:rPr>
        <w:t xml:space="preserve"> S, </w:t>
      </w:r>
      <w:proofErr w:type="spellStart"/>
      <w:r w:rsidRPr="002A3B17">
        <w:rPr>
          <w:rFonts w:ascii="Book Antiqua" w:hAnsi="Book Antiqua"/>
          <w:sz w:val="24"/>
        </w:rPr>
        <w:t>Clemmesen</w:t>
      </w:r>
      <w:proofErr w:type="spellEnd"/>
      <w:r w:rsidRPr="002A3B17">
        <w:rPr>
          <w:rFonts w:ascii="Book Antiqua" w:hAnsi="Book Antiqua"/>
          <w:sz w:val="24"/>
        </w:rPr>
        <w:t xml:space="preserve"> JO, </w:t>
      </w:r>
      <w:proofErr w:type="spellStart"/>
      <w:r w:rsidRPr="002A3B17">
        <w:rPr>
          <w:rFonts w:ascii="Book Antiqua" w:hAnsi="Book Antiqua"/>
          <w:sz w:val="24"/>
        </w:rPr>
        <w:t>Møller</w:t>
      </w:r>
      <w:proofErr w:type="spellEnd"/>
      <w:r w:rsidRPr="002A3B17">
        <w:rPr>
          <w:rFonts w:ascii="Book Antiqua" w:hAnsi="Book Antiqua"/>
          <w:sz w:val="24"/>
        </w:rPr>
        <w:t xml:space="preserve"> S, Jensen JS, </w:t>
      </w:r>
      <w:proofErr w:type="spellStart"/>
      <w:r w:rsidRPr="002A3B17">
        <w:rPr>
          <w:rFonts w:ascii="Book Antiqua" w:hAnsi="Book Antiqua"/>
          <w:sz w:val="24"/>
        </w:rPr>
        <w:t>Bendtsen</w:t>
      </w:r>
      <w:proofErr w:type="spellEnd"/>
      <w:r w:rsidRPr="002A3B17">
        <w:rPr>
          <w:rFonts w:ascii="Book Antiqua" w:hAnsi="Book Antiqua"/>
          <w:sz w:val="24"/>
        </w:rPr>
        <w:t xml:space="preserve"> F, </w:t>
      </w:r>
      <w:proofErr w:type="spellStart"/>
      <w:r w:rsidRPr="002A3B17">
        <w:rPr>
          <w:rFonts w:ascii="Book Antiqua" w:hAnsi="Book Antiqua"/>
          <w:sz w:val="24"/>
        </w:rPr>
        <w:t>Grønbaek</w:t>
      </w:r>
      <w:proofErr w:type="spellEnd"/>
      <w:r w:rsidRPr="002A3B17">
        <w:rPr>
          <w:rFonts w:ascii="Book Antiqua" w:hAnsi="Book Antiqua"/>
          <w:sz w:val="24"/>
        </w:rPr>
        <w:t xml:space="preserve"> H. The soluble mannose receptor is released from the liver in cirrhotic patients, but is not associated with bacterial translocation. </w:t>
      </w:r>
      <w:r w:rsidRPr="002A3B17">
        <w:rPr>
          <w:rFonts w:ascii="Book Antiqua" w:hAnsi="Book Antiqua"/>
          <w:i/>
          <w:sz w:val="24"/>
        </w:rPr>
        <w:t xml:space="preserve">Liver </w:t>
      </w:r>
      <w:proofErr w:type="spellStart"/>
      <w:r w:rsidRPr="002A3B17">
        <w:rPr>
          <w:rFonts w:ascii="Book Antiqua" w:hAnsi="Book Antiqua"/>
          <w:i/>
          <w:sz w:val="24"/>
        </w:rPr>
        <w:t>Int</w:t>
      </w:r>
      <w:proofErr w:type="spellEnd"/>
      <w:r w:rsidRPr="002A3B17">
        <w:rPr>
          <w:rFonts w:ascii="Book Antiqua" w:hAnsi="Book Antiqua"/>
          <w:sz w:val="24"/>
        </w:rPr>
        <w:t xml:space="preserve"> 2017; </w:t>
      </w:r>
      <w:r w:rsidRPr="002A3B17">
        <w:rPr>
          <w:rFonts w:ascii="Book Antiqua" w:hAnsi="Book Antiqua"/>
          <w:b/>
          <w:sz w:val="24"/>
        </w:rPr>
        <w:t>37</w:t>
      </w:r>
      <w:r w:rsidRPr="002A3B17">
        <w:rPr>
          <w:rFonts w:ascii="Book Antiqua" w:hAnsi="Book Antiqua"/>
          <w:sz w:val="24"/>
        </w:rPr>
        <w:t>: 569-575 [PMID: 27706896 DOI: 10.1111/liv.13262]</w:t>
      </w:r>
    </w:p>
    <w:p w14:paraId="37C9140A"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11 </w:t>
      </w:r>
      <w:proofErr w:type="spellStart"/>
      <w:r w:rsidRPr="002A3B17">
        <w:rPr>
          <w:rFonts w:ascii="Book Antiqua" w:hAnsi="Book Antiqua"/>
          <w:b/>
          <w:sz w:val="24"/>
        </w:rPr>
        <w:t>Laursen</w:t>
      </w:r>
      <w:proofErr w:type="spellEnd"/>
      <w:r w:rsidRPr="002A3B17">
        <w:rPr>
          <w:rFonts w:ascii="Book Antiqua" w:hAnsi="Book Antiqua"/>
          <w:b/>
          <w:sz w:val="24"/>
        </w:rPr>
        <w:t xml:space="preserve"> TL</w:t>
      </w:r>
      <w:r w:rsidRPr="002A3B17">
        <w:rPr>
          <w:rFonts w:ascii="Book Antiqua" w:hAnsi="Book Antiqua"/>
          <w:sz w:val="24"/>
        </w:rPr>
        <w:t xml:space="preserve">, Wong GL, </w:t>
      </w:r>
      <w:proofErr w:type="spellStart"/>
      <w:r w:rsidRPr="002A3B17">
        <w:rPr>
          <w:rFonts w:ascii="Book Antiqua" w:hAnsi="Book Antiqua"/>
          <w:sz w:val="24"/>
        </w:rPr>
        <w:t>Kazankov</w:t>
      </w:r>
      <w:proofErr w:type="spellEnd"/>
      <w:r w:rsidRPr="002A3B17">
        <w:rPr>
          <w:rFonts w:ascii="Book Antiqua" w:hAnsi="Book Antiqua"/>
          <w:sz w:val="24"/>
        </w:rPr>
        <w:t xml:space="preserve"> K, </w:t>
      </w:r>
      <w:proofErr w:type="spellStart"/>
      <w:r w:rsidRPr="002A3B17">
        <w:rPr>
          <w:rFonts w:ascii="Book Antiqua" w:hAnsi="Book Antiqua"/>
          <w:sz w:val="24"/>
        </w:rPr>
        <w:t>Sandahl</w:t>
      </w:r>
      <w:proofErr w:type="spellEnd"/>
      <w:r w:rsidRPr="002A3B17">
        <w:rPr>
          <w:rFonts w:ascii="Book Antiqua" w:hAnsi="Book Antiqua"/>
          <w:sz w:val="24"/>
        </w:rPr>
        <w:t xml:space="preserve"> T, </w:t>
      </w:r>
      <w:proofErr w:type="spellStart"/>
      <w:r w:rsidRPr="002A3B17">
        <w:rPr>
          <w:rFonts w:ascii="Book Antiqua" w:hAnsi="Book Antiqua"/>
          <w:sz w:val="24"/>
        </w:rPr>
        <w:t>Møller</w:t>
      </w:r>
      <w:proofErr w:type="spellEnd"/>
      <w:r w:rsidRPr="002A3B17">
        <w:rPr>
          <w:rFonts w:ascii="Book Antiqua" w:hAnsi="Book Antiqua"/>
          <w:sz w:val="24"/>
        </w:rPr>
        <w:t xml:space="preserve"> HJ, Hamilton-</w:t>
      </w:r>
      <w:proofErr w:type="spellStart"/>
      <w:r w:rsidRPr="002A3B17">
        <w:rPr>
          <w:rFonts w:ascii="Book Antiqua" w:hAnsi="Book Antiqua"/>
          <w:sz w:val="24"/>
        </w:rPr>
        <w:t>Dutoit</w:t>
      </w:r>
      <w:proofErr w:type="spellEnd"/>
      <w:r w:rsidRPr="002A3B17">
        <w:rPr>
          <w:rFonts w:ascii="Book Antiqua" w:hAnsi="Book Antiqua"/>
          <w:sz w:val="24"/>
        </w:rPr>
        <w:t xml:space="preserve"> S, George J, Chan HL, </w:t>
      </w:r>
      <w:proofErr w:type="spellStart"/>
      <w:r w:rsidRPr="002A3B17">
        <w:rPr>
          <w:rFonts w:ascii="Book Antiqua" w:hAnsi="Book Antiqua"/>
          <w:sz w:val="24"/>
        </w:rPr>
        <w:t>Grønbaek</w:t>
      </w:r>
      <w:proofErr w:type="spellEnd"/>
      <w:r w:rsidRPr="002A3B17">
        <w:rPr>
          <w:rFonts w:ascii="Book Antiqua" w:hAnsi="Book Antiqua"/>
          <w:sz w:val="24"/>
        </w:rPr>
        <w:t xml:space="preserve"> H. Soluble CD163 and mannose receptor associate with chronic hepatitis B activity and fibrosis and decline with treatment. </w:t>
      </w:r>
      <w:r w:rsidRPr="002A3B17">
        <w:rPr>
          <w:rFonts w:ascii="Book Antiqua" w:hAnsi="Book Antiqua"/>
          <w:i/>
          <w:sz w:val="24"/>
        </w:rPr>
        <w:t xml:space="preserve">J </w:t>
      </w:r>
      <w:proofErr w:type="spellStart"/>
      <w:r w:rsidRPr="002A3B17">
        <w:rPr>
          <w:rFonts w:ascii="Book Antiqua" w:hAnsi="Book Antiqua"/>
          <w:i/>
          <w:sz w:val="24"/>
        </w:rPr>
        <w:t>Gastroenterol</w:t>
      </w:r>
      <w:proofErr w:type="spellEnd"/>
      <w:r w:rsidRPr="002A3B17">
        <w:rPr>
          <w:rFonts w:ascii="Book Antiqua" w:hAnsi="Book Antiqua"/>
          <w:i/>
          <w:sz w:val="24"/>
        </w:rPr>
        <w:t xml:space="preserve"> </w:t>
      </w:r>
      <w:proofErr w:type="spellStart"/>
      <w:r w:rsidRPr="002A3B17">
        <w:rPr>
          <w:rFonts w:ascii="Book Antiqua" w:hAnsi="Book Antiqua"/>
          <w:i/>
          <w:sz w:val="24"/>
        </w:rPr>
        <w:t>Hepatol</w:t>
      </w:r>
      <w:proofErr w:type="spellEnd"/>
      <w:r w:rsidRPr="002A3B17">
        <w:rPr>
          <w:rFonts w:ascii="Book Antiqua" w:hAnsi="Book Antiqua"/>
          <w:sz w:val="24"/>
        </w:rPr>
        <w:t xml:space="preserve"> 2018; </w:t>
      </w:r>
      <w:r w:rsidRPr="002A3B17">
        <w:rPr>
          <w:rFonts w:ascii="Book Antiqua" w:hAnsi="Book Antiqua"/>
          <w:b/>
          <w:sz w:val="24"/>
        </w:rPr>
        <w:t>33</w:t>
      </w:r>
      <w:r w:rsidRPr="002A3B17">
        <w:rPr>
          <w:rFonts w:ascii="Book Antiqua" w:hAnsi="Book Antiqua"/>
          <w:sz w:val="24"/>
        </w:rPr>
        <w:t>: 484-491 [PMID: 28618015 DOI: 10.1111/jgh.13849]</w:t>
      </w:r>
    </w:p>
    <w:p w14:paraId="381296F4"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12 </w:t>
      </w:r>
      <w:proofErr w:type="spellStart"/>
      <w:r w:rsidRPr="002A3B17">
        <w:rPr>
          <w:rFonts w:ascii="Book Antiqua" w:hAnsi="Book Antiqua"/>
          <w:b/>
          <w:sz w:val="24"/>
        </w:rPr>
        <w:t>Grønbæk</w:t>
      </w:r>
      <w:proofErr w:type="spellEnd"/>
      <w:r w:rsidRPr="002A3B17">
        <w:rPr>
          <w:rFonts w:ascii="Book Antiqua" w:hAnsi="Book Antiqua"/>
          <w:b/>
          <w:sz w:val="24"/>
        </w:rPr>
        <w:t xml:space="preserve"> H</w:t>
      </w:r>
      <w:r w:rsidRPr="002A3B17">
        <w:rPr>
          <w:rFonts w:ascii="Book Antiqua" w:hAnsi="Book Antiqua"/>
          <w:sz w:val="24"/>
        </w:rPr>
        <w:t xml:space="preserve">, </w:t>
      </w:r>
      <w:proofErr w:type="spellStart"/>
      <w:r w:rsidRPr="002A3B17">
        <w:rPr>
          <w:rFonts w:ascii="Book Antiqua" w:hAnsi="Book Antiqua"/>
          <w:sz w:val="24"/>
        </w:rPr>
        <w:t>Rødgaard</w:t>
      </w:r>
      <w:proofErr w:type="spellEnd"/>
      <w:r w:rsidRPr="002A3B17">
        <w:rPr>
          <w:rFonts w:ascii="Book Antiqua" w:hAnsi="Book Antiqua"/>
          <w:sz w:val="24"/>
        </w:rPr>
        <w:t xml:space="preserve">-Hansen S, </w:t>
      </w:r>
      <w:proofErr w:type="spellStart"/>
      <w:r w:rsidRPr="002A3B17">
        <w:rPr>
          <w:rFonts w:ascii="Book Antiqua" w:hAnsi="Book Antiqua"/>
          <w:sz w:val="24"/>
        </w:rPr>
        <w:t>Aagaard</w:t>
      </w:r>
      <w:proofErr w:type="spellEnd"/>
      <w:r w:rsidRPr="002A3B17">
        <w:rPr>
          <w:rFonts w:ascii="Book Antiqua" w:hAnsi="Book Antiqua"/>
          <w:sz w:val="24"/>
        </w:rPr>
        <w:t xml:space="preserve"> NK, Arroyo V, </w:t>
      </w:r>
      <w:proofErr w:type="spellStart"/>
      <w:r w:rsidRPr="002A3B17">
        <w:rPr>
          <w:rFonts w:ascii="Book Antiqua" w:hAnsi="Book Antiqua"/>
          <w:sz w:val="24"/>
        </w:rPr>
        <w:t>Moestrup</w:t>
      </w:r>
      <w:proofErr w:type="spellEnd"/>
      <w:r w:rsidRPr="002A3B17">
        <w:rPr>
          <w:rFonts w:ascii="Book Antiqua" w:hAnsi="Book Antiqua"/>
          <w:sz w:val="24"/>
        </w:rPr>
        <w:t xml:space="preserve"> SK, Garcia E, </w:t>
      </w:r>
      <w:proofErr w:type="spellStart"/>
      <w:r w:rsidRPr="002A3B17">
        <w:rPr>
          <w:rFonts w:ascii="Book Antiqua" w:hAnsi="Book Antiqua"/>
          <w:sz w:val="24"/>
        </w:rPr>
        <w:t>Solà</w:t>
      </w:r>
      <w:proofErr w:type="spellEnd"/>
      <w:r w:rsidRPr="002A3B17">
        <w:rPr>
          <w:rFonts w:ascii="Book Antiqua" w:hAnsi="Book Antiqua"/>
          <w:sz w:val="24"/>
        </w:rPr>
        <w:t xml:space="preserve"> E, </w:t>
      </w:r>
      <w:proofErr w:type="spellStart"/>
      <w:r w:rsidRPr="002A3B17">
        <w:rPr>
          <w:rFonts w:ascii="Book Antiqua" w:hAnsi="Book Antiqua"/>
          <w:sz w:val="24"/>
        </w:rPr>
        <w:t>Domenicali</w:t>
      </w:r>
      <w:proofErr w:type="spellEnd"/>
      <w:r w:rsidRPr="002A3B17">
        <w:rPr>
          <w:rFonts w:ascii="Book Antiqua" w:hAnsi="Book Antiqua"/>
          <w:sz w:val="24"/>
        </w:rPr>
        <w:t xml:space="preserve"> M, Piano S, </w:t>
      </w:r>
      <w:proofErr w:type="spellStart"/>
      <w:r w:rsidRPr="002A3B17">
        <w:rPr>
          <w:rFonts w:ascii="Book Antiqua" w:hAnsi="Book Antiqua"/>
          <w:sz w:val="24"/>
        </w:rPr>
        <w:t>Vilstrup</w:t>
      </w:r>
      <w:proofErr w:type="spellEnd"/>
      <w:r w:rsidRPr="002A3B17">
        <w:rPr>
          <w:rFonts w:ascii="Book Antiqua" w:hAnsi="Book Antiqua"/>
          <w:sz w:val="24"/>
        </w:rPr>
        <w:t xml:space="preserve"> H, </w:t>
      </w:r>
      <w:proofErr w:type="spellStart"/>
      <w:r w:rsidRPr="002A3B17">
        <w:rPr>
          <w:rFonts w:ascii="Book Antiqua" w:hAnsi="Book Antiqua"/>
          <w:sz w:val="24"/>
        </w:rPr>
        <w:t>Møller</w:t>
      </w:r>
      <w:proofErr w:type="spellEnd"/>
      <w:r w:rsidRPr="002A3B17">
        <w:rPr>
          <w:rFonts w:ascii="Book Antiqua" w:hAnsi="Book Antiqua"/>
          <w:sz w:val="24"/>
        </w:rPr>
        <w:t xml:space="preserve"> HJ; CANONIC study investigators of the EASL-CLIF Consortium. Macrophage activation markers predict mortality in patients with liver cirrhosis without or with acute-on-chronic liver failure (ACLF). </w:t>
      </w:r>
      <w:r w:rsidRPr="002A3B17">
        <w:rPr>
          <w:rFonts w:ascii="Book Antiqua" w:hAnsi="Book Antiqua"/>
          <w:i/>
          <w:sz w:val="24"/>
        </w:rPr>
        <w:t xml:space="preserve">J </w:t>
      </w:r>
      <w:proofErr w:type="spellStart"/>
      <w:r w:rsidRPr="002A3B17">
        <w:rPr>
          <w:rFonts w:ascii="Book Antiqua" w:hAnsi="Book Antiqua"/>
          <w:i/>
          <w:sz w:val="24"/>
        </w:rPr>
        <w:t>Hepatol</w:t>
      </w:r>
      <w:proofErr w:type="spellEnd"/>
      <w:r w:rsidRPr="002A3B17">
        <w:rPr>
          <w:rFonts w:ascii="Book Antiqua" w:hAnsi="Book Antiqua"/>
          <w:sz w:val="24"/>
        </w:rPr>
        <w:t xml:space="preserve"> 2016; </w:t>
      </w:r>
      <w:r w:rsidRPr="002A3B17">
        <w:rPr>
          <w:rFonts w:ascii="Book Antiqua" w:hAnsi="Book Antiqua"/>
          <w:b/>
          <w:sz w:val="24"/>
        </w:rPr>
        <w:t>64</w:t>
      </w:r>
      <w:r w:rsidRPr="002A3B17">
        <w:rPr>
          <w:rFonts w:ascii="Book Antiqua" w:hAnsi="Book Antiqua"/>
          <w:sz w:val="24"/>
        </w:rPr>
        <w:t>: 813-822 [PMID: 26639396 DOI: 10.1016/j.jhep.2015.11.021]</w:t>
      </w:r>
    </w:p>
    <w:p w14:paraId="3C35E7E1"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13 </w:t>
      </w:r>
      <w:r w:rsidRPr="002A3B17">
        <w:rPr>
          <w:rFonts w:ascii="Book Antiqua" w:hAnsi="Book Antiqua"/>
          <w:b/>
          <w:sz w:val="24"/>
        </w:rPr>
        <w:t>Sarin SK</w:t>
      </w:r>
      <w:r w:rsidRPr="002A3B17">
        <w:rPr>
          <w:rFonts w:ascii="Book Antiqua" w:hAnsi="Book Antiqua"/>
          <w:sz w:val="24"/>
        </w:rPr>
        <w:t xml:space="preserve">, </w:t>
      </w:r>
      <w:proofErr w:type="spellStart"/>
      <w:r w:rsidRPr="002A3B17">
        <w:rPr>
          <w:rFonts w:ascii="Book Antiqua" w:hAnsi="Book Antiqua"/>
          <w:sz w:val="24"/>
        </w:rPr>
        <w:t>Kedarisetty</w:t>
      </w:r>
      <w:proofErr w:type="spellEnd"/>
      <w:r w:rsidRPr="002A3B17">
        <w:rPr>
          <w:rFonts w:ascii="Book Antiqua" w:hAnsi="Book Antiqua"/>
          <w:sz w:val="24"/>
        </w:rPr>
        <w:t xml:space="preserve"> CK, Abbas Z, </w:t>
      </w:r>
      <w:proofErr w:type="spellStart"/>
      <w:r w:rsidRPr="002A3B17">
        <w:rPr>
          <w:rFonts w:ascii="Book Antiqua" w:hAnsi="Book Antiqua"/>
          <w:sz w:val="24"/>
        </w:rPr>
        <w:t>Amarapurkar</w:t>
      </w:r>
      <w:proofErr w:type="spellEnd"/>
      <w:r w:rsidRPr="002A3B17">
        <w:rPr>
          <w:rFonts w:ascii="Book Antiqua" w:hAnsi="Book Antiqua"/>
          <w:sz w:val="24"/>
        </w:rPr>
        <w:t xml:space="preserve"> D, Bihari C, Chan AC, Chawla YK, </w:t>
      </w:r>
      <w:proofErr w:type="spellStart"/>
      <w:r w:rsidRPr="002A3B17">
        <w:rPr>
          <w:rFonts w:ascii="Book Antiqua" w:hAnsi="Book Antiqua"/>
          <w:sz w:val="24"/>
        </w:rPr>
        <w:t>Dokmeci</w:t>
      </w:r>
      <w:proofErr w:type="spellEnd"/>
      <w:r w:rsidRPr="002A3B17">
        <w:rPr>
          <w:rFonts w:ascii="Book Antiqua" w:hAnsi="Book Antiqua"/>
          <w:sz w:val="24"/>
        </w:rPr>
        <w:t xml:space="preserve"> AK, Garg H, </w:t>
      </w:r>
      <w:proofErr w:type="spellStart"/>
      <w:r w:rsidRPr="002A3B17">
        <w:rPr>
          <w:rFonts w:ascii="Book Antiqua" w:hAnsi="Book Antiqua"/>
          <w:sz w:val="24"/>
        </w:rPr>
        <w:t>Ghazinyan</w:t>
      </w:r>
      <w:proofErr w:type="spellEnd"/>
      <w:r w:rsidRPr="002A3B17">
        <w:rPr>
          <w:rFonts w:ascii="Book Antiqua" w:hAnsi="Book Antiqua"/>
          <w:sz w:val="24"/>
        </w:rPr>
        <w:t xml:space="preserve"> H, Hamid S, Kim DJ, </w:t>
      </w:r>
      <w:proofErr w:type="spellStart"/>
      <w:r w:rsidRPr="002A3B17">
        <w:rPr>
          <w:rFonts w:ascii="Book Antiqua" w:hAnsi="Book Antiqua"/>
          <w:sz w:val="24"/>
        </w:rPr>
        <w:t>Komolmit</w:t>
      </w:r>
      <w:proofErr w:type="spellEnd"/>
      <w:r w:rsidRPr="002A3B17">
        <w:rPr>
          <w:rFonts w:ascii="Book Antiqua" w:hAnsi="Book Antiqua"/>
          <w:sz w:val="24"/>
        </w:rPr>
        <w:t xml:space="preserve"> P, </w:t>
      </w:r>
      <w:proofErr w:type="spellStart"/>
      <w:r w:rsidRPr="002A3B17">
        <w:rPr>
          <w:rFonts w:ascii="Book Antiqua" w:hAnsi="Book Antiqua"/>
          <w:sz w:val="24"/>
        </w:rPr>
        <w:t>Lata</w:t>
      </w:r>
      <w:proofErr w:type="spellEnd"/>
      <w:r w:rsidRPr="002A3B17">
        <w:rPr>
          <w:rFonts w:ascii="Book Antiqua" w:hAnsi="Book Antiqua"/>
          <w:sz w:val="24"/>
        </w:rPr>
        <w:t xml:space="preserve"> S, Lee GH, </w:t>
      </w:r>
      <w:proofErr w:type="spellStart"/>
      <w:r w:rsidRPr="002A3B17">
        <w:rPr>
          <w:rFonts w:ascii="Book Antiqua" w:hAnsi="Book Antiqua"/>
          <w:sz w:val="24"/>
        </w:rPr>
        <w:t>Lesmana</w:t>
      </w:r>
      <w:proofErr w:type="spellEnd"/>
      <w:r w:rsidRPr="002A3B17">
        <w:rPr>
          <w:rFonts w:ascii="Book Antiqua" w:hAnsi="Book Antiqua"/>
          <w:sz w:val="24"/>
        </w:rPr>
        <w:t xml:space="preserve"> LA, </w:t>
      </w:r>
      <w:proofErr w:type="spellStart"/>
      <w:r w:rsidRPr="002A3B17">
        <w:rPr>
          <w:rFonts w:ascii="Book Antiqua" w:hAnsi="Book Antiqua"/>
          <w:sz w:val="24"/>
        </w:rPr>
        <w:t>Mahtab</w:t>
      </w:r>
      <w:proofErr w:type="spellEnd"/>
      <w:r w:rsidRPr="002A3B17">
        <w:rPr>
          <w:rFonts w:ascii="Book Antiqua" w:hAnsi="Book Antiqua"/>
          <w:sz w:val="24"/>
        </w:rPr>
        <w:t xml:space="preserve"> M, </w:t>
      </w:r>
      <w:proofErr w:type="spellStart"/>
      <w:r w:rsidRPr="002A3B17">
        <w:rPr>
          <w:rFonts w:ascii="Book Antiqua" w:hAnsi="Book Antiqua"/>
          <w:sz w:val="24"/>
        </w:rPr>
        <w:t>Maiwall</w:t>
      </w:r>
      <w:proofErr w:type="spellEnd"/>
      <w:r w:rsidRPr="002A3B17">
        <w:rPr>
          <w:rFonts w:ascii="Book Antiqua" w:hAnsi="Book Antiqua"/>
          <w:sz w:val="24"/>
        </w:rPr>
        <w:t xml:space="preserve"> R, Moreau R, Ning Q, </w:t>
      </w:r>
      <w:proofErr w:type="spellStart"/>
      <w:r w:rsidRPr="002A3B17">
        <w:rPr>
          <w:rFonts w:ascii="Book Antiqua" w:hAnsi="Book Antiqua"/>
          <w:sz w:val="24"/>
        </w:rPr>
        <w:t>Pamecha</w:t>
      </w:r>
      <w:proofErr w:type="spellEnd"/>
      <w:r w:rsidRPr="002A3B17">
        <w:rPr>
          <w:rFonts w:ascii="Book Antiqua" w:hAnsi="Book Antiqua"/>
          <w:sz w:val="24"/>
        </w:rPr>
        <w:t xml:space="preserve"> V, </w:t>
      </w:r>
      <w:proofErr w:type="spellStart"/>
      <w:r w:rsidRPr="002A3B17">
        <w:rPr>
          <w:rFonts w:ascii="Book Antiqua" w:hAnsi="Book Antiqua"/>
          <w:sz w:val="24"/>
        </w:rPr>
        <w:t>Payawal</w:t>
      </w:r>
      <w:proofErr w:type="spellEnd"/>
      <w:r w:rsidRPr="002A3B17">
        <w:rPr>
          <w:rFonts w:ascii="Book Antiqua" w:hAnsi="Book Antiqua"/>
          <w:sz w:val="24"/>
        </w:rPr>
        <w:t xml:space="preserve"> DA, </w:t>
      </w:r>
      <w:proofErr w:type="spellStart"/>
      <w:r w:rsidRPr="002A3B17">
        <w:rPr>
          <w:rFonts w:ascii="Book Antiqua" w:hAnsi="Book Antiqua"/>
          <w:sz w:val="24"/>
        </w:rPr>
        <w:t>Rastogi</w:t>
      </w:r>
      <w:proofErr w:type="spellEnd"/>
      <w:r w:rsidRPr="002A3B17">
        <w:rPr>
          <w:rFonts w:ascii="Book Antiqua" w:hAnsi="Book Antiqua"/>
          <w:sz w:val="24"/>
        </w:rPr>
        <w:t xml:space="preserve"> A, Rahman S, </w:t>
      </w:r>
      <w:proofErr w:type="spellStart"/>
      <w:r w:rsidRPr="002A3B17">
        <w:rPr>
          <w:rFonts w:ascii="Book Antiqua" w:hAnsi="Book Antiqua"/>
          <w:sz w:val="24"/>
        </w:rPr>
        <w:t>Rela</w:t>
      </w:r>
      <w:proofErr w:type="spellEnd"/>
      <w:r w:rsidRPr="002A3B17">
        <w:rPr>
          <w:rFonts w:ascii="Book Antiqua" w:hAnsi="Book Antiqua"/>
          <w:sz w:val="24"/>
        </w:rPr>
        <w:t xml:space="preserve"> M, </w:t>
      </w:r>
      <w:proofErr w:type="spellStart"/>
      <w:r w:rsidRPr="002A3B17">
        <w:rPr>
          <w:rFonts w:ascii="Book Antiqua" w:hAnsi="Book Antiqua"/>
          <w:sz w:val="24"/>
        </w:rPr>
        <w:t>Saraya</w:t>
      </w:r>
      <w:proofErr w:type="spellEnd"/>
      <w:r w:rsidRPr="002A3B17">
        <w:rPr>
          <w:rFonts w:ascii="Book Antiqua" w:hAnsi="Book Antiqua"/>
          <w:sz w:val="24"/>
        </w:rPr>
        <w:t xml:space="preserve"> A, Samuel D, </w:t>
      </w:r>
      <w:proofErr w:type="spellStart"/>
      <w:r w:rsidRPr="002A3B17">
        <w:rPr>
          <w:rFonts w:ascii="Book Antiqua" w:hAnsi="Book Antiqua"/>
          <w:sz w:val="24"/>
        </w:rPr>
        <w:t>Saraswat</w:t>
      </w:r>
      <w:proofErr w:type="spellEnd"/>
      <w:r w:rsidRPr="002A3B17">
        <w:rPr>
          <w:rFonts w:ascii="Book Antiqua" w:hAnsi="Book Antiqua"/>
          <w:sz w:val="24"/>
        </w:rPr>
        <w:t xml:space="preserve"> V, Shah S, </w:t>
      </w:r>
      <w:proofErr w:type="spellStart"/>
      <w:r w:rsidRPr="002A3B17">
        <w:rPr>
          <w:rFonts w:ascii="Book Antiqua" w:hAnsi="Book Antiqua"/>
          <w:sz w:val="24"/>
        </w:rPr>
        <w:t>Shiha</w:t>
      </w:r>
      <w:proofErr w:type="spellEnd"/>
      <w:r w:rsidRPr="002A3B17">
        <w:rPr>
          <w:rFonts w:ascii="Book Antiqua" w:hAnsi="Book Antiqua"/>
          <w:sz w:val="24"/>
        </w:rPr>
        <w:t xml:space="preserve"> G, Sharma BC, Sharma MK, Sharma K, Butt AS, Tan SS, </w:t>
      </w:r>
      <w:proofErr w:type="spellStart"/>
      <w:r w:rsidRPr="002A3B17">
        <w:rPr>
          <w:rFonts w:ascii="Book Antiqua" w:hAnsi="Book Antiqua"/>
          <w:sz w:val="24"/>
        </w:rPr>
        <w:t>Vashishtha</w:t>
      </w:r>
      <w:proofErr w:type="spellEnd"/>
      <w:r w:rsidRPr="002A3B17">
        <w:rPr>
          <w:rFonts w:ascii="Book Antiqua" w:hAnsi="Book Antiqua"/>
          <w:sz w:val="24"/>
        </w:rPr>
        <w:t xml:space="preserve"> C, </w:t>
      </w:r>
      <w:proofErr w:type="spellStart"/>
      <w:r w:rsidRPr="002A3B17">
        <w:rPr>
          <w:rFonts w:ascii="Book Antiqua" w:hAnsi="Book Antiqua"/>
          <w:sz w:val="24"/>
        </w:rPr>
        <w:t>Wani</w:t>
      </w:r>
      <w:proofErr w:type="spellEnd"/>
      <w:r w:rsidRPr="002A3B17">
        <w:rPr>
          <w:rFonts w:ascii="Book Antiqua" w:hAnsi="Book Antiqua"/>
          <w:sz w:val="24"/>
        </w:rPr>
        <w:t xml:space="preserve"> ZA, Yuen MF, Yokosuka O; APASL ACLF Working Party. Acute-on-chronic liver failure: consensus recommendations of the Asian Pacific Association for the Study of the Liver (APASL) 2014. </w:t>
      </w:r>
      <w:proofErr w:type="spellStart"/>
      <w:r w:rsidRPr="002A3B17">
        <w:rPr>
          <w:rFonts w:ascii="Book Antiqua" w:hAnsi="Book Antiqua"/>
          <w:i/>
          <w:sz w:val="24"/>
        </w:rPr>
        <w:t>Hepatol</w:t>
      </w:r>
      <w:proofErr w:type="spellEnd"/>
      <w:r w:rsidRPr="002A3B17">
        <w:rPr>
          <w:rFonts w:ascii="Book Antiqua" w:hAnsi="Book Antiqua"/>
          <w:i/>
          <w:sz w:val="24"/>
        </w:rPr>
        <w:t xml:space="preserve"> </w:t>
      </w:r>
      <w:proofErr w:type="spellStart"/>
      <w:r w:rsidRPr="002A3B17">
        <w:rPr>
          <w:rFonts w:ascii="Book Antiqua" w:hAnsi="Book Antiqua"/>
          <w:i/>
          <w:sz w:val="24"/>
        </w:rPr>
        <w:t>Int</w:t>
      </w:r>
      <w:proofErr w:type="spellEnd"/>
      <w:r w:rsidRPr="002A3B17">
        <w:rPr>
          <w:rFonts w:ascii="Book Antiqua" w:hAnsi="Book Antiqua"/>
          <w:sz w:val="24"/>
        </w:rPr>
        <w:t xml:space="preserve"> 2014; </w:t>
      </w:r>
      <w:r w:rsidRPr="002A3B17">
        <w:rPr>
          <w:rFonts w:ascii="Book Antiqua" w:hAnsi="Book Antiqua"/>
          <w:b/>
          <w:sz w:val="24"/>
        </w:rPr>
        <w:t>8</w:t>
      </w:r>
      <w:r w:rsidRPr="002A3B17">
        <w:rPr>
          <w:rFonts w:ascii="Book Antiqua" w:hAnsi="Book Antiqua"/>
          <w:sz w:val="24"/>
        </w:rPr>
        <w:t>: 453-471 [PMID: 26202751 DOI: 10.1007/s12072-014-9580-2]</w:t>
      </w:r>
    </w:p>
    <w:p w14:paraId="7B0D8963"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14 </w:t>
      </w:r>
      <w:r w:rsidRPr="002A3B17">
        <w:rPr>
          <w:rFonts w:ascii="Book Antiqua" w:hAnsi="Book Antiqua"/>
          <w:b/>
          <w:sz w:val="24"/>
        </w:rPr>
        <w:t>Tang CM</w:t>
      </w:r>
      <w:r w:rsidRPr="002A3B17">
        <w:rPr>
          <w:rFonts w:ascii="Book Antiqua" w:hAnsi="Book Antiqua"/>
          <w:sz w:val="24"/>
        </w:rPr>
        <w:t xml:space="preserve">, </w:t>
      </w:r>
      <w:proofErr w:type="spellStart"/>
      <w:r w:rsidRPr="002A3B17">
        <w:rPr>
          <w:rFonts w:ascii="Book Antiqua" w:hAnsi="Book Antiqua"/>
          <w:sz w:val="24"/>
        </w:rPr>
        <w:t>Yau</w:t>
      </w:r>
      <w:proofErr w:type="spellEnd"/>
      <w:r w:rsidRPr="002A3B17">
        <w:rPr>
          <w:rFonts w:ascii="Book Antiqua" w:hAnsi="Book Antiqua"/>
          <w:sz w:val="24"/>
        </w:rPr>
        <w:t xml:space="preserve"> TO, Yu J. Management of chronic hepatitis B infection: current treatment guidelines, challenges, and new developments. </w:t>
      </w:r>
      <w:r w:rsidRPr="002A3B17">
        <w:rPr>
          <w:rFonts w:ascii="Book Antiqua" w:hAnsi="Book Antiqua"/>
          <w:i/>
          <w:sz w:val="24"/>
        </w:rPr>
        <w:t xml:space="preserve">World J </w:t>
      </w:r>
      <w:proofErr w:type="spellStart"/>
      <w:r w:rsidRPr="002A3B17">
        <w:rPr>
          <w:rFonts w:ascii="Book Antiqua" w:hAnsi="Book Antiqua"/>
          <w:i/>
          <w:sz w:val="24"/>
        </w:rPr>
        <w:t>Gastroenterol</w:t>
      </w:r>
      <w:proofErr w:type="spellEnd"/>
      <w:r w:rsidRPr="002A3B17">
        <w:rPr>
          <w:rFonts w:ascii="Book Antiqua" w:hAnsi="Book Antiqua"/>
          <w:sz w:val="24"/>
        </w:rPr>
        <w:t xml:space="preserve"> 2014; </w:t>
      </w:r>
      <w:r w:rsidRPr="002A3B17">
        <w:rPr>
          <w:rFonts w:ascii="Book Antiqua" w:hAnsi="Book Antiqua"/>
          <w:b/>
          <w:sz w:val="24"/>
        </w:rPr>
        <w:t>20</w:t>
      </w:r>
      <w:r w:rsidRPr="002A3B17">
        <w:rPr>
          <w:rFonts w:ascii="Book Antiqua" w:hAnsi="Book Antiqua"/>
          <w:sz w:val="24"/>
        </w:rPr>
        <w:t>: 6262-6278 [PMID: 24876747 DOI: 10.3748/wjg.v20.i20.6262]</w:t>
      </w:r>
    </w:p>
    <w:p w14:paraId="515C9552"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lastRenderedPageBreak/>
        <w:t xml:space="preserve">15 </w:t>
      </w:r>
      <w:r w:rsidRPr="002A3B17">
        <w:rPr>
          <w:rFonts w:ascii="Book Antiqua" w:hAnsi="Book Antiqua"/>
          <w:b/>
          <w:sz w:val="24"/>
        </w:rPr>
        <w:t>Han M</w:t>
      </w:r>
      <w:r w:rsidRPr="002A3B17">
        <w:rPr>
          <w:rFonts w:ascii="Book Antiqua" w:hAnsi="Book Antiqua"/>
          <w:sz w:val="24"/>
        </w:rPr>
        <w:t xml:space="preserve">, Yan W, </w:t>
      </w:r>
      <w:proofErr w:type="spellStart"/>
      <w:r w:rsidRPr="002A3B17">
        <w:rPr>
          <w:rFonts w:ascii="Book Antiqua" w:hAnsi="Book Antiqua"/>
          <w:sz w:val="24"/>
        </w:rPr>
        <w:t>Guo</w:t>
      </w:r>
      <w:proofErr w:type="spellEnd"/>
      <w:r w:rsidRPr="002A3B17">
        <w:rPr>
          <w:rFonts w:ascii="Book Antiqua" w:hAnsi="Book Antiqua"/>
          <w:sz w:val="24"/>
        </w:rPr>
        <w:t xml:space="preserve"> W, Xi D, Zhou Y, Li W, Gao S, Liu M, Levy G, Luo X, Ning Q. Hepatitis B virus-induced hFGL2 transcription is dependent on c-Ets-2 and MAPK signal pathway. </w:t>
      </w:r>
      <w:r w:rsidRPr="002A3B17">
        <w:rPr>
          <w:rFonts w:ascii="Book Antiqua" w:hAnsi="Book Antiqua"/>
          <w:i/>
          <w:sz w:val="24"/>
        </w:rPr>
        <w:t xml:space="preserve">J </w:t>
      </w:r>
      <w:proofErr w:type="spellStart"/>
      <w:r w:rsidRPr="002A3B17">
        <w:rPr>
          <w:rFonts w:ascii="Book Antiqua" w:hAnsi="Book Antiqua"/>
          <w:i/>
          <w:sz w:val="24"/>
        </w:rPr>
        <w:t>Biol</w:t>
      </w:r>
      <w:proofErr w:type="spellEnd"/>
      <w:r w:rsidRPr="002A3B17">
        <w:rPr>
          <w:rFonts w:ascii="Book Antiqua" w:hAnsi="Book Antiqua"/>
          <w:i/>
          <w:sz w:val="24"/>
        </w:rPr>
        <w:t xml:space="preserve"> </w:t>
      </w:r>
      <w:proofErr w:type="spellStart"/>
      <w:r w:rsidRPr="002A3B17">
        <w:rPr>
          <w:rFonts w:ascii="Book Antiqua" w:hAnsi="Book Antiqua"/>
          <w:i/>
          <w:sz w:val="24"/>
        </w:rPr>
        <w:t>Chem</w:t>
      </w:r>
      <w:proofErr w:type="spellEnd"/>
      <w:r w:rsidRPr="002A3B17">
        <w:rPr>
          <w:rFonts w:ascii="Book Antiqua" w:hAnsi="Book Antiqua"/>
          <w:sz w:val="24"/>
        </w:rPr>
        <w:t xml:space="preserve"> 2008; </w:t>
      </w:r>
      <w:r w:rsidRPr="002A3B17">
        <w:rPr>
          <w:rFonts w:ascii="Book Antiqua" w:hAnsi="Book Antiqua"/>
          <w:b/>
          <w:sz w:val="24"/>
        </w:rPr>
        <w:t>283</w:t>
      </w:r>
      <w:r w:rsidRPr="002A3B17">
        <w:rPr>
          <w:rFonts w:ascii="Book Antiqua" w:hAnsi="Book Antiqua"/>
          <w:sz w:val="24"/>
        </w:rPr>
        <w:t>: 32715-32729 [PMID: 18801734 DOI: 10.1074/jbc.M806769200]</w:t>
      </w:r>
    </w:p>
    <w:p w14:paraId="67D95C74"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16 </w:t>
      </w:r>
      <w:r w:rsidRPr="002A3B17">
        <w:rPr>
          <w:rFonts w:ascii="Book Antiqua" w:hAnsi="Book Antiqua"/>
          <w:b/>
          <w:sz w:val="24"/>
        </w:rPr>
        <w:t>Suzuki Y</w:t>
      </w:r>
      <w:r w:rsidRPr="002A3B17">
        <w:rPr>
          <w:rFonts w:ascii="Book Antiqua" w:hAnsi="Book Antiqua"/>
          <w:sz w:val="24"/>
        </w:rPr>
        <w:t xml:space="preserve">, </w:t>
      </w:r>
      <w:proofErr w:type="spellStart"/>
      <w:r w:rsidRPr="002A3B17">
        <w:rPr>
          <w:rFonts w:ascii="Book Antiqua" w:hAnsi="Book Antiqua"/>
          <w:sz w:val="24"/>
        </w:rPr>
        <w:t>Shirai</w:t>
      </w:r>
      <w:proofErr w:type="spellEnd"/>
      <w:r w:rsidRPr="002A3B17">
        <w:rPr>
          <w:rFonts w:ascii="Book Antiqua" w:hAnsi="Book Antiqua"/>
          <w:sz w:val="24"/>
        </w:rPr>
        <w:t xml:space="preserve"> M, Asada K, </w:t>
      </w:r>
      <w:proofErr w:type="spellStart"/>
      <w:r w:rsidRPr="002A3B17">
        <w:rPr>
          <w:rFonts w:ascii="Book Antiqua" w:hAnsi="Book Antiqua"/>
          <w:sz w:val="24"/>
        </w:rPr>
        <w:t>Yasui</w:t>
      </w:r>
      <w:proofErr w:type="spellEnd"/>
      <w:r w:rsidRPr="002A3B17">
        <w:rPr>
          <w:rFonts w:ascii="Book Antiqua" w:hAnsi="Book Antiqua"/>
          <w:sz w:val="24"/>
        </w:rPr>
        <w:t xml:space="preserve"> H, </w:t>
      </w:r>
      <w:proofErr w:type="spellStart"/>
      <w:r w:rsidRPr="002A3B17">
        <w:rPr>
          <w:rFonts w:ascii="Book Antiqua" w:hAnsi="Book Antiqua"/>
          <w:sz w:val="24"/>
        </w:rPr>
        <w:t>Karayama</w:t>
      </w:r>
      <w:proofErr w:type="spellEnd"/>
      <w:r w:rsidRPr="002A3B17">
        <w:rPr>
          <w:rFonts w:ascii="Book Antiqua" w:hAnsi="Book Antiqua"/>
          <w:sz w:val="24"/>
        </w:rPr>
        <w:t xml:space="preserve"> M, </w:t>
      </w:r>
      <w:proofErr w:type="spellStart"/>
      <w:r w:rsidRPr="002A3B17">
        <w:rPr>
          <w:rFonts w:ascii="Book Antiqua" w:hAnsi="Book Antiqua"/>
          <w:sz w:val="24"/>
        </w:rPr>
        <w:t>Hozumi</w:t>
      </w:r>
      <w:proofErr w:type="spellEnd"/>
      <w:r w:rsidRPr="002A3B17">
        <w:rPr>
          <w:rFonts w:ascii="Book Antiqua" w:hAnsi="Book Antiqua"/>
          <w:sz w:val="24"/>
        </w:rPr>
        <w:t xml:space="preserve"> H, </w:t>
      </w:r>
      <w:proofErr w:type="spellStart"/>
      <w:r w:rsidRPr="002A3B17">
        <w:rPr>
          <w:rFonts w:ascii="Book Antiqua" w:hAnsi="Book Antiqua"/>
          <w:sz w:val="24"/>
        </w:rPr>
        <w:t>Furuhashi</w:t>
      </w:r>
      <w:proofErr w:type="spellEnd"/>
      <w:r w:rsidRPr="002A3B17">
        <w:rPr>
          <w:rFonts w:ascii="Book Antiqua" w:hAnsi="Book Antiqua"/>
          <w:sz w:val="24"/>
        </w:rPr>
        <w:t xml:space="preserve"> K, </w:t>
      </w:r>
      <w:proofErr w:type="spellStart"/>
      <w:r w:rsidRPr="002A3B17">
        <w:rPr>
          <w:rFonts w:ascii="Book Antiqua" w:hAnsi="Book Antiqua"/>
          <w:sz w:val="24"/>
        </w:rPr>
        <w:t>Enomoto</w:t>
      </w:r>
      <w:proofErr w:type="spellEnd"/>
      <w:r w:rsidRPr="002A3B17">
        <w:rPr>
          <w:rFonts w:ascii="Book Antiqua" w:hAnsi="Book Antiqua"/>
          <w:sz w:val="24"/>
        </w:rPr>
        <w:t xml:space="preserve"> N, Fujisawa T, Nakamura Y, Inui N, </w:t>
      </w:r>
      <w:proofErr w:type="spellStart"/>
      <w:r w:rsidRPr="002A3B17">
        <w:rPr>
          <w:rFonts w:ascii="Book Antiqua" w:hAnsi="Book Antiqua"/>
          <w:sz w:val="24"/>
        </w:rPr>
        <w:t>Shirai</w:t>
      </w:r>
      <w:proofErr w:type="spellEnd"/>
      <w:r w:rsidRPr="002A3B17">
        <w:rPr>
          <w:rFonts w:ascii="Book Antiqua" w:hAnsi="Book Antiqua"/>
          <w:sz w:val="24"/>
        </w:rPr>
        <w:t xml:space="preserve"> T, Hayakawa H, </w:t>
      </w:r>
      <w:proofErr w:type="spellStart"/>
      <w:r w:rsidRPr="002A3B17">
        <w:rPr>
          <w:rFonts w:ascii="Book Antiqua" w:hAnsi="Book Antiqua"/>
          <w:sz w:val="24"/>
        </w:rPr>
        <w:t>Suda</w:t>
      </w:r>
      <w:proofErr w:type="spellEnd"/>
      <w:r w:rsidRPr="002A3B17">
        <w:rPr>
          <w:rFonts w:ascii="Book Antiqua" w:hAnsi="Book Antiqua"/>
          <w:sz w:val="24"/>
        </w:rPr>
        <w:t xml:space="preserve"> T. Macrophage mannose receptor, CD206, predict prognosis in patients with pulmonary tuberculosis. </w:t>
      </w:r>
      <w:proofErr w:type="spellStart"/>
      <w:r w:rsidRPr="002A3B17">
        <w:rPr>
          <w:rFonts w:ascii="Book Antiqua" w:hAnsi="Book Antiqua"/>
          <w:i/>
          <w:sz w:val="24"/>
        </w:rPr>
        <w:t>Sci</w:t>
      </w:r>
      <w:proofErr w:type="spellEnd"/>
      <w:r w:rsidRPr="002A3B17">
        <w:rPr>
          <w:rFonts w:ascii="Book Antiqua" w:hAnsi="Book Antiqua"/>
          <w:i/>
          <w:sz w:val="24"/>
        </w:rPr>
        <w:t xml:space="preserve"> Rep</w:t>
      </w:r>
      <w:r w:rsidRPr="002A3B17">
        <w:rPr>
          <w:rFonts w:ascii="Book Antiqua" w:hAnsi="Book Antiqua"/>
          <w:sz w:val="24"/>
        </w:rPr>
        <w:t xml:space="preserve"> 2018; </w:t>
      </w:r>
      <w:r w:rsidRPr="002A3B17">
        <w:rPr>
          <w:rFonts w:ascii="Book Antiqua" w:hAnsi="Book Antiqua"/>
          <w:b/>
          <w:sz w:val="24"/>
        </w:rPr>
        <w:t>8</w:t>
      </w:r>
      <w:r w:rsidRPr="002A3B17">
        <w:rPr>
          <w:rFonts w:ascii="Book Antiqua" w:hAnsi="Book Antiqua"/>
          <w:sz w:val="24"/>
        </w:rPr>
        <w:t>: 13129 [PMID: 30177769 DOI: 10.1038/s41598-018-31565-5]</w:t>
      </w:r>
    </w:p>
    <w:p w14:paraId="18BCBD0A" w14:textId="77777777" w:rsidR="00556F61" w:rsidRPr="00A94F32" w:rsidRDefault="002A3B17" w:rsidP="00FD2E95">
      <w:pPr>
        <w:snapToGrid w:val="0"/>
        <w:spacing w:line="360" w:lineRule="auto"/>
        <w:rPr>
          <w:rFonts w:ascii="Book Antiqua" w:hAnsi="Book Antiqua"/>
          <w:sz w:val="24"/>
        </w:rPr>
      </w:pPr>
      <w:r w:rsidRPr="002A3B17">
        <w:rPr>
          <w:rFonts w:ascii="Book Antiqua" w:hAnsi="Book Antiqua"/>
          <w:sz w:val="24"/>
        </w:rPr>
        <w:t xml:space="preserve">17 </w:t>
      </w:r>
      <w:r w:rsidRPr="002A3B17">
        <w:rPr>
          <w:rFonts w:ascii="Book Antiqua" w:hAnsi="Book Antiqua"/>
          <w:b/>
          <w:sz w:val="24"/>
        </w:rPr>
        <w:t xml:space="preserve">Marie </w:t>
      </w:r>
      <w:proofErr w:type="spellStart"/>
      <w:r w:rsidRPr="002A3B17">
        <w:rPr>
          <w:rFonts w:ascii="Book Antiqua" w:hAnsi="Book Antiqua"/>
          <w:b/>
          <w:sz w:val="24"/>
        </w:rPr>
        <w:t>Relster</w:t>
      </w:r>
      <w:proofErr w:type="spellEnd"/>
      <w:r w:rsidRPr="002A3B17">
        <w:rPr>
          <w:rFonts w:ascii="Book Antiqua" w:hAnsi="Book Antiqua"/>
          <w:b/>
          <w:sz w:val="24"/>
        </w:rPr>
        <w:t xml:space="preserve"> M</w:t>
      </w:r>
      <w:r w:rsidRPr="002A3B17">
        <w:rPr>
          <w:rFonts w:ascii="Book Antiqua" w:hAnsi="Book Antiqua"/>
          <w:sz w:val="24"/>
        </w:rPr>
        <w:t xml:space="preserve">, </w:t>
      </w:r>
      <w:proofErr w:type="spellStart"/>
      <w:r w:rsidRPr="002A3B17">
        <w:rPr>
          <w:rFonts w:ascii="Book Antiqua" w:hAnsi="Book Antiqua"/>
          <w:sz w:val="24"/>
        </w:rPr>
        <w:t>Gaini</w:t>
      </w:r>
      <w:proofErr w:type="spellEnd"/>
      <w:r w:rsidRPr="002A3B17">
        <w:rPr>
          <w:rFonts w:ascii="Book Antiqua" w:hAnsi="Book Antiqua"/>
          <w:sz w:val="24"/>
        </w:rPr>
        <w:t xml:space="preserve"> S, </w:t>
      </w:r>
      <w:proofErr w:type="spellStart"/>
      <w:r w:rsidRPr="002A3B17">
        <w:rPr>
          <w:rFonts w:ascii="Book Antiqua" w:hAnsi="Book Antiqua"/>
          <w:sz w:val="24"/>
        </w:rPr>
        <w:t>Møller</w:t>
      </w:r>
      <w:proofErr w:type="spellEnd"/>
      <w:r w:rsidRPr="002A3B17">
        <w:rPr>
          <w:rFonts w:ascii="Book Antiqua" w:hAnsi="Book Antiqua"/>
          <w:sz w:val="24"/>
        </w:rPr>
        <w:t xml:space="preserve"> HJ, Johansen IS, Pedersen C. The macrophage activation marker </w:t>
      </w:r>
      <w:proofErr w:type="spellStart"/>
      <w:r w:rsidRPr="002A3B17">
        <w:rPr>
          <w:rFonts w:ascii="Book Antiqua" w:hAnsi="Book Antiqua"/>
          <w:sz w:val="24"/>
        </w:rPr>
        <w:t>sMR</w:t>
      </w:r>
      <w:proofErr w:type="spellEnd"/>
      <w:r w:rsidRPr="002A3B17">
        <w:rPr>
          <w:rFonts w:ascii="Book Antiqua" w:hAnsi="Book Antiqua"/>
          <w:sz w:val="24"/>
        </w:rPr>
        <w:t xml:space="preserve"> as a diagnostic and prognostic marker in patients with acute infectious disease with or without sepsis. </w:t>
      </w:r>
      <w:proofErr w:type="spellStart"/>
      <w:r w:rsidRPr="002A3B17">
        <w:rPr>
          <w:rFonts w:ascii="Book Antiqua" w:hAnsi="Book Antiqua"/>
          <w:i/>
          <w:sz w:val="24"/>
        </w:rPr>
        <w:t>Scand</w:t>
      </w:r>
      <w:proofErr w:type="spellEnd"/>
      <w:r w:rsidRPr="002A3B17">
        <w:rPr>
          <w:rFonts w:ascii="Book Antiqua" w:hAnsi="Book Antiqua"/>
          <w:i/>
          <w:sz w:val="24"/>
        </w:rPr>
        <w:t xml:space="preserve"> J </w:t>
      </w:r>
      <w:proofErr w:type="spellStart"/>
      <w:r w:rsidRPr="002A3B17">
        <w:rPr>
          <w:rFonts w:ascii="Book Antiqua" w:hAnsi="Book Antiqua"/>
          <w:i/>
          <w:sz w:val="24"/>
        </w:rPr>
        <w:t>Clin</w:t>
      </w:r>
      <w:proofErr w:type="spellEnd"/>
      <w:r w:rsidRPr="002A3B17">
        <w:rPr>
          <w:rFonts w:ascii="Book Antiqua" w:hAnsi="Book Antiqua"/>
          <w:i/>
          <w:sz w:val="24"/>
        </w:rPr>
        <w:t xml:space="preserve"> Lab Invest</w:t>
      </w:r>
      <w:r w:rsidRPr="002A3B17">
        <w:rPr>
          <w:rFonts w:ascii="Book Antiqua" w:hAnsi="Book Antiqua"/>
          <w:sz w:val="24"/>
        </w:rPr>
        <w:t xml:space="preserve"> 2018; </w:t>
      </w:r>
      <w:r w:rsidRPr="002A3B17">
        <w:rPr>
          <w:rFonts w:ascii="Book Antiqua" w:hAnsi="Book Antiqua"/>
          <w:b/>
          <w:sz w:val="24"/>
        </w:rPr>
        <w:t>78</w:t>
      </w:r>
      <w:r w:rsidRPr="002A3B17">
        <w:rPr>
          <w:rFonts w:ascii="Book Antiqua" w:hAnsi="Book Antiqua"/>
          <w:sz w:val="24"/>
        </w:rPr>
        <w:t>: 180-186 [PMID: 29383956 DOI: 10.1080/00365513.2018.1431841]</w:t>
      </w:r>
    </w:p>
    <w:p w14:paraId="5087FB39" w14:textId="707998A1" w:rsidR="00856DB3" w:rsidRPr="00856DB3" w:rsidRDefault="00856DB3" w:rsidP="00FD2E95">
      <w:pPr>
        <w:adjustRightInd w:val="0"/>
        <w:snapToGrid w:val="0"/>
        <w:spacing w:line="360" w:lineRule="auto"/>
        <w:jc w:val="right"/>
        <w:rPr>
          <w:rFonts w:ascii="Book Antiqua" w:hAnsi="Book Antiqua"/>
          <w:color w:val="000000"/>
          <w:sz w:val="24"/>
        </w:rPr>
      </w:pPr>
      <w:bookmarkStart w:id="51" w:name="OLE_LINK139"/>
      <w:bookmarkStart w:id="52" w:name="OLE_LINK140"/>
      <w:bookmarkStart w:id="53" w:name="OLE_LINK1023"/>
      <w:bookmarkStart w:id="54" w:name="OLE_LINK1027"/>
      <w:bookmarkStart w:id="55" w:name="OLE_LINK1028"/>
      <w:bookmarkStart w:id="56" w:name="OLE_LINK1029"/>
      <w:bookmarkStart w:id="57" w:name="OLE_LINK51"/>
      <w:bookmarkStart w:id="58" w:name="OLE_LINK1069"/>
      <w:bookmarkStart w:id="59" w:name="OLE_LINK1104"/>
      <w:bookmarkStart w:id="60" w:name="OLE_LINK1107"/>
      <w:bookmarkStart w:id="61" w:name="OLE_LINK1073"/>
      <w:r w:rsidRPr="00663BB7">
        <w:rPr>
          <w:rFonts w:ascii="Book Antiqua" w:hAnsi="Book Antiqua"/>
          <w:b/>
          <w:bCs/>
          <w:color w:val="000000"/>
          <w:sz w:val="24"/>
        </w:rPr>
        <w:t>P-Reviewer:</w:t>
      </w:r>
      <w:r w:rsidRPr="00663BB7">
        <w:rPr>
          <w:rFonts w:ascii="Book Antiqua" w:hAnsi="Book Antiqua"/>
          <w:bCs/>
          <w:color w:val="000000"/>
          <w:sz w:val="24"/>
        </w:rPr>
        <w:t xml:space="preserve"> </w:t>
      </w:r>
      <w:r w:rsidRPr="00856DB3">
        <w:rPr>
          <w:rFonts w:ascii="Book Antiqua" w:hAnsi="Book Antiqua"/>
          <w:bCs/>
          <w:color w:val="000000"/>
          <w:sz w:val="24"/>
        </w:rPr>
        <w:t>Ahmed</w:t>
      </w:r>
      <w:r w:rsidRPr="00663BB7">
        <w:rPr>
          <w:rFonts w:ascii="Book Antiqua" w:hAnsi="Book Antiqua"/>
          <w:bCs/>
          <w:color w:val="000000"/>
          <w:sz w:val="24"/>
        </w:rPr>
        <w:t xml:space="preserve"> M, </w:t>
      </w:r>
      <w:proofErr w:type="spellStart"/>
      <w:r w:rsidRPr="00856DB3">
        <w:rPr>
          <w:rFonts w:ascii="Book Antiqua" w:hAnsi="Book Antiqua"/>
          <w:bCs/>
          <w:color w:val="000000"/>
          <w:sz w:val="24"/>
        </w:rPr>
        <w:t>Farshadpour</w:t>
      </w:r>
      <w:proofErr w:type="spellEnd"/>
      <w:r w:rsidRPr="00663BB7">
        <w:rPr>
          <w:rFonts w:ascii="Book Antiqua" w:hAnsi="Book Antiqua"/>
          <w:bCs/>
          <w:color w:val="000000"/>
          <w:sz w:val="24"/>
        </w:rPr>
        <w:t xml:space="preserve"> </w:t>
      </w:r>
      <w:r>
        <w:rPr>
          <w:rFonts w:ascii="Book Antiqua" w:hAnsi="Book Antiqua" w:hint="eastAsia"/>
          <w:bCs/>
          <w:color w:val="000000"/>
          <w:sz w:val="24"/>
        </w:rPr>
        <w:t>F</w:t>
      </w:r>
      <w:r w:rsidRPr="00663BB7">
        <w:rPr>
          <w:rFonts w:ascii="Book Antiqua" w:hAnsi="Book Antiqua"/>
          <w:bCs/>
          <w:color w:val="000000"/>
          <w:sz w:val="24"/>
        </w:rPr>
        <w:t xml:space="preserve">, </w:t>
      </w:r>
      <w:proofErr w:type="spellStart"/>
      <w:r w:rsidR="006B705D" w:rsidRPr="00856DB3">
        <w:rPr>
          <w:rFonts w:ascii="Book Antiqua" w:hAnsi="Book Antiqua"/>
          <w:bCs/>
          <w:color w:val="000000"/>
          <w:sz w:val="24"/>
        </w:rPr>
        <w:t>Surani</w:t>
      </w:r>
      <w:proofErr w:type="spellEnd"/>
      <w:r w:rsidR="006B705D">
        <w:rPr>
          <w:rFonts w:ascii="Book Antiqua" w:hAnsi="Book Antiqua" w:hint="eastAsia"/>
          <w:bCs/>
          <w:color w:val="000000"/>
          <w:sz w:val="24"/>
        </w:rPr>
        <w:t xml:space="preserve"> S,</w:t>
      </w:r>
      <w:r w:rsidR="006B705D" w:rsidRPr="00856DB3">
        <w:rPr>
          <w:rFonts w:ascii="Book Antiqua" w:hAnsi="Book Antiqua"/>
          <w:bCs/>
          <w:color w:val="000000"/>
          <w:sz w:val="24"/>
        </w:rPr>
        <w:t xml:space="preserve"> </w:t>
      </w:r>
      <w:proofErr w:type="gramStart"/>
      <w:r w:rsidRPr="00856DB3">
        <w:rPr>
          <w:rFonts w:ascii="Book Antiqua" w:hAnsi="Book Antiqua"/>
          <w:bCs/>
          <w:color w:val="000000"/>
          <w:sz w:val="24"/>
        </w:rPr>
        <w:t>Sandhu</w:t>
      </w:r>
      <w:proofErr w:type="gramEnd"/>
      <w:r w:rsidR="006B705D">
        <w:rPr>
          <w:rFonts w:ascii="Book Antiqua" w:hAnsi="Book Antiqua" w:hint="eastAsia"/>
          <w:bCs/>
          <w:color w:val="000000"/>
          <w:sz w:val="24"/>
        </w:rPr>
        <w:t xml:space="preserve"> SD</w:t>
      </w:r>
      <w:r>
        <w:rPr>
          <w:rFonts w:ascii="Book Antiqua" w:hAnsi="Book Antiqua" w:hint="eastAsia"/>
          <w:bCs/>
          <w:color w:val="000000"/>
          <w:sz w:val="24"/>
        </w:rPr>
        <w:t xml:space="preserve"> </w:t>
      </w:r>
      <w:r w:rsidRPr="00663BB7">
        <w:rPr>
          <w:rFonts w:ascii="Book Antiqua" w:hAnsi="Book Antiqua"/>
          <w:b/>
          <w:bCs/>
          <w:color w:val="000000"/>
          <w:sz w:val="24"/>
        </w:rPr>
        <w:t>S-Editor:</w:t>
      </w:r>
      <w:r w:rsidRPr="00663BB7">
        <w:rPr>
          <w:rFonts w:ascii="Book Antiqua" w:hAnsi="Book Antiqua"/>
          <w:color w:val="000000"/>
          <w:sz w:val="24"/>
        </w:rPr>
        <w:t xml:space="preserve"> </w:t>
      </w:r>
      <w:r>
        <w:rPr>
          <w:rFonts w:ascii="Book Antiqua" w:hAnsi="Book Antiqua" w:hint="eastAsia"/>
          <w:color w:val="000000"/>
          <w:sz w:val="24"/>
        </w:rPr>
        <w:t>Wang</w:t>
      </w:r>
      <w:r>
        <w:rPr>
          <w:rFonts w:ascii="Book Antiqua" w:hAnsi="Book Antiqua"/>
          <w:color w:val="000000"/>
          <w:sz w:val="24"/>
        </w:rPr>
        <w:t xml:space="preserve"> J</w:t>
      </w:r>
      <w:r>
        <w:rPr>
          <w:rFonts w:ascii="Book Antiqua" w:hAnsi="Book Antiqua" w:hint="eastAsia"/>
          <w:color w:val="000000"/>
          <w:sz w:val="24"/>
        </w:rPr>
        <w:t xml:space="preserve"> </w:t>
      </w:r>
      <w:r w:rsidRPr="00663BB7">
        <w:rPr>
          <w:rFonts w:ascii="Book Antiqua" w:hAnsi="Book Antiqua"/>
          <w:b/>
          <w:bCs/>
          <w:color w:val="000000"/>
          <w:sz w:val="24"/>
        </w:rPr>
        <w:t>L-Edito</w:t>
      </w:r>
      <w:r w:rsidRPr="00663BB7">
        <w:rPr>
          <w:rFonts w:ascii="Book Antiqua" w:hAnsi="Book Antiqua"/>
          <w:b/>
          <w:bCs/>
          <w:color w:val="000000"/>
          <w:sz w:val="24"/>
        </w:rPr>
        <w:t>r:</w:t>
      </w:r>
      <w:r w:rsidRPr="00663BB7">
        <w:rPr>
          <w:rFonts w:ascii="Book Antiqua" w:hAnsi="Book Antiqua"/>
          <w:color w:val="000000"/>
          <w:sz w:val="24"/>
        </w:rPr>
        <w:t xml:space="preserve"> </w:t>
      </w:r>
      <w:r w:rsidR="00215647">
        <w:rPr>
          <w:rFonts w:ascii="Book Antiqua" w:hAnsi="Book Antiqua"/>
          <w:color w:val="000000"/>
          <w:sz w:val="24"/>
        </w:rPr>
        <w:t xml:space="preserve">Wang TQ </w:t>
      </w:r>
      <w:r w:rsidRPr="00663BB7">
        <w:rPr>
          <w:rFonts w:ascii="Book Antiqua" w:hAnsi="Book Antiqua"/>
          <w:b/>
          <w:bCs/>
          <w:color w:val="000000"/>
          <w:sz w:val="24"/>
        </w:rPr>
        <w:t>E-E</w:t>
      </w:r>
      <w:r w:rsidRPr="00663BB7">
        <w:rPr>
          <w:rFonts w:ascii="Book Antiqua" w:hAnsi="Book Antiqua"/>
          <w:b/>
          <w:bCs/>
          <w:color w:val="000000"/>
          <w:sz w:val="24"/>
        </w:rPr>
        <w:t>ditor:</w:t>
      </w:r>
    </w:p>
    <w:bookmarkEnd w:id="51"/>
    <w:bookmarkEnd w:id="52"/>
    <w:p w14:paraId="055BD64F" w14:textId="77777777" w:rsidR="00DB73B8" w:rsidRPr="00A94F32" w:rsidRDefault="00856DB3" w:rsidP="00FD2E95">
      <w:pPr>
        <w:snapToGrid w:val="0"/>
        <w:spacing w:line="360" w:lineRule="auto"/>
        <w:rPr>
          <w:rFonts w:ascii="Book Antiqua" w:hAnsi="Book Antiqua"/>
          <w:sz w:val="24"/>
        </w:rPr>
      </w:pPr>
      <w:r w:rsidRPr="00663BB7">
        <w:rPr>
          <w:rFonts w:ascii="Book Antiqua" w:hAnsi="Book Antiqua" w:cs="宋体"/>
          <w:b/>
          <w:kern w:val="0"/>
          <w:sz w:val="24"/>
        </w:rPr>
        <w:t xml:space="preserve">Specialty type: </w:t>
      </w:r>
      <w:r w:rsidRPr="00663BB7">
        <w:rPr>
          <w:rFonts w:ascii="Book Antiqua" w:eastAsia="微软雅黑" w:hAnsi="Book Antiqua" w:cs="宋体"/>
          <w:kern w:val="0"/>
          <w:sz w:val="24"/>
        </w:rPr>
        <w:t>Gastroenterology and hepatology</w:t>
      </w:r>
      <w:r w:rsidRPr="00663BB7">
        <w:rPr>
          <w:rFonts w:ascii="Book Antiqua" w:hAnsi="Book Antiqua" w:cs="宋体"/>
          <w:kern w:val="0"/>
          <w:sz w:val="24"/>
        </w:rPr>
        <w:t xml:space="preserve"> </w:t>
      </w:r>
      <w:r w:rsidRPr="00663BB7">
        <w:rPr>
          <w:rFonts w:ascii="Book Antiqua" w:hAnsi="Book Antiqua" w:cs="宋体"/>
          <w:kern w:val="0"/>
          <w:sz w:val="24"/>
        </w:rPr>
        <w:br/>
      </w:r>
      <w:r w:rsidRPr="00663BB7">
        <w:rPr>
          <w:rFonts w:ascii="Book Antiqua" w:hAnsi="Book Antiqua" w:cs="宋体"/>
          <w:b/>
          <w:kern w:val="0"/>
          <w:sz w:val="24"/>
        </w:rPr>
        <w:t xml:space="preserve">Country of origin: </w:t>
      </w:r>
      <w:r w:rsidRPr="00663BB7">
        <w:rPr>
          <w:rFonts w:ascii="Book Antiqua" w:hAnsi="Book Antiqua" w:cs="宋体"/>
          <w:kern w:val="0"/>
          <w:sz w:val="24"/>
        </w:rPr>
        <w:t xml:space="preserve">China </w:t>
      </w:r>
      <w:r w:rsidRPr="00663BB7">
        <w:rPr>
          <w:rFonts w:ascii="Book Antiqua" w:hAnsi="Book Antiqua" w:cs="宋体"/>
          <w:kern w:val="0"/>
          <w:sz w:val="24"/>
        </w:rPr>
        <w:br/>
      </w:r>
      <w:r w:rsidRPr="00663BB7">
        <w:rPr>
          <w:rFonts w:ascii="Book Antiqua" w:hAnsi="Book Antiqua" w:cs="宋体"/>
          <w:b/>
          <w:kern w:val="0"/>
          <w:sz w:val="24"/>
        </w:rPr>
        <w:t>Peer-review report classification</w:t>
      </w:r>
      <w:r w:rsidRPr="00663BB7">
        <w:rPr>
          <w:rFonts w:ascii="Book Antiqua" w:hAnsi="Book Antiqua" w:cs="宋体"/>
          <w:kern w:val="0"/>
          <w:sz w:val="24"/>
        </w:rPr>
        <w:br/>
      </w:r>
      <w:r w:rsidRPr="00663BB7">
        <w:rPr>
          <w:rFonts w:ascii="Book Antiqua" w:hAnsi="Book Antiqua" w:cs="宋体"/>
          <w:b/>
          <w:kern w:val="0"/>
          <w:sz w:val="24"/>
        </w:rPr>
        <w:t xml:space="preserve">Grade A (Excellent): </w:t>
      </w:r>
      <w:r>
        <w:rPr>
          <w:rFonts w:ascii="Book Antiqua" w:hAnsi="Book Antiqua" w:cs="宋体" w:hint="eastAsia"/>
          <w:kern w:val="0"/>
          <w:sz w:val="24"/>
        </w:rPr>
        <w:t>0</w:t>
      </w:r>
      <w:r w:rsidRPr="00663BB7">
        <w:rPr>
          <w:rFonts w:ascii="Book Antiqua" w:hAnsi="Book Antiqua" w:cs="宋体"/>
          <w:kern w:val="0"/>
          <w:sz w:val="24"/>
        </w:rPr>
        <w:br/>
      </w:r>
      <w:r w:rsidRPr="00663BB7">
        <w:rPr>
          <w:rFonts w:ascii="Book Antiqua" w:hAnsi="Book Antiqua" w:cs="宋体"/>
          <w:b/>
          <w:kern w:val="0"/>
          <w:sz w:val="24"/>
        </w:rPr>
        <w:t xml:space="preserve">Grade B (Very good): </w:t>
      </w:r>
      <w:r w:rsidRPr="00663BB7">
        <w:rPr>
          <w:rFonts w:ascii="Book Antiqua" w:hAnsi="Book Antiqua" w:cs="宋体"/>
          <w:kern w:val="0"/>
          <w:sz w:val="24"/>
        </w:rPr>
        <w:t>B</w:t>
      </w:r>
      <w:r>
        <w:rPr>
          <w:rFonts w:ascii="Book Antiqua" w:hAnsi="Book Antiqua" w:cs="宋体" w:hint="eastAsia"/>
          <w:kern w:val="0"/>
          <w:sz w:val="24"/>
        </w:rPr>
        <w:t>, B</w:t>
      </w:r>
      <w:r w:rsidRPr="00663BB7">
        <w:rPr>
          <w:rFonts w:ascii="Book Antiqua" w:hAnsi="Book Antiqua" w:cs="宋体"/>
          <w:kern w:val="0"/>
          <w:sz w:val="24"/>
        </w:rPr>
        <w:br/>
      </w:r>
      <w:r w:rsidRPr="00663BB7">
        <w:rPr>
          <w:rFonts w:ascii="Book Antiqua" w:hAnsi="Book Antiqua" w:cs="宋体"/>
          <w:b/>
          <w:kern w:val="0"/>
          <w:sz w:val="24"/>
        </w:rPr>
        <w:t xml:space="preserve">Grade C (Good): </w:t>
      </w:r>
      <w:r>
        <w:rPr>
          <w:rFonts w:ascii="Book Antiqua" w:hAnsi="Book Antiqua" w:cs="宋体" w:hint="eastAsia"/>
          <w:kern w:val="0"/>
          <w:sz w:val="24"/>
        </w:rPr>
        <w:t>C, C</w:t>
      </w:r>
      <w:r w:rsidRPr="00663BB7">
        <w:rPr>
          <w:rFonts w:ascii="Book Antiqua" w:hAnsi="Book Antiqua" w:cs="宋体"/>
          <w:kern w:val="0"/>
          <w:sz w:val="24"/>
        </w:rPr>
        <w:br/>
      </w:r>
      <w:r w:rsidRPr="00663BB7">
        <w:rPr>
          <w:rFonts w:ascii="Book Antiqua" w:hAnsi="Book Antiqua" w:cs="宋体"/>
          <w:b/>
          <w:kern w:val="0"/>
          <w:sz w:val="24"/>
        </w:rPr>
        <w:t xml:space="preserve">Grade D (Fair): </w:t>
      </w:r>
      <w:r w:rsidRPr="00663BB7">
        <w:rPr>
          <w:rFonts w:ascii="Book Antiqua" w:hAnsi="Book Antiqua" w:cs="宋体"/>
          <w:kern w:val="0"/>
          <w:sz w:val="24"/>
        </w:rPr>
        <w:t>0</w:t>
      </w:r>
      <w:r w:rsidRPr="00663BB7">
        <w:rPr>
          <w:rFonts w:ascii="Book Antiqua" w:hAnsi="Book Antiqua" w:cs="宋体"/>
          <w:b/>
          <w:kern w:val="0"/>
          <w:sz w:val="24"/>
        </w:rPr>
        <w:br/>
        <w:t xml:space="preserve">Grade E (Poor): </w:t>
      </w:r>
      <w:r w:rsidRPr="00663BB7">
        <w:rPr>
          <w:rFonts w:ascii="Book Antiqua" w:hAnsi="Book Antiqua" w:cs="宋体"/>
          <w:kern w:val="0"/>
          <w:sz w:val="24"/>
        </w:rPr>
        <w:t>0</w:t>
      </w:r>
      <w:bookmarkEnd w:id="53"/>
      <w:bookmarkEnd w:id="54"/>
      <w:bookmarkEnd w:id="55"/>
      <w:bookmarkEnd w:id="56"/>
      <w:bookmarkEnd w:id="57"/>
      <w:bookmarkEnd w:id="58"/>
      <w:bookmarkEnd w:id="59"/>
      <w:bookmarkEnd w:id="60"/>
      <w:bookmarkEnd w:id="61"/>
      <w:r w:rsidR="00DB73B8" w:rsidRPr="00A94F32">
        <w:rPr>
          <w:rFonts w:ascii="Book Antiqua" w:hAnsi="Book Antiqua"/>
          <w:sz w:val="24"/>
        </w:rPr>
        <w:br w:type="page"/>
      </w:r>
    </w:p>
    <w:p w14:paraId="2F393D16" w14:textId="77777777" w:rsidR="00DB73B8" w:rsidRPr="00A94F32" w:rsidRDefault="000A5CFC" w:rsidP="00FD2E95">
      <w:pPr>
        <w:snapToGrid w:val="0"/>
        <w:spacing w:line="360" w:lineRule="auto"/>
        <w:rPr>
          <w:rFonts w:ascii="Book Antiqua" w:hAnsi="Book Antiqua" w:cs="Times New Roman"/>
          <w:b/>
          <w:bCs/>
          <w:sz w:val="24"/>
        </w:rPr>
      </w:pPr>
      <w:r>
        <w:rPr>
          <w:noProof/>
        </w:rPr>
        <w:lastRenderedPageBreak/>
        <w:drawing>
          <wp:inline distT="0" distB="0" distL="0" distR="0" wp14:anchorId="7C950770" wp14:editId="7C4B4D38">
            <wp:extent cx="2135361" cy="16015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36447" cy="1602335"/>
                    </a:xfrm>
                    <a:prstGeom prst="rect">
                      <a:avLst/>
                    </a:prstGeom>
                  </pic:spPr>
                </pic:pic>
              </a:graphicData>
            </a:graphic>
          </wp:inline>
        </w:drawing>
      </w:r>
      <w:r w:rsidR="00E532FB" w:rsidRPr="00E532FB">
        <w:rPr>
          <w:noProof/>
        </w:rPr>
        <w:t xml:space="preserve"> </w:t>
      </w:r>
      <w:r>
        <w:rPr>
          <w:noProof/>
        </w:rPr>
        <w:drawing>
          <wp:inline distT="0" distB="0" distL="0" distR="0" wp14:anchorId="6FDE4F28" wp14:editId="3E8FAE70">
            <wp:extent cx="2334472" cy="1617378"/>
            <wp:effectExtent l="0" t="0" r="889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35658" cy="1618199"/>
                    </a:xfrm>
                    <a:prstGeom prst="rect">
                      <a:avLst/>
                    </a:prstGeom>
                  </pic:spPr>
                </pic:pic>
              </a:graphicData>
            </a:graphic>
          </wp:inline>
        </w:drawing>
      </w:r>
    </w:p>
    <w:p w14:paraId="41E94B29" w14:textId="5E429DF2" w:rsidR="00DB73B8" w:rsidRPr="00856DB3" w:rsidRDefault="00DB73B8" w:rsidP="00FD2E95">
      <w:pPr>
        <w:snapToGrid w:val="0"/>
        <w:spacing w:line="360" w:lineRule="auto"/>
        <w:rPr>
          <w:rFonts w:ascii="Book Antiqua" w:hAnsi="Book Antiqua" w:cs="Times New Roman"/>
          <w:sz w:val="24"/>
        </w:rPr>
      </w:pPr>
      <w:r w:rsidRPr="00A94F32">
        <w:rPr>
          <w:rFonts w:ascii="Book Antiqua" w:hAnsi="Book Antiqua" w:cs="Times New Roman"/>
          <w:b/>
          <w:bCs/>
          <w:sz w:val="24"/>
        </w:rPr>
        <w:t xml:space="preserve">Figure </w:t>
      </w:r>
      <w:r w:rsidR="00856DB3">
        <w:rPr>
          <w:rFonts w:ascii="Book Antiqua" w:hAnsi="Book Antiqua" w:cs="Times New Roman"/>
          <w:b/>
          <w:bCs/>
          <w:sz w:val="24"/>
        </w:rPr>
        <w:t>1</w:t>
      </w:r>
      <w:r w:rsidRPr="00A94F32">
        <w:rPr>
          <w:rFonts w:ascii="Book Antiqua" w:hAnsi="Book Antiqua" w:cs="Times New Roman"/>
          <w:sz w:val="24"/>
        </w:rPr>
        <w:t xml:space="preserve"> </w:t>
      </w:r>
      <w:r w:rsidR="00215647">
        <w:rPr>
          <w:rFonts w:ascii="Book Antiqua" w:hAnsi="Book Antiqua" w:cs="Times New Roman"/>
          <w:b/>
          <w:sz w:val="24"/>
        </w:rPr>
        <w:t>S</w:t>
      </w:r>
      <w:r w:rsidRPr="00A94F32">
        <w:rPr>
          <w:rFonts w:ascii="Book Antiqua" w:hAnsi="Book Antiqua" w:cs="Times New Roman"/>
          <w:b/>
          <w:sz w:val="24"/>
        </w:rPr>
        <w:t xml:space="preserve">erum soluble mannose receptor levels </w:t>
      </w:r>
      <w:r w:rsidR="00215647">
        <w:rPr>
          <w:rFonts w:ascii="Book Antiqua" w:hAnsi="Book Antiqua" w:cs="Times New Roman"/>
          <w:b/>
          <w:sz w:val="24"/>
        </w:rPr>
        <w:t>in</w:t>
      </w:r>
      <w:r w:rsidRPr="00A94F32">
        <w:rPr>
          <w:rFonts w:ascii="Book Antiqua" w:hAnsi="Book Antiqua" w:cs="Times New Roman"/>
          <w:b/>
          <w:sz w:val="24"/>
        </w:rPr>
        <w:t xml:space="preserve"> </w:t>
      </w:r>
      <w:r w:rsidR="00215647">
        <w:rPr>
          <w:rFonts w:ascii="Book Antiqua" w:hAnsi="Book Antiqua" w:cs="Times New Roman"/>
          <w:b/>
          <w:sz w:val="24"/>
        </w:rPr>
        <w:t>different groups of subjects</w:t>
      </w:r>
      <w:r w:rsidR="00856DB3">
        <w:rPr>
          <w:rFonts w:ascii="Book Antiqua" w:hAnsi="Book Antiqua" w:cs="Times New Roman" w:hint="eastAsia"/>
          <w:b/>
          <w:sz w:val="24"/>
        </w:rPr>
        <w:t>.</w:t>
      </w:r>
      <w:r w:rsidRPr="00A94F32">
        <w:rPr>
          <w:rFonts w:ascii="Book Antiqua" w:hAnsi="Book Antiqua" w:cs="Times New Roman"/>
          <w:sz w:val="24"/>
        </w:rPr>
        <w:t xml:space="preserve"> A</w:t>
      </w:r>
      <w:r w:rsidR="00856DB3">
        <w:rPr>
          <w:rFonts w:ascii="Book Antiqua" w:hAnsi="Book Antiqua" w:cs="Times New Roman" w:hint="eastAsia"/>
          <w:sz w:val="24"/>
        </w:rPr>
        <w:t>:</w:t>
      </w:r>
      <w:r w:rsidRPr="00A94F32">
        <w:rPr>
          <w:rFonts w:ascii="Book Antiqua" w:hAnsi="Book Antiqua" w:cs="Times New Roman"/>
          <w:sz w:val="24"/>
        </w:rPr>
        <w:t xml:space="preserve"> Comparison of</w:t>
      </w:r>
      <w:r w:rsidR="00215647">
        <w:rPr>
          <w:rFonts w:ascii="Book Antiqua" w:hAnsi="Book Antiqua" w:cs="Times New Roman"/>
          <w:sz w:val="24"/>
        </w:rPr>
        <w:t xml:space="preserve"> </w:t>
      </w:r>
      <w:r w:rsidRPr="00A94F32">
        <w:rPr>
          <w:rFonts w:ascii="Book Antiqua" w:hAnsi="Book Antiqua" w:cs="Times New Roman"/>
          <w:sz w:val="24"/>
        </w:rPr>
        <w:t xml:space="preserve">serum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levels among</w:t>
      </w:r>
      <w:r w:rsidR="00215647">
        <w:rPr>
          <w:rFonts w:ascii="Book Antiqua" w:hAnsi="Book Antiqua" w:cs="Times New Roman"/>
          <w:sz w:val="24"/>
        </w:rPr>
        <w:t xml:space="preserve"> </w:t>
      </w:r>
      <w:r w:rsidRPr="00A94F32">
        <w:rPr>
          <w:rFonts w:ascii="Book Antiqua" w:hAnsi="Book Antiqua" w:cs="Times New Roman"/>
          <w:sz w:val="24"/>
        </w:rPr>
        <w:t>HBV-ACLF patients, CHB patients, and HCs</w:t>
      </w:r>
      <w:r w:rsidR="00856DB3">
        <w:rPr>
          <w:rFonts w:ascii="Book Antiqua" w:hAnsi="Book Antiqua" w:cs="Times New Roman" w:hint="eastAsia"/>
          <w:sz w:val="24"/>
        </w:rPr>
        <w:t>;</w:t>
      </w:r>
      <w:r w:rsidRPr="00A94F32">
        <w:rPr>
          <w:rFonts w:ascii="Book Antiqua" w:hAnsi="Book Antiqua" w:cs="Times New Roman"/>
          <w:sz w:val="24"/>
        </w:rPr>
        <w:t xml:space="preserve"> B</w:t>
      </w:r>
      <w:r w:rsidR="00856DB3">
        <w:rPr>
          <w:rFonts w:ascii="Book Antiqua" w:hAnsi="Book Antiqua" w:cs="Times New Roman" w:hint="eastAsia"/>
          <w:sz w:val="24"/>
        </w:rPr>
        <w:t>:</w:t>
      </w:r>
      <w:r w:rsidRPr="00A94F32">
        <w:rPr>
          <w:rFonts w:ascii="Book Antiqua" w:hAnsi="Book Antiqua" w:cs="Times New Roman"/>
          <w:sz w:val="24"/>
        </w:rPr>
        <w:t xml:space="preserve"> Comparison of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levels </w:t>
      </w:r>
      <w:r w:rsidR="00215647">
        <w:rPr>
          <w:rFonts w:ascii="Book Antiqua" w:hAnsi="Book Antiqua" w:cs="Times New Roman"/>
          <w:sz w:val="24"/>
        </w:rPr>
        <w:t>among</w:t>
      </w:r>
      <w:r w:rsidRPr="00A94F32">
        <w:rPr>
          <w:rFonts w:ascii="Book Antiqua" w:hAnsi="Book Antiqua" w:cs="Times New Roman"/>
          <w:sz w:val="24"/>
        </w:rPr>
        <w:t xml:space="preserve"> different stages of HBV-ACLF patients. </w:t>
      </w:r>
      <w:proofErr w:type="spellStart"/>
      <w:proofErr w:type="gramStart"/>
      <w:r w:rsidR="000A5CFC">
        <w:rPr>
          <w:rFonts w:ascii="Book Antiqua" w:hAnsi="Book Antiqua" w:cs="Times New Roman" w:hint="eastAsia"/>
          <w:sz w:val="24"/>
          <w:vertAlign w:val="superscript"/>
        </w:rPr>
        <w:t>c</w:t>
      </w:r>
      <w:r w:rsidRPr="00856DB3">
        <w:rPr>
          <w:rFonts w:ascii="Book Antiqua" w:hAnsi="Book Antiqua" w:cs="Times New Roman"/>
          <w:i/>
          <w:sz w:val="24"/>
        </w:rPr>
        <w:t>P</w:t>
      </w:r>
      <w:proofErr w:type="spellEnd"/>
      <w:proofErr w:type="gramEnd"/>
      <w:r w:rsidRPr="00A94F32">
        <w:rPr>
          <w:rFonts w:ascii="Book Antiqua" w:hAnsi="Book Antiqua" w:cs="Times New Roman"/>
          <w:sz w:val="24"/>
        </w:rPr>
        <w:t xml:space="preserve"> &lt; 0.01. </w:t>
      </w:r>
      <w:proofErr w:type="spellStart"/>
      <w:proofErr w:type="gramStart"/>
      <w:r w:rsidRPr="00A94F32">
        <w:rPr>
          <w:rFonts w:ascii="Book Antiqua" w:hAnsi="Book Antiqua" w:cs="Times New Roman"/>
          <w:sz w:val="24"/>
        </w:rPr>
        <w:t>sMR</w:t>
      </w:r>
      <w:proofErr w:type="spellEnd"/>
      <w:proofErr w:type="gramEnd"/>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S</w:t>
      </w:r>
      <w:r w:rsidRPr="00A94F32">
        <w:rPr>
          <w:rFonts w:ascii="Book Antiqua" w:hAnsi="Book Antiqua" w:cs="Times New Roman"/>
          <w:sz w:val="24"/>
        </w:rPr>
        <w:t>o</w:t>
      </w:r>
      <w:r w:rsidRPr="00A94F32">
        <w:rPr>
          <w:rFonts w:ascii="Book Antiqua" w:hAnsi="Book Antiqua" w:cs="Times New Roman"/>
          <w:sz w:val="24"/>
        </w:rPr>
        <w:t>luble mannose receptor; HCs</w:t>
      </w:r>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H</w:t>
      </w:r>
      <w:r w:rsidRPr="00A94F32">
        <w:rPr>
          <w:rFonts w:ascii="Book Antiqua" w:hAnsi="Book Antiqua" w:cs="Times New Roman"/>
          <w:sz w:val="24"/>
        </w:rPr>
        <w:t>ealthy controls; CHB</w:t>
      </w:r>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C</w:t>
      </w:r>
      <w:r w:rsidRPr="00A94F32">
        <w:rPr>
          <w:rFonts w:ascii="Book Antiqua" w:hAnsi="Book Antiqua" w:cs="Times New Roman"/>
          <w:sz w:val="24"/>
        </w:rPr>
        <w:t>hronic hepatitis B; HBV</w:t>
      </w:r>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H</w:t>
      </w:r>
      <w:r w:rsidRPr="00A94F32">
        <w:rPr>
          <w:rFonts w:ascii="Book Antiqua" w:hAnsi="Book Antiqua" w:cs="Times New Roman"/>
          <w:sz w:val="24"/>
        </w:rPr>
        <w:t>epatitis B virus; ACLF</w:t>
      </w:r>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A</w:t>
      </w:r>
      <w:r w:rsidRPr="00A94F32">
        <w:rPr>
          <w:rFonts w:ascii="Book Antiqua" w:hAnsi="Book Antiqua" w:cs="Times New Roman"/>
          <w:sz w:val="24"/>
        </w:rPr>
        <w:t>cute-on-chronic liver failure.</w:t>
      </w:r>
    </w:p>
    <w:p w14:paraId="2DF53964" w14:textId="77777777" w:rsidR="00DB73B8" w:rsidRPr="00A94F32" w:rsidRDefault="00DB73B8"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33A76E78" w14:textId="77777777" w:rsidR="00DB73B8" w:rsidRPr="00A94F32" w:rsidRDefault="000A5CFC" w:rsidP="00FD2E95">
      <w:pPr>
        <w:snapToGrid w:val="0"/>
        <w:spacing w:line="360" w:lineRule="auto"/>
        <w:rPr>
          <w:rFonts w:ascii="Book Antiqua" w:hAnsi="Book Antiqua"/>
          <w:sz w:val="24"/>
        </w:rPr>
      </w:pPr>
      <w:r>
        <w:rPr>
          <w:noProof/>
        </w:rPr>
        <w:lastRenderedPageBreak/>
        <w:drawing>
          <wp:inline distT="0" distB="0" distL="0" distR="0" wp14:anchorId="2923D0BC" wp14:editId="5E0B922A">
            <wp:extent cx="2738849" cy="1960939"/>
            <wp:effectExtent l="0" t="0" r="4445"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1041" cy="1962508"/>
                    </a:xfrm>
                    <a:prstGeom prst="rect">
                      <a:avLst/>
                    </a:prstGeom>
                  </pic:spPr>
                </pic:pic>
              </a:graphicData>
            </a:graphic>
          </wp:inline>
        </w:drawing>
      </w:r>
    </w:p>
    <w:p w14:paraId="3945D3D3" w14:textId="3497DC28" w:rsidR="00DB73B8" w:rsidRPr="00A94F32" w:rsidRDefault="00DB73B8" w:rsidP="00FD2E95">
      <w:pPr>
        <w:snapToGrid w:val="0"/>
        <w:spacing w:line="360" w:lineRule="auto"/>
        <w:rPr>
          <w:rFonts w:ascii="Book Antiqua" w:hAnsi="Book Antiqua" w:cs="Times New Roman"/>
          <w:sz w:val="24"/>
        </w:rPr>
      </w:pPr>
      <w:r w:rsidRPr="00A94F32">
        <w:rPr>
          <w:rFonts w:ascii="Book Antiqua" w:hAnsi="Book Antiqua" w:cs="Times New Roman"/>
          <w:b/>
          <w:bCs/>
          <w:sz w:val="24"/>
        </w:rPr>
        <w:t xml:space="preserve">Figure </w:t>
      </w:r>
      <w:r w:rsidR="00E532FB">
        <w:rPr>
          <w:rFonts w:ascii="Book Antiqua" w:hAnsi="Book Antiqua" w:cs="Times New Roman"/>
          <w:b/>
          <w:bCs/>
          <w:sz w:val="24"/>
        </w:rPr>
        <w:t>2</w:t>
      </w:r>
      <w:r w:rsidRPr="00A94F32">
        <w:rPr>
          <w:rFonts w:ascii="Book Antiqua" w:hAnsi="Book Antiqua" w:cs="Times New Roman"/>
          <w:b/>
          <w:bCs/>
          <w:sz w:val="24"/>
        </w:rPr>
        <w:t xml:space="preserve"> </w:t>
      </w:r>
      <w:r w:rsidRPr="00A94F32">
        <w:rPr>
          <w:rFonts w:ascii="Book Antiqua" w:hAnsi="Book Antiqua" w:cs="Times New Roman"/>
          <w:b/>
          <w:sz w:val="24"/>
        </w:rPr>
        <w:t>Compariso</w:t>
      </w:r>
      <w:r w:rsidRPr="00A94F32">
        <w:rPr>
          <w:rFonts w:ascii="Book Antiqua" w:hAnsi="Book Antiqua" w:cs="Times New Roman"/>
          <w:b/>
          <w:sz w:val="24"/>
        </w:rPr>
        <w:t>n of</w:t>
      </w:r>
      <w:r w:rsidR="00215647">
        <w:rPr>
          <w:rFonts w:ascii="Book Antiqua" w:hAnsi="Book Antiqua" w:cs="Times New Roman"/>
          <w:b/>
          <w:sz w:val="24"/>
        </w:rPr>
        <w:t xml:space="preserve"> </w:t>
      </w:r>
      <w:r w:rsidRPr="00A94F32">
        <w:rPr>
          <w:rFonts w:ascii="Book Antiqua" w:hAnsi="Book Antiqua" w:cs="Times New Roman"/>
          <w:b/>
          <w:sz w:val="24"/>
        </w:rPr>
        <w:t>soluble mannose receptor levels between</w:t>
      </w:r>
      <w:r w:rsidR="00215647">
        <w:rPr>
          <w:rFonts w:ascii="Book Antiqua" w:hAnsi="Book Antiqua" w:cs="Times New Roman"/>
          <w:b/>
          <w:sz w:val="24"/>
        </w:rPr>
        <w:t xml:space="preserve"> </w:t>
      </w:r>
      <w:r w:rsidRPr="00A94F32">
        <w:rPr>
          <w:rFonts w:ascii="Book Antiqua" w:hAnsi="Book Antiqua" w:cs="Times New Roman"/>
          <w:b/>
          <w:sz w:val="24"/>
        </w:rPr>
        <w:t>non-survivors and survivors.</w:t>
      </w:r>
      <w:r w:rsidR="00E532FB">
        <w:rPr>
          <w:rFonts w:ascii="Book Antiqua" w:hAnsi="Book Antiqua" w:cs="Times New Roman" w:hint="eastAsia"/>
          <w:sz w:val="24"/>
        </w:rPr>
        <w:t xml:space="preserve"> </w:t>
      </w:r>
      <w:r w:rsidR="00215647">
        <w:rPr>
          <w:rFonts w:ascii="Book Antiqua" w:hAnsi="Book Antiqua" w:cs="Times New Roman"/>
          <w:sz w:val="24"/>
        </w:rPr>
        <w:t>S</w:t>
      </w:r>
      <w:r w:rsidRPr="00A94F32">
        <w:rPr>
          <w:rFonts w:ascii="Book Antiqua" w:hAnsi="Book Antiqua" w:cs="Times New Roman"/>
          <w:sz w:val="24"/>
        </w:rPr>
        <w:t xml:space="preserve">erum </w:t>
      </w:r>
      <w:proofErr w:type="spellStart"/>
      <w:r w:rsidRPr="00A94F32">
        <w:rPr>
          <w:rFonts w:ascii="Book Antiqua" w:hAnsi="Book Antiqua" w:cs="Times New Roman"/>
          <w:sz w:val="24"/>
        </w:rPr>
        <w:t>sMR</w:t>
      </w:r>
      <w:proofErr w:type="spellEnd"/>
      <w:r w:rsidRPr="00A94F32">
        <w:rPr>
          <w:rFonts w:ascii="Book Antiqua" w:hAnsi="Book Antiqua" w:cs="Times New Roman"/>
          <w:sz w:val="24"/>
        </w:rPr>
        <w:t xml:space="preserve"> level in the non-survivor group was significantly higher </w:t>
      </w:r>
      <w:r w:rsidR="00215647">
        <w:rPr>
          <w:rFonts w:ascii="Book Antiqua" w:hAnsi="Book Antiqua" w:cs="Times New Roman"/>
          <w:sz w:val="24"/>
        </w:rPr>
        <w:t>than</w:t>
      </w:r>
      <w:r w:rsidRPr="00A94F32">
        <w:rPr>
          <w:rFonts w:ascii="Book Antiqua" w:hAnsi="Book Antiqua" w:cs="Times New Roman"/>
          <w:sz w:val="24"/>
        </w:rPr>
        <w:t xml:space="preserve"> that of t</w:t>
      </w:r>
      <w:r w:rsidRPr="00A94F32">
        <w:rPr>
          <w:rFonts w:ascii="Book Antiqua" w:hAnsi="Book Antiqua" w:cs="Times New Roman"/>
          <w:sz w:val="24"/>
        </w:rPr>
        <w:t>he survivor group.</w:t>
      </w:r>
      <w:r w:rsidRPr="00A94F32">
        <w:rPr>
          <w:rFonts w:ascii="Book Antiqua" w:hAnsi="Book Antiqua" w:cs="Times New Roman"/>
          <w:sz w:val="24"/>
          <w:vertAlign w:val="superscript"/>
        </w:rPr>
        <w:t xml:space="preserve"> </w:t>
      </w:r>
      <w:proofErr w:type="spellStart"/>
      <w:proofErr w:type="gramStart"/>
      <w:r w:rsidR="000A5CFC">
        <w:rPr>
          <w:rFonts w:ascii="Book Antiqua" w:hAnsi="Book Antiqua" w:cs="Times New Roman" w:hint="eastAsia"/>
          <w:sz w:val="24"/>
          <w:vertAlign w:val="superscript"/>
        </w:rPr>
        <w:t>d</w:t>
      </w:r>
      <w:r w:rsidRPr="00E175F4">
        <w:rPr>
          <w:rFonts w:ascii="Book Antiqua" w:hAnsi="Book Antiqua" w:cs="Times New Roman"/>
          <w:i/>
          <w:iCs/>
          <w:sz w:val="24"/>
        </w:rPr>
        <w:t>P</w:t>
      </w:r>
      <w:proofErr w:type="spellEnd"/>
      <w:proofErr w:type="gramEnd"/>
      <w:r w:rsidRPr="00A94F32">
        <w:rPr>
          <w:rFonts w:ascii="Book Antiqua" w:hAnsi="Book Antiqua" w:cs="Times New Roman"/>
          <w:sz w:val="24"/>
        </w:rPr>
        <w:t xml:space="preserve"> &lt; 0.05. </w:t>
      </w:r>
      <w:proofErr w:type="spellStart"/>
      <w:proofErr w:type="gramStart"/>
      <w:r w:rsidRPr="00A94F32">
        <w:rPr>
          <w:rFonts w:ascii="Book Antiqua" w:hAnsi="Book Antiqua" w:cs="Times New Roman"/>
          <w:sz w:val="24"/>
        </w:rPr>
        <w:t>sMR</w:t>
      </w:r>
      <w:proofErr w:type="spellEnd"/>
      <w:proofErr w:type="gramEnd"/>
      <w:r w:rsidR="00E532FB">
        <w:rPr>
          <w:rFonts w:ascii="Book Antiqua" w:hAnsi="Book Antiqua" w:cs="Times New Roman" w:hint="eastAsia"/>
          <w:sz w:val="24"/>
        </w:rPr>
        <w:t>:</w:t>
      </w:r>
      <w:r w:rsidRPr="00A94F32">
        <w:rPr>
          <w:rFonts w:ascii="Book Antiqua" w:hAnsi="Book Antiqua" w:cs="Times New Roman"/>
          <w:sz w:val="24"/>
        </w:rPr>
        <w:t xml:space="preserve"> </w:t>
      </w:r>
      <w:r w:rsidR="00E532FB" w:rsidRPr="00A94F32">
        <w:rPr>
          <w:rFonts w:ascii="Book Antiqua" w:hAnsi="Book Antiqua" w:cs="Times New Roman"/>
          <w:sz w:val="24"/>
        </w:rPr>
        <w:t>S</w:t>
      </w:r>
      <w:r w:rsidRPr="00A94F32">
        <w:rPr>
          <w:rFonts w:ascii="Book Antiqua" w:hAnsi="Book Antiqua" w:cs="Times New Roman"/>
          <w:sz w:val="24"/>
        </w:rPr>
        <w:t>oluble mannose receptor.</w:t>
      </w:r>
    </w:p>
    <w:p w14:paraId="46DC2483" w14:textId="77777777" w:rsidR="00DB73B8" w:rsidRPr="00A94F32" w:rsidRDefault="00DB73B8" w:rsidP="00FD2E95">
      <w:pPr>
        <w:widowControl/>
        <w:snapToGrid w:val="0"/>
        <w:spacing w:line="360" w:lineRule="auto"/>
        <w:jc w:val="left"/>
        <w:rPr>
          <w:rFonts w:ascii="Book Antiqua" w:hAnsi="Book Antiqua"/>
          <w:sz w:val="24"/>
        </w:rPr>
      </w:pPr>
    </w:p>
    <w:p w14:paraId="06718DC9" w14:textId="77777777" w:rsidR="00DB73B8" w:rsidRPr="00A94F32" w:rsidRDefault="00DB73B8"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4D59037A" w14:textId="77777777" w:rsidR="00DB73B8" w:rsidRPr="00A94F32" w:rsidRDefault="00DB73B8" w:rsidP="00FD2E95">
      <w:pPr>
        <w:snapToGrid w:val="0"/>
        <w:spacing w:line="360" w:lineRule="auto"/>
        <w:rPr>
          <w:rFonts w:ascii="Book Antiqua" w:hAnsi="Book Antiqua" w:cs="Times New Roman"/>
          <w:b/>
          <w:bCs/>
          <w:sz w:val="24"/>
        </w:rPr>
      </w:pPr>
      <w:r w:rsidRPr="00A94F32">
        <w:rPr>
          <w:rFonts w:ascii="Book Antiqua" w:hAnsi="Book Antiqua"/>
          <w:noProof/>
          <w:sz w:val="24"/>
        </w:rPr>
        <w:lastRenderedPageBreak/>
        <w:drawing>
          <wp:inline distT="0" distB="0" distL="114300" distR="114300" wp14:anchorId="7CF3353D" wp14:editId="194E5927">
            <wp:extent cx="2004060" cy="1613535"/>
            <wp:effectExtent l="0" t="0" r="15240" b="5715"/>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11"/>
                    <a:stretch>
                      <a:fillRect/>
                    </a:stretch>
                  </pic:blipFill>
                  <pic:spPr>
                    <a:xfrm>
                      <a:off x="0" y="0"/>
                      <a:ext cx="2004060" cy="1613535"/>
                    </a:xfrm>
                    <a:prstGeom prst="rect">
                      <a:avLst/>
                    </a:prstGeom>
                    <a:noFill/>
                    <a:ln>
                      <a:noFill/>
                    </a:ln>
                  </pic:spPr>
                </pic:pic>
              </a:graphicData>
            </a:graphic>
          </wp:inline>
        </w:drawing>
      </w:r>
      <w:r w:rsidRPr="00A94F32">
        <w:rPr>
          <w:rFonts w:ascii="Book Antiqua" w:hAnsi="Book Antiqua"/>
          <w:noProof/>
          <w:sz w:val="24"/>
        </w:rPr>
        <w:drawing>
          <wp:inline distT="0" distB="0" distL="114300" distR="114300" wp14:anchorId="6DBEE789" wp14:editId="4FC55FB7">
            <wp:extent cx="2019300" cy="1684020"/>
            <wp:effectExtent l="0" t="0" r="0" b="11430"/>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pic:cNvPicPr>
                      <a:picLocks noChangeAspect="1"/>
                    </pic:cNvPicPr>
                  </pic:nvPicPr>
                  <pic:blipFill>
                    <a:blip r:embed="rId12"/>
                    <a:stretch>
                      <a:fillRect/>
                    </a:stretch>
                  </pic:blipFill>
                  <pic:spPr>
                    <a:xfrm>
                      <a:off x="0" y="0"/>
                      <a:ext cx="2019300" cy="1684020"/>
                    </a:xfrm>
                    <a:prstGeom prst="rect">
                      <a:avLst/>
                    </a:prstGeom>
                    <a:noFill/>
                    <a:ln>
                      <a:noFill/>
                    </a:ln>
                  </pic:spPr>
                </pic:pic>
              </a:graphicData>
            </a:graphic>
          </wp:inline>
        </w:drawing>
      </w:r>
    </w:p>
    <w:p w14:paraId="458E144A" w14:textId="77777777" w:rsidR="00DB73B8" w:rsidRPr="00A94F32" w:rsidRDefault="00DB73B8" w:rsidP="00FD2E95">
      <w:pPr>
        <w:snapToGrid w:val="0"/>
        <w:spacing w:line="360" w:lineRule="auto"/>
        <w:rPr>
          <w:rFonts w:ascii="Book Antiqua" w:hAnsi="Book Antiqua" w:cs="Times New Roman"/>
          <w:b/>
          <w:bCs/>
          <w:sz w:val="24"/>
        </w:rPr>
      </w:pPr>
      <w:r w:rsidRPr="00A94F32">
        <w:rPr>
          <w:rFonts w:ascii="Book Antiqua" w:hAnsi="Book Antiqua"/>
          <w:noProof/>
          <w:sz w:val="24"/>
        </w:rPr>
        <w:drawing>
          <wp:inline distT="0" distB="0" distL="114300" distR="114300" wp14:anchorId="61F5CD84" wp14:editId="3D125939">
            <wp:extent cx="2120435" cy="1598213"/>
            <wp:effectExtent l="0" t="0" r="0" b="2540"/>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pic:cNvPicPr>
                  </pic:nvPicPr>
                  <pic:blipFill>
                    <a:blip r:embed="rId13"/>
                    <a:stretch>
                      <a:fillRect/>
                    </a:stretch>
                  </pic:blipFill>
                  <pic:spPr>
                    <a:xfrm>
                      <a:off x="0" y="0"/>
                      <a:ext cx="2125026" cy="1601673"/>
                    </a:xfrm>
                    <a:prstGeom prst="rect">
                      <a:avLst/>
                    </a:prstGeom>
                    <a:noFill/>
                    <a:ln>
                      <a:noFill/>
                    </a:ln>
                  </pic:spPr>
                </pic:pic>
              </a:graphicData>
            </a:graphic>
          </wp:inline>
        </w:drawing>
      </w:r>
    </w:p>
    <w:p w14:paraId="76AD2788" w14:textId="16380554" w:rsidR="00DB73B8" w:rsidRPr="00A94F32" w:rsidRDefault="00DB73B8" w:rsidP="00FD2E95">
      <w:pPr>
        <w:snapToGrid w:val="0"/>
        <w:spacing w:line="360" w:lineRule="auto"/>
        <w:rPr>
          <w:rFonts w:ascii="Book Antiqua" w:hAnsi="Book Antiqua" w:cs="Times New Roman"/>
          <w:sz w:val="24"/>
        </w:rPr>
      </w:pPr>
      <w:r w:rsidRPr="00A94F32">
        <w:rPr>
          <w:rFonts w:ascii="Book Antiqua" w:hAnsi="Book Antiqua" w:cs="Times New Roman"/>
          <w:b/>
          <w:bCs/>
          <w:sz w:val="24"/>
        </w:rPr>
        <w:t>Fig</w:t>
      </w:r>
      <w:r w:rsidR="0012289A">
        <w:rPr>
          <w:rFonts w:ascii="Book Antiqua" w:hAnsi="Book Antiqua" w:cs="Times New Roman"/>
          <w:b/>
          <w:bCs/>
          <w:sz w:val="24"/>
        </w:rPr>
        <w:t>ure 3</w:t>
      </w:r>
      <w:r w:rsidRPr="00A94F32">
        <w:rPr>
          <w:rFonts w:ascii="Book Antiqua" w:hAnsi="Book Antiqua" w:cs="Times New Roman"/>
          <w:b/>
          <w:bCs/>
          <w:sz w:val="24"/>
        </w:rPr>
        <w:t xml:space="preserve"> </w:t>
      </w:r>
      <w:r w:rsidRPr="00A94F32">
        <w:rPr>
          <w:rFonts w:ascii="Book Antiqua" w:hAnsi="Book Antiqua" w:cs="Times New Roman"/>
          <w:b/>
          <w:sz w:val="24"/>
        </w:rPr>
        <w:t>Correlations bet</w:t>
      </w:r>
      <w:r w:rsidRPr="00A94F32">
        <w:rPr>
          <w:rFonts w:ascii="Book Antiqua" w:hAnsi="Book Antiqua" w:cs="Times New Roman"/>
          <w:b/>
          <w:sz w:val="24"/>
        </w:rPr>
        <w:t>ween</w:t>
      </w:r>
      <w:r w:rsidR="00215647">
        <w:rPr>
          <w:rFonts w:ascii="Book Antiqua" w:hAnsi="Book Antiqua" w:cs="Times New Roman"/>
          <w:b/>
          <w:sz w:val="24"/>
        </w:rPr>
        <w:t xml:space="preserve"> </w:t>
      </w:r>
      <w:r w:rsidRPr="00A94F32">
        <w:rPr>
          <w:rFonts w:ascii="Book Antiqua" w:hAnsi="Book Antiqua" w:cs="Times New Roman"/>
          <w:b/>
          <w:sz w:val="24"/>
        </w:rPr>
        <w:t>serum soluble mannose receptor level and liver injury parameters.</w:t>
      </w:r>
      <w:r w:rsidRPr="00A94F32">
        <w:rPr>
          <w:rFonts w:ascii="Book Antiqua" w:hAnsi="Book Antiqua" w:cs="Times New Roman"/>
          <w:sz w:val="24"/>
        </w:rPr>
        <w:t xml:space="preserve"> </w:t>
      </w:r>
      <w:proofErr w:type="spellStart"/>
      <w:proofErr w:type="gramStart"/>
      <w:r w:rsidRPr="0012289A">
        <w:rPr>
          <w:rFonts w:ascii="Book Antiqua" w:hAnsi="Book Antiqua" w:cs="Times New Roman"/>
          <w:bCs/>
          <w:i/>
          <w:iCs/>
          <w:sz w:val="24"/>
          <w:u w:color="FF0000"/>
        </w:rPr>
        <w:t>r</w:t>
      </w:r>
      <w:r w:rsidRPr="00A94F32">
        <w:rPr>
          <w:rFonts w:ascii="Book Antiqua" w:hAnsi="Book Antiqua" w:cs="Times New Roman"/>
          <w:bCs/>
          <w:iCs/>
          <w:sz w:val="24"/>
          <w:u w:color="FF0000"/>
          <w:vertAlign w:val="subscript"/>
        </w:rPr>
        <w:t>s</w:t>
      </w:r>
      <w:proofErr w:type="spellEnd"/>
      <w:proofErr w:type="gramEnd"/>
      <w:r w:rsidR="0012289A">
        <w:rPr>
          <w:rFonts w:ascii="Book Antiqua" w:hAnsi="Book Antiqua" w:cs="Times New Roman" w:hint="eastAsia"/>
          <w:bCs/>
          <w:iCs/>
          <w:sz w:val="24"/>
          <w:u w:color="FF0000"/>
        </w:rPr>
        <w:t>:</w:t>
      </w:r>
      <w:r w:rsidRPr="00A94F32">
        <w:rPr>
          <w:rFonts w:ascii="Book Antiqua" w:hAnsi="Book Antiqua" w:cs="Times New Roman"/>
          <w:bCs/>
          <w:iCs/>
          <w:sz w:val="24"/>
          <w:u w:color="FF0000"/>
          <w:vertAlign w:val="subscript"/>
        </w:rPr>
        <w:t xml:space="preserve"> </w:t>
      </w:r>
      <w:r w:rsidRPr="00A94F32">
        <w:rPr>
          <w:rFonts w:ascii="Book Antiqua" w:hAnsi="Book Antiqua" w:cs="Times New Roman"/>
          <w:bCs/>
          <w:iCs/>
          <w:sz w:val="24"/>
          <w:u w:color="FF0000"/>
        </w:rPr>
        <w:t>Spearman cor</w:t>
      </w:r>
      <w:r w:rsidRPr="00A94F32">
        <w:rPr>
          <w:rFonts w:ascii="Book Antiqua" w:hAnsi="Book Antiqua" w:cs="Times New Roman"/>
          <w:bCs/>
          <w:iCs/>
          <w:sz w:val="24"/>
          <w:u w:color="FF0000"/>
        </w:rPr>
        <w:t>relation coefficient;</w:t>
      </w:r>
      <w:r w:rsidRPr="00A94F32">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0012289A">
        <w:rPr>
          <w:rFonts w:ascii="Book Antiqua" w:hAnsi="Book Antiqua" w:cs="Times New Roman" w:hint="eastAsia"/>
          <w:sz w:val="24"/>
        </w:rPr>
        <w:t>:</w:t>
      </w:r>
      <w:r w:rsidRPr="00A94F32">
        <w:rPr>
          <w:rFonts w:ascii="Book Antiqua" w:hAnsi="Book Antiqua" w:cs="Times New Roman"/>
          <w:sz w:val="24"/>
        </w:rPr>
        <w:t xml:space="preserve"> </w:t>
      </w:r>
      <w:r w:rsidR="0012289A" w:rsidRPr="00A94F32">
        <w:rPr>
          <w:rFonts w:ascii="Book Antiqua" w:hAnsi="Book Antiqua" w:cs="Times New Roman"/>
          <w:sz w:val="24"/>
        </w:rPr>
        <w:t>S</w:t>
      </w:r>
      <w:r w:rsidRPr="00A94F32">
        <w:rPr>
          <w:rFonts w:ascii="Book Antiqua" w:hAnsi="Book Antiqua" w:cs="Times New Roman"/>
          <w:sz w:val="24"/>
        </w:rPr>
        <w:t>oluble mannose receptor; HBV</w:t>
      </w:r>
      <w:r w:rsidR="0012289A">
        <w:rPr>
          <w:rFonts w:ascii="Book Antiqua" w:hAnsi="Book Antiqua" w:cs="Times New Roman" w:hint="eastAsia"/>
          <w:sz w:val="24"/>
        </w:rPr>
        <w:t>:</w:t>
      </w:r>
      <w:r w:rsidRPr="00A94F32">
        <w:rPr>
          <w:rFonts w:ascii="Book Antiqua" w:hAnsi="Book Antiqua" w:cs="Times New Roman"/>
          <w:sz w:val="24"/>
        </w:rPr>
        <w:t xml:space="preserve"> </w:t>
      </w:r>
      <w:r w:rsidR="0012289A" w:rsidRPr="00A94F32">
        <w:rPr>
          <w:rFonts w:ascii="Book Antiqua" w:hAnsi="Book Antiqua" w:cs="Times New Roman"/>
          <w:sz w:val="24"/>
        </w:rPr>
        <w:t>H</w:t>
      </w:r>
      <w:r w:rsidRPr="00A94F32">
        <w:rPr>
          <w:rFonts w:ascii="Book Antiqua" w:hAnsi="Book Antiqua" w:cs="Times New Roman"/>
          <w:sz w:val="24"/>
        </w:rPr>
        <w:t>epatitis B virus; ACLF</w:t>
      </w:r>
      <w:r w:rsidR="0012289A">
        <w:rPr>
          <w:rFonts w:ascii="Book Antiqua" w:hAnsi="Book Antiqua" w:cs="Times New Roman" w:hint="eastAsia"/>
          <w:sz w:val="24"/>
        </w:rPr>
        <w:t>:</w:t>
      </w:r>
      <w:r w:rsidRPr="00A94F32">
        <w:rPr>
          <w:rFonts w:ascii="Book Antiqua" w:hAnsi="Book Antiqua" w:cs="Times New Roman"/>
          <w:sz w:val="24"/>
        </w:rPr>
        <w:t xml:space="preserve"> </w:t>
      </w:r>
      <w:r w:rsidR="0012289A" w:rsidRPr="00A94F32">
        <w:rPr>
          <w:rFonts w:ascii="Book Antiqua" w:hAnsi="Book Antiqua" w:cs="Times New Roman"/>
          <w:sz w:val="24"/>
        </w:rPr>
        <w:t>A</w:t>
      </w:r>
      <w:r w:rsidRPr="00A94F32">
        <w:rPr>
          <w:rFonts w:ascii="Book Antiqua" w:hAnsi="Book Antiqua" w:cs="Times New Roman"/>
          <w:sz w:val="24"/>
        </w:rPr>
        <w:t xml:space="preserve">cute-on-chronic liver failure; </w:t>
      </w:r>
      <w:r w:rsidRPr="00A94F32">
        <w:rPr>
          <w:rFonts w:ascii="Book Antiqua" w:hAnsi="Book Antiqua" w:cs="Times New Roman"/>
          <w:bCs/>
          <w:sz w:val="24"/>
        </w:rPr>
        <w:t>MELD</w:t>
      </w:r>
      <w:r w:rsidR="0012289A">
        <w:rPr>
          <w:rFonts w:ascii="Book Antiqua" w:hAnsi="Book Antiqua" w:cs="Times New Roman" w:hint="eastAsia"/>
          <w:bCs/>
          <w:sz w:val="24"/>
        </w:rPr>
        <w:t>:</w:t>
      </w:r>
      <w:r w:rsidRPr="00A94F32">
        <w:rPr>
          <w:rFonts w:ascii="Book Antiqua" w:hAnsi="Book Antiqua" w:cs="Times New Roman"/>
          <w:bCs/>
          <w:sz w:val="24"/>
        </w:rPr>
        <w:t xml:space="preserve"> </w:t>
      </w:r>
      <w:r w:rsidR="0012289A" w:rsidRPr="00A94F32">
        <w:rPr>
          <w:rFonts w:ascii="Book Antiqua" w:hAnsi="Book Antiqua" w:cs="Times New Roman"/>
          <w:bCs/>
          <w:sz w:val="24"/>
        </w:rPr>
        <w:t>M</w:t>
      </w:r>
      <w:r w:rsidRPr="00A94F32">
        <w:rPr>
          <w:rFonts w:ascii="Book Antiqua" w:hAnsi="Book Antiqua" w:cs="Times New Roman"/>
          <w:bCs/>
          <w:sz w:val="24"/>
        </w:rPr>
        <w:t>odel for end-stage liver disease; TBIL</w:t>
      </w:r>
      <w:r w:rsidR="0012289A">
        <w:rPr>
          <w:rFonts w:ascii="Book Antiqua" w:hAnsi="Book Antiqua" w:cs="Times New Roman" w:hint="eastAsia"/>
          <w:bCs/>
          <w:sz w:val="24"/>
        </w:rPr>
        <w:t>:</w:t>
      </w:r>
      <w:r w:rsidRPr="00A94F32">
        <w:rPr>
          <w:rFonts w:ascii="Book Antiqua" w:hAnsi="Book Antiqua" w:cs="Times New Roman"/>
          <w:bCs/>
          <w:sz w:val="24"/>
        </w:rPr>
        <w:t xml:space="preserve"> </w:t>
      </w:r>
      <w:r w:rsidR="0012289A" w:rsidRPr="00A94F32">
        <w:rPr>
          <w:rFonts w:ascii="Book Antiqua" w:hAnsi="Book Antiqua" w:cs="Times New Roman"/>
          <w:bCs/>
          <w:sz w:val="24"/>
        </w:rPr>
        <w:t>T</w:t>
      </w:r>
      <w:r w:rsidRPr="00A94F32">
        <w:rPr>
          <w:rFonts w:ascii="Book Antiqua" w:hAnsi="Book Antiqua" w:cs="Times New Roman"/>
          <w:bCs/>
          <w:sz w:val="24"/>
        </w:rPr>
        <w:t>otal bilirubin.</w:t>
      </w:r>
    </w:p>
    <w:p w14:paraId="6BD285A3" w14:textId="77777777" w:rsidR="00DB73B8" w:rsidRPr="00A94F32" w:rsidRDefault="00DB73B8" w:rsidP="00FD2E95">
      <w:pPr>
        <w:snapToGrid w:val="0"/>
        <w:spacing w:line="360" w:lineRule="auto"/>
        <w:ind w:firstLineChars="150" w:firstLine="360"/>
        <w:rPr>
          <w:rFonts w:ascii="Book Antiqua" w:hAnsi="Book Antiqua" w:cs="Times New Roman"/>
          <w:sz w:val="24"/>
        </w:rPr>
      </w:pPr>
      <w:r w:rsidRPr="00A94F32">
        <w:rPr>
          <w:rFonts w:ascii="Book Antiqua" w:hAnsi="Book Antiqua"/>
          <w:sz w:val="24"/>
        </w:rPr>
        <w:br w:type="page"/>
      </w:r>
      <w:r w:rsidR="00B90FA0">
        <w:rPr>
          <w:noProof/>
        </w:rPr>
        <w:lastRenderedPageBreak/>
        <w:drawing>
          <wp:inline distT="0" distB="0" distL="0" distR="0" wp14:anchorId="23065223" wp14:editId="4489C58F">
            <wp:extent cx="3120457" cy="2098363"/>
            <wp:effectExtent l="0" t="0" r="381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20567" cy="2098437"/>
                    </a:xfrm>
                    <a:prstGeom prst="rect">
                      <a:avLst/>
                    </a:prstGeom>
                  </pic:spPr>
                </pic:pic>
              </a:graphicData>
            </a:graphic>
          </wp:inline>
        </w:drawing>
      </w:r>
    </w:p>
    <w:p w14:paraId="065DBA86" w14:textId="765563C6" w:rsidR="00DB73B8" w:rsidRPr="00B90FA0" w:rsidRDefault="00B90FA0" w:rsidP="00FD2E95">
      <w:pPr>
        <w:snapToGrid w:val="0"/>
        <w:spacing w:line="360" w:lineRule="auto"/>
        <w:rPr>
          <w:rFonts w:ascii="Book Antiqua" w:hAnsi="Book Antiqua" w:cs="Times New Roman"/>
          <w:sz w:val="24"/>
        </w:rPr>
      </w:pPr>
      <w:r>
        <w:rPr>
          <w:rFonts w:ascii="Book Antiqua" w:hAnsi="Book Antiqua" w:cs="Times New Roman"/>
          <w:b/>
          <w:bCs/>
          <w:sz w:val="24"/>
        </w:rPr>
        <w:t>Figure 4</w:t>
      </w:r>
      <w:r w:rsidR="00DB73B8" w:rsidRPr="00A94F32">
        <w:rPr>
          <w:rFonts w:ascii="Book Antiqua" w:hAnsi="Book Antiqua" w:cs="Times New Roman"/>
          <w:sz w:val="24"/>
        </w:rPr>
        <w:t xml:space="preserve"> </w:t>
      </w:r>
      <w:r w:rsidR="00DB73B8" w:rsidRPr="00A94F32">
        <w:rPr>
          <w:rFonts w:ascii="Book Antiqua" w:hAnsi="Book Antiqua" w:cs="Times New Roman"/>
          <w:b/>
          <w:sz w:val="24"/>
        </w:rPr>
        <w:t>Kaplan-Meier survival cu</w:t>
      </w:r>
      <w:r w:rsidR="00DB73B8" w:rsidRPr="00A94F32">
        <w:rPr>
          <w:rFonts w:ascii="Book Antiqua" w:hAnsi="Book Antiqua" w:cs="Times New Roman"/>
          <w:b/>
          <w:sz w:val="24"/>
        </w:rPr>
        <w:t>rves of</w:t>
      </w:r>
      <w:r w:rsidR="00215647">
        <w:rPr>
          <w:rFonts w:ascii="Book Antiqua" w:hAnsi="Book Antiqua" w:cs="Times New Roman"/>
          <w:b/>
          <w:sz w:val="24"/>
        </w:rPr>
        <w:t xml:space="preserve"> </w:t>
      </w:r>
      <w:r w:rsidR="00DB73B8" w:rsidRPr="00A94F32">
        <w:rPr>
          <w:rFonts w:ascii="Book Antiqua" w:hAnsi="Book Antiqua" w:cs="Times New Roman"/>
          <w:b/>
          <w:sz w:val="24"/>
        </w:rPr>
        <w:t>soluble mannose receptor levels for predicting</w:t>
      </w:r>
      <w:r w:rsidR="00215647">
        <w:rPr>
          <w:rFonts w:ascii="Book Antiqua" w:hAnsi="Book Antiqua" w:cs="Times New Roman"/>
          <w:b/>
          <w:sz w:val="24"/>
        </w:rPr>
        <w:t xml:space="preserve"> </w:t>
      </w:r>
      <w:r w:rsidR="00DB73B8" w:rsidRPr="00A94F32">
        <w:rPr>
          <w:rFonts w:ascii="Book Antiqua" w:hAnsi="Book Antiqua" w:cs="Times New Roman"/>
          <w:b/>
          <w:sz w:val="24"/>
        </w:rPr>
        <w:t>90-day mortality.</w:t>
      </w:r>
      <w:r>
        <w:rPr>
          <w:rFonts w:ascii="Book Antiqua" w:hAnsi="Book Antiqua" w:cs="Times New Roman" w:hint="eastAsia"/>
          <w:sz w:val="24"/>
        </w:rPr>
        <w:t xml:space="preserve"> </w:t>
      </w:r>
      <w:proofErr w:type="spellStart"/>
      <w:proofErr w:type="gramStart"/>
      <w:r w:rsidR="00DB73B8" w:rsidRPr="00A94F32">
        <w:rPr>
          <w:rFonts w:ascii="Book Antiqua" w:hAnsi="Book Antiqua" w:cs="Times New Roman"/>
          <w:bCs/>
          <w:sz w:val="24"/>
        </w:rPr>
        <w:t>sMR</w:t>
      </w:r>
      <w:proofErr w:type="spellEnd"/>
      <w:proofErr w:type="gramEnd"/>
      <w:r w:rsidR="00215647">
        <w:rPr>
          <w:rFonts w:ascii="Book Antiqua" w:hAnsi="Book Antiqua" w:cs="Times New Roman"/>
          <w:bCs/>
          <w:sz w:val="24"/>
        </w:rPr>
        <w:t>:</w:t>
      </w:r>
      <w:r w:rsidR="00215647" w:rsidRPr="00A94F32">
        <w:rPr>
          <w:rFonts w:ascii="Book Antiqua" w:hAnsi="Book Antiqua" w:cs="Times New Roman"/>
          <w:bCs/>
          <w:sz w:val="24"/>
        </w:rPr>
        <w:t xml:space="preserve"> </w:t>
      </w:r>
      <w:r w:rsidR="00215647">
        <w:rPr>
          <w:rFonts w:ascii="Book Antiqua" w:hAnsi="Book Antiqua" w:cs="Times New Roman"/>
          <w:bCs/>
          <w:sz w:val="24"/>
        </w:rPr>
        <w:t>S</w:t>
      </w:r>
      <w:r w:rsidR="00215647" w:rsidRPr="00A94F32">
        <w:rPr>
          <w:rFonts w:ascii="Book Antiqua" w:hAnsi="Book Antiqua" w:cs="Times New Roman"/>
          <w:bCs/>
          <w:sz w:val="24"/>
        </w:rPr>
        <w:t xml:space="preserve">oluble </w:t>
      </w:r>
      <w:r w:rsidR="00DB73B8" w:rsidRPr="00A94F32">
        <w:rPr>
          <w:rFonts w:ascii="Book Antiqua" w:hAnsi="Book Antiqua" w:cs="Times New Roman"/>
          <w:bCs/>
          <w:sz w:val="24"/>
        </w:rPr>
        <w:t>mannose</w:t>
      </w:r>
      <w:r w:rsidR="00DB73B8" w:rsidRPr="00A94F32">
        <w:rPr>
          <w:rFonts w:ascii="Book Antiqua" w:hAnsi="Book Antiqua" w:cs="Times New Roman"/>
          <w:bCs/>
          <w:sz w:val="24"/>
        </w:rPr>
        <w:t xml:space="preserve"> receptor.</w:t>
      </w:r>
    </w:p>
    <w:p w14:paraId="54C96758" w14:textId="77777777" w:rsidR="00DB73B8" w:rsidRPr="00B90FA0" w:rsidRDefault="00DB73B8" w:rsidP="00FD2E95">
      <w:pPr>
        <w:widowControl/>
        <w:snapToGrid w:val="0"/>
        <w:spacing w:line="360" w:lineRule="auto"/>
        <w:jc w:val="left"/>
        <w:rPr>
          <w:rFonts w:ascii="Book Antiqua" w:hAnsi="Book Antiqua" w:cs="Times New Roman"/>
          <w:bCs/>
          <w:sz w:val="24"/>
        </w:rPr>
      </w:pPr>
      <w:r w:rsidRPr="00A94F32">
        <w:rPr>
          <w:rFonts w:ascii="Book Antiqua" w:hAnsi="Book Antiqua" w:cs="Times New Roman"/>
          <w:bCs/>
          <w:sz w:val="24"/>
        </w:rPr>
        <w:br w:type="page"/>
      </w:r>
    </w:p>
    <w:p w14:paraId="4D8E6B71" w14:textId="77777777" w:rsidR="00DB73B8" w:rsidRPr="00A94F32" w:rsidRDefault="00B90FA0" w:rsidP="00FD2E95">
      <w:pPr>
        <w:snapToGrid w:val="0"/>
        <w:spacing w:line="360" w:lineRule="auto"/>
        <w:rPr>
          <w:rFonts w:ascii="Book Antiqua" w:hAnsi="Book Antiqua" w:cs="Times New Roman"/>
          <w:sz w:val="24"/>
        </w:rPr>
      </w:pPr>
      <w:r>
        <w:rPr>
          <w:noProof/>
        </w:rPr>
        <w:lastRenderedPageBreak/>
        <w:drawing>
          <wp:inline distT="0" distB="0" distL="0" distR="0" wp14:anchorId="746CC54E" wp14:editId="0BDA30AF">
            <wp:extent cx="2811912" cy="2426901"/>
            <wp:effectExtent l="0" t="0" r="762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12707" cy="2427587"/>
                    </a:xfrm>
                    <a:prstGeom prst="rect">
                      <a:avLst/>
                    </a:prstGeom>
                  </pic:spPr>
                </pic:pic>
              </a:graphicData>
            </a:graphic>
          </wp:inline>
        </w:drawing>
      </w:r>
    </w:p>
    <w:p w14:paraId="6BBCAB09" w14:textId="44E1A3E2" w:rsidR="00DB73B8" w:rsidRPr="00B90FA0" w:rsidRDefault="00B90FA0" w:rsidP="00FD2E95">
      <w:pPr>
        <w:tabs>
          <w:tab w:val="left" w:pos="945"/>
        </w:tabs>
        <w:snapToGrid w:val="0"/>
        <w:spacing w:line="360" w:lineRule="auto"/>
        <w:rPr>
          <w:rFonts w:ascii="Book Antiqua" w:hAnsi="Book Antiqua" w:cs="Times New Roman"/>
          <w:sz w:val="24"/>
        </w:rPr>
      </w:pPr>
      <w:r>
        <w:rPr>
          <w:rFonts w:ascii="Book Antiqua" w:hAnsi="Book Antiqua" w:cs="Times New Roman"/>
          <w:b/>
          <w:bCs/>
          <w:sz w:val="24"/>
        </w:rPr>
        <w:t>Figure 5</w:t>
      </w:r>
      <w:r w:rsidR="00DB73B8" w:rsidRPr="00A94F32">
        <w:rPr>
          <w:rFonts w:ascii="Book Antiqua" w:hAnsi="Book Antiqua" w:cs="Times New Roman"/>
          <w:b/>
          <w:bCs/>
          <w:sz w:val="24"/>
        </w:rPr>
        <w:t xml:space="preserve"> </w:t>
      </w:r>
      <w:r w:rsidR="00DB73B8" w:rsidRPr="00A94F32">
        <w:rPr>
          <w:rFonts w:ascii="Book Antiqua" w:hAnsi="Book Antiqua" w:cs="Times New Roman"/>
          <w:b/>
          <w:sz w:val="24"/>
        </w:rPr>
        <w:t>Ar</w:t>
      </w:r>
      <w:r w:rsidR="00DB73B8" w:rsidRPr="00A94F32">
        <w:rPr>
          <w:rFonts w:ascii="Book Antiqua" w:hAnsi="Book Antiqua" w:cs="Times New Roman"/>
          <w:b/>
          <w:sz w:val="24"/>
        </w:rPr>
        <w:t>ea</w:t>
      </w:r>
      <w:r w:rsidR="00215647">
        <w:rPr>
          <w:rFonts w:ascii="Book Antiqua" w:hAnsi="Book Antiqua" w:cs="Times New Roman"/>
          <w:b/>
          <w:sz w:val="24"/>
        </w:rPr>
        <w:t>s</w:t>
      </w:r>
      <w:r w:rsidR="00DB73B8" w:rsidRPr="00A94F32">
        <w:rPr>
          <w:rFonts w:ascii="Book Antiqua" w:hAnsi="Book Antiqua" w:cs="Times New Roman"/>
          <w:b/>
          <w:sz w:val="24"/>
        </w:rPr>
        <w:t xml:space="preserve"> under the receiver operating characteristics curve</w:t>
      </w:r>
      <w:r w:rsidR="00215647">
        <w:rPr>
          <w:rFonts w:ascii="Book Antiqua" w:hAnsi="Book Antiqua" w:cs="Times New Roman"/>
          <w:b/>
          <w:sz w:val="24"/>
        </w:rPr>
        <w:t>s</w:t>
      </w:r>
      <w:r w:rsidR="00DB73B8" w:rsidRPr="00A94F32">
        <w:rPr>
          <w:rFonts w:ascii="Book Antiqua" w:hAnsi="Book Antiqua" w:cs="Times New Roman"/>
          <w:b/>
          <w:sz w:val="24"/>
        </w:rPr>
        <w:t xml:space="preserve"> of</w:t>
      </w:r>
      <w:r w:rsidR="00215647">
        <w:rPr>
          <w:rFonts w:ascii="Book Antiqua" w:hAnsi="Book Antiqua" w:cs="Times New Roman"/>
          <w:b/>
          <w:sz w:val="24"/>
        </w:rPr>
        <w:t xml:space="preserve"> </w:t>
      </w:r>
      <w:r w:rsidR="00DB73B8" w:rsidRPr="00A94F32">
        <w:rPr>
          <w:rStyle w:val="ac"/>
          <w:rFonts w:ascii="Book Antiqua" w:hAnsi="Book Antiqua" w:cs="Times New Roman"/>
          <w:b/>
          <w:bCs/>
          <w:sz w:val="24"/>
          <w:szCs w:val="24"/>
        </w:rPr>
        <w:t>model for end-stage liver disease</w:t>
      </w:r>
      <w:r w:rsidR="00DB73B8" w:rsidRPr="00A94F32">
        <w:rPr>
          <w:rFonts w:ascii="Book Antiqua" w:hAnsi="Book Antiqua" w:cs="Times New Roman"/>
          <w:b/>
          <w:sz w:val="24"/>
        </w:rPr>
        <w:t xml:space="preserve"> </w:t>
      </w:r>
      <w:r w:rsidR="00215647">
        <w:rPr>
          <w:rFonts w:ascii="Book Antiqua" w:hAnsi="Book Antiqua" w:cs="Times New Roman"/>
          <w:b/>
          <w:sz w:val="24"/>
        </w:rPr>
        <w:t xml:space="preserve">score alone </w:t>
      </w:r>
      <w:r w:rsidR="00DB73B8" w:rsidRPr="00A94F32">
        <w:rPr>
          <w:rFonts w:ascii="Book Antiqua" w:hAnsi="Book Antiqua" w:cs="Times New Roman"/>
          <w:b/>
          <w:sz w:val="24"/>
        </w:rPr>
        <w:t xml:space="preserve">and </w:t>
      </w:r>
      <w:r w:rsidR="00DB73B8" w:rsidRPr="00A94F32">
        <w:rPr>
          <w:rStyle w:val="ac"/>
          <w:rFonts w:ascii="Book Antiqua" w:hAnsi="Book Antiqua" w:cs="Times New Roman"/>
          <w:b/>
          <w:bCs/>
          <w:sz w:val="24"/>
          <w:szCs w:val="24"/>
        </w:rPr>
        <w:t>model for end-stage liver disease</w:t>
      </w:r>
      <w:r w:rsidR="00DB73B8" w:rsidRPr="00A94F32">
        <w:rPr>
          <w:rFonts w:ascii="Book Antiqua" w:hAnsi="Book Antiqua" w:cs="Times New Roman"/>
          <w:b/>
          <w:sz w:val="24"/>
        </w:rPr>
        <w:t xml:space="preserve"> </w:t>
      </w:r>
      <w:r w:rsidR="00215647">
        <w:rPr>
          <w:rFonts w:ascii="Book Antiqua" w:hAnsi="Book Antiqua" w:cs="Times New Roman"/>
          <w:b/>
          <w:sz w:val="24"/>
        </w:rPr>
        <w:t xml:space="preserve">score </w:t>
      </w:r>
      <w:r w:rsidR="00DB73B8" w:rsidRPr="00A94F32">
        <w:rPr>
          <w:rFonts w:ascii="Book Antiqua" w:hAnsi="Book Antiqua" w:cs="Times New Roman"/>
          <w:b/>
          <w:sz w:val="24"/>
        </w:rPr>
        <w:t xml:space="preserve">plus </w:t>
      </w:r>
      <w:r w:rsidR="00215647">
        <w:rPr>
          <w:rFonts w:ascii="Book Antiqua" w:hAnsi="Book Antiqua" w:cs="Times New Roman"/>
          <w:b/>
          <w:sz w:val="24"/>
        </w:rPr>
        <w:t xml:space="preserve">serum </w:t>
      </w:r>
      <w:r w:rsidR="00DB73B8" w:rsidRPr="00A94F32">
        <w:rPr>
          <w:rFonts w:ascii="Book Antiqua" w:hAnsi="Book Antiqua" w:cs="Times New Roman"/>
          <w:b/>
          <w:sz w:val="24"/>
        </w:rPr>
        <w:t>soluble mannose rece</w:t>
      </w:r>
      <w:r w:rsidR="00DB73B8" w:rsidRPr="00A94F32">
        <w:rPr>
          <w:rFonts w:ascii="Book Antiqua" w:hAnsi="Book Antiqua" w:cs="Times New Roman"/>
          <w:b/>
          <w:sz w:val="24"/>
        </w:rPr>
        <w:t>ptor.</w:t>
      </w:r>
      <w:r>
        <w:rPr>
          <w:rFonts w:ascii="Book Antiqua" w:hAnsi="Book Antiqua" w:cs="Times New Roman" w:hint="eastAsia"/>
          <w:sz w:val="24"/>
        </w:rPr>
        <w:t xml:space="preserve"> </w:t>
      </w:r>
      <w:r w:rsidR="00DB73B8" w:rsidRPr="00A94F32">
        <w:rPr>
          <w:rFonts w:ascii="Book Antiqua" w:hAnsi="Book Antiqua" w:cs="Times New Roman"/>
          <w:bCs/>
          <w:sz w:val="24"/>
        </w:rPr>
        <w:t>AUROC</w:t>
      </w:r>
      <w:r>
        <w:rPr>
          <w:rFonts w:ascii="Book Antiqua" w:hAnsi="Book Antiqua" w:cs="Times New Roman" w:hint="eastAsia"/>
          <w:bCs/>
          <w:sz w:val="24"/>
        </w:rPr>
        <w:t>:</w:t>
      </w:r>
      <w:r w:rsidR="00DB73B8" w:rsidRPr="00A94F32">
        <w:rPr>
          <w:rFonts w:ascii="Book Antiqua" w:hAnsi="Book Antiqua" w:cs="Times New Roman"/>
          <w:bCs/>
          <w:sz w:val="24"/>
        </w:rPr>
        <w:t xml:space="preserve"> </w:t>
      </w:r>
      <w:r w:rsidRPr="00A94F32">
        <w:rPr>
          <w:rFonts w:ascii="Book Antiqua" w:hAnsi="Book Antiqua" w:cs="Times New Roman"/>
          <w:bCs/>
          <w:sz w:val="24"/>
        </w:rPr>
        <w:t>A</w:t>
      </w:r>
      <w:r w:rsidR="00DB73B8" w:rsidRPr="00A94F32">
        <w:rPr>
          <w:rFonts w:ascii="Book Antiqua" w:hAnsi="Book Antiqua" w:cs="Times New Roman"/>
          <w:bCs/>
          <w:sz w:val="24"/>
        </w:rPr>
        <w:t>rea under the receiver operating characteristics curve; CI</w:t>
      </w:r>
      <w:r>
        <w:rPr>
          <w:rFonts w:ascii="Book Antiqua" w:hAnsi="Book Antiqua" w:cs="Times New Roman" w:hint="eastAsia"/>
          <w:bCs/>
          <w:sz w:val="24"/>
        </w:rPr>
        <w:t>:</w:t>
      </w:r>
      <w:r w:rsidR="00DB73B8" w:rsidRPr="00A94F32">
        <w:rPr>
          <w:rFonts w:ascii="Book Antiqua" w:hAnsi="Book Antiqua" w:cs="Times New Roman"/>
          <w:bCs/>
          <w:sz w:val="24"/>
        </w:rPr>
        <w:t xml:space="preserve"> </w:t>
      </w:r>
      <w:r w:rsidRPr="00A94F32">
        <w:rPr>
          <w:rFonts w:ascii="Book Antiqua" w:hAnsi="Book Antiqua" w:cs="Times New Roman"/>
          <w:bCs/>
          <w:sz w:val="24"/>
        </w:rPr>
        <w:t>C</w:t>
      </w:r>
      <w:r w:rsidR="00DB73B8" w:rsidRPr="00A94F32">
        <w:rPr>
          <w:rFonts w:ascii="Book Antiqua" w:hAnsi="Book Antiqua" w:cs="Times New Roman"/>
          <w:bCs/>
          <w:sz w:val="24"/>
        </w:rPr>
        <w:t>onfidence interval; MELD</w:t>
      </w:r>
      <w:r>
        <w:rPr>
          <w:rFonts w:ascii="Book Antiqua" w:hAnsi="Book Antiqua" w:cs="Times New Roman" w:hint="eastAsia"/>
          <w:bCs/>
          <w:sz w:val="24"/>
        </w:rPr>
        <w:t>:</w:t>
      </w:r>
      <w:r w:rsidR="00DB73B8" w:rsidRPr="00A94F32">
        <w:rPr>
          <w:rFonts w:ascii="Book Antiqua" w:hAnsi="Book Antiqua" w:cs="Times New Roman"/>
          <w:bCs/>
          <w:sz w:val="24"/>
        </w:rPr>
        <w:t xml:space="preserve"> </w:t>
      </w:r>
      <w:r w:rsidRPr="00A94F32">
        <w:rPr>
          <w:rFonts w:ascii="Book Antiqua" w:hAnsi="Book Antiqua" w:cs="Times New Roman"/>
          <w:bCs/>
          <w:sz w:val="24"/>
        </w:rPr>
        <w:t>M</w:t>
      </w:r>
      <w:r w:rsidR="00DB73B8" w:rsidRPr="00A94F32">
        <w:rPr>
          <w:rFonts w:ascii="Book Antiqua" w:hAnsi="Book Antiqua" w:cs="Times New Roman"/>
          <w:bCs/>
          <w:sz w:val="24"/>
        </w:rPr>
        <w:t xml:space="preserve">odel for end-stage liver disease; </w:t>
      </w:r>
      <w:proofErr w:type="spellStart"/>
      <w:r w:rsidR="00DB73B8" w:rsidRPr="00A94F32">
        <w:rPr>
          <w:rFonts w:ascii="Book Antiqua" w:hAnsi="Book Antiqua" w:cs="Times New Roman"/>
          <w:bCs/>
          <w:sz w:val="24"/>
        </w:rPr>
        <w:t>sMR</w:t>
      </w:r>
      <w:proofErr w:type="spellEnd"/>
      <w:r>
        <w:rPr>
          <w:rFonts w:ascii="Book Antiqua" w:hAnsi="Book Antiqua" w:cs="Times New Roman" w:hint="eastAsia"/>
          <w:bCs/>
          <w:sz w:val="24"/>
        </w:rPr>
        <w:t>:</w:t>
      </w:r>
      <w:r w:rsidR="00DB73B8" w:rsidRPr="00A94F32">
        <w:rPr>
          <w:rFonts w:ascii="Book Antiqua" w:hAnsi="Book Antiqua" w:cs="Times New Roman"/>
          <w:bCs/>
          <w:sz w:val="24"/>
        </w:rPr>
        <w:t xml:space="preserve"> </w:t>
      </w:r>
      <w:r w:rsidRPr="00A94F32">
        <w:rPr>
          <w:rFonts w:ascii="Book Antiqua" w:hAnsi="Book Antiqua" w:cs="Times New Roman"/>
          <w:bCs/>
          <w:sz w:val="24"/>
        </w:rPr>
        <w:t>S</w:t>
      </w:r>
      <w:r w:rsidR="00DB73B8" w:rsidRPr="00A94F32">
        <w:rPr>
          <w:rFonts w:ascii="Book Antiqua" w:hAnsi="Book Antiqua" w:cs="Times New Roman"/>
          <w:bCs/>
          <w:sz w:val="24"/>
        </w:rPr>
        <w:t>oluble mannose receptor.</w:t>
      </w:r>
    </w:p>
    <w:p w14:paraId="3FFA6212" w14:textId="77777777" w:rsidR="00DB73B8" w:rsidRPr="00A94F32" w:rsidRDefault="00DB73B8"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0391124D" w14:textId="77777777" w:rsidR="00DB73B8" w:rsidRPr="00A94F32" w:rsidRDefault="00B90FA0" w:rsidP="00FD2E95">
      <w:pPr>
        <w:snapToGrid w:val="0"/>
        <w:spacing w:line="360" w:lineRule="auto"/>
        <w:rPr>
          <w:rFonts w:ascii="Book Antiqua" w:hAnsi="Book Antiqua" w:cs="Times New Roman"/>
          <w:b/>
          <w:bCs/>
          <w:sz w:val="24"/>
        </w:rPr>
      </w:pPr>
      <w:r>
        <w:rPr>
          <w:rFonts w:ascii="Book Antiqua" w:hAnsi="Book Antiqua" w:cs="Times New Roman"/>
          <w:b/>
          <w:bCs/>
          <w:sz w:val="24"/>
        </w:rPr>
        <w:lastRenderedPageBreak/>
        <w:t>Table 1</w:t>
      </w:r>
      <w:r w:rsidR="00DB73B8" w:rsidRPr="00A94F32">
        <w:rPr>
          <w:rFonts w:ascii="Book Antiqua" w:hAnsi="Book Antiqua" w:cs="Times New Roman"/>
          <w:b/>
          <w:bCs/>
          <w:sz w:val="24"/>
        </w:rPr>
        <w:t xml:space="preserve"> </w:t>
      </w:r>
      <w:r w:rsidR="00DB73B8" w:rsidRPr="00A94F32">
        <w:rPr>
          <w:rFonts w:ascii="Book Antiqua" w:hAnsi="Book Antiqua" w:cs="Times New Roman"/>
          <w:b/>
          <w:sz w:val="24"/>
        </w:rPr>
        <w:t>Demographic and clinical characteristics of the study subjects</w:t>
      </w:r>
    </w:p>
    <w:tbl>
      <w:tblPr>
        <w:tblStyle w:val="21"/>
        <w:tblW w:w="9782" w:type="dxa"/>
        <w:tblInd w:w="-737" w:type="dxa"/>
        <w:tblBorders>
          <w:top w:val="none" w:sz="0" w:space="0" w:color="auto"/>
          <w:bottom w:val="none" w:sz="0" w:space="0" w:color="auto"/>
        </w:tblBorders>
        <w:tblLayout w:type="fixed"/>
        <w:tblLook w:val="04A0" w:firstRow="1" w:lastRow="0" w:firstColumn="1" w:lastColumn="0" w:noHBand="0" w:noVBand="1"/>
      </w:tblPr>
      <w:tblGrid>
        <w:gridCol w:w="3403"/>
        <w:gridCol w:w="2693"/>
        <w:gridCol w:w="2127"/>
        <w:gridCol w:w="1559"/>
      </w:tblGrid>
      <w:tr w:rsidR="00B90FA0" w:rsidRPr="00A94F32" w14:paraId="1D1217C6" w14:textId="77777777" w:rsidTr="00B84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bottom w:val="single" w:sz="4" w:space="0" w:color="auto"/>
            </w:tcBorders>
          </w:tcPr>
          <w:p w14:paraId="6F77CB91" w14:textId="1F58DFCF" w:rsidR="00DB73B8" w:rsidRPr="00A94F32" w:rsidRDefault="00DB73B8" w:rsidP="00FD2E95">
            <w:pPr>
              <w:snapToGrid w:val="0"/>
              <w:spacing w:line="360" w:lineRule="auto"/>
              <w:rPr>
                <w:rFonts w:ascii="Book Antiqua" w:hAnsi="Book Antiqua"/>
                <w:b w:val="0"/>
                <w:sz w:val="24"/>
              </w:rPr>
            </w:pPr>
            <w:r w:rsidRPr="00A94F32">
              <w:rPr>
                <w:rFonts w:ascii="Book Antiqua" w:hAnsi="Book Antiqua" w:cs="Times New Roman"/>
                <w:bCs w:val="0"/>
                <w:sz w:val="24"/>
              </w:rPr>
              <w:t>Varia</w:t>
            </w:r>
            <w:r w:rsidRPr="00A94F32">
              <w:rPr>
                <w:rFonts w:ascii="Book Antiqua" w:hAnsi="Book Antiqua" w:cs="Times New Roman"/>
                <w:bCs w:val="0"/>
                <w:sz w:val="24"/>
              </w:rPr>
              <w:t>ble</w:t>
            </w:r>
          </w:p>
        </w:tc>
        <w:tc>
          <w:tcPr>
            <w:tcW w:w="2693" w:type="dxa"/>
            <w:tcBorders>
              <w:top w:val="single" w:sz="4" w:space="0" w:color="auto"/>
              <w:bottom w:val="single" w:sz="4" w:space="0" w:color="auto"/>
            </w:tcBorders>
          </w:tcPr>
          <w:p w14:paraId="61C97156" w14:textId="77777777" w:rsidR="00DB73B8" w:rsidRPr="00A94F32"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rPr>
            </w:pPr>
            <w:r w:rsidRPr="00A94F32">
              <w:rPr>
                <w:rFonts w:ascii="Book Antiqua" w:hAnsi="Book Antiqua" w:cs="Times New Roman"/>
                <w:bCs w:val="0"/>
                <w:sz w:val="24"/>
              </w:rPr>
              <w:t>HBV-ACLF (</w:t>
            </w:r>
            <w:r w:rsidRPr="00B90FA0">
              <w:rPr>
                <w:rFonts w:ascii="Book Antiqua" w:hAnsi="Book Antiqua" w:cs="Times New Roman"/>
                <w:bCs w:val="0"/>
                <w:i/>
                <w:sz w:val="24"/>
              </w:rPr>
              <w:t>n</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43)</w:t>
            </w:r>
          </w:p>
        </w:tc>
        <w:tc>
          <w:tcPr>
            <w:tcW w:w="2127" w:type="dxa"/>
            <w:tcBorders>
              <w:top w:val="single" w:sz="4" w:space="0" w:color="auto"/>
              <w:bottom w:val="single" w:sz="4" w:space="0" w:color="auto"/>
            </w:tcBorders>
          </w:tcPr>
          <w:p w14:paraId="080DCD3B" w14:textId="77777777" w:rsidR="00DB73B8" w:rsidRPr="00A94F32"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rPr>
            </w:pPr>
            <w:r w:rsidRPr="00A94F32">
              <w:rPr>
                <w:rFonts w:ascii="Book Antiqua" w:hAnsi="Book Antiqua" w:cs="Times New Roman"/>
                <w:bCs w:val="0"/>
                <w:sz w:val="24"/>
              </w:rPr>
              <w:t>CHB (</w:t>
            </w:r>
            <w:r w:rsidRPr="00B90FA0">
              <w:rPr>
                <w:rFonts w:ascii="Book Antiqua" w:hAnsi="Book Antiqua" w:cs="Times New Roman"/>
                <w:bCs w:val="0"/>
                <w:i/>
                <w:sz w:val="24"/>
              </w:rPr>
              <w:t>n</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43)</w:t>
            </w:r>
          </w:p>
        </w:tc>
        <w:tc>
          <w:tcPr>
            <w:tcW w:w="1559" w:type="dxa"/>
            <w:tcBorders>
              <w:top w:val="single" w:sz="4" w:space="0" w:color="auto"/>
              <w:bottom w:val="single" w:sz="4" w:space="0" w:color="auto"/>
            </w:tcBorders>
          </w:tcPr>
          <w:p w14:paraId="148713DF" w14:textId="77777777" w:rsidR="00DB73B8" w:rsidRPr="00A94F32"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rPr>
            </w:pPr>
            <w:r w:rsidRPr="00A94F32">
              <w:rPr>
                <w:rFonts w:ascii="Book Antiqua" w:hAnsi="Book Antiqua" w:cs="Times New Roman"/>
                <w:bCs w:val="0"/>
                <w:sz w:val="24"/>
              </w:rPr>
              <w:t>HCs (</w:t>
            </w:r>
            <w:r w:rsidRPr="00B90FA0">
              <w:rPr>
                <w:rFonts w:ascii="Book Antiqua" w:hAnsi="Book Antiqua" w:cs="Times New Roman"/>
                <w:bCs w:val="0"/>
                <w:i/>
                <w:sz w:val="24"/>
              </w:rPr>
              <w:t>n</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20)</w:t>
            </w:r>
          </w:p>
        </w:tc>
      </w:tr>
      <w:tr w:rsidR="00B90FA0" w:rsidRPr="00A94F32" w14:paraId="7C809AE6" w14:textId="77777777" w:rsidTr="00B84C05">
        <w:trPr>
          <w:trHeight w:val="388"/>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tcBorders>
          </w:tcPr>
          <w:p w14:paraId="5A26BE86" w14:textId="77777777" w:rsidR="00DB73B8" w:rsidRPr="00A94F32" w:rsidRDefault="00DB73B8" w:rsidP="00FD2E95">
            <w:pPr>
              <w:snapToGrid w:val="0"/>
              <w:spacing w:line="360" w:lineRule="auto"/>
              <w:rPr>
                <w:rFonts w:ascii="Book Antiqua" w:hAnsi="Book Antiqua"/>
                <w:b w:val="0"/>
                <w:sz w:val="24"/>
              </w:rPr>
            </w:pPr>
            <w:r w:rsidRPr="00A94F32">
              <w:rPr>
                <w:rFonts w:ascii="Book Antiqua" w:hAnsi="Book Antiqua" w:cs="Times New Roman"/>
                <w:b w:val="0"/>
                <w:bCs w:val="0"/>
                <w:sz w:val="24"/>
              </w:rPr>
              <w:t>Age (</w:t>
            </w:r>
            <w:proofErr w:type="spellStart"/>
            <w:r w:rsidRPr="00A94F32">
              <w:rPr>
                <w:rFonts w:ascii="Book Antiqua" w:hAnsi="Book Antiqua" w:cs="Times New Roman"/>
                <w:b w:val="0"/>
                <w:bCs w:val="0"/>
                <w:sz w:val="24"/>
              </w:rPr>
              <w:t>yr</w:t>
            </w:r>
            <w:proofErr w:type="spellEnd"/>
            <w:r w:rsidRPr="00A94F32">
              <w:rPr>
                <w:rFonts w:ascii="Book Antiqua" w:hAnsi="Book Antiqua" w:cs="Times New Roman"/>
                <w:b w:val="0"/>
                <w:bCs w:val="0"/>
                <w:sz w:val="24"/>
              </w:rPr>
              <w:t>)</w:t>
            </w:r>
          </w:p>
        </w:tc>
        <w:tc>
          <w:tcPr>
            <w:tcW w:w="2693" w:type="dxa"/>
            <w:tcBorders>
              <w:top w:val="single" w:sz="4" w:space="0" w:color="auto"/>
            </w:tcBorders>
          </w:tcPr>
          <w:p w14:paraId="1B681258"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42.65 ± 13.93</w:t>
            </w:r>
          </w:p>
        </w:tc>
        <w:tc>
          <w:tcPr>
            <w:tcW w:w="2127" w:type="dxa"/>
            <w:tcBorders>
              <w:top w:val="single" w:sz="4" w:space="0" w:color="auto"/>
            </w:tcBorders>
          </w:tcPr>
          <w:p w14:paraId="02947085"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40.24 ± 14.41</w:t>
            </w:r>
          </w:p>
        </w:tc>
        <w:tc>
          <w:tcPr>
            <w:tcW w:w="1559" w:type="dxa"/>
            <w:tcBorders>
              <w:top w:val="single" w:sz="4" w:space="0" w:color="auto"/>
            </w:tcBorders>
          </w:tcPr>
          <w:p w14:paraId="13AD5AC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41.00 ± 11.20</w:t>
            </w:r>
          </w:p>
        </w:tc>
      </w:tr>
      <w:tr w:rsidR="00B90FA0" w:rsidRPr="00A94F32" w14:paraId="3F8EB7ED"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6CC35E24" w14:textId="77777777" w:rsidR="00DB73B8" w:rsidRPr="00A94F32" w:rsidRDefault="00DB73B8" w:rsidP="00FD2E95">
            <w:pPr>
              <w:snapToGrid w:val="0"/>
              <w:spacing w:line="360" w:lineRule="auto"/>
              <w:rPr>
                <w:rFonts w:ascii="Book Antiqua" w:hAnsi="Book Antiqua"/>
                <w:b w:val="0"/>
                <w:sz w:val="24"/>
              </w:rPr>
            </w:pPr>
            <w:r w:rsidRPr="00A94F32">
              <w:rPr>
                <w:rFonts w:ascii="Book Antiqua" w:hAnsi="Book Antiqua" w:cs="Times New Roman"/>
                <w:b w:val="0"/>
                <w:bCs w:val="0"/>
                <w:sz w:val="24"/>
              </w:rPr>
              <w:t>Male (%)</w:t>
            </w:r>
          </w:p>
        </w:tc>
        <w:tc>
          <w:tcPr>
            <w:tcW w:w="2693" w:type="dxa"/>
          </w:tcPr>
          <w:p w14:paraId="1DFF7D32"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36 (83.7%)</w:t>
            </w:r>
          </w:p>
        </w:tc>
        <w:tc>
          <w:tcPr>
            <w:tcW w:w="2127" w:type="dxa"/>
          </w:tcPr>
          <w:p w14:paraId="6D72B337"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35 (81.4%)</w:t>
            </w:r>
          </w:p>
        </w:tc>
        <w:tc>
          <w:tcPr>
            <w:tcW w:w="1559" w:type="dxa"/>
          </w:tcPr>
          <w:p w14:paraId="64522CD4"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16 (80%)</w:t>
            </w:r>
          </w:p>
        </w:tc>
      </w:tr>
      <w:tr w:rsidR="00B90FA0" w:rsidRPr="00A94F32" w14:paraId="04F18D74"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6132E30D"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ALB (g/L)</w:t>
            </w:r>
          </w:p>
        </w:tc>
        <w:tc>
          <w:tcPr>
            <w:tcW w:w="2693" w:type="dxa"/>
          </w:tcPr>
          <w:p w14:paraId="783D4F66"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29.90 ± 4.45</w:t>
            </w:r>
            <w:r w:rsidRPr="00A94F32">
              <w:rPr>
                <w:rFonts w:ascii="Book Antiqua" w:hAnsi="Book Antiqua" w:cs="Times New Roman"/>
                <w:sz w:val="24"/>
                <w:vertAlign w:val="superscript"/>
              </w:rPr>
              <w:t>a,b</w:t>
            </w:r>
          </w:p>
        </w:tc>
        <w:tc>
          <w:tcPr>
            <w:tcW w:w="2127" w:type="dxa"/>
          </w:tcPr>
          <w:p w14:paraId="631BE88D"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36.62 ± 4.60</w:t>
            </w:r>
          </w:p>
        </w:tc>
        <w:tc>
          <w:tcPr>
            <w:tcW w:w="1559" w:type="dxa"/>
          </w:tcPr>
          <w:p w14:paraId="40B543A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45.07 ± 2.31</w:t>
            </w:r>
          </w:p>
        </w:tc>
      </w:tr>
      <w:tr w:rsidR="00B90FA0" w:rsidRPr="00A94F32" w14:paraId="33F9960C"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41CC5390"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TBIL (</w:t>
            </w:r>
            <w:proofErr w:type="spellStart"/>
            <w:r w:rsidRPr="00A94F32">
              <w:rPr>
                <w:rFonts w:ascii="Book Antiqua" w:hAnsi="Book Antiqua" w:cs="Times New Roman"/>
                <w:b w:val="0"/>
                <w:bCs w:val="0"/>
                <w:sz w:val="24"/>
              </w:rPr>
              <w:t>μmol</w:t>
            </w:r>
            <w:proofErr w:type="spellEnd"/>
            <w:r w:rsidRPr="00A94F32">
              <w:rPr>
                <w:rFonts w:ascii="Book Antiqua" w:hAnsi="Book Antiqua" w:cs="Times New Roman"/>
                <w:b w:val="0"/>
                <w:bCs w:val="0"/>
                <w:sz w:val="24"/>
              </w:rPr>
              <w:t>/L)</w:t>
            </w:r>
          </w:p>
        </w:tc>
        <w:tc>
          <w:tcPr>
            <w:tcW w:w="2693" w:type="dxa"/>
          </w:tcPr>
          <w:p w14:paraId="56AE8C8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351.92 ± 190.27</w:t>
            </w:r>
            <w:r w:rsidRPr="00A94F32">
              <w:rPr>
                <w:rFonts w:ascii="Book Antiqua" w:hAnsi="Book Antiqua" w:cs="Times New Roman"/>
                <w:sz w:val="24"/>
                <w:vertAlign w:val="superscript"/>
              </w:rPr>
              <w:t>a,b</w:t>
            </w:r>
          </w:p>
        </w:tc>
        <w:tc>
          <w:tcPr>
            <w:tcW w:w="2127" w:type="dxa"/>
          </w:tcPr>
          <w:p w14:paraId="015239B7"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69.41 ± 95.43</w:t>
            </w:r>
          </w:p>
        </w:tc>
        <w:tc>
          <w:tcPr>
            <w:tcW w:w="1559" w:type="dxa"/>
          </w:tcPr>
          <w:p w14:paraId="4A7CE211"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8.00 ± 3.49</w:t>
            </w:r>
          </w:p>
        </w:tc>
      </w:tr>
      <w:tr w:rsidR="00B90FA0" w:rsidRPr="00A94F32" w14:paraId="57A3F6A8"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08FE1092"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Cr (</w:t>
            </w:r>
            <w:proofErr w:type="spellStart"/>
            <w:r w:rsidRPr="00A94F32">
              <w:rPr>
                <w:rFonts w:ascii="Book Antiqua" w:hAnsi="Book Antiqua" w:cs="Times New Roman"/>
                <w:b w:val="0"/>
                <w:bCs w:val="0"/>
                <w:sz w:val="24"/>
              </w:rPr>
              <w:t>μmol</w:t>
            </w:r>
            <w:proofErr w:type="spellEnd"/>
            <w:r w:rsidRPr="00A94F32">
              <w:rPr>
                <w:rFonts w:ascii="Book Antiqua" w:hAnsi="Book Antiqua" w:cs="Times New Roman"/>
                <w:b w:val="0"/>
                <w:bCs w:val="0"/>
                <w:sz w:val="24"/>
              </w:rPr>
              <w:t>/L)</w:t>
            </w:r>
          </w:p>
        </w:tc>
        <w:tc>
          <w:tcPr>
            <w:tcW w:w="2693" w:type="dxa"/>
          </w:tcPr>
          <w:p w14:paraId="15CE6C16"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95.56 ± 55.81</w:t>
            </w:r>
            <w:r w:rsidRPr="00A94F32">
              <w:rPr>
                <w:rFonts w:ascii="Book Antiqua" w:hAnsi="Book Antiqua" w:cs="Times New Roman"/>
                <w:sz w:val="24"/>
                <w:vertAlign w:val="superscript"/>
              </w:rPr>
              <w:t>a,b</w:t>
            </w:r>
          </w:p>
        </w:tc>
        <w:tc>
          <w:tcPr>
            <w:tcW w:w="2127" w:type="dxa"/>
          </w:tcPr>
          <w:p w14:paraId="2B154091"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63.82 ± 11.97</w:t>
            </w:r>
          </w:p>
        </w:tc>
        <w:tc>
          <w:tcPr>
            <w:tcW w:w="1559" w:type="dxa"/>
          </w:tcPr>
          <w:p w14:paraId="695AB378"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65.00 ± 11.61</w:t>
            </w:r>
          </w:p>
        </w:tc>
      </w:tr>
      <w:tr w:rsidR="00B90FA0" w:rsidRPr="00A94F32" w14:paraId="54320518"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483A72BB"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INR</w:t>
            </w:r>
          </w:p>
        </w:tc>
        <w:tc>
          <w:tcPr>
            <w:tcW w:w="2693" w:type="dxa"/>
          </w:tcPr>
          <w:p w14:paraId="055058C3"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2.01 (1.13)</w:t>
            </w:r>
            <w:proofErr w:type="spellStart"/>
            <w:r w:rsidRPr="00A94F32">
              <w:rPr>
                <w:rFonts w:ascii="Book Antiqua" w:hAnsi="Book Antiqua" w:cs="Times New Roman"/>
                <w:sz w:val="24"/>
                <w:vertAlign w:val="superscript"/>
              </w:rPr>
              <w:t>a,b</w:t>
            </w:r>
            <w:proofErr w:type="spellEnd"/>
          </w:p>
        </w:tc>
        <w:tc>
          <w:tcPr>
            <w:tcW w:w="2127" w:type="dxa"/>
          </w:tcPr>
          <w:p w14:paraId="7669E8BC"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1.13 (0.26)</w:t>
            </w:r>
          </w:p>
        </w:tc>
        <w:tc>
          <w:tcPr>
            <w:tcW w:w="1559" w:type="dxa"/>
          </w:tcPr>
          <w:p w14:paraId="58126177"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0.95 (0.10)</w:t>
            </w:r>
          </w:p>
        </w:tc>
      </w:tr>
      <w:tr w:rsidR="00B90FA0" w:rsidRPr="00A94F32" w14:paraId="06EE6999"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279C587D" w14:textId="53983A3D" w:rsidR="00DB73B8" w:rsidRPr="00A94F32" w:rsidRDefault="00DB73B8" w:rsidP="00FD2E95">
            <w:pPr>
              <w:snapToGrid w:val="0"/>
              <w:spacing w:line="360" w:lineRule="auto"/>
              <w:rPr>
                <w:rFonts w:ascii="Book Antiqua" w:hAnsi="Book Antiqua" w:cs="Times New Roman"/>
                <w:b w:val="0"/>
                <w:sz w:val="24"/>
              </w:rPr>
            </w:pPr>
            <w:proofErr w:type="spellStart"/>
            <w:r w:rsidRPr="00A94F32">
              <w:rPr>
                <w:rFonts w:ascii="Book Antiqua" w:hAnsi="Book Antiqua" w:cs="Times New Roman"/>
                <w:b w:val="0"/>
                <w:bCs w:val="0"/>
                <w:sz w:val="24"/>
              </w:rPr>
              <w:t>HBeAg</w:t>
            </w:r>
            <w:proofErr w:type="spellEnd"/>
            <w:r w:rsidR="00B84C05">
              <w:rPr>
                <w:rFonts w:ascii="Book Antiqua" w:hAnsi="Book Antiqua" w:cs="Times New Roman"/>
                <w:b w:val="0"/>
                <w:bCs w:val="0"/>
                <w:sz w:val="24"/>
              </w:rPr>
              <w:t xml:space="preserve"> </w:t>
            </w:r>
            <w:r w:rsidRPr="00A94F32">
              <w:rPr>
                <w:rFonts w:ascii="Book Antiqua" w:hAnsi="Book Antiqua" w:cs="Times New Roman"/>
                <w:b w:val="0"/>
                <w:bCs w:val="0"/>
                <w:sz w:val="24"/>
              </w:rPr>
              <w:t>(positive rate,</w:t>
            </w:r>
            <w:r w:rsidR="00DA0CF6">
              <w:rPr>
                <w:rFonts w:ascii="Book Antiqua" w:hAnsi="Book Antiqua" w:cs="Times New Roman"/>
                <w:b w:val="0"/>
                <w:bCs w:val="0"/>
                <w:sz w:val="24"/>
              </w:rPr>
              <w:t xml:space="preserve"> </w:t>
            </w:r>
            <w:r w:rsidRPr="00A94F32">
              <w:rPr>
                <w:rFonts w:ascii="Book Antiqua" w:hAnsi="Book Antiqua" w:cs="Times New Roman"/>
                <w:b w:val="0"/>
                <w:bCs w:val="0"/>
                <w:sz w:val="24"/>
              </w:rPr>
              <w:t>%)</w:t>
            </w:r>
          </w:p>
        </w:tc>
        <w:tc>
          <w:tcPr>
            <w:tcW w:w="2693" w:type="dxa"/>
          </w:tcPr>
          <w:p w14:paraId="33FB8BAD"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14 (32.55%)</w:t>
            </w:r>
          </w:p>
        </w:tc>
        <w:tc>
          <w:tcPr>
            <w:tcW w:w="2127" w:type="dxa"/>
          </w:tcPr>
          <w:p w14:paraId="542A44A3"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21 (48.84%)</w:t>
            </w:r>
          </w:p>
        </w:tc>
        <w:tc>
          <w:tcPr>
            <w:tcW w:w="1559" w:type="dxa"/>
          </w:tcPr>
          <w:p w14:paraId="7498046B" w14:textId="6E34A8E8"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ND</w:t>
            </w:r>
          </w:p>
        </w:tc>
      </w:tr>
      <w:tr w:rsidR="00B90FA0" w:rsidRPr="00A94F32" w14:paraId="40AE974A" w14:textId="77777777" w:rsidTr="00B84C05">
        <w:tc>
          <w:tcPr>
            <w:cnfStyle w:val="001000000000" w:firstRow="0" w:lastRow="0" w:firstColumn="1" w:lastColumn="0" w:oddVBand="0" w:evenVBand="0" w:oddHBand="0" w:evenHBand="0" w:firstRowFirstColumn="0" w:firstRowLastColumn="0" w:lastRowFirstColumn="0" w:lastRowLastColumn="0"/>
            <w:tcW w:w="3403" w:type="dxa"/>
            <w:vAlign w:val="center"/>
          </w:tcPr>
          <w:p w14:paraId="0355B547" w14:textId="00100D72" w:rsidR="00DB73B8" w:rsidRPr="00A94F32" w:rsidRDefault="00DB73B8" w:rsidP="00FD2E95">
            <w:pPr>
              <w:snapToGrid w:val="0"/>
              <w:spacing w:line="360" w:lineRule="auto"/>
              <w:rPr>
                <w:rFonts w:ascii="Book Antiqua" w:hAnsi="Book Antiqua"/>
                <w:b w:val="0"/>
                <w:sz w:val="24"/>
              </w:rPr>
            </w:pPr>
            <w:r w:rsidRPr="00A94F32">
              <w:rPr>
                <w:rFonts w:ascii="Book Antiqua" w:hAnsi="Book Antiqua" w:cs="Times New Roman"/>
                <w:b w:val="0"/>
                <w:bCs w:val="0"/>
                <w:sz w:val="24"/>
              </w:rPr>
              <w:t>HBV-DNA</w:t>
            </w:r>
            <w:r w:rsidR="00B84C05">
              <w:rPr>
                <w:rFonts w:ascii="Book Antiqua" w:hAnsi="Book Antiqua" w:cs="Times New Roman"/>
                <w:b w:val="0"/>
                <w:bCs w:val="0"/>
                <w:sz w:val="24"/>
              </w:rPr>
              <w:t xml:space="preserve"> </w:t>
            </w:r>
            <w:r w:rsidRPr="00A94F32">
              <w:rPr>
                <w:rFonts w:ascii="Book Antiqua" w:hAnsi="Book Antiqua" w:cs="Times New Roman"/>
                <w:b w:val="0"/>
                <w:bCs w:val="0"/>
                <w:sz w:val="24"/>
              </w:rPr>
              <w:t>(log</w:t>
            </w:r>
            <w:r w:rsidRPr="00B84C05">
              <w:rPr>
                <w:rFonts w:ascii="Book Antiqua" w:hAnsi="Book Antiqua" w:cs="Times New Roman"/>
                <w:b w:val="0"/>
                <w:bCs w:val="0"/>
                <w:sz w:val="24"/>
                <w:vertAlign w:val="subscript"/>
              </w:rPr>
              <w:t>10</w:t>
            </w:r>
            <w:r w:rsidRPr="00A94F32">
              <w:rPr>
                <w:rFonts w:ascii="Book Antiqua" w:hAnsi="Book Antiqua" w:cs="Times New Roman"/>
                <w:b w:val="0"/>
                <w:bCs w:val="0"/>
                <w:sz w:val="24"/>
              </w:rPr>
              <w:t xml:space="preserve"> copies/mL)</w:t>
            </w:r>
            <w:r w:rsidRPr="00A94F32">
              <w:rPr>
                <w:rFonts w:ascii="Book Antiqua" w:hAnsi="Book Antiqua"/>
                <w:b w:val="0"/>
                <w:bCs w:val="0"/>
                <w:sz w:val="24"/>
              </w:rPr>
              <w:t xml:space="preserve"> </w:t>
            </w:r>
          </w:p>
        </w:tc>
        <w:tc>
          <w:tcPr>
            <w:tcW w:w="2693" w:type="dxa"/>
            <w:vAlign w:val="center"/>
          </w:tcPr>
          <w:p w14:paraId="0A181C18"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6.74 ± 7.35</w:t>
            </w:r>
            <w:r w:rsidRPr="00A94F32">
              <w:rPr>
                <w:rFonts w:ascii="Book Antiqua" w:hAnsi="Book Antiqua" w:cs="Times New Roman"/>
                <w:sz w:val="24"/>
                <w:vertAlign w:val="superscript"/>
              </w:rPr>
              <w:t>b</w:t>
            </w:r>
          </w:p>
        </w:tc>
        <w:tc>
          <w:tcPr>
            <w:tcW w:w="2127" w:type="dxa"/>
            <w:vAlign w:val="center"/>
          </w:tcPr>
          <w:p w14:paraId="59FA7A24"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4.88 ± 1.99</w:t>
            </w:r>
          </w:p>
        </w:tc>
        <w:tc>
          <w:tcPr>
            <w:tcW w:w="1559" w:type="dxa"/>
            <w:vAlign w:val="center"/>
          </w:tcPr>
          <w:p w14:paraId="792CA478" w14:textId="4A4CD2EF"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ND</w:t>
            </w:r>
          </w:p>
        </w:tc>
      </w:tr>
      <w:tr w:rsidR="00B90FA0" w:rsidRPr="00A94F32" w14:paraId="47CBDEE0"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04EEC9ED"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PCT (ng/mL)</w:t>
            </w:r>
          </w:p>
        </w:tc>
        <w:tc>
          <w:tcPr>
            <w:tcW w:w="2693" w:type="dxa"/>
          </w:tcPr>
          <w:p w14:paraId="57C54CFB"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0.53 (0.43)</w:t>
            </w:r>
            <w:proofErr w:type="spellStart"/>
            <w:r w:rsidRPr="00A94F32">
              <w:rPr>
                <w:rFonts w:ascii="Book Antiqua" w:hAnsi="Book Antiqua" w:cs="Times New Roman"/>
                <w:sz w:val="24"/>
                <w:vertAlign w:val="superscript"/>
              </w:rPr>
              <w:t>a,b</w:t>
            </w:r>
            <w:proofErr w:type="spellEnd"/>
          </w:p>
        </w:tc>
        <w:tc>
          <w:tcPr>
            <w:tcW w:w="2127" w:type="dxa"/>
          </w:tcPr>
          <w:p w14:paraId="472728C0"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0.07 (0.20)</w:t>
            </w:r>
          </w:p>
        </w:tc>
        <w:tc>
          <w:tcPr>
            <w:tcW w:w="1559" w:type="dxa"/>
          </w:tcPr>
          <w:p w14:paraId="4453395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0.02 (0.02)</w:t>
            </w:r>
          </w:p>
        </w:tc>
      </w:tr>
      <w:tr w:rsidR="00B90FA0" w:rsidRPr="00A94F32" w14:paraId="2E0BE47D"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73322584"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IL-6 (</w:t>
            </w:r>
            <w:proofErr w:type="spellStart"/>
            <w:r w:rsidRPr="00A94F32">
              <w:rPr>
                <w:rFonts w:ascii="Book Antiqua" w:hAnsi="Book Antiqua" w:cs="Times New Roman"/>
                <w:b w:val="0"/>
                <w:bCs w:val="0"/>
                <w:sz w:val="24"/>
              </w:rPr>
              <w:t>pg</w:t>
            </w:r>
            <w:proofErr w:type="spellEnd"/>
            <w:r w:rsidRPr="00A94F32">
              <w:rPr>
                <w:rFonts w:ascii="Book Antiqua" w:hAnsi="Book Antiqua" w:cs="Times New Roman"/>
                <w:b w:val="0"/>
                <w:bCs w:val="0"/>
                <w:sz w:val="24"/>
              </w:rPr>
              <w:t>/mL)</w:t>
            </w:r>
          </w:p>
        </w:tc>
        <w:tc>
          <w:tcPr>
            <w:tcW w:w="2693" w:type="dxa"/>
          </w:tcPr>
          <w:p w14:paraId="65D6399A"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15.50 (24.00)</w:t>
            </w:r>
            <w:proofErr w:type="spellStart"/>
            <w:r w:rsidRPr="00A94F32">
              <w:rPr>
                <w:rFonts w:ascii="Book Antiqua" w:hAnsi="Book Antiqua" w:cs="Times New Roman"/>
                <w:sz w:val="24"/>
                <w:vertAlign w:val="superscript"/>
              </w:rPr>
              <w:t>a,b</w:t>
            </w:r>
            <w:proofErr w:type="spellEnd"/>
          </w:p>
        </w:tc>
        <w:tc>
          <w:tcPr>
            <w:tcW w:w="2127" w:type="dxa"/>
          </w:tcPr>
          <w:p w14:paraId="666CC480"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7.50 (7.00)</w:t>
            </w:r>
          </w:p>
        </w:tc>
        <w:tc>
          <w:tcPr>
            <w:tcW w:w="1559" w:type="dxa"/>
          </w:tcPr>
          <w:p w14:paraId="75BB507E"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4.00 (4.00)</w:t>
            </w:r>
          </w:p>
        </w:tc>
      </w:tr>
      <w:tr w:rsidR="00B90FA0" w:rsidRPr="00A94F32" w14:paraId="54C45DA9"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19496CD9"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MELD</w:t>
            </w:r>
          </w:p>
        </w:tc>
        <w:tc>
          <w:tcPr>
            <w:tcW w:w="2693" w:type="dxa"/>
          </w:tcPr>
          <w:p w14:paraId="30E187B7"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33.48 ± 4.79</w:t>
            </w:r>
            <w:r w:rsidRPr="00A94F32">
              <w:rPr>
                <w:rFonts w:ascii="Book Antiqua" w:hAnsi="Book Antiqua" w:cs="Times New Roman"/>
                <w:sz w:val="24"/>
                <w:vertAlign w:val="superscript"/>
              </w:rPr>
              <w:t>b</w:t>
            </w:r>
          </w:p>
        </w:tc>
        <w:tc>
          <w:tcPr>
            <w:tcW w:w="2127" w:type="dxa"/>
          </w:tcPr>
          <w:p w14:paraId="57204AE0"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8.43 ± 7.42</w:t>
            </w:r>
          </w:p>
        </w:tc>
        <w:tc>
          <w:tcPr>
            <w:tcW w:w="1559" w:type="dxa"/>
          </w:tcPr>
          <w:p w14:paraId="0CE55396" w14:textId="4D0F295C"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ND</w:t>
            </w:r>
          </w:p>
        </w:tc>
      </w:tr>
      <w:tr w:rsidR="00B90FA0" w:rsidRPr="00A94F32" w14:paraId="0C6B0FC0" w14:textId="77777777" w:rsidTr="00B84C05">
        <w:tc>
          <w:tcPr>
            <w:cnfStyle w:val="001000000000" w:firstRow="0" w:lastRow="0" w:firstColumn="1" w:lastColumn="0" w:oddVBand="0" w:evenVBand="0" w:oddHBand="0" w:evenHBand="0" w:firstRowFirstColumn="0" w:firstRowLastColumn="0" w:lastRowFirstColumn="0" w:lastRowLastColumn="0"/>
            <w:tcW w:w="3403" w:type="dxa"/>
            <w:tcBorders>
              <w:bottom w:val="single" w:sz="4" w:space="0" w:color="auto"/>
            </w:tcBorders>
          </w:tcPr>
          <w:p w14:paraId="0C49F0C4" w14:textId="77777777" w:rsidR="00DB73B8" w:rsidRPr="00A94F32" w:rsidRDefault="00DB73B8" w:rsidP="00FD2E95">
            <w:pPr>
              <w:snapToGrid w:val="0"/>
              <w:spacing w:line="360" w:lineRule="auto"/>
              <w:rPr>
                <w:rFonts w:ascii="Book Antiqua" w:hAnsi="Book Antiqua" w:cs="Times New Roman"/>
                <w:b w:val="0"/>
                <w:sz w:val="24"/>
              </w:rPr>
            </w:pPr>
            <w:proofErr w:type="spellStart"/>
            <w:r w:rsidRPr="00A94F32">
              <w:rPr>
                <w:rFonts w:ascii="Book Antiqua" w:hAnsi="Book Antiqua" w:cs="Times New Roman"/>
                <w:b w:val="0"/>
                <w:bCs w:val="0"/>
                <w:sz w:val="24"/>
              </w:rPr>
              <w:t>sMR</w:t>
            </w:r>
            <w:proofErr w:type="spellEnd"/>
            <w:r w:rsidRPr="00A94F32">
              <w:rPr>
                <w:rFonts w:ascii="Book Antiqua" w:hAnsi="Book Antiqua" w:cs="Times New Roman"/>
                <w:b w:val="0"/>
                <w:bCs w:val="0"/>
                <w:sz w:val="24"/>
              </w:rPr>
              <w:t xml:space="preserve"> (</w:t>
            </w:r>
            <w:proofErr w:type="spellStart"/>
            <w:r w:rsidRPr="00A94F32">
              <w:rPr>
                <w:rFonts w:ascii="Book Antiqua" w:hAnsi="Book Antiqua" w:cs="Times New Roman"/>
                <w:b w:val="0"/>
                <w:bCs w:val="0"/>
                <w:sz w:val="24"/>
              </w:rPr>
              <w:t>pg</w:t>
            </w:r>
            <w:proofErr w:type="spellEnd"/>
            <w:r w:rsidRPr="00A94F32">
              <w:rPr>
                <w:rFonts w:ascii="Book Antiqua" w:hAnsi="Book Antiqua" w:cs="Times New Roman"/>
                <w:b w:val="0"/>
                <w:bCs w:val="0"/>
                <w:sz w:val="24"/>
              </w:rPr>
              <w:t>/mL)</w:t>
            </w:r>
          </w:p>
        </w:tc>
        <w:tc>
          <w:tcPr>
            <w:tcW w:w="2693" w:type="dxa"/>
            <w:tcBorders>
              <w:bottom w:val="single" w:sz="4" w:space="0" w:color="auto"/>
            </w:tcBorders>
          </w:tcPr>
          <w:p w14:paraId="0BA656EA"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114.94 ± 49.65</w:t>
            </w:r>
            <w:r w:rsidRPr="00A94F32">
              <w:rPr>
                <w:rFonts w:ascii="Book Antiqua" w:hAnsi="Book Antiqua" w:cs="Times New Roman"/>
                <w:sz w:val="24"/>
                <w:vertAlign w:val="superscript"/>
              </w:rPr>
              <w:t>a,b</w:t>
            </w:r>
          </w:p>
        </w:tc>
        <w:tc>
          <w:tcPr>
            <w:tcW w:w="2127" w:type="dxa"/>
            <w:tcBorders>
              <w:bottom w:val="single" w:sz="4" w:space="0" w:color="auto"/>
            </w:tcBorders>
          </w:tcPr>
          <w:p w14:paraId="0760FBF8"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80.75 ± 34.45</w:t>
            </w:r>
          </w:p>
        </w:tc>
        <w:tc>
          <w:tcPr>
            <w:tcW w:w="1559" w:type="dxa"/>
            <w:tcBorders>
              <w:bottom w:val="single" w:sz="4" w:space="0" w:color="auto"/>
            </w:tcBorders>
          </w:tcPr>
          <w:p w14:paraId="2EAF0BF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26.51 ± 8.62</w:t>
            </w:r>
          </w:p>
        </w:tc>
      </w:tr>
    </w:tbl>
    <w:p w14:paraId="0247E663" w14:textId="74DF8517" w:rsidR="00DB73B8" w:rsidRPr="00A94F32" w:rsidRDefault="00DB73B8" w:rsidP="00FD2E95">
      <w:pPr>
        <w:snapToGrid w:val="0"/>
        <w:spacing w:line="360" w:lineRule="auto"/>
        <w:rPr>
          <w:rFonts w:ascii="Book Antiqua" w:hAnsi="Book Antiqua"/>
          <w:sz w:val="24"/>
        </w:rPr>
      </w:pPr>
      <w:r w:rsidRPr="00A94F32">
        <w:rPr>
          <w:rFonts w:ascii="Book Antiqua" w:hAnsi="Book Antiqua" w:cs="Times New Roman"/>
          <w:sz w:val="24"/>
        </w:rPr>
        <w:t xml:space="preserve">The normally distributed data are expressed as the mean ± standard deviation. The non-normally distributed data are expressed as the median (interquartile range). </w:t>
      </w:r>
      <w:proofErr w:type="spellStart"/>
      <w:proofErr w:type="gramStart"/>
      <w:r w:rsidRPr="00A94F32">
        <w:rPr>
          <w:rFonts w:ascii="Book Antiqua" w:hAnsi="Book Antiqua" w:cs="Times New Roman"/>
          <w:sz w:val="24"/>
          <w:vertAlign w:val="superscript"/>
        </w:rPr>
        <w:t>a</w:t>
      </w:r>
      <w:r w:rsidR="00B90FA0" w:rsidRPr="006B705D">
        <w:rPr>
          <w:rFonts w:ascii="Book Antiqua" w:hAnsi="Book Antiqua" w:cs="Times New Roman"/>
          <w:i/>
          <w:sz w:val="24"/>
        </w:rPr>
        <w:t>P</w:t>
      </w:r>
      <w:proofErr w:type="spellEnd"/>
      <w:proofErr w:type="gramEnd"/>
      <w:r w:rsidR="00B90FA0">
        <w:rPr>
          <w:rFonts w:ascii="Book Antiqua" w:hAnsi="Book Antiqua" w:cs="Times New Roman"/>
          <w:sz w:val="24"/>
        </w:rPr>
        <w:t xml:space="preserve"> &lt; 0.05 </w:t>
      </w:r>
      <w:r w:rsidR="00B90FA0" w:rsidRPr="00B90FA0">
        <w:rPr>
          <w:rFonts w:ascii="Book Antiqua" w:hAnsi="Book Antiqua" w:cs="Times New Roman"/>
          <w:i/>
          <w:sz w:val="24"/>
        </w:rPr>
        <w:t>vs</w:t>
      </w:r>
      <w:r w:rsidRPr="00A94F32">
        <w:rPr>
          <w:rFonts w:ascii="Book Antiqua" w:hAnsi="Book Antiqua" w:cs="Times New Roman"/>
          <w:sz w:val="24"/>
        </w:rPr>
        <w:t xml:space="preserve"> HCs; </w:t>
      </w:r>
      <w:proofErr w:type="spellStart"/>
      <w:r w:rsidRPr="00A94F32">
        <w:rPr>
          <w:rFonts w:ascii="Book Antiqua" w:hAnsi="Book Antiqua" w:cs="Times New Roman"/>
          <w:sz w:val="24"/>
          <w:vertAlign w:val="superscript"/>
        </w:rPr>
        <w:t>b</w:t>
      </w:r>
      <w:r w:rsidRPr="006B705D">
        <w:rPr>
          <w:rFonts w:ascii="Book Antiqua" w:hAnsi="Book Antiqua" w:cs="Times New Roman"/>
          <w:i/>
          <w:sz w:val="24"/>
        </w:rPr>
        <w:t>P</w:t>
      </w:r>
      <w:proofErr w:type="spellEnd"/>
      <w:r w:rsidRPr="00A94F32">
        <w:rPr>
          <w:rFonts w:ascii="Book Antiqua" w:hAnsi="Book Antiqua" w:cs="Times New Roman"/>
          <w:sz w:val="24"/>
        </w:rPr>
        <w:t xml:space="preserve"> &lt; 0.05 </w:t>
      </w:r>
      <w:r w:rsidRPr="00B90FA0">
        <w:rPr>
          <w:rFonts w:ascii="Book Antiqua" w:hAnsi="Book Antiqua" w:cs="Times New Roman"/>
          <w:i/>
          <w:sz w:val="24"/>
        </w:rPr>
        <w:t>vs</w:t>
      </w:r>
      <w:r w:rsidRPr="00A94F32">
        <w:rPr>
          <w:rFonts w:ascii="Book Antiqua" w:hAnsi="Book Antiqua" w:cs="Times New Roman"/>
          <w:sz w:val="24"/>
        </w:rPr>
        <w:t xml:space="preserve"> CHB. HBV</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H</w:t>
      </w:r>
      <w:r w:rsidRPr="00A94F32">
        <w:rPr>
          <w:rFonts w:ascii="Book Antiqua" w:hAnsi="Book Antiqua" w:cs="Times New Roman"/>
          <w:sz w:val="24"/>
        </w:rPr>
        <w:t>epatitis B virus; ACLF</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A</w:t>
      </w:r>
      <w:r w:rsidRPr="00A94F32">
        <w:rPr>
          <w:rFonts w:ascii="Book Antiqua" w:hAnsi="Book Antiqua" w:cs="Times New Roman"/>
          <w:sz w:val="24"/>
        </w:rPr>
        <w:t>cute-on-chronic liver failure; CHB</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C</w:t>
      </w:r>
      <w:r w:rsidRPr="00A94F32">
        <w:rPr>
          <w:rFonts w:ascii="Book Antiqua" w:hAnsi="Book Antiqua" w:cs="Times New Roman"/>
          <w:sz w:val="24"/>
        </w:rPr>
        <w:t>hronic hepatitis B; HCs</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H</w:t>
      </w:r>
      <w:r w:rsidRPr="00A94F32">
        <w:rPr>
          <w:rFonts w:ascii="Book Antiqua" w:hAnsi="Book Antiqua" w:cs="Times New Roman"/>
          <w:sz w:val="24"/>
        </w:rPr>
        <w:t>ealthy controls; ALB</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A</w:t>
      </w:r>
      <w:r w:rsidRPr="00A94F32">
        <w:rPr>
          <w:rFonts w:ascii="Book Antiqua" w:hAnsi="Book Antiqua" w:cs="Times New Roman"/>
          <w:sz w:val="24"/>
        </w:rPr>
        <w:t>lbumin; PTA</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P</w:t>
      </w:r>
      <w:r w:rsidRPr="00A94F32">
        <w:rPr>
          <w:rFonts w:ascii="Book Antiqua" w:hAnsi="Book Antiqua" w:cs="Times New Roman"/>
          <w:sz w:val="24"/>
        </w:rPr>
        <w:t>rothrombin activity; TBIL</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T</w:t>
      </w:r>
      <w:r w:rsidRPr="00A94F32">
        <w:rPr>
          <w:rFonts w:ascii="Book Antiqua" w:hAnsi="Book Antiqua" w:cs="Times New Roman"/>
          <w:sz w:val="24"/>
        </w:rPr>
        <w:t>otal bilirubin; Cr</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C</w:t>
      </w:r>
      <w:r w:rsidRPr="00A94F32">
        <w:rPr>
          <w:rFonts w:ascii="Book Antiqua" w:hAnsi="Book Antiqua" w:cs="Times New Roman"/>
          <w:sz w:val="24"/>
        </w:rPr>
        <w:t>reatinine; INR</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I</w:t>
      </w:r>
      <w:r w:rsidRPr="00A94F32">
        <w:rPr>
          <w:rFonts w:ascii="Book Antiqua" w:hAnsi="Book Antiqua" w:cs="Times New Roman"/>
          <w:sz w:val="24"/>
        </w:rPr>
        <w:t>nternational normalized rat</w:t>
      </w:r>
      <w:r w:rsidRPr="00A94F32">
        <w:rPr>
          <w:rFonts w:ascii="Book Antiqua" w:hAnsi="Book Antiqua" w:cs="Times New Roman"/>
          <w:sz w:val="24"/>
        </w:rPr>
        <w:t xml:space="preserve">io; </w:t>
      </w:r>
      <w:proofErr w:type="spellStart"/>
      <w:r w:rsidRPr="00A94F32">
        <w:rPr>
          <w:rFonts w:ascii="Book Antiqua" w:hAnsi="Book Antiqua" w:cs="Times New Roman"/>
          <w:sz w:val="24"/>
        </w:rPr>
        <w:t>HBeAg</w:t>
      </w:r>
      <w:proofErr w:type="spellEnd"/>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H</w:t>
      </w:r>
      <w:r w:rsidRPr="00A94F32">
        <w:rPr>
          <w:rFonts w:ascii="Book Antiqua" w:hAnsi="Book Antiqua" w:cs="Times New Roman"/>
          <w:sz w:val="24"/>
        </w:rPr>
        <w:t>epatitis B e antigen; PCT</w:t>
      </w:r>
      <w:r w:rsidR="00B90FA0">
        <w:rPr>
          <w:rFonts w:ascii="Book Antiqua" w:hAnsi="Book Antiqua" w:cs="Times New Roman" w:hint="eastAsia"/>
          <w:sz w:val="24"/>
        </w:rPr>
        <w:t>:</w:t>
      </w:r>
      <w:r w:rsidRPr="00A94F32">
        <w:rPr>
          <w:rFonts w:ascii="Book Antiqua" w:hAnsi="Book Antiqua" w:cs="Times New Roman"/>
          <w:sz w:val="24"/>
        </w:rPr>
        <w:t xml:space="preserve"> </w:t>
      </w:r>
      <w:proofErr w:type="spellStart"/>
      <w:r w:rsidR="00B90FA0" w:rsidRPr="00A94F32">
        <w:rPr>
          <w:rFonts w:ascii="Book Antiqua" w:hAnsi="Book Antiqua" w:cs="Times New Roman"/>
          <w:sz w:val="24"/>
        </w:rPr>
        <w:t>P</w:t>
      </w:r>
      <w:r w:rsidRPr="00A94F32">
        <w:rPr>
          <w:rFonts w:ascii="Book Antiqua" w:hAnsi="Book Antiqua" w:cs="Times New Roman"/>
          <w:sz w:val="24"/>
        </w:rPr>
        <w:t>rocalcitonin</w:t>
      </w:r>
      <w:proofErr w:type="spellEnd"/>
      <w:r w:rsidRPr="00A94F32">
        <w:rPr>
          <w:rFonts w:ascii="Book Antiqua" w:hAnsi="Book Antiqua" w:cs="Times New Roman"/>
          <w:sz w:val="24"/>
        </w:rPr>
        <w:t>; IL-6</w:t>
      </w:r>
      <w:r w:rsidR="00B90FA0">
        <w:rPr>
          <w:rFonts w:ascii="Book Antiqua" w:hAnsi="Book Antiqua" w:cs="Times New Roman" w:hint="eastAsia"/>
          <w:sz w:val="24"/>
        </w:rPr>
        <w:t>:</w:t>
      </w:r>
      <w:r w:rsidRPr="00A94F32">
        <w:rPr>
          <w:rFonts w:ascii="Book Antiqua" w:hAnsi="Book Antiqua" w:cs="Times New Roman"/>
          <w:sz w:val="24"/>
        </w:rPr>
        <w:t xml:space="preserve"> </w:t>
      </w:r>
      <w:r w:rsidR="00215647" w:rsidRPr="00A94F32">
        <w:rPr>
          <w:rFonts w:ascii="Book Antiqua" w:hAnsi="Book Antiqua" w:cs="Times New Roman"/>
          <w:sz w:val="24"/>
        </w:rPr>
        <w:t>Interleukin</w:t>
      </w:r>
      <w:r w:rsidR="00215647">
        <w:rPr>
          <w:rFonts w:ascii="Book Antiqua" w:hAnsi="Book Antiqua" w:cs="Times New Roman"/>
          <w:sz w:val="24"/>
        </w:rPr>
        <w:t>-</w:t>
      </w:r>
      <w:r w:rsidRPr="00A94F32">
        <w:rPr>
          <w:rFonts w:ascii="Book Antiqua" w:hAnsi="Book Antiqua" w:cs="Times New Roman"/>
          <w:sz w:val="24"/>
        </w:rPr>
        <w:t>6; MELD</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M</w:t>
      </w:r>
      <w:r w:rsidRPr="00A94F32">
        <w:rPr>
          <w:rFonts w:ascii="Book Antiqua" w:hAnsi="Book Antiqua" w:cs="Times New Roman"/>
          <w:sz w:val="24"/>
        </w:rPr>
        <w:t xml:space="preserve">odel </w:t>
      </w:r>
      <w:r w:rsidR="00215647" w:rsidRPr="00A94F32">
        <w:rPr>
          <w:rFonts w:ascii="Book Antiqua" w:hAnsi="Book Antiqua" w:cs="Times New Roman"/>
          <w:bCs/>
          <w:sz w:val="24"/>
        </w:rPr>
        <w:t>for end-stage liver disease</w:t>
      </w:r>
      <w:r w:rsidRPr="00A94F32">
        <w:rPr>
          <w:rFonts w:ascii="Book Antiqua" w:hAnsi="Book Antiqua" w:cs="Times New Roman"/>
          <w:sz w:val="24"/>
        </w:rPr>
        <w:t xml:space="preserve">; </w:t>
      </w:r>
      <w:proofErr w:type="spellStart"/>
      <w:r w:rsidRPr="00A94F32">
        <w:rPr>
          <w:rFonts w:ascii="Book Antiqua" w:hAnsi="Book Antiqua" w:cs="Times New Roman"/>
          <w:sz w:val="24"/>
        </w:rPr>
        <w:t>sMR</w:t>
      </w:r>
      <w:proofErr w:type="spellEnd"/>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S</w:t>
      </w:r>
      <w:r w:rsidRPr="00A94F32">
        <w:rPr>
          <w:rFonts w:ascii="Book Antiqua" w:hAnsi="Book Antiqua" w:cs="Times New Roman"/>
          <w:sz w:val="24"/>
        </w:rPr>
        <w:t>oluble m</w:t>
      </w:r>
      <w:r w:rsidRPr="00A94F32">
        <w:rPr>
          <w:rFonts w:ascii="Book Antiqua" w:hAnsi="Book Antiqua" w:cs="Times New Roman"/>
          <w:sz w:val="24"/>
        </w:rPr>
        <w:t>annose receptor; ND</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N</w:t>
      </w:r>
      <w:r w:rsidRPr="00A94F32">
        <w:rPr>
          <w:rFonts w:ascii="Book Antiqua" w:hAnsi="Book Antiqua" w:cs="Times New Roman"/>
          <w:sz w:val="24"/>
        </w:rPr>
        <w:t>ot determined.</w:t>
      </w:r>
    </w:p>
    <w:p w14:paraId="018594F3" w14:textId="77777777" w:rsidR="00DB73B8" w:rsidRPr="00A94F32" w:rsidRDefault="00DB73B8" w:rsidP="00FD2E95">
      <w:pPr>
        <w:snapToGrid w:val="0"/>
        <w:spacing w:line="360" w:lineRule="auto"/>
        <w:rPr>
          <w:rFonts w:ascii="Book Antiqua" w:hAnsi="Book Antiqua"/>
          <w:sz w:val="24"/>
        </w:rPr>
      </w:pPr>
    </w:p>
    <w:p w14:paraId="7CAFCFEB" w14:textId="77777777" w:rsidR="00DB73B8" w:rsidRPr="00A94F32" w:rsidRDefault="00DB73B8"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7FC85990" w14:textId="65D1CA05" w:rsidR="00DB73B8" w:rsidRPr="00A94F32" w:rsidRDefault="00DB73B8"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lastRenderedPageBreak/>
        <w:t xml:space="preserve">Table 2 </w:t>
      </w:r>
      <w:r w:rsidRPr="00A94F32">
        <w:rPr>
          <w:rFonts w:ascii="Book Antiqua" w:hAnsi="Book Antiqua" w:cs="Times New Roman"/>
          <w:b/>
          <w:sz w:val="24"/>
        </w:rPr>
        <w:t>Risk facto</w:t>
      </w:r>
      <w:r w:rsidRPr="00A94F32">
        <w:rPr>
          <w:rFonts w:ascii="Book Antiqua" w:hAnsi="Book Antiqua" w:cs="Times New Roman"/>
          <w:b/>
          <w:sz w:val="24"/>
        </w:rPr>
        <w:t>rs for</w:t>
      </w:r>
      <w:r w:rsidR="00215647">
        <w:rPr>
          <w:rFonts w:ascii="Book Antiqua" w:hAnsi="Book Antiqua" w:cs="Times New Roman"/>
          <w:b/>
          <w:sz w:val="24"/>
        </w:rPr>
        <w:t xml:space="preserve"> </w:t>
      </w:r>
      <w:r w:rsidRPr="00A94F32">
        <w:rPr>
          <w:rFonts w:ascii="Book Antiqua" w:hAnsi="Book Antiqua" w:cs="Times New Roman"/>
          <w:b/>
          <w:sz w:val="24"/>
        </w:rPr>
        <w:t>90-d</w:t>
      </w:r>
      <w:r w:rsidR="00862428">
        <w:rPr>
          <w:rFonts w:ascii="Book Antiqua" w:hAnsi="Book Antiqua" w:cs="Times New Roman"/>
          <w:b/>
          <w:sz w:val="24"/>
        </w:rPr>
        <w:t xml:space="preserve"> </w:t>
      </w:r>
      <w:r w:rsidRPr="00A94F32">
        <w:rPr>
          <w:rFonts w:ascii="Book Antiqua" w:hAnsi="Book Antiqua" w:cs="Times New Roman"/>
          <w:b/>
          <w:sz w:val="24"/>
        </w:rPr>
        <w:t>mortality in patie</w:t>
      </w:r>
      <w:r w:rsidRPr="00A94F32">
        <w:rPr>
          <w:rFonts w:ascii="Book Antiqua" w:hAnsi="Book Antiqua" w:cs="Times New Roman"/>
          <w:b/>
          <w:sz w:val="24"/>
        </w:rPr>
        <w:t>nts with hepatitis B virus-related acute-on-chronic liver failure</w:t>
      </w:r>
    </w:p>
    <w:tbl>
      <w:tblPr>
        <w:tblStyle w:val="21"/>
        <w:tblpPr w:leftFromText="180" w:rightFromText="180" w:vertAnchor="text" w:horzAnchor="page" w:tblpXSpec="center" w:tblpY="90"/>
        <w:tblOverlap w:val="never"/>
        <w:tblW w:w="10456" w:type="dxa"/>
        <w:jc w:val="center"/>
        <w:tblBorders>
          <w:top w:val="single" w:sz="4" w:space="0" w:color="auto"/>
          <w:bottom w:val="single" w:sz="4" w:space="0" w:color="auto"/>
        </w:tblBorders>
        <w:tblLayout w:type="fixed"/>
        <w:tblLook w:val="04A0" w:firstRow="1" w:lastRow="0" w:firstColumn="1" w:lastColumn="0" w:noHBand="0" w:noVBand="1"/>
      </w:tblPr>
      <w:tblGrid>
        <w:gridCol w:w="2235"/>
        <w:gridCol w:w="1417"/>
        <w:gridCol w:w="1701"/>
        <w:gridCol w:w="992"/>
        <w:gridCol w:w="1418"/>
        <w:gridCol w:w="1701"/>
        <w:gridCol w:w="992"/>
      </w:tblGrid>
      <w:tr w:rsidR="000A3B14" w:rsidRPr="000A3B14" w14:paraId="2A211CE3" w14:textId="77777777" w:rsidTr="00060E89">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shd w:val="clear" w:color="auto" w:fill="auto"/>
          </w:tcPr>
          <w:p w14:paraId="4420E3F8" w14:textId="3C40144F" w:rsidR="00DB73B8" w:rsidRPr="000A3B14" w:rsidRDefault="00DB73B8" w:rsidP="00FD2E95">
            <w:pPr>
              <w:snapToGrid w:val="0"/>
              <w:spacing w:line="360" w:lineRule="auto"/>
              <w:rPr>
                <w:rFonts w:ascii="Book Antiqua" w:hAnsi="Book Antiqua"/>
                <w:sz w:val="24"/>
              </w:rPr>
            </w:pPr>
            <w:r w:rsidRPr="000A3B14">
              <w:rPr>
                <w:rFonts w:ascii="Book Antiqua" w:hAnsi="Book Antiqua" w:cs="Times New Roman"/>
                <w:bCs w:val="0"/>
                <w:sz w:val="24"/>
              </w:rPr>
              <w:t>Baseline varia</w:t>
            </w:r>
            <w:r w:rsidRPr="000A3B14">
              <w:rPr>
                <w:rFonts w:ascii="Book Antiqua" w:hAnsi="Book Antiqua" w:cs="Times New Roman"/>
                <w:bCs w:val="0"/>
                <w:sz w:val="24"/>
              </w:rPr>
              <w:t>ble</w:t>
            </w:r>
          </w:p>
        </w:tc>
        <w:tc>
          <w:tcPr>
            <w:tcW w:w="1417" w:type="dxa"/>
            <w:tcBorders>
              <w:top w:val="single" w:sz="4" w:space="0" w:color="auto"/>
              <w:bottom w:val="single" w:sz="4" w:space="0" w:color="auto"/>
            </w:tcBorders>
            <w:shd w:val="clear" w:color="auto" w:fill="auto"/>
          </w:tcPr>
          <w:p w14:paraId="3CD68845"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O</w:t>
            </w:r>
            <w:r w:rsidR="0066785E">
              <w:rPr>
                <w:rFonts w:ascii="Book Antiqua" w:hAnsi="Book Antiqua" w:cs="Times New Roman" w:hint="eastAsia"/>
                <w:bCs w:val="0"/>
                <w:sz w:val="24"/>
              </w:rPr>
              <w:t>R</w:t>
            </w:r>
          </w:p>
        </w:tc>
        <w:tc>
          <w:tcPr>
            <w:tcW w:w="1701" w:type="dxa"/>
            <w:tcBorders>
              <w:top w:val="single" w:sz="4" w:space="0" w:color="auto"/>
              <w:bottom w:val="single" w:sz="4" w:space="0" w:color="auto"/>
            </w:tcBorders>
            <w:shd w:val="clear" w:color="auto" w:fill="auto"/>
          </w:tcPr>
          <w:p w14:paraId="0D369D7B"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Univariate</w:t>
            </w:r>
          </w:p>
          <w:p w14:paraId="03442611"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95%CI</w:t>
            </w:r>
          </w:p>
        </w:tc>
        <w:tc>
          <w:tcPr>
            <w:tcW w:w="992" w:type="dxa"/>
            <w:tcBorders>
              <w:top w:val="single" w:sz="4" w:space="0" w:color="auto"/>
              <w:bottom w:val="single" w:sz="4" w:space="0" w:color="auto"/>
            </w:tcBorders>
            <w:shd w:val="clear" w:color="auto" w:fill="auto"/>
          </w:tcPr>
          <w:p w14:paraId="68751E5C" w14:textId="23B241CF"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4"/>
              </w:rPr>
            </w:pPr>
            <w:r w:rsidRPr="000A3B14">
              <w:rPr>
                <w:rFonts w:ascii="Book Antiqua" w:hAnsi="Book Antiqua" w:cs="Times New Roman"/>
                <w:bCs w:val="0"/>
                <w:i/>
                <w:sz w:val="24"/>
              </w:rPr>
              <w:t>P</w:t>
            </w:r>
            <w:r w:rsidR="00215647">
              <w:rPr>
                <w:rFonts w:ascii="Book Antiqua" w:hAnsi="Book Antiqua" w:cs="Times New Roman"/>
                <w:bCs w:val="0"/>
                <w:i/>
                <w:sz w:val="24"/>
              </w:rPr>
              <w:t>-</w:t>
            </w:r>
            <w:r w:rsidR="00C74966" w:rsidRPr="00C74966">
              <w:rPr>
                <w:rFonts w:ascii="Book Antiqua" w:hAnsi="Book Antiqua" w:cs="Times New Roman"/>
                <w:bCs w:val="0"/>
                <w:iCs/>
                <w:sz w:val="24"/>
              </w:rPr>
              <w:t>valu</w:t>
            </w:r>
            <w:r w:rsidR="00C74966" w:rsidRPr="00C74966">
              <w:rPr>
                <w:rFonts w:ascii="Book Antiqua" w:hAnsi="Book Antiqua" w:cs="Times New Roman"/>
                <w:bCs w:val="0"/>
                <w:iCs/>
                <w:sz w:val="24"/>
              </w:rPr>
              <w:t>e</w:t>
            </w:r>
          </w:p>
        </w:tc>
        <w:tc>
          <w:tcPr>
            <w:tcW w:w="1418" w:type="dxa"/>
            <w:tcBorders>
              <w:top w:val="single" w:sz="4" w:space="0" w:color="auto"/>
              <w:bottom w:val="single" w:sz="4" w:space="0" w:color="auto"/>
            </w:tcBorders>
            <w:shd w:val="clear" w:color="auto" w:fill="auto"/>
          </w:tcPr>
          <w:p w14:paraId="701A9480"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O</w:t>
            </w:r>
            <w:r w:rsidR="0066785E">
              <w:rPr>
                <w:rFonts w:ascii="Book Antiqua" w:hAnsi="Book Antiqua" w:cs="Times New Roman" w:hint="eastAsia"/>
                <w:bCs w:val="0"/>
                <w:sz w:val="24"/>
              </w:rPr>
              <w:t>R</w:t>
            </w:r>
          </w:p>
        </w:tc>
        <w:tc>
          <w:tcPr>
            <w:tcW w:w="1701" w:type="dxa"/>
            <w:tcBorders>
              <w:top w:val="single" w:sz="4" w:space="0" w:color="auto"/>
              <w:bottom w:val="single" w:sz="4" w:space="0" w:color="auto"/>
            </w:tcBorders>
            <w:shd w:val="clear" w:color="auto" w:fill="auto"/>
          </w:tcPr>
          <w:p w14:paraId="46BFE49E"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Multivariate</w:t>
            </w:r>
          </w:p>
          <w:p w14:paraId="4AB24D73"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95%CI</w:t>
            </w:r>
          </w:p>
        </w:tc>
        <w:tc>
          <w:tcPr>
            <w:tcW w:w="992" w:type="dxa"/>
            <w:tcBorders>
              <w:top w:val="single" w:sz="4" w:space="0" w:color="auto"/>
              <w:bottom w:val="single" w:sz="4" w:space="0" w:color="auto"/>
            </w:tcBorders>
            <w:shd w:val="clear" w:color="auto" w:fill="auto"/>
          </w:tcPr>
          <w:p w14:paraId="35521CA1" w14:textId="0157E329"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4"/>
              </w:rPr>
            </w:pPr>
            <w:r w:rsidRPr="000A3B14">
              <w:rPr>
                <w:rFonts w:ascii="Book Antiqua" w:hAnsi="Book Antiqua" w:cs="Times New Roman"/>
                <w:bCs w:val="0"/>
                <w:i/>
                <w:sz w:val="24"/>
              </w:rPr>
              <w:t>P</w:t>
            </w:r>
            <w:r w:rsidR="00215647">
              <w:rPr>
                <w:rFonts w:ascii="Book Antiqua" w:hAnsi="Book Antiqua" w:cs="Times New Roman"/>
                <w:bCs w:val="0"/>
                <w:iCs/>
                <w:sz w:val="24"/>
              </w:rPr>
              <w:t>-</w:t>
            </w:r>
            <w:r w:rsidR="00C74966" w:rsidRPr="00C74966">
              <w:rPr>
                <w:rFonts w:ascii="Book Antiqua" w:hAnsi="Book Antiqua" w:cs="Times New Roman"/>
                <w:bCs w:val="0"/>
                <w:iCs/>
                <w:sz w:val="24"/>
              </w:rPr>
              <w:t>va</w:t>
            </w:r>
            <w:r w:rsidR="00C74966" w:rsidRPr="00C74966">
              <w:rPr>
                <w:rFonts w:ascii="Book Antiqua" w:hAnsi="Book Antiqua" w:cs="Times New Roman"/>
                <w:bCs w:val="0"/>
                <w:iCs/>
                <w:sz w:val="24"/>
              </w:rPr>
              <w:t>lue</w:t>
            </w:r>
          </w:p>
        </w:tc>
      </w:tr>
      <w:tr w:rsidR="000A3B14" w:rsidRPr="000A3B14" w14:paraId="584B3EC4"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auto"/>
          </w:tcPr>
          <w:p w14:paraId="535E067B" w14:textId="77777777" w:rsidR="00DB73B8" w:rsidRPr="000A3B14" w:rsidRDefault="00DB73B8" w:rsidP="00FD2E95">
            <w:pPr>
              <w:snapToGrid w:val="0"/>
              <w:spacing w:line="360" w:lineRule="auto"/>
              <w:rPr>
                <w:rFonts w:ascii="Book Antiqua" w:hAnsi="Book Antiqua"/>
                <w:b w:val="0"/>
                <w:sz w:val="24"/>
              </w:rPr>
            </w:pPr>
            <w:r w:rsidRPr="000A3B14">
              <w:rPr>
                <w:rFonts w:ascii="Book Antiqua" w:hAnsi="Book Antiqua" w:cs="Times New Roman"/>
                <w:b w:val="0"/>
                <w:bCs w:val="0"/>
                <w:sz w:val="24"/>
              </w:rPr>
              <w:t>Age (</w:t>
            </w:r>
            <w:proofErr w:type="spellStart"/>
            <w:r w:rsidRPr="000A3B14">
              <w:rPr>
                <w:rFonts w:ascii="Book Antiqua" w:hAnsi="Book Antiqua" w:cs="Times New Roman"/>
                <w:b w:val="0"/>
                <w:bCs w:val="0"/>
                <w:sz w:val="24"/>
              </w:rPr>
              <w:t>yr</w:t>
            </w:r>
            <w:proofErr w:type="spellEnd"/>
            <w:r w:rsidRPr="000A3B14">
              <w:rPr>
                <w:rFonts w:ascii="Book Antiqua" w:hAnsi="Book Antiqua" w:cs="Times New Roman"/>
                <w:b w:val="0"/>
                <w:bCs w:val="0"/>
                <w:sz w:val="24"/>
              </w:rPr>
              <w:t>)</w:t>
            </w:r>
          </w:p>
        </w:tc>
        <w:tc>
          <w:tcPr>
            <w:tcW w:w="1417" w:type="dxa"/>
            <w:tcBorders>
              <w:top w:val="single" w:sz="4" w:space="0" w:color="auto"/>
            </w:tcBorders>
            <w:shd w:val="clear" w:color="auto" w:fill="auto"/>
          </w:tcPr>
          <w:p w14:paraId="592B8A9A"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0A3B14">
              <w:rPr>
                <w:rFonts w:ascii="Book Antiqua" w:hAnsi="Book Antiqua"/>
                <w:sz w:val="24"/>
              </w:rPr>
              <w:t>0.850</w:t>
            </w:r>
          </w:p>
        </w:tc>
        <w:tc>
          <w:tcPr>
            <w:tcW w:w="1701" w:type="dxa"/>
            <w:tcBorders>
              <w:top w:val="single" w:sz="4" w:space="0" w:color="auto"/>
            </w:tcBorders>
            <w:shd w:val="clear" w:color="auto" w:fill="auto"/>
          </w:tcPr>
          <w:p w14:paraId="767121B0"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0.701–1.051</w:t>
            </w:r>
          </w:p>
        </w:tc>
        <w:tc>
          <w:tcPr>
            <w:tcW w:w="992" w:type="dxa"/>
            <w:tcBorders>
              <w:top w:val="single" w:sz="4" w:space="0" w:color="auto"/>
            </w:tcBorders>
            <w:shd w:val="clear" w:color="auto" w:fill="auto"/>
          </w:tcPr>
          <w:p w14:paraId="6D2664C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 xml:space="preserve"> 0.642</w:t>
            </w:r>
          </w:p>
        </w:tc>
        <w:tc>
          <w:tcPr>
            <w:tcW w:w="1418" w:type="dxa"/>
            <w:tcBorders>
              <w:top w:val="single" w:sz="4" w:space="0" w:color="auto"/>
            </w:tcBorders>
            <w:shd w:val="clear" w:color="auto" w:fill="auto"/>
          </w:tcPr>
          <w:p w14:paraId="74F532A1"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tcBorders>
              <w:top w:val="single" w:sz="4" w:space="0" w:color="auto"/>
            </w:tcBorders>
            <w:shd w:val="clear" w:color="auto" w:fill="auto"/>
          </w:tcPr>
          <w:p w14:paraId="7DA452EE"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tcBorders>
              <w:top w:val="single" w:sz="4" w:space="0" w:color="auto"/>
            </w:tcBorders>
            <w:shd w:val="clear" w:color="auto" w:fill="auto"/>
          </w:tcPr>
          <w:p w14:paraId="240E6BD3"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4C4CE162"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9B3B91F" w14:textId="77777777" w:rsidR="00DB73B8" w:rsidRPr="000A3B14" w:rsidRDefault="00DB73B8" w:rsidP="00FD2E95">
            <w:pPr>
              <w:snapToGrid w:val="0"/>
              <w:spacing w:line="360" w:lineRule="auto"/>
              <w:rPr>
                <w:rFonts w:ascii="Book Antiqua" w:hAnsi="Book Antiqua" w:cs="Times New Roman"/>
                <w:b w:val="0"/>
                <w:sz w:val="24"/>
              </w:rPr>
            </w:pPr>
            <w:r w:rsidRPr="000A3B14">
              <w:rPr>
                <w:rFonts w:ascii="Book Antiqua" w:hAnsi="Book Antiqua" w:cs="Times New Roman"/>
                <w:b w:val="0"/>
                <w:bCs w:val="0"/>
                <w:sz w:val="24"/>
              </w:rPr>
              <w:t>Gender</w:t>
            </w:r>
          </w:p>
        </w:tc>
        <w:tc>
          <w:tcPr>
            <w:tcW w:w="1417" w:type="dxa"/>
            <w:shd w:val="clear" w:color="auto" w:fill="auto"/>
          </w:tcPr>
          <w:p w14:paraId="5ED1C4E2"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0A3B14">
              <w:rPr>
                <w:rFonts w:ascii="Book Antiqua" w:hAnsi="Book Antiqua"/>
                <w:sz w:val="24"/>
              </w:rPr>
              <w:t>0.519</w:t>
            </w:r>
          </w:p>
        </w:tc>
        <w:tc>
          <w:tcPr>
            <w:tcW w:w="1701" w:type="dxa"/>
            <w:shd w:val="clear" w:color="auto" w:fill="auto"/>
          </w:tcPr>
          <w:p w14:paraId="307AFE26"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0.096–2.741</w:t>
            </w:r>
          </w:p>
        </w:tc>
        <w:tc>
          <w:tcPr>
            <w:tcW w:w="992" w:type="dxa"/>
            <w:shd w:val="clear" w:color="auto" w:fill="auto"/>
          </w:tcPr>
          <w:p w14:paraId="7974CECB"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0.422</w:t>
            </w:r>
          </w:p>
        </w:tc>
        <w:tc>
          <w:tcPr>
            <w:tcW w:w="1418" w:type="dxa"/>
            <w:shd w:val="clear" w:color="auto" w:fill="auto"/>
          </w:tcPr>
          <w:p w14:paraId="112E3D8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shd w:val="clear" w:color="auto" w:fill="auto"/>
          </w:tcPr>
          <w:p w14:paraId="35FB4095"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shd w:val="clear" w:color="auto" w:fill="auto"/>
          </w:tcPr>
          <w:p w14:paraId="02E9541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65BDE5E9"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C6F4851" w14:textId="77777777" w:rsidR="00DB73B8" w:rsidRPr="000A3B14" w:rsidRDefault="00DB73B8" w:rsidP="00FD2E95">
            <w:pPr>
              <w:snapToGrid w:val="0"/>
              <w:spacing w:line="360" w:lineRule="auto"/>
              <w:rPr>
                <w:rFonts w:ascii="Book Antiqua" w:hAnsi="Book Antiqua"/>
                <w:b w:val="0"/>
                <w:sz w:val="24"/>
              </w:rPr>
            </w:pPr>
            <w:r w:rsidRPr="000A3B14">
              <w:rPr>
                <w:rFonts w:ascii="Book Antiqua" w:hAnsi="Book Antiqua" w:cs="Times New Roman"/>
                <w:b w:val="0"/>
                <w:bCs w:val="0"/>
                <w:sz w:val="24"/>
              </w:rPr>
              <w:t>ALB (g/L)</w:t>
            </w:r>
          </w:p>
        </w:tc>
        <w:tc>
          <w:tcPr>
            <w:tcW w:w="1417" w:type="dxa"/>
            <w:shd w:val="clear" w:color="auto" w:fill="auto"/>
          </w:tcPr>
          <w:p w14:paraId="1436227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0A3B14">
              <w:rPr>
                <w:rFonts w:ascii="Book Antiqua" w:hAnsi="Book Antiqua"/>
                <w:sz w:val="24"/>
              </w:rPr>
              <w:t>0.722</w:t>
            </w:r>
          </w:p>
        </w:tc>
        <w:tc>
          <w:tcPr>
            <w:tcW w:w="1701" w:type="dxa"/>
            <w:shd w:val="clear" w:color="auto" w:fill="auto"/>
          </w:tcPr>
          <w:p w14:paraId="7BD6182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0.567–1.052</w:t>
            </w:r>
          </w:p>
        </w:tc>
        <w:tc>
          <w:tcPr>
            <w:tcW w:w="992" w:type="dxa"/>
            <w:shd w:val="clear" w:color="auto" w:fill="auto"/>
          </w:tcPr>
          <w:p w14:paraId="5F69B54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0.102</w:t>
            </w:r>
          </w:p>
        </w:tc>
        <w:tc>
          <w:tcPr>
            <w:tcW w:w="1418" w:type="dxa"/>
            <w:shd w:val="clear" w:color="auto" w:fill="auto"/>
          </w:tcPr>
          <w:p w14:paraId="755D7E6C"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shd w:val="clear" w:color="auto" w:fill="auto"/>
          </w:tcPr>
          <w:p w14:paraId="1EC7F690"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shd w:val="clear" w:color="auto" w:fill="auto"/>
          </w:tcPr>
          <w:p w14:paraId="784AB991"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3EF96FBD"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12A0DC3" w14:textId="77777777" w:rsidR="00DB73B8" w:rsidRPr="000A3B14" w:rsidRDefault="00DB73B8" w:rsidP="00FD2E95">
            <w:pPr>
              <w:snapToGrid w:val="0"/>
              <w:spacing w:line="360" w:lineRule="auto"/>
              <w:rPr>
                <w:rFonts w:ascii="Book Antiqua" w:hAnsi="Book Antiqua" w:cs="Times New Roman"/>
                <w:b w:val="0"/>
                <w:sz w:val="24"/>
              </w:rPr>
            </w:pPr>
            <w:r w:rsidRPr="000A3B14">
              <w:rPr>
                <w:rFonts w:ascii="Book Antiqua" w:hAnsi="Book Antiqua" w:cs="Times New Roman"/>
                <w:b w:val="0"/>
                <w:bCs w:val="0"/>
                <w:sz w:val="24"/>
              </w:rPr>
              <w:t>PCT (ng/mL)</w:t>
            </w:r>
          </w:p>
        </w:tc>
        <w:tc>
          <w:tcPr>
            <w:tcW w:w="1417" w:type="dxa"/>
            <w:shd w:val="clear" w:color="auto" w:fill="auto"/>
          </w:tcPr>
          <w:p w14:paraId="055EBDD2"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1.003</w:t>
            </w:r>
          </w:p>
        </w:tc>
        <w:tc>
          <w:tcPr>
            <w:tcW w:w="1701" w:type="dxa"/>
            <w:shd w:val="clear" w:color="auto" w:fill="auto"/>
          </w:tcPr>
          <w:p w14:paraId="1EA4DBC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0.999–1.006</w:t>
            </w:r>
          </w:p>
        </w:tc>
        <w:tc>
          <w:tcPr>
            <w:tcW w:w="992" w:type="dxa"/>
            <w:shd w:val="clear" w:color="auto" w:fill="auto"/>
          </w:tcPr>
          <w:p w14:paraId="359168B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0.152</w:t>
            </w:r>
          </w:p>
        </w:tc>
        <w:tc>
          <w:tcPr>
            <w:tcW w:w="1418" w:type="dxa"/>
            <w:shd w:val="clear" w:color="auto" w:fill="auto"/>
          </w:tcPr>
          <w:p w14:paraId="266B307D"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shd w:val="clear" w:color="auto" w:fill="auto"/>
          </w:tcPr>
          <w:p w14:paraId="792FF67C"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shd w:val="clear" w:color="auto" w:fill="auto"/>
          </w:tcPr>
          <w:p w14:paraId="400FF366"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6EFA0786"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2407DC8" w14:textId="77777777" w:rsidR="00DB73B8" w:rsidRPr="000A3B14" w:rsidRDefault="00DB73B8" w:rsidP="00FD2E95">
            <w:pPr>
              <w:snapToGrid w:val="0"/>
              <w:spacing w:line="360" w:lineRule="auto"/>
              <w:rPr>
                <w:rFonts w:ascii="Book Antiqua" w:hAnsi="Book Antiqua" w:cs="Times New Roman"/>
                <w:b w:val="0"/>
                <w:sz w:val="24"/>
              </w:rPr>
            </w:pPr>
            <w:r w:rsidRPr="000A3B14">
              <w:rPr>
                <w:rFonts w:ascii="Book Antiqua" w:hAnsi="Book Antiqua" w:cs="Times New Roman"/>
                <w:b w:val="0"/>
                <w:bCs w:val="0"/>
                <w:sz w:val="24"/>
              </w:rPr>
              <w:t>IL-6 (</w:t>
            </w:r>
            <w:proofErr w:type="spellStart"/>
            <w:r w:rsidRPr="000A3B14">
              <w:rPr>
                <w:rFonts w:ascii="Book Antiqua" w:hAnsi="Book Antiqua" w:cs="Times New Roman"/>
                <w:b w:val="0"/>
                <w:bCs w:val="0"/>
                <w:sz w:val="24"/>
              </w:rPr>
              <w:t>pg</w:t>
            </w:r>
            <w:proofErr w:type="spellEnd"/>
            <w:r w:rsidRPr="000A3B14">
              <w:rPr>
                <w:rFonts w:ascii="Book Antiqua" w:hAnsi="Book Antiqua" w:cs="Times New Roman"/>
                <w:b w:val="0"/>
                <w:bCs w:val="0"/>
                <w:sz w:val="24"/>
              </w:rPr>
              <w:t>/mL)</w:t>
            </w:r>
          </w:p>
        </w:tc>
        <w:tc>
          <w:tcPr>
            <w:tcW w:w="1417" w:type="dxa"/>
            <w:shd w:val="clear" w:color="auto" w:fill="auto"/>
          </w:tcPr>
          <w:p w14:paraId="7F260625"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1.022</w:t>
            </w:r>
          </w:p>
        </w:tc>
        <w:tc>
          <w:tcPr>
            <w:tcW w:w="1701" w:type="dxa"/>
            <w:shd w:val="clear" w:color="auto" w:fill="auto"/>
          </w:tcPr>
          <w:p w14:paraId="70C6A4E3"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1.005–1.038</w:t>
            </w:r>
          </w:p>
        </w:tc>
        <w:tc>
          <w:tcPr>
            <w:tcW w:w="992" w:type="dxa"/>
            <w:shd w:val="clear" w:color="auto" w:fill="auto"/>
          </w:tcPr>
          <w:p w14:paraId="0FB09B85"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0.187</w:t>
            </w:r>
          </w:p>
        </w:tc>
        <w:tc>
          <w:tcPr>
            <w:tcW w:w="1418" w:type="dxa"/>
            <w:shd w:val="clear" w:color="auto" w:fill="auto"/>
          </w:tcPr>
          <w:p w14:paraId="054AE4F5"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shd w:val="clear" w:color="auto" w:fill="auto"/>
          </w:tcPr>
          <w:p w14:paraId="253E41DA"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shd w:val="clear" w:color="auto" w:fill="auto"/>
          </w:tcPr>
          <w:p w14:paraId="60712089"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0F2FCBD0"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8FFA521" w14:textId="77777777" w:rsidR="00DB73B8" w:rsidRPr="000A3B14" w:rsidRDefault="00DB73B8" w:rsidP="00FD2E95">
            <w:pPr>
              <w:snapToGrid w:val="0"/>
              <w:spacing w:line="360" w:lineRule="auto"/>
              <w:rPr>
                <w:rFonts w:ascii="Book Antiqua" w:hAnsi="Book Antiqua" w:cs="Times New Roman"/>
                <w:b w:val="0"/>
                <w:sz w:val="24"/>
              </w:rPr>
            </w:pPr>
            <w:r w:rsidRPr="000A3B14">
              <w:rPr>
                <w:rFonts w:ascii="Book Antiqua" w:hAnsi="Book Antiqua" w:cs="Times New Roman"/>
                <w:b w:val="0"/>
                <w:bCs w:val="0"/>
                <w:sz w:val="24"/>
              </w:rPr>
              <w:t>MELD</w:t>
            </w:r>
          </w:p>
        </w:tc>
        <w:tc>
          <w:tcPr>
            <w:tcW w:w="1417" w:type="dxa"/>
            <w:shd w:val="clear" w:color="auto" w:fill="auto"/>
          </w:tcPr>
          <w:p w14:paraId="526EA9CB"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1.422</w:t>
            </w:r>
          </w:p>
        </w:tc>
        <w:tc>
          <w:tcPr>
            <w:tcW w:w="1701" w:type="dxa"/>
            <w:shd w:val="clear" w:color="auto" w:fill="auto"/>
          </w:tcPr>
          <w:p w14:paraId="7A74C38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1.038–2.693</w:t>
            </w:r>
          </w:p>
        </w:tc>
        <w:tc>
          <w:tcPr>
            <w:tcW w:w="992" w:type="dxa"/>
            <w:shd w:val="clear" w:color="auto" w:fill="auto"/>
          </w:tcPr>
          <w:p w14:paraId="6C7E4319"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0.001</w:t>
            </w:r>
          </w:p>
        </w:tc>
        <w:tc>
          <w:tcPr>
            <w:tcW w:w="1418" w:type="dxa"/>
            <w:shd w:val="clear" w:color="auto" w:fill="auto"/>
          </w:tcPr>
          <w:p w14:paraId="42E0F850"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1.132</w:t>
            </w:r>
          </w:p>
        </w:tc>
        <w:tc>
          <w:tcPr>
            <w:tcW w:w="1701" w:type="dxa"/>
            <w:shd w:val="clear" w:color="auto" w:fill="auto"/>
          </w:tcPr>
          <w:p w14:paraId="4BA2F3F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1.046</w:t>
            </w:r>
            <w:r w:rsidR="000A3B14">
              <w:rPr>
                <w:rFonts w:ascii="Book Antiqua" w:hAnsi="Book Antiqua" w:cs="Times New Roman" w:hint="eastAsia"/>
                <w:sz w:val="24"/>
              </w:rPr>
              <w:t>-</w:t>
            </w:r>
            <w:r w:rsidRPr="000A3B14">
              <w:rPr>
                <w:rFonts w:ascii="Book Antiqua" w:hAnsi="Book Antiqua" w:cs="Times New Roman"/>
                <w:sz w:val="24"/>
              </w:rPr>
              <w:t>1.396</w:t>
            </w:r>
          </w:p>
        </w:tc>
        <w:tc>
          <w:tcPr>
            <w:tcW w:w="992" w:type="dxa"/>
            <w:shd w:val="clear" w:color="auto" w:fill="auto"/>
          </w:tcPr>
          <w:p w14:paraId="45775CCC"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0.001</w:t>
            </w:r>
          </w:p>
        </w:tc>
      </w:tr>
      <w:tr w:rsidR="000A3B14" w:rsidRPr="000A3B14" w14:paraId="6F083126"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7AAABE7" w14:textId="77777777" w:rsidR="00DB73B8" w:rsidRPr="000A3B14" w:rsidRDefault="00DB73B8" w:rsidP="00FD2E95">
            <w:pPr>
              <w:snapToGrid w:val="0"/>
              <w:spacing w:line="360" w:lineRule="auto"/>
              <w:rPr>
                <w:rFonts w:ascii="Book Antiqua" w:hAnsi="Book Antiqua" w:cs="Times New Roman"/>
                <w:b w:val="0"/>
                <w:sz w:val="24"/>
              </w:rPr>
            </w:pPr>
            <w:proofErr w:type="spellStart"/>
            <w:r w:rsidRPr="000A3B14">
              <w:rPr>
                <w:rFonts w:ascii="Book Antiqua" w:hAnsi="Book Antiqua" w:cs="Times New Roman"/>
                <w:b w:val="0"/>
                <w:bCs w:val="0"/>
                <w:sz w:val="24"/>
              </w:rPr>
              <w:t>sMR</w:t>
            </w:r>
            <w:proofErr w:type="spellEnd"/>
            <w:r w:rsidRPr="000A3B14">
              <w:rPr>
                <w:rFonts w:ascii="Book Antiqua" w:hAnsi="Book Antiqua" w:cs="Times New Roman"/>
                <w:b w:val="0"/>
                <w:bCs w:val="0"/>
                <w:sz w:val="24"/>
              </w:rPr>
              <w:t xml:space="preserve"> (</w:t>
            </w:r>
            <w:proofErr w:type="spellStart"/>
            <w:r w:rsidRPr="000A3B14">
              <w:rPr>
                <w:rFonts w:ascii="Book Antiqua" w:hAnsi="Book Antiqua" w:cs="Times New Roman"/>
                <w:b w:val="0"/>
                <w:bCs w:val="0"/>
                <w:sz w:val="24"/>
              </w:rPr>
              <w:t>pg</w:t>
            </w:r>
            <w:proofErr w:type="spellEnd"/>
            <w:r w:rsidRPr="000A3B14">
              <w:rPr>
                <w:rFonts w:ascii="Book Antiqua" w:hAnsi="Book Antiqua" w:cs="Times New Roman"/>
                <w:b w:val="0"/>
                <w:bCs w:val="0"/>
                <w:sz w:val="24"/>
              </w:rPr>
              <w:t>/mL)</w:t>
            </w:r>
          </w:p>
        </w:tc>
        <w:tc>
          <w:tcPr>
            <w:tcW w:w="1417" w:type="dxa"/>
            <w:shd w:val="clear" w:color="auto" w:fill="auto"/>
          </w:tcPr>
          <w:p w14:paraId="29917F62"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1.062</w:t>
            </w:r>
          </w:p>
        </w:tc>
        <w:tc>
          <w:tcPr>
            <w:tcW w:w="1701" w:type="dxa"/>
            <w:shd w:val="clear" w:color="auto" w:fill="auto"/>
          </w:tcPr>
          <w:p w14:paraId="4DD08A7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1.005–1.038</w:t>
            </w:r>
          </w:p>
        </w:tc>
        <w:tc>
          <w:tcPr>
            <w:tcW w:w="992" w:type="dxa"/>
            <w:shd w:val="clear" w:color="auto" w:fill="auto"/>
          </w:tcPr>
          <w:p w14:paraId="545E174E"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0.001</w:t>
            </w:r>
          </w:p>
        </w:tc>
        <w:tc>
          <w:tcPr>
            <w:tcW w:w="1418" w:type="dxa"/>
            <w:shd w:val="clear" w:color="auto" w:fill="auto"/>
          </w:tcPr>
          <w:p w14:paraId="38B0FE20"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1.007</w:t>
            </w:r>
          </w:p>
        </w:tc>
        <w:tc>
          <w:tcPr>
            <w:tcW w:w="1701" w:type="dxa"/>
            <w:shd w:val="clear" w:color="auto" w:fill="auto"/>
          </w:tcPr>
          <w:p w14:paraId="7911F5F3"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1.004</w:t>
            </w:r>
            <w:r w:rsidR="000A3B14">
              <w:rPr>
                <w:rFonts w:ascii="Book Antiqua" w:hAnsi="Book Antiqua" w:cs="Times New Roman" w:hint="eastAsia"/>
                <w:sz w:val="24"/>
              </w:rPr>
              <w:t>-</w:t>
            </w:r>
            <w:r w:rsidRPr="000A3B14">
              <w:rPr>
                <w:rFonts w:ascii="Book Antiqua" w:hAnsi="Book Antiqua" w:cs="Times New Roman"/>
                <w:sz w:val="24"/>
              </w:rPr>
              <w:t>1.012</w:t>
            </w:r>
          </w:p>
        </w:tc>
        <w:tc>
          <w:tcPr>
            <w:tcW w:w="992" w:type="dxa"/>
            <w:shd w:val="clear" w:color="auto" w:fill="auto"/>
          </w:tcPr>
          <w:p w14:paraId="411573CC"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0.001</w:t>
            </w:r>
          </w:p>
        </w:tc>
      </w:tr>
    </w:tbl>
    <w:p w14:paraId="2852690E" w14:textId="1C862EC2" w:rsidR="00DB73B8" w:rsidRPr="00A94F32" w:rsidRDefault="00DB73B8" w:rsidP="00FD2E95">
      <w:pPr>
        <w:snapToGrid w:val="0"/>
        <w:spacing w:line="360" w:lineRule="auto"/>
        <w:rPr>
          <w:rFonts w:ascii="Book Antiqua" w:hAnsi="Book Antiqua"/>
          <w:sz w:val="24"/>
        </w:rPr>
      </w:pPr>
      <w:r w:rsidRPr="00A94F32">
        <w:rPr>
          <w:rFonts w:ascii="Book Antiqua" w:hAnsi="Book Antiqua" w:cs="Times New Roman"/>
          <w:sz w:val="24"/>
        </w:rPr>
        <w:t>HBV</w:t>
      </w:r>
      <w:r w:rsidR="000A3B14">
        <w:rPr>
          <w:rFonts w:ascii="Book Antiqua" w:hAnsi="Book Antiqua" w:cs="Times New Roman" w:hint="eastAsia"/>
          <w:sz w:val="24"/>
        </w:rPr>
        <w:t>:</w:t>
      </w:r>
      <w:r w:rsidRPr="00A94F32">
        <w:rPr>
          <w:rFonts w:ascii="Book Antiqua" w:hAnsi="Book Antiqua" w:cs="Times New Roman"/>
          <w:sz w:val="24"/>
        </w:rPr>
        <w:t xml:space="preserve"> </w:t>
      </w:r>
      <w:r w:rsidR="000A3B14" w:rsidRPr="00A94F32">
        <w:rPr>
          <w:rFonts w:ascii="Book Antiqua" w:hAnsi="Book Antiqua" w:cs="Times New Roman"/>
          <w:sz w:val="24"/>
        </w:rPr>
        <w:t>H</w:t>
      </w:r>
      <w:r w:rsidRPr="00A94F32">
        <w:rPr>
          <w:rFonts w:ascii="Book Antiqua" w:hAnsi="Book Antiqua" w:cs="Times New Roman"/>
          <w:sz w:val="24"/>
        </w:rPr>
        <w:t xml:space="preserve">epatitis B virus; </w:t>
      </w:r>
      <w:r w:rsidRPr="00A94F32">
        <w:rPr>
          <w:rFonts w:ascii="Book Antiqua" w:hAnsi="Book Antiqua" w:cs="Times New Roman"/>
          <w:bCs/>
          <w:sz w:val="24"/>
        </w:rPr>
        <w:t>ACLF</w:t>
      </w:r>
      <w:r w:rsidR="000A3B14">
        <w:rPr>
          <w:rFonts w:ascii="Book Antiqua" w:hAnsi="Book Antiqua" w:cs="Times New Roman" w:hint="eastAsia"/>
          <w:bCs/>
          <w:sz w:val="24"/>
        </w:rPr>
        <w:t>:</w:t>
      </w:r>
      <w:r w:rsidRPr="00A94F32">
        <w:rPr>
          <w:rFonts w:ascii="Book Antiqua" w:hAnsi="Book Antiqua" w:cs="Times New Roman"/>
          <w:bCs/>
          <w:sz w:val="24"/>
        </w:rPr>
        <w:t xml:space="preserve"> </w:t>
      </w:r>
      <w:r w:rsidR="000A3B14" w:rsidRPr="00A94F32">
        <w:rPr>
          <w:rFonts w:ascii="Book Antiqua" w:hAnsi="Book Antiqua" w:cs="Times New Roman"/>
          <w:sz w:val="24"/>
        </w:rPr>
        <w:t>A</w:t>
      </w:r>
      <w:r w:rsidRPr="00A94F32">
        <w:rPr>
          <w:rFonts w:ascii="Book Antiqua" w:hAnsi="Book Antiqua" w:cs="Times New Roman"/>
          <w:sz w:val="24"/>
        </w:rPr>
        <w:t xml:space="preserve">cute-on-chronic liver failure. </w:t>
      </w:r>
      <w:r w:rsidR="0066785E">
        <w:rPr>
          <w:rFonts w:ascii="Book Antiqua" w:hAnsi="Book Antiqua" w:cs="Times New Roman" w:hint="eastAsia"/>
          <w:sz w:val="24"/>
        </w:rPr>
        <w:t xml:space="preserve">OR: </w:t>
      </w:r>
      <w:r w:rsidR="0066785E" w:rsidRPr="000A3B14">
        <w:rPr>
          <w:rFonts w:ascii="Book Antiqua" w:hAnsi="Book Antiqua" w:cs="Times New Roman"/>
          <w:sz w:val="24"/>
        </w:rPr>
        <w:t>Odds ratio</w:t>
      </w:r>
      <w:r w:rsidR="0066785E">
        <w:rPr>
          <w:rFonts w:ascii="Book Antiqua" w:hAnsi="Book Antiqua" w:cs="Times New Roman" w:hint="eastAsia"/>
          <w:sz w:val="24"/>
        </w:rPr>
        <w:t>;</w:t>
      </w:r>
      <w:r w:rsidR="0066785E" w:rsidRPr="00A94F32">
        <w:rPr>
          <w:rFonts w:ascii="Book Antiqua" w:hAnsi="Book Antiqua" w:cs="Times New Roman"/>
          <w:sz w:val="24"/>
        </w:rPr>
        <w:t xml:space="preserve"> </w:t>
      </w:r>
      <w:r w:rsidRPr="00A94F32">
        <w:rPr>
          <w:rFonts w:ascii="Book Antiqua" w:hAnsi="Book Antiqua" w:cs="Times New Roman"/>
          <w:sz w:val="24"/>
        </w:rPr>
        <w:t>CI</w:t>
      </w:r>
      <w:r w:rsidR="000A3B14">
        <w:rPr>
          <w:rFonts w:ascii="Book Antiqua" w:hAnsi="Book Antiqua" w:cs="Times New Roman" w:hint="eastAsia"/>
          <w:sz w:val="24"/>
        </w:rPr>
        <w:t>:</w:t>
      </w:r>
      <w:r w:rsidRPr="00A94F32">
        <w:rPr>
          <w:rFonts w:ascii="Book Antiqua" w:hAnsi="Book Antiqua" w:cs="Times New Roman"/>
          <w:sz w:val="24"/>
        </w:rPr>
        <w:t xml:space="preserve"> </w:t>
      </w:r>
      <w:r w:rsidR="000A3B14" w:rsidRPr="00A94F32">
        <w:rPr>
          <w:rFonts w:ascii="Book Antiqua" w:hAnsi="Book Antiqua" w:cs="Times New Roman"/>
          <w:sz w:val="24"/>
        </w:rPr>
        <w:t>C</w:t>
      </w:r>
      <w:r w:rsidRPr="00A94F32">
        <w:rPr>
          <w:rFonts w:ascii="Book Antiqua" w:hAnsi="Book Antiqua" w:cs="Times New Roman"/>
          <w:sz w:val="24"/>
        </w:rPr>
        <w:t xml:space="preserve">onfidence interval; </w:t>
      </w:r>
      <w:r w:rsidRPr="00A94F32">
        <w:rPr>
          <w:rFonts w:ascii="Book Antiqua" w:hAnsi="Book Antiqua" w:cs="Times New Roman"/>
          <w:bCs/>
          <w:sz w:val="24"/>
        </w:rPr>
        <w:t>ALB</w:t>
      </w:r>
      <w:r w:rsidR="000A3B14">
        <w:rPr>
          <w:rFonts w:ascii="Book Antiqua" w:hAnsi="Book Antiqua" w:cs="Times New Roman" w:hint="eastAsia"/>
          <w:bCs/>
          <w:sz w:val="24"/>
        </w:rPr>
        <w:t>:</w:t>
      </w:r>
      <w:r w:rsidRPr="00A94F32">
        <w:rPr>
          <w:rFonts w:ascii="Book Antiqua" w:hAnsi="Book Antiqua" w:cs="Times New Roman"/>
          <w:bCs/>
          <w:sz w:val="24"/>
        </w:rPr>
        <w:t xml:space="preserve"> </w:t>
      </w:r>
      <w:r w:rsidR="000A3B14" w:rsidRPr="00A94F32">
        <w:rPr>
          <w:rFonts w:ascii="Book Antiqua" w:hAnsi="Book Antiqua" w:cs="Times New Roman"/>
          <w:bCs/>
          <w:sz w:val="24"/>
        </w:rPr>
        <w:t>A</w:t>
      </w:r>
      <w:r w:rsidRPr="00A94F32">
        <w:rPr>
          <w:rFonts w:ascii="Book Antiqua" w:hAnsi="Book Antiqua" w:cs="Times New Roman"/>
          <w:bCs/>
          <w:sz w:val="24"/>
        </w:rPr>
        <w:t>lbu</w:t>
      </w:r>
      <w:bookmarkStart w:id="62" w:name="_GoBack"/>
      <w:r w:rsidRPr="00A94F32">
        <w:rPr>
          <w:rFonts w:ascii="Book Antiqua" w:hAnsi="Book Antiqua" w:cs="Times New Roman"/>
          <w:bCs/>
          <w:sz w:val="24"/>
        </w:rPr>
        <w:t>min; PCT</w:t>
      </w:r>
      <w:r w:rsidR="000A3B14">
        <w:rPr>
          <w:rFonts w:ascii="Book Antiqua" w:hAnsi="Book Antiqua" w:cs="Times New Roman" w:hint="eastAsia"/>
          <w:bCs/>
          <w:sz w:val="24"/>
        </w:rPr>
        <w:t>:</w:t>
      </w:r>
      <w:r w:rsidRPr="00A94F32">
        <w:rPr>
          <w:rFonts w:ascii="Book Antiqua" w:hAnsi="Book Antiqua" w:cs="Times New Roman"/>
          <w:bCs/>
          <w:sz w:val="24"/>
        </w:rPr>
        <w:t xml:space="preserve"> </w:t>
      </w:r>
      <w:proofErr w:type="spellStart"/>
      <w:r w:rsidR="000A3B14" w:rsidRPr="00A94F32">
        <w:rPr>
          <w:rFonts w:ascii="Book Antiqua" w:hAnsi="Book Antiqua" w:cs="Times New Roman"/>
          <w:bCs/>
          <w:sz w:val="24"/>
        </w:rPr>
        <w:t>P</w:t>
      </w:r>
      <w:r w:rsidRPr="00A94F32">
        <w:rPr>
          <w:rFonts w:ascii="Book Antiqua" w:hAnsi="Book Antiqua" w:cs="Times New Roman"/>
          <w:bCs/>
          <w:sz w:val="24"/>
        </w:rPr>
        <w:t>rocalcitonin</w:t>
      </w:r>
      <w:proofErr w:type="spellEnd"/>
      <w:r w:rsidRPr="00A94F32">
        <w:rPr>
          <w:rFonts w:ascii="Book Antiqua" w:hAnsi="Book Antiqua" w:cs="Times New Roman"/>
          <w:bCs/>
          <w:sz w:val="24"/>
        </w:rPr>
        <w:t>; IL-6</w:t>
      </w:r>
      <w:r w:rsidR="000A3B14">
        <w:rPr>
          <w:rFonts w:ascii="Book Antiqua" w:hAnsi="Book Antiqua" w:cs="Times New Roman" w:hint="eastAsia"/>
          <w:bCs/>
          <w:sz w:val="24"/>
        </w:rPr>
        <w:t>:</w:t>
      </w:r>
      <w:r w:rsidRPr="00A94F32">
        <w:rPr>
          <w:rFonts w:ascii="Book Antiqua" w:hAnsi="Book Antiqua" w:cs="Times New Roman"/>
          <w:bCs/>
          <w:sz w:val="24"/>
        </w:rPr>
        <w:t xml:space="preserve"> </w:t>
      </w:r>
      <w:r w:rsidR="00215647" w:rsidRPr="00A94F32">
        <w:rPr>
          <w:rFonts w:ascii="Book Antiqua" w:hAnsi="Book Antiqua" w:cs="Times New Roman"/>
          <w:bCs/>
          <w:sz w:val="24"/>
        </w:rPr>
        <w:t>Interleukin</w:t>
      </w:r>
      <w:r w:rsidR="00215647">
        <w:rPr>
          <w:rFonts w:ascii="Book Antiqua" w:hAnsi="Book Antiqua" w:cs="Times New Roman"/>
          <w:bCs/>
          <w:sz w:val="24"/>
        </w:rPr>
        <w:t>-</w:t>
      </w:r>
      <w:r w:rsidRPr="00A94F32">
        <w:rPr>
          <w:rFonts w:ascii="Book Antiqua" w:hAnsi="Book Antiqua" w:cs="Times New Roman"/>
          <w:bCs/>
          <w:sz w:val="24"/>
        </w:rPr>
        <w:t>6; MELD</w:t>
      </w:r>
      <w:r w:rsidR="00E20161">
        <w:rPr>
          <w:rFonts w:ascii="Book Antiqua" w:hAnsi="Book Antiqua" w:cs="Times New Roman" w:hint="eastAsia"/>
          <w:bCs/>
          <w:sz w:val="24"/>
        </w:rPr>
        <w:t>:</w:t>
      </w:r>
      <w:r w:rsidRPr="00A94F32">
        <w:rPr>
          <w:rFonts w:ascii="Book Antiqua" w:hAnsi="Book Antiqua" w:cs="Times New Roman"/>
          <w:bCs/>
          <w:sz w:val="24"/>
        </w:rPr>
        <w:t xml:space="preserve"> </w:t>
      </w:r>
      <w:r w:rsidR="00E20161" w:rsidRPr="00A94F32">
        <w:rPr>
          <w:rFonts w:ascii="Book Antiqua" w:hAnsi="Book Antiqua" w:cs="Times New Roman"/>
          <w:bCs/>
          <w:sz w:val="24"/>
        </w:rPr>
        <w:t>M</w:t>
      </w:r>
      <w:r w:rsidRPr="00A94F32">
        <w:rPr>
          <w:rFonts w:ascii="Book Antiqua" w:hAnsi="Book Antiqua" w:cs="Times New Roman"/>
          <w:bCs/>
          <w:sz w:val="24"/>
        </w:rPr>
        <w:t>odel for end-stage l</w:t>
      </w:r>
      <w:bookmarkEnd w:id="62"/>
      <w:r w:rsidRPr="00A94F32">
        <w:rPr>
          <w:rFonts w:ascii="Book Antiqua" w:hAnsi="Book Antiqua" w:cs="Times New Roman"/>
          <w:bCs/>
          <w:sz w:val="24"/>
        </w:rPr>
        <w:t xml:space="preserve">iver disease; </w:t>
      </w:r>
      <w:proofErr w:type="spellStart"/>
      <w:r w:rsidRPr="00A94F32">
        <w:rPr>
          <w:rFonts w:ascii="Book Antiqua" w:hAnsi="Book Antiqua" w:cs="Times New Roman"/>
          <w:bCs/>
          <w:sz w:val="24"/>
        </w:rPr>
        <w:t>sMR</w:t>
      </w:r>
      <w:proofErr w:type="spellEnd"/>
      <w:r w:rsidR="00E20161">
        <w:rPr>
          <w:rFonts w:ascii="Book Antiqua" w:hAnsi="Book Antiqua" w:cs="Times New Roman" w:hint="eastAsia"/>
          <w:bCs/>
          <w:sz w:val="24"/>
        </w:rPr>
        <w:t>:</w:t>
      </w:r>
      <w:r w:rsidRPr="00A94F32">
        <w:rPr>
          <w:rFonts w:ascii="Book Antiqua" w:hAnsi="Book Antiqua" w:cs="Times New Roman"/>
          <w:bCs/>
          <w:sz w:val="24"/>
        </w:rPr>
        <w:t xml:space="preserve"> </w:t>
      </w:r>
      <w:r w:rsidR="00E20161" w:rsidRPr="00A94F32">
        <w:rPr>
          <w:rFonts w:ascii="Book Antiqua" w:hAnsi="Book Antiqua" w:cs="Times New Roman"/>
          <w:bCs/>
          <w:sz w:val="24"/>
        </w:rPr>
        <w:t>S</w:t>
      </w:r>
      <w:r w:rsidRPr="00A94F32">
        <w:rPr>
          <w:rFonts w:ascii="Book Antiqua" w:hAnsi="Book Antiqua" w:cs="Times New Roman"/>
          <w:bCs/>
          <w:sz w:val="24"/>
        </w:rPr>
        <w:t>oluble mannose receptor.</w:t>
      </w:r>
    </w:p>
    <w:sectPr w:rsidR="00DB73B8" w:rsidRPr="00A94F32">
      <w:headerReference w:type="default" r:id="rId16"/>
      <w:footerReference w:type="default" r:id="rId17"/>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5428E" w14:textId="77777777" w:rsidR="00A63ECC" w:rsidRDefault="00A63ECC">
      <w:r>
        <w:separator/>
      </w:r>
    </w:p>
  </w:endnote>
  <w:endnote w:type="continuationSeparator" w:id="0">
    <w:p w14:paraId="7DCE5BF5" w14:textId="77777777" w:rsidR="00A63ECC" w:rsidRDefault="00A6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等线">
    <w:altName w:val="Arial Unicode MS"/>
    <w:charset w:val="86"/>
    <w:family w:val="auto"/>
    <w:pitch w:val="default"/>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150031"/>
      <w:docPartObj>
        <w:docPartGallery w:val="Page Numbers (Bottom of Page)"/>
        <w:docPartUnique/>
      </w:docPartObj>
    </w:sdtPr>
    <w:sdtContent>
      <w:p w14:paraId="54113140" w14:textId="73D2E8E5" w:rsidR="008736B7" w:rsidRDefault="008736B7">
        <w:pPr>
          <w:pStyle w:val="a6"/>
          <w:jc w:val="center"/>
        </w:pPr>
        <w:r>
          <w:fldChar w:fldCharType="begin"/>
        </w:r>
        <w:r>
          <w:instrText>PAGE   \* MERGEFORMAT</w:instrText>
        </w:r>
        <w:r>
          <w:fldChar w:fldCharType="separate"/>
        </w:r>
        <w:r w:rsidR="00E175F4" w:rsidRPr="00E175F4">
          <w:rPr>
            <w:noProof/>
            <w:lang w:val="zh-CN"/>
          </w:rPr>
          <w:t>25</w:t>
        </w:r>
        <w:r>
          <w:fldChar w:fldCharType="end"/>
        </w:r>
      </w:p>
    </w:sdtContent>
  </w:sdt>
  <w:p w14:paraId="329B4D13" w14:textId="77777777" w:rsidR="008736B7" w:rsidRDefault="008736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BF9C9" w14:textId="77777777" w:rsidR="00A63ECC" w:rsidRDefault="00A63ECC">
      <w:r>
        <w:separator/>
      </w:r>
    </w:p>
  </w:footnote>
  <w:footnote w:type="continuationSeparator" w:id="0">
    <w:p w14:paraId="2D428D21" w14:textId="77777777" w:rsidR="00A63ECC" w:rsidRDefault="00A63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5C56" w14:textId="77777777" w:rsidR="008736B7" w:rsidRDefault="008736B7">
    <w:pPr>
      <w:pStyle w:val="a7"/>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F5AA"/>
    <w:multiLevelType w:val="singleLevel"/>
    <w:tmpl w:val="29E2F5AA"/>
    <w:lvl w:ilvl="0">
      <w:start w:val="1"/>
      <w:numFmt w:val="upperLetter"/>
      <w:suff w:val="space"/>
      <w:lvlText w:val="(%1)"/>
      <w:lvlJc w:val="left"/>
      <w:rPr>
        <w:b w:val="0"/>
        <w:sz w:val="18"/>
        <w:szCs w:val="18"/>
      </w:rPr>
    </w:lvl>
  </w:abstractNum>
  <w:abstractNum w:abstractNumId="1" w15:restartNumberingAfterBreak="0">
    <w:nsid w:val="44F77271"/>
    <w:multiLevelType w:val="hybridMultilevel"/>
    <w:tmpl w:val="7A741E02"/>
    <w:lvl w:ilvl="0" w:tplc="5B62467C">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 Res&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axtte01dwt5ue2se9505skrw95rdwasz2f&quot;&gt;我的EndNote库&lt;record-ids&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7&lt;/item&gt;&lt;/record-ids&gt;&lt;/item&gt;&lt;/Libraries&gt;"/>
  </w:docVars>
  <w:rsids>
    <w:rsidRoot w:val="5C892AD5"/>
    <w:rsid w:val="000077B8"/>
    <w:rsid w:val="00011F23"/>
    <w:rsid w:val="000230EB"/>
    <w:rsid w:val="0003251F"/>
    <w:rsid w:val="00043E04"/>
    <w:rsid w:val="00060E89"/>
    <w:rsid w:val="00072D36"/>
    <w:rsid w:val="00084FB8"/>
    <w:rsid w:val="000857E5"/>
    <w:rsid w:val="0009761A"/>
    <w:rsid w:val="000A3B14"/>
    <w:rsid w:val="000A5CFC"/>
    <w:rsid w:val="0012289A"/>
    <w:rsid w:val="00125394"/>
    <w:rsid w:val="00125CB1"/>
    <w:rsid w:val="00160996"/>
    <w:rsid w:val="00215647"/>
    <w:rsid w:val="0022657C"/>
    <w:rsid w:val="00237058"/>
    <w:rsid w:val="00254E66"/>
    <w:rsid w:val="002652EF"/>
    <w:rsid w:val="0026534F"/>
    <w:rsid w:val="002A3B17"/>
    <w:rsid w:val="002A751C"/>
    <w:rsid w:val="002D751E"/>
    <w:rsid w:val="00316A89"/>
    <w:rsid w:val="003477CA"/>
    <w:rsid w:val="00361CC6"/>
    <w:rsid w:val="003801F1"/>
    <w:rsid w:val="003A2C42"/>
    <w:rsid w:val="003B4489"/>
    <w:rsid w:val="003F1448"/>
    <w:rsid w:val="003F3CE7"/>
    <w:rsid w:val="00414968"/>
    <w:rsid w:val="00423E88"/>
    <w:rsid w:val="00436345"/>
    <w:rsid w:val="00470819"/>
    <w:rsid w:val="00476DC7"/>
    <w:rsid w:val="004939AD"/>
    <w:rsid w:val="004D438B"/>
    <w:rsid w:val="004E681F"/>
    <w:rsid w:val="005101BB"/>
    <w:rsid w:val="005154E2"/>
    <w:rsid w:val="005251BC"/>
    <w:rsid w:val="00556F61"/>
    <w:rsid w:val="00580DE3"/>
    <w:rsid w:val="005816EF"/>
    <w:rsid w:val="005F0EC0"/>
    <w:rsid w:val="005F4D6E"/>
    <w:rsid w:val="00637D5C"/>
    <w:rsid w:val="006506C4"/>
    <w:rsid w:val="0066785E"/>
    <w:rsid w:val="006A32F7"/>
    <w:rsid w:val="006A789A"/>
    <w:rsid w:val="006B705D"/>
    <w:rsid w:val="006C31E2"/>
    <w:rsid w:val="006C7B53"/>
    <w:rsid w:val="006D5D15"/>
    <w:rsid w:val="006D79EA"/>
    <w:rsid w:val="006F41B8"/>
    <w:rsid w:val="00713ACC"/>
    <w:rsid w:val="00760994"/>
    <w:rsid w:val="00767661"/>
    <w:rsid w:val="007801E8"/>
    <w:rsid w:val="00784B56"/>
    <w:rsid w:val="007877A0"/>
    <w:rsid w:val="00792F31"/>
    <w:rsid w:val="007B0A8D"/>
    <w:rsid w:val="007B7D7F"/>
    <w:rsid w:val="007C1437"/>
    <w:rsid w:val="007C1F21"/>
    <w:rsid w:val="007F264B"/>
    <w:rsid w:val="00803D68"/>
    <w:rsid w:val="00816C40"/>
    <w:rsid w:val="00835195"/>
    <w:rsid w:val="00856DB3"/>
    <w:rsid w:val="00862428"/>
    <w:rsid w:val="008711CC"/>
    <w:rsid w:val="008736B7"/>
    <w:rsid w:val="00897F7A"/>
    <w:rsid w:val="008A212E"/>
    <w:rsid w:val="008B17A6"/>
    <w:rsid w:val="008B7C78"/>
    <w:rsid w:val="008E2A5E"/>
    <w:rsid w:val="008E30B4"/>
    <w:rsid w:val="008F2B1C"/>
    <w:rsid w:val="00923194"/>
    <w:rsid w:val="009434C8"/>
    <w:rsid w:val="00975A6A"/>
    <w:rsid w:val="009807C5"/>
    <w:rsid w:val="009B732B"/>
    <w:rsid w:val="00A101CF"/>
    <w:rsid w:val="00A63ECC"/>
    <w:rsid w:val="00A85574"/>
    <w:rsid w:val="00A94F32"/>
    <w:rsid w:val="00AA34A8"/>
    <w:rsid w:val="00AA4EF8"/>
    <w:rsid w:val="00AB6A9A"/>
    <w:rsid w:val="00B11E2B"/>
    <w:rsid w:val="00B550FB"/>
    <w:rsid w:val="00B63F23"/>
    <w:rsid w:val="00B73314"/>
    <w:rsid w:val="00B75633"/>
    <w:rsid w:val="00B84C05"/>
    <w:rsid w:val="00B90FA0"/>
    <w:rsid w:val="00BC3C6D"/>
    <w:rsid w:val="00BC5EE9"/>
    <w:rsid w:val="00BE2530"/>
    <w:rsid w:val="00C27448"/>
    <w:rsid w:val="00C566E2"/>
    <w:rsid w:val="00C56DEB"/>
    <w:rsid w:val="00C67C93"/>
    <w:rsid w:val="00C74966"/>
    <w:rsid w:val="00C94F2F"/>
    <w:rsid w:val="00D04563"/>
    <w:rsid w:val="00D27CAE"/>
    <w:rsid w:val="00D63309"/>
    <w:rsid w:val="00D81AFA"/>
    <w:rsid w:val="00DA0CF6"/>
    <w:rsid w:val="00DA728C"/>
    <w:rsid w:val="00DB73B8"/>
    <w:rsid w:val="00DC1232"/>
    <w:rsid w:val="00E05CB6"/>
    <w:rsid w:val="00E175F4"/>
    <w:rsid w:val="00E20161"/>
    <w:rsid w:val="00E532FB"/>
    <w:rsid w:val="00E614E6"/>
    <w:rsid w:val="00E855C8"/>
    <w:rsid w:val="00EB6A88"/>
    <w:rsid w:val="00EC1C46"/>
    <w:rsid w:val="00ED136E"/>
    <w:rsid w:val="00ED2680"/>
    <w:rsid w:val="00EE23A9"/>
    <w:rsid w:val="00EE794B"/>
    <w:rsid w:val="00EF2377"/>
    <w:rsid w:val="00EF5EDF"/>
    <w:rsid w:val="00F0115C"/>
    <w:rsid w:val="00F03BE6"/>
    <w:rsid w:val="00F54FFA"/>
    <w:rsid w:val="00F608D5"/>
    <w:rsid w:val="00F911AD"/>
    <w:rsid w:val="00F91F93"/>
    <w:rsid w:val="00F93F28"/>
    <w:rsid w:val="00F9666D"/>
    <w:rsid w:val="00FA547A"/>
    <w:rsid w:val="00FB2350"/>
    <w:rsid w:val="00FC32EA"/>
    <w:rsid w:val="00FC3AD9"/>
    <w:rsid w:val="00FD2E95"/>
    <w:rsid w:val="00FE6316"/>
    <w:rsid w:val="029C5532"/>
    <w:rsid w:val="046825D8"/>
    <w:rsid w:val="05AD5793"/>
    <w:rsid w:val="068B3D1E"/>
    <w:rsid w:val="08E91D5E"/>
    <w:rsid w:val="0C7C7F99"/>
    <w:rsid w:val="13951CF0"/>
    <w:rsid w:val="15BB36D8"/>
    <w:rsid w:val="15F42E10"/>
    <w:rsid w:val="160429A2"/>
    <w:rsid w:val="174C3383"/>
    <w:rsid w:val="18970466"/>
    <w:rsid w:val="1AF26B3F"/>
    <w:rsid w:val="1B0C0484"/>
    <w:rsid w:val="1BB82E06"/>
    <w:rsid w:val="1FB21A59"/>
    <w:rsid w:val="20725C53"/>
    <w:rsid w:val="221761BF"/>
    <w:rsid w:val="22246510"/>
    <w:rsid w:val="222740D7"/>
    <w:rsid w:val="26A0141F"/>
    <w:rsid w:val="27314C8A"/>
    <w:rsid w:val="2BE35B8C"/>
    <w:rsid w:val="2C4343C7"/>
    <w:rsid w:val="2D620B4A"/>
    <w:rsid w:val="2E0E30A5"/>
    <w:rsid w:val="2E3F1413"/>
    <w:rsid w:val="2F354F3F"/>
    <w:rsid w:val="2F50114F"/>
    <w:rsid w:val="346648CE"/>
    <w:rsid w:val="347C33A2"/>
    <w:rsid w:val="355B021D"/>
    <w:rsid w:val="35821185"/>
    <w:rsid w:val="360479E8"/>
    <w:rsid w:val="37F852F1"/>
    <w:rsid w:val="381E4094"/>
    <w:rsid w:val="386203A2"/>
    <w:rsid w:val="3A1553F6"/>
    <w:rsid w:val="3D481A7F"/>
    <w:rsid w:val="3E3A1D3D"/>
    <w:rsid w:val="4094771A"/>
    <w:rsid w:val="411D479D"/>
    <w:rsid w:val="426F745B"/>
    <w:rsid w:val="44100F7F"/>
    <w:rsid w:val="463E6CF3"/>
    <w:rsid w:val="4E4E3FDC"/>
    <w:rsid w:val="4E73353C"/>
    <w:rsid w:val="4EA2099D"/>
    <w:rsid w:val="524F0198"/>
    <w:rsid w:val="54551D72"/>
    <w:rsid w:val="55774977"/>
    <w:rsid w:val="59AB3047"/>
    <w:rsid w:val="59D85501"/>
    <w:rsid w:val="5B993745"/>
    <w:rsid w:val="5BC24D3F"/>
    <w:rsid w:val="5C892AD5"/>
    <w:rsid w:val="5D031D9A"/>
    <w:rsid w:val="5EED2400"/>
    <w:rsid w:val="5FC37EFD"/>
    <w:rsid w:val="60E343CC"/>
    <w:rsid w:val="653B6CE4"/>
    <w:rsid w:val="65C90DCB"/>
    <w:rsid w:val="67C557E6"/>
    <w:rsid w:val="683F7A87"/>
    <w:rsid w:val="6CD3241E"/>
    <w:rsid w:val="6DAF36A3"/>
    <w:rsid w:val="6E550C1C"/>
    <w:rsid w:val="6EC10B74"/>
    <w:rsid w:val="701D6797"/>
    <w:rsid w:val="723C53BD"/>
    <w:rsid w:val="72586C88"/>
    <w:rsid w:val="73943256"/>
    <w:rsid w:val="76792BC5"/>
    <w:rsid w:val="77D7202E"/>
    <w:rsid w:val="78CA455A"/>
    <w:rsid w:val="79D163E6"/>
    <w:rsid w:val="7B692FCD"/>
    <w:rsid w:val="7E1E2114"/>
    <w:rsid w:val="7E5436B8"/>
    <w:rsid w:val="7FFF4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58247"/>
  <w15:docId w15:val="{E164748C-67D1-4A72-B7D3-08753F3D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ody Text"/>
    <w:basedOn w:val="a"/>
    <w:link w:val="Char0"/>
    <w:uiPriority w:val="99"/>
    <w:qFormat/>
    <w:rPr>
      <w:rFonts w:ascii="Times New Roman" w:eastAsia="宋体" w:hAnsi="Times New Roman" w:cs="Times New Roman"/>
      <w:kern w:val="0"/>
      <w:sz w:val="20"/>
      <w:szCs w:val="20"/>
    </w:r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Char3"/>
    <w:qFormat/>
    <w:rPr>
      <w:b/>
      <w:bCs/>
    </w:rPr>
  </w:style>
  <w:style w:type="character" w:styleId="aa">
    <w:name w:val="Strong"/>
    <w:basedOn w:val="a0"/>
    <w:uiPriority w:val="22"/>
    <w:qFormat/>
    <w:rPr>
      <w:b/>
      <w:bCs/>
    </w:rPr>
  </w:style>
  <w:style w:type="character" w:styleId="ab">
    <w:name w:val="Hyperlink"/>
    <w:uiPriority w:val="99"/>
    <w:qFormat/>
    <w:rPr>
      <w:rFonts w:cs="Times New Roman"/>
      <w:color w:val="0000FF"/>
      <w:u w:val="single"/>
    </w:rPr>
  </w:style>
  <w:style w:type="character" w:styleId="ac">
    <w:name w:val="annotation reference"/>
    <w:basedOn w:val="a0"/>
    <w:uiPriority w:val="99"/>
    <w:qFormat/>
    <w:rPr>
      <w:sz w:val="21"/>
      <w:szCs w:val="21"/>
    </w:rPr>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0"/>
    <w:link w:val="EndNoteBibliographyTitle"/>
    <w:qFormat/>
    <w:rPr>
      <w:rFonts w:asciiTheme="minorHAnsi" w:eastAsiaTheme="minorEastAsia" w:hAnsiTheme="minorHAnsi" w:cstheme="minorBidi"/>
      <w:kern w:val="2"/>
      <w:szCs w:val="24"/>
    </w:rPr>
  </w:style>
  <w:style w:type="paragraph" w:customStyle="1" w:styleId="EndNoteBibliography">
    <w:name w:val="EndNote Bibliography"/>
    <w:basedOn w:val="a"/>
    <w:link w:val="EndNoteBibliographyChar"/>
    <w:qFormat/>
    <w:rPr>
      <w:sz w:val="20"/>
    </w:rPr>
  </w:style>
  <w:style w:type="character" w:customStyle="1" w:styleId="EndNoteBibliographyChar">
    <w:name w:val="EndNote Bibliography Char"/>
    <w:basedOn w:val="a0"/>
    <w:link w:val="EndNoteBibliography"/>
    <w:qFormat/>
    <w:rPr>
      <w:rFonts w:asciiTheme="minorHAnsi" w:eastAsiaTheme="minorEastAsia" w:hAnsiTheme="minorHAnsi" w:cstheme="minorBidi"/>
      <w:kern w:val="2"/>
      <w:szCs w:val="24"/>
    </w:rPr>
  </w:style>
  <w:style w:type="table" w:customStyle="1" w:styleId="21">
    <w:name w:val="无格式表格 21"/>
    <w:basedOn w:val="a1"/>
    <w:uiPriority w:val="42"/>
    <w:qFormat/>
    <w:rPr>
      <w:rFonts w:asciiTheme="minorHAnsi" w:eastAsiaTheme="minorEastAsia" w:hAnsiTheme="minorHAnsi" w:cstheme="minorBidi"/>
      <w:kern w:val="2"/>
      <w:sz w:val="21"/>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List Paragraph"/>
    <w:basedOn w:val="a"/>
    <w:uiPriority w:val="99"/>
    <w:qFormat/>
    <w:pPr>
      <w:ind w:firstLineChars="200" w:firstLine="420"/>
    </w:p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4"/>
    </w:rPr>
  </w:style>
  <w:style w:type="character" w:customStyle="1" w:styleId="Char3">
    <w:name w:val="批注主题 Char"/>
    <w:basedOn w:val="Char"/>
    <w:link w:val="a9"/>
    <w:qFormat/>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hps">
    <w:name w:val="hps"/>
    <w:qFormat/>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Char0">
    <w:name w:val="正文文本 Char"/>
    <w:basedOn w:val="a0"/>
    <w:link w:val="a4"/>
    <w:uiPriority w:val="99"/>
    <w:qFormat/>
  </w:style>
  <w:style w:type="character" w:customStyle="1" w:styleId="Char2">
    <w:name w:val="页脚 Char"/>
    <w:basedOn w:val="a0"/>
    <w:link w:val="a6"/>
    <w:uiPriority w:val="99"/>
    <w:rsid w:val="00784B56"/>
    <w:rPr>
      <w:rFonts w:asciiTheme="minorHAnsi" w:eastAsiaTheme="minorEastAsia" w:hAnsiTheme="minorHAnsi" w:cstheme="minorBidi"/>
      <w:kern w:val="2"/>
      <w:sz w:val="18"/>
      <w:szCs w:val="24"/>
    </w:rPr>
  </w:style>
  <w:style w:type="paragraph" w:styleId="ae">
    <w:name w:val="Revision"/>
    <w:hidden/>
    <w:uiPriority w:val="99"/>
    <w:unhideWhenUsed/>
    <w:rsid w:val="006A32F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4539</Words>
  <Characters>25876</Characters>
  <Application>Microsoft Office Word</Application>
  <DocSecurity>0</DocSecurity>
  <Lines>215</Lines>
  <Paragraphs>60</Paragraphs>
  <ScaleCrop>false</ScaleCrop>
  <Company>Hewlett-Packard Company</Company>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李太平</dc:creator>
  <cp:lastModifiedBy>Wang Tianqi</cp:lastModifiedBy>
  <cp:revision>3</cp:revision>
  <dcterms:created xsi:type="dcterms:W3CDTF">2019-09-16T23:35:00Z</dcterms:created>
  <dcterms:modified xsi:type="dcterms:W3CDTF">2019-09-17T00:52:00Z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