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16A7A" w14:textId="162C2D61" w:rsidR="00F07AA2" w:rsidRPr="00053796" w:rsidRDefault="00F07AA2" w:rsidP="00053796">
      <w:pPr>
        <w:snapToGrid w:val="0"/>
        <w:spacing w:line="360" w:lineRule="auto"/>
        <w:jc w:val="both"/>
        <w:rPr>
          <w:rFonts w:ascii="Book Antiqua" w:hAnsi="Book Antiqua"/>
        </w:rPr>
      </w:pPr>
      <w:r w:rsidRPr="00053796">
        <w:rPr>
          <w:rFonts w:ascii="Book Antiqua" w:hAnsi="Book Antiqua"/>
          <w:b/>
        </w:rPr>
        <w:t>Name of Journal</w:t>
      </w:r>
      <w:r w:rsidRPr="00053796">
        <w:rPr>
          <w:rFonts w:ascii="Book Antiqua" w:hAnsi="Book Antiqua"/>
        </w:rPr>
        <w:t xml:space="preserve">: </w:t>
      </w:r>
      <w:r w:rsidRPr="00053796">
        <w:rPr>
          <w:rFonts w:ascii="Book Antiqua" w:hAnsi="Book Antiqua"/>
          <w:i/>
        </w:rPr>
        <w:t xml:space="preserve">World Journal of </w:t>
      </w:r>
      <w:bookmarkStart w:id="0" w:name="OLE_LINK24"/>
      <w:r w:rsidRPr="00053796">
        <w:rPr>
          <w:rFonts w:ascii="Book Antiqua" w:hAnsi="Book Antiqua"/>
          <w:i/>
        </w:rPr>
        <w:t>Orthopedics</w:t>
      </w:r>
    </w:p>
    <w:bookmarkEnd w:id="0"/>
    <w:p w14:paraId="4FFEA9B4" w14:textId="46325567" w:rsidR="00F07AA2" w:rsidRPr="00053796" w:rsidRDefault="00F07AA2" w:rsidP="00053796">
      <w:pPr>
        <w:snapToGrid w:val="0"/>
        <w:spacing w:line="360" w:lineRule="auto"/>
        <w:jc w:val="both"/>
        <w:rPr>
          <w:rFonts w:ascii="Book Antiqua" w:hAnsi="Book Antiqua"/>
        </w:rPr>
      </w:pPr>
      <w:r w:rsidRPr="00053796">
        <w:rPr>
          <w:rFonts w:ascii="Book Antiqua" w:eastAsia="Book Antiqua" w:hAnsi="Book Antiqua"/>
          <w:b/>
        </w:rPr>
        <w:t xml:space="preserve">Manuscript NO: </w:t>
      </w:r>
      <w:r w:rsidR="00A75239" w:rsidRPr="00A75239">
        <w:rPr>
          <w:rFonts w:ascii="Book Antiqua" w:eastAsiaTheme="minorEastAsia" w:hAnsi="Book Antiqua"/>
          <w:lang w:eastAsia="zh-CN"/>
        </w:rPr>
        <w:t>50870</w:t>
      </w:r>
    </w:p>
    <w:p w14:paraId="77C140FE" w14:textId="77777777" w:rsidR="00F07AA2" w:rsidRPr="00053796" w:rsidRDefault="00F07AA2" w:rsidP="00053796">
      <w:pPr>
        <w:snapToGrid w:val="0"/>
        <w:spacing w:line="360" w:lineRule="auto"/>
        <w:jc w:val="both"/>
        <w:rPr>
          <w:rFonts w:ascii="Book Antiqua" w:hAnsi="Book Antiqua"/>
        </w:rPr>
      </w:pPr>
      <w:r w:rsidRPr="00053796">
        <w:rPr>
          <w:rFonts w:ascii="Book Antiqua" w:hAnsi="Book Antiqua"/>
          <w:b/>
        </w:rPr>
        <w:t>Manuscript Type</w:t>
      </w:r>
      <w:r w:rsidRPr="00053796">
        <w:rPr>
          <w:rFonts w:ascii="Book Antiqua" w:hAnsi="Book Antiqua"/>
        </w:rPr>
        <w:t>: ORIGINAL ARTICLE</w:t>
      </w:r>
    </w:p>
    <w:p w14:paraId="4BE751F9" w14:textId="77777777" w:rsidR="00F07AA2" w:rsidRPr="00053796" w:rsidRDefault="00F07AA2" w:rsidP="00053796">
      <w:pPr>
        <w:snapToGrid w:val="0"/>
        <w:spacing w:line="360" w:lineRule="auto"/>
        <w:jc w:val="both"/>
        <w:rPr>
          <w:rFonts w:ascii="Book Antiqua" w:hAnsi="Book Antiqua"/>
        </w:rPr>
      </w:pPr>
    </w:p>
    <w:p w14:paraId="64E24D67" w14:textId="2C747281" w:rsidR="00F07AA2" w:rsidRPr="00053796" w:rsidRDefault="00F07AA2" w:rsidP="00053796">
      <w:pPr>
        <w:snapToGrid w:val="0"/>
        <w:spacing w:line="360" w:lineRule="auto"/>
        <w:jc w:val="both"/>
        <w:rPr>
          <w:rFonts w:ascii="Book Antiqua" w:hAnsi="Book Antiqua"/>
          <w:b/>
          <w:bCs/>
          <w:i/>
          <w:iCs/>
        </w:rPr>
      </w:pPr>
      <w:r w:rsidRPr="00053796">
        <w:rPr>
          <w:rFonts w:ascii="Book Antiqua" w:hAnsi="Book Antiqua"/>
          <w:b/>
          <w:bCs/>
          <w:i/>
          <w:iCs/>
        </w:rPr>
        <w:t>Basic Study</w:t>
      </w:r>
    </w:p>
    <w:p w14:paraId="24290787" w14:textId="45EDE44E" w:rsidR="00427F05" w:rsidRPr="00053796" w:rsidRDefault="00427F05" w:rsidP="00053796">
      <w:pPr>
        <w:pStyle w:val="NoSpacing"/>
        <w:spacing w:line="360" w:lineRule="auto"/>
        <w:jc w:val="both"/>
        <w:rPr>
          <w:rFonts w:ascii="Book Antiqua" w:hAnsi="Book Antiqua" w:cs="Times New Roman"/>
          <w:sz w:val="24"/>
          <w:szCs w:val="24"/>
        </w:rPr>
      </w:pPr>
      <w:bookmarkStart w:id="1" w:name="OLE_LINK14"/>
      <w:r w:rsidRPr="00053796">
        <w:rPr>
          <w:rFonts w:ascii="Book Antiqua" w:hAnsi="Book Antiqua" w:cs="Times New Roman"/>
          <w:b/>
          <w:sz w:val="24"/>
          <w:szCs w:val="24"/>
        </w:rPr>
        <w:t>Pilot</w:t>
      </w:r>
      <w:r w:rsidR="00F07AA2" w:rsidRPr="00053796">
        <w:rPr>
          <w:rFonts w:ascii="Book Antiqua" w:hAnsi="Book Antiqua" w:cs="Times New Roman"/>
          <w:b/>
          <w:sz w:val="24"/>
          <w:szCs w:val="24"/>
        </w:rPr>
        <w:t xml:space="preserve"> study of a novel serum m</w:t>
      </w:r>
      <w:r w:rsidR="00F07AA2" w:rsidRPr="00053796">
        <w:rPr>
          <w:rFonts w:ascii="Book Antiqua" w:hAnsi="Book Antiqua" w:cs="Times New Roman"/>
          <w:b/>
          <w:caps/>
          <w:sz w:val="24"/>
          <w:szCs w:val="24"/>
        </w:rPr>
        <w:t>rna</w:t>
      </w:r>
      <w:r w:rsidR="00F07AA2" w:rsidRPr="00053796">
        <w:rPr>
          <w:rFonts w:ascii="Book Antiqua" w:hAnsi="Book Antiqua" w:cs="Times New Roman"/>
          <w:b/>
          <w:sz w:val="24"/>
          <w:szCs w:val="24"/>
        </w:rPr>
        <w:t xml:space="preserve"> gene panel for diagnosis of acute septic arthritis</w:t>
      </w:r>
    </w:p>
    <w:bookmarkEnd w:id="1"/>
    <w:p w14:paraId="55129B16" w14:textId="77777777" w:rsidR="00427F05" w:rsidRPr="00053796" w:rsidRDefault="00427F05" w:rsidP="00053796">
      <w:pPr>
        <w:pStyle w:val="NoSpacing"/>
        <w:spacing w:line="360" w:lineRule="auto"/>
        <w:jc w:val="both"/>
        <w:rPr>
          <w:rFonts w:ascii="Book Antiqua" w:hAnsi="Book Antiqua" w:cs="Times New Roman"/>
          <w:sz w:val="24"/>
          <w:szCs w:val="24"/>
        </w:rPr>
      </w:pPr>
    </w:p>
    <w:p w14:paraId="03817652" w14:textId="07A2457A" w:rsidR="00427F05" w:rsidRPr="00053796" w:rsidRDefault="00F07AA2" w:rsidP="00053796">
      <w:pPr>
        <w:pStyle w:val="NoSpacing"/>
        <w:spacing w:line="360" w:lineRule="auto"/>
        <w:jc w:val="both"/>
        <w:rPr>
          <w:rFonts w:ascii="Book Antiqua" w:hAnsi="Book Antiqua" w:cs="Times New Roman"/>
          <w:b/>
          <w:sz w:val="24"/>
          <w:szCs w:val="24"/>
        </w:rPr>
      </w:pPr>
      <w:r w:rsidRPr="00053796">
        <w:rPr>
          <w:rFonts w:ascii="Book Antiqua" w:hAnsi="Book Antiqua"/>
          <w:sz w:val="24"/>
          <w:szCs w:val="24"/>
        </w:rPr>
        <w:t>Schultz</w:t>
      </w:r>
      <w:r w:rsidRPr="00053796">
        <w:rPr>
          <w:rFonts w:ascii="Book Antiqua" w:hAnsi="Book Antiqua" w:cs="Times New Roman"/>
          <w:b/>
          <w:sz w:val="24"/>
          <w:szCs w:val="24"/>
        </w:rPr>
        <w:t xml:space="preserve"> </w:t>
      </w:r>
      <w:r w:rsidRPr="00053796">
        <w:rPr>
          <w:rFonts w:ascii="Book Antiqua" w:hAnsi="Book Antiqua" w:cs="Times New Roman"/>
          <w:bCs/>
          <w:sz w:val="24"/>
          <w:szCs w:val="24"/>
        </w:rPr>
        <w:t xml:space="preserve">BJ </w:t>
      </w:r>
      <w:r w:rsidRPr="00053796">
        <w:rPr>
          <w:rFonts w:ascii="Book Antiqua" w:hAnsi="Book Antiqua" w:cs="Times New Roman"/>
          <w:bCs/>
          <w:i/>
          <w:iCs/>
          <w:sz w:val="24"/>
          <w:szCs w:val="24"/>
        </w:rPr>
        <w:t>et al</w:t>
      </w:r>
      <w:r w:rsidRPr="00053796">
        <w:rPr>
          <w:rFonts w:ascii="Book Antiqua" w:hAnsi="Book Antiqua" w:cs="Times New Roman"/>
          <w:bCs/>
          <w:sz w:val="24"/>
          <w:szCs w:val="24"/>
        </w:rPr>
        <w:t xml:space="preserve">. </w:t>
      </w:r>
      <w:bookmarkStart w:id="2" w:name="OLE_LINK15"/>
      <w:r w:rsidR="00427F05" w:rsidRPr="00053796">
        <w:rPr>
          <w:rFonts w:ascii="Book Antiqua" w:hAnsi="Book Antiqua" w:cs="Times New Roman"/>
          <w:bCs/>
          <w:sz w:val="24"/>
          <w:szCs w:val="24"/>
        </w:rPr>
        <w:t xml:space="preserve">Serum mRNA </w:t>
      </w:r>
      <w:r w:rsidRPr="00053796">
        <w:rPr>
          <w:rFonts w:ascii="Book Antiqua" w:hAnsi="Book Antiqua" w:cs="Times New Roman"/>
          <w:bCs/>
          <w:sz w:val="24"/>
          <w:szCs w:val="24"/>
        </w:rPr>
        <w:t>diagnostic for septic arthritis</w:t>
      </w:r>
    </w:p>
    <w:bookmarkEnd w:id="2"/>
    <w:p w14:paraId="6C8B008E" w14:textId="77777777" w:rsidR="00F07AA2" w:rsidRPr="00053796" w:rsidRDefault="00F07AA2" w:rsidP="00053796">
      <w:pPr>
        <w:spacing w:line="360" w:lineRule="auto"/>
        <w:jc w:val="both"/>
        <w:rPr>
          <w:rFonts w:ascii="Book Antiqua" w:hAnsi="Book Antiqua"/>
        </w:rPr>
      </w:pPr>
    </w:p>
    <w:p w14:paraId="18A4DE0A" w14:textId="2AE4D416" w:rsidR="00427F05" w:rsidRPr="00053796" w:rsidRDefault="00427F05" w:rsidP="00053796">
      <w:pPr>
        <w:spacing w:line="360" w:lineRule="auto"/>
        <w:jc w:val="both"/>
        <w:rPr>
          <w:rFonts w:ascii="Book Antiqua" w:hAnsi="Book Antiqua"/>
          <w:vertAlign w:val="superscript"/>
        </w:rPr>
      </w:pPr>
      <w:r w:rsidRPr="00053796">
        <w:rPr>
          <w:rFonts w:ascii="Book Antiqua" w:hAnsi="Book Antiqua"/>
        </w:rPr>
        <w:t xml:space="preserve">Blake J Schultz, Timothy Sweeney, Malcolm R </w:t>
      </w:r>
      <w:proofErr w:type="spellStart"/>
      <w:r w:rsidRPr="00053796">
        <w:rPr>
          <w:rFonts w:ascii="Book Antiqua" w:hAnsi="Book Antiqua"/>
        </w:rPr>
        <w:t>DeBaun</w:t>
      </w:r>
      <w:proofErr w:type="spellEnd"/>
      <w:r w:rsidRPr="00053796">
        <w:rPr>
          <w:rFonts w:ascii="Book Antiqua" w:hAnsi="Book Antiqua"/>
        </w:rPr>
        <w:t xml:space="preserve">, Melissa </w:t>
      </w:r>
      <w:proofErr w:type="spellStart"/>
      <w:r w:rsidRPr="00053796">
        <w:rPr>
          <w:rFonts w:ascii="Book Antiqua" w:hAnsi="Book Antiqua"/>
        </w:rPr>
        <w:t>Remmel</w:t>
      </w:r>
      <w:proofErr w:type="spellEnd"/>
      <w:r w:rsidRPr="00053796">
        <w:rPr>
          <w:rFonts w:ascii="Book Antiqua" w:hAnsi="Book Antiqua"/>
        </w:rPr>
        <w:t xml:space="preserve">, </w:t>
      </w:r>
      <w:proofErr w:type="spellStart"/>
      <w:r w:rsidRPr="00053796">
        <w:rPr>
          <w:rFonts w:ascii="Book Antiqua" w:hAnsi="Book Antiqua"/>
        </w:rPr>
        <w:t>Uros</w:t>
      </w:r>
      <w:proofErr w:type="spellEnd"/>
      <w:r w:rsidRPr="00053796">
        <w:rPr>
          <w:rFonts w:ascii="Book Antiqua" w:hAnsi="Book Antiqua"/>
        </w:rPr>
        <w:t xml:space="preserve"> </w:t>
      </w:r>
      <w:proofErr w:type="spellStart"/>
      <w:r w:rsidRPr="00053796">
        <w:rPr>
          <w:rFonts w:ascii="Book Antiqua" w:hAnsi="Book Antiqua"/>
        </w:rPr>
        <w:t>Midic</w:t>
      </w:r>
      <w:proofErr w:type="spellEnd"/>
      <w:r w:rsidRPr="00053796">
        <w:rPr>
          <w:rFonts w:ascii="Book Antiqua" w:hAnsi="Book Antiqua"/>
        </w:rPr>
        <w:t xml:space="preserve">, </w:t>
      </w:r>
      <w:proofErr w:type="spellStart"/>
      <w:r w:rsidRPr="00053796">
        <w:rPr>
          <w:rFonts w:ascii="Book Antiqua" w:hAnsi="Book Antiqua"/>
        </w:rPr>
        <w:t>Purvesh</w:t>
      </w:r>
      <w:proofErr w:type="spellEnd"/>
      <w:r w:rsidRPr="00053796">
        <w:rPr>
          <w:rFonts w:ascii="Book Antiqua" w:hAnsi="Book Antiqua"/>
        </w:rPr>
        <w:t xml:space="preserve"> Khatri, </w:t>
      </w:r>
      <w:bookmarkStart w:id="3" w:name="OLE_LINK1"/>
      <w:bookmarkStart w:id="4" w:name="OLE_LINK2"/>
      <w:r w:rsidRPr="00053796">
        <w:rPr>
          <w:rFonts w:ascii="Book Antiqua" w:hAnsi="Book Antiqua"/>
        </w:rPr>
        <w:t>Michael J Gardner</w:t>
      </w:r>
      <w:bookmarkEnd w:id="3"/>
      <w:bookmarkEnd w:id="4"/>
    </w:p>
    <w:p w14:paraId="07E6EC98" w14:textId="77777777" w:rsidR="00427F05" w:rsidRPr="00053796" w:rsidRDefault="00427F05" w:rsidP="00053796">
      <w:pPr>
        <w:spacing w:line="360" w:lineRule="auto"/>
        <w:jc w:val="both"/>
        <w:rPr>
          <w:rFonts w:ascii="Book Antiqua" w:hAnsi="Book Antiqua"/>
        </w:rPr>
      </w:pPr>
    </w:p>
    <w:p w14:paraId="7C646F6B" w14:textId="57FB3A7E" w:rsidR="00BC4FCB" w:rsidRPr="00053796" w:rsidRDefault="00F07AA2" w:rsidP="00053796">
      <w:pPr>
        <w:pStyle w:val="ListParagraph"/>
        <w:spacing w:line="360" w:lineRule="auto"/>
        <w:ind w:left="0"/>
        <w:jc w:val="both"/>
        <w:rPr>
          <w:rFonts w:ascii="Book Antiqua" w:hAnsi="Book Antiqua"/>
          <w:shd w:val="clear" w:color="auto" w:fill="FFFFFF"/>
        </w:rPr>
      </w:pPr>
      <w:r w:rsidRPr="00053796">
        <w:rPr>
          <w:rFonts w:ascii="Book Antiqua" w:hAnsi="Book Antiqua"/>
          <w:b/>
          <w:bCs/>
        </w:rPr>
        <w:t>Blake J Schultz</w:t>
      </w:r>
      <w:r w:rsidRPr="00053796">
        <w:rPr>
          <w:rFonts w:ascii="Book Antiqua" w:eastAsia="Times New Roman" w:hAnsi="Book Antiqua" w:cs="Times New Roman"/>
          <w:b/>
          <w:bCs/>
          <w:shd w:val="clear" w:color="auto" w:fill="FFFFFF"/>
        </w:rPr>
        <w:t>,</w:t>
      </w:r>
      <w:r w:rsidRPr="00053796">
        <w:rPr>
          <w:rFonts w:ascii="Book Antiqua" w:eastAsia="Times New Roman" w:hAnsi="Book Antiqua" w:cs="Times New Roman"/>
          <w:shd w:val="clear" w:color="auto" w:fill="FFFFFF"/>
        </w:rPr>
        <w:t xml:space="preserve"> </w:t>
      </w:r>
      <w:r w:rsidRPr="00053796">
        <w:rPr>
          <w:rFonts w:ascii="Book Antiqua" w:hAnsi="Book Antiqua"/>
          <w:b/>
          <w:bCs/>
        </w:rPr>
        <w:t>Malcolm R DeBaun</w:t>
      </w:r>
      <w:r w:rsidRPr="00053796">
        <w:rPr>
          <w:rFonts w:ascii="Book Antiqua" w:eastAsia="Times New Roman" w:hAnsi="Book Antiqua" w:cs="Times New Roman"/>
          <w:b/>
          <w:bCs/>
          <w:shd w:val="clear" w:color="auto" w:fill="FFFFFF"/>
        </w:rPr>
        <w:t xml:space="preserve">, </w:t>
      </w:r>
      <w:r w:rsidRPr="00053796">
        <w:rPr>
          <w:rFonts w:ascii="Book Antiqua" w:hAnsi="Book Antiqua"/>
          <w:b/>
          <w:bCs/>
        </w:rPr>
        <w:t>Michael J Gardner</w:t>
      </w:r>
      <w:r w:rsidRPr="00053796">
        <w:rPr>
          <w:rFonts w:ascii="Book Antiqua" w:eastAsia="Times New Roman" w:hAnsi="Book Antiqua" w:cs="Times New Roman"/>
          <w:shd w:val="clear" w:color="auto" w:fill="FFFFFF"/>
        </w:rPr>
        <w:t xml:space="preserve">, </w:t>
      </w:r>
      <w:r w:rsidR="00427F05" w:rsidRPr="00053796">
        <w:rPr>
          <w:rFonts w:ascii="Book Antiqua" w:eastAsia="Times New Roman" w:hAnsi="Book Antiqua" w:cs="Times New Roman"/>
          <w:shd w:val="clear" w:color="auto" w:fill="FFFFFF"/>
        </w:rPr>
        <w:t>Department of Orthopedic Surgery</w:t>
      </w:r>
      <w:r w:rsidRPr="00053796">
        <w:rPr>
          <w:rFonts w:ascii="Book Antiqua" w:eastAsia="Times New Roman" w:hAnsi="Book Antiqua" w:cs="Times New Roman"/>
          <w:shd w:val="clear" w:color="auto" w:fill="FFFFFF"/>
        </w:rPr>
        <w:t>,</w:t>
      </w:r>
      <w:r w:rsidR="00BC4FCB" w:rsidRPr="00053796">
        <w:rPr>
          <w:rFonts w:ascii="Book Antiqua" w:eastAsia="Times New Roman" w:hAnsi="Book Antiqua" w:cs="Times New Roman"/>
          <w:shd w:val="clear" w:color="auto" w:fill="FFFFFF"/>
        </w:rPr>
        <w:t xml:space="preserve"> </w:t>
      </w:r>
      <w:r w:rsidR="00E74E1A" w:rsidRPr="00053796">
        <w:rPr>
          <w:rFonts w:ascii="Book Antiqua" w:eastAsia="Times New Roman" w:hAnsi="Book Antiqua" w:cs="Times New Roman"/>
          <w:shd w:val="clear" w:color="auto" w:fill="FFFFFF"/>
        </w:rPr>
        <w:t xml:space="preserve">Stanford University, Redwood City, </w:t>
      </w:r>
      <w:r w:rsidR="00427F05" w:rsidRPr="00053796">
        <w:rPr>
          <w:rFonts w:ascii="Book Antiqua" w:hAnsi="Book Antiqua"/>
          <w:shd w:val="clear" w:color="auto" w:fill="FFFFFF"/>
        </w:rPr>
        <w:t>CA 94063</w:t>
      </w:r>
      <w:r w:rsidR="00BC4FCB" w:rsidRPr="00053796">
        <w:rPr>
          <w:rFonts w:ascii="Book Antiqua" w:hAnsi="Book Antiqua"/>
          <w:shd w:val="clear" w:color="auto" w:fill="FFFFFF"/>
        </w:rPr>
        <w:t xml:space="preserve">, </w:t>
      </w:r>
      <w:bookmarkStart w:id="5" w:name="OLE_LINK3"/>
      <w:r w:rsidR="00BC4FCB" w:rsidRPr="00053796">
        <w:rPr>
          <w:rFonts w:ascii="Book Antiqua" w:hAnsi="Book Antiqua"/>
          <w:shd w:val="clear" w:color="auto" w:fill="FFFFFF"/>
        </w:rPr>
        <w:t>United States</w:t>
      </w:r>
      <w:bookmarkEnd w:id="5"/>
    </w:p>
    <w:p w14:paraId="02008E80" w14:textId="77777777" w:rsidR="00427F05" w:rsidRPr="00053796" w:rsidRDefault="00427F05" w:rsidP="00053796">
      <w:pPr>
        <w:spacing w:line="360" w:lineRule="auto"/>
        <w:jc w:val="both"/>
        <w:rPr>
          <w:rFonts w:ascii="Book Antiqua" w:hAnsi="Book Antiqua"/>
        </w:rPr>
      </w:pPr>
    </w:p>
    <w:p w14:paraId="1E670404" w14:textId="59720BE4" w:rsidR="00427F05" w:rsidRPr="00053796" w:rsidRDefault="00BC4FCB" w:rsidP="00053796">
      <w:pPr>
        <w:pStyle w:val="ListParagraph"/>
        <w:spacing w:line="360" w:lineRule="auto"/>
        <w:ind w:left="0"/>
        <w:jc w:val="both"/>
        <w:rPr>
          <w:rFonts w:ascii="Book Antiqua" w:hAnsi="Book Antiqua" w:cs="Times New Roman"/>
        </w:rPr>
      </w:pPr>
      <w:r w:rsidRPr="00053796">
        <w:rPr>
          <w:rFonts w:ascii="Book Antiqua" w:hAnsi="Book Antiqua"/>
          <w:b/>
          <w:bCs/>
        </w:rPr>
        <w:t>Timothy Sweeney</w:t>
      </w:r>
      <w:r w:rsidRPr="00053796">
        <w:rPr>
          <w:rFonts w:ascii="Book Antiqua" w:hAnsi="Book Antiqua" w:cs="Times New Roman"/>
          <w:b/>
          <w:bCs/>
        </w:rPr>
        <w:t>,</w:t>
      </w:r>
      <w:r w:rsidRPr="00053796">
        <w:rPr>
          <w:rFonts w:ascii="Book Antiqua" w:hAnsi="Book Antiqua" w:cs="Times New Roman"/>
        </w:rPr>
        <w:t xml:space="preserve"> </w:t>
      </w:r>
      <w:r w:rsidRPr="00053796">
        <w:rPr>
          <w:rFonts w:ascii="Book Antiqua" w:hAnsi="Book Antiqua"/>
          <w:b/>
          <w:bCs/>
        </w:rPr>
        <w:t xml:space="preserve">Melissa </w:t>
      </w:r>
      <w:proofErr w:type="spellStart"/>
      <w:r w:rsidRPr="00053796">
        <w:rPr>
          <w:rFonts w:ascii="Book Antiqua" w:hAnsi="Book Antiqua"/>
          <w:b/>
          <w:bCs/>
        </w:rPr>
        <w:t>Remmel</w:t>
      </w:r>
      <w:proofErr w:type="spellEnd"/>
      <w:r w:rsidRPr="00053796">
        <w:rPr>
          <w:rFonts w:ascii="Book Antiqua" w:hAnsi="Book Antiqua" w:cs="Times New Roman"/>
        </w:rPr>
        <w:t xml:space="preserve">, </w:t>
      </w:r>
      <w:proofErr w:type="spellStart"/>
      <w:r w:rsidRPr="00053796">
        <w:rPr>
          <w:rFonts w:ascii="Book Antiqua" w:hAnsi="Book Antiqua"/>
          <w:b/>
          <w:bCs/>
        </w:rPr>
        <w:t>Uros</w:t>
      </w:r>
      <w:proofErr w:type="spellEnd"/>
      <w:r w:rsidRPr="00053796">
        <w:rPr>
          <w:rFonts w:ascii="Book Antiqua" w:hAnsi="Book Antiqua"/>
          <w:b/>
          <w:bCs/>
        </w:rPr>
        <w:t xml:space="preserve"> </w:t>
      </w:r>
      <w:proofErr w:type="spellStart"/>
      <w:r w:rsidRPr="00053796">
        <w:rPr>
          <w:rFonts w:ascii="Book Antiqua" w:hAnsi="Book Antiqua"/>
          <w:b/>
          <w:bCs/>
        </w:rPr>
        <w:t>Midic</w:t>
      </w:r>
      <w:proofErr w:type="spellEnd"/>
      <w:r w:rsidRPr="00053796">
        <w:rPr>
          <w:rFonts w:ascii="Book Antiqua" w:hAnsi="Book Antiqua"/>
          <w:b/>
          <w:bCs/>
        </w:rPr>
        <w:t>,</w:t>
      </w:r>
      <w:r w:rsidRPr="00053796">
        <w:rPr>
          <w:rFonts w:ascii="Book Antiqua" w:eastAsiaTheme="minorEastAsia" w:hAnsi="Book Antiqua" w:cs="Times New Roman"/>
          <w:lang w:eastAsia="zh-CN"/>
        </w:rPr>
        <w:t xml:space="preserve"> </w:t>
      </w:r>
      <w:proofErr w:type="spellStart"/>
      <w:r w:rsidRPr="00053796">
        <w:rPr>
          <w:rFonts w:ascii="Book Antiqua" w:eastAsiaTheme="minorEastAsia" w:hAnsi="Book Antiqua" w:cs="Times New Roman"/>
          <w:lang w:eastAsia="zh-CN"/>
        </w:rPr>
        <w:t>Inflammatix</w:t>
      </w:r>
      <w:proofErr w:type="spellEnd"/>
      <w:r w:rsidRPr="00053796">
        <w:rPr>
          <w:rFonts w:ascii="Book Antiqua" w:eastAsiaTheme="minorEastAsia" w:hAnsi="Book Antiqua" w:cs="Times New Roman"/>
          <w:lang w:eastAsia="zh-CN"/>
        </w:rPr>
        <w:t>, Inc</w:t>
      </w:r>
      <w:r w:rsidRPr="00053796">
        <w:rPr>
          <w:rFonts w:ascii="Book Antiqua" w:hAnsi="Book Antiqua" w:cs="Times New Roman"/>
        </w:rPr>
        <w:t xml:space="preserve">, </w:t>
      </w:r>
      <w:r w:rsidR="00427F05" w:rsidRPr="00053796">
        <w:rPr>
          <w:rFonts w:ascii="Book Antiqua" w:hAnsi="Book Antiqua" w:cs="Times New Roman"/>
        </w:rPr>
        <w:t>863 Mitten Road, Suite 104</w:t>
      </w:r>
      <w:r w:rsidRPr="00053796">
        <w:rPr>
          <w:rFonts w:ascii="Book Antiqua" w:hAnsi="Book Antiqua" w:cs="Times New Roman"/>
        </w:rPr>
        <w:t>,</w:t>
      </w:r>
      <w:r w:rsidR="00427F05" w:rsidRPr="00053796">
        <w:rPr>
          <w:rFonts w:ascii="Book Antiqua" w:hAnsi="Book Antiqua" w:cs="Times New Roman"/>
        </w:rPr>
        <w:t xml:space="preserve"> Burlingame, CA 94010</w:t>
      </w:r>
      <w:r w:rsidRPr="00053796">
        <w:rPr>
          <w:rFonts w:ascii="Book Antiqua" w:hAnsi="Book Antiqua" w:cs="Times New Roman"/>
        </w:rPr>
        <w:t>,</w:t>
      </w:r>
      <w:r w:rsidRPr="00053796">
        <w:rPr>
          <w:rFonts w:ascii="Book Antiqua" w:hAnsi="Book Antiqua"/>
          <w:shd w:val="clear" w:color="auto" w:fill="FFFFFF"/>
        </w:rPr>
        <w:t xml:space="preserve"> </w:t>
      </w:r>
      <w:bookmarkStart w:id="6" w:name="OLE_LINK4"/>
      <w:bookmarkStart w:id="7" w:name="OLE_LINK5"/>
      <w:r w:rsidRPr="00053796">
        <w:rPr>
          <w:rFonts w:ascii="Book Antiqua" w:hAnsi="Book Antiqua"/>
          <w:shd w:val="clear" w:color="auto" w:fill="FFFFFF"/>
        </w:rPr>
        <w:t>United States</w:t>
      </w:r>
      <w:bookmarkEnd w:id="6"/>
      <w:bookmarkEnd w:id="7"/>
    </w:p>
    <w:p w14:paraId="27686BEA" w14:textId="77777777" w:rsidR="00BC4FCB" w:rsidRPr="00053796" w:rsidRDefault="00BC4FCB" w:rsidP="00053796">
      <w:pPr>
        <w:pStyle w:val="ListParagraph"/>
        <w:spacing w:line="360" w:lineRule="auto"/>
        <w:ind w:left="0"/>
        <w:jc w:val="both"/>
        <w:rPr>
          <w:rFonts w:ascii="Book Antiqua" w:hAnsi="Book Antiqua" w:cs="Times New Roman"/>
        </w:rPr>
      </w:pPr>
    </w:p>
    <w:p w14:paraId="332303B4" w14:textId="5BF3F005" w:rsidR="00427F05" w:rsidRPr="00053796" w:rsidRDefault="00BC4FCB" w:rsidP="00053796">
      <w:pPr>
        <w:pStyle w:val="ListParagraph"/>
        <w:spacing w:line="360" w:lineRule="auto"/>
        <w:ind w:left="0"/>
        <w:jc w:val="both"/>
        <w:rPr>
          <w:rFonts w:ascii="Book Antiqua" w:hAnsi="Book Antiqua" w:cs="Times New Roman"/>
          <w:b/>
          <w:bCs/>
          <w:u w:val="single"/>
          <w:shd w:val="clear" w:color="auto" w:fill="FFFFFF"/>
        </w:rPr>
      </w:pPr>
      <w:proofErr w:type="spellStart"/>
      <w:r w:rsidRPr="00053796">
        <w:rPr>
          <w:rFonts w:ascii="Book Antiqua" w:hAnsi="Book Antiqua"/>
          <w:b/>
          <w:bCs/>
        </w:rPr>
        <w:t>Purvesh</w:t>
      </w:r>
      <w:proofErr w:type="spellEnd"/>
      <w:r w:rsidRPr="00053796">
        <w:rPr>
          <w:rFonts w:ascii="Book Antiqua" w:hAnsi="Book Antiqua"/>
          <w:b/>
          <w:bCs/>
        </w:rPr>
        <w:t xml:space="preserve"> Khatri, </w:t>
      </w:r>
      <w:r w:rsidR="00427F05" w:rsidRPr="00053796">
        <w:rPr>
          <w:rFonts w:ascii="Book Antiqua" w:hAnsi="Book Antiqua" w:cs="Times New Roman"/>
          <w:shd w:val="clear" w:color="auto" w:fill="FFFFFF"/>
        </w:rPr>
        <w:t>Institute for Immunity, Transplantation and Infections</w:t>
      </w:r>
      <w:r w:rsidRPr="00053796">
        <w:rPr>
          <w:rFonts w:ascii="Book Antiqua" w:hAnsi="Book Antiqua" w:cs="Times New Roman"/>
          <w:shd w:val="clear" w:color="auto" w:fill="FFFFFF"/>
        </w:rPr>
        <w:t>,</w:t>
      </w:r>
      <w:r w:rsidR="00427F05" w:rsidRPr="00053796">
        <w:rPr>
          <w:rFonts w:ascii="Book Antiqua" w:hAnsi="Book Antiqua" w:cs="Times New Roman"/>
          <w:shd w:val="clear" w:color="auto" w:fill="FFFFFF"/>
        </w:rPr>
        <w:t xml:space="preserve"> Department of Medicine, </w:t>
      </w:r>
      <w:r w:rsidR="00E74E1A" w:rsidRPr="00053796">
        <w:rPr>
          <w:rFonts w:ascii="Book Antiqua" w:hAnsi="Book Antiqua" w:cs="Times New Roman"/>
          <w:shd w:val="clear" w:color="auto" w:fill="FFFFFF"/>
        </w:rPr>
        <w:t xml:space="preserve">Stanford University, Redwood City, </w:t>
      </w:r>
      <w:r w:rsidR="00427F05" w:rsidRPr="00053796">
        <w:rPr>
          <w:rFonts w:ascii="Book Antiqua" w:hAnsi="Book Antiqua"/>
          <w:shd w:val="clear" w:color="auto" w:fill="FFFFFF"/>
        </w:rPr>
        <w:t>CA 94305</w:t>
      </w:r>
      <w:r w:rsidRPr="00053796">
        <w:rPr>
          <w:rFonts w:ascii="Book Antiqua" w:hAnsi="Book Antiqua"/>
          <w:shd w:val="clear" w:color="auto" w:fill="FFFFFF"/>
        </w:rPr>
        <w:t>, United States</w:t>
      </w:r>
    </w:p>
    <w:p w14:paraId="4014BE70" w14:textId="7F904D4B" w:rsidR="00427F05" w:rsidRPr="00053796" w:rsidRDefault="00427F05" w:rsidP="00053796">
      <w:pPr>
        <w:pStyle w:val="ListParagraph"/>
        <w:spacing w:line="360" w:lineRule="auto"/>
        <w:ind w:left="0"/>
        <w:jc w:val="both"/>
        <w:rPr>
          <w:rFonts w:ascii="Book Antiqua" w:hAnsi="Book Antiqua" w:cs="Times New Roman"/>
        </w:rPr>
      </w:pPr>
    </w:p>
    <w:p w14:paraId="6B72F896" w14:textId="68540FBB" w:rsidR="00407467" w:rsidRPr="00053796" w:rsidRDefault="000E4E45" w:rsidP="00053796">
      <w:pPr>
        <w:spacing w:line="360" w:lineRule="auto"/>
        <w:jc w:val="both"/>
        <w:rPr>
          <w:rFonts w:ascii="Book Antiqua" w:hAnsi="Book Antiqua"/>
        </w:rPr>
      </w:pPr>
      <w:r w:rsidRPr="00053796">
        <w:rPr>
          <w:rFonts w:ascii="Book Antiqua" w:hAnsi="Book Antiqua"/>
          <w:b/>
        </w:rPr>
        <w:t>ORCID number:</w:t>
      </w:r>
      <w:r w:rsidR="00407467" w:rsidRPr="00053796">
        <w:rPr>
          <w:rFonts w:ascii="Book Antiqua" w:hAnsi="Book Antiqua"/>
          <w:bCs/>
        </w:rPr>
        <w:t xml:space="preserve"> </w:t>
      </w:r>
      <w:r w:rsidRPr="00053796">
        <w:rPr>
          <w:rFonts w:ascii="Book Antiqua" w:hAnsi="Book Antiqua"/>
          <w:bCs/>
        </w:rPr>
        <w:t xml:space="preserve">Blake J Schultz (0000-0001-7739-9740); Timothy Sweeney (0000-0002-3596-1093); Malcolm R </w:t>
      </w:r>
      <w:proofErr w:type="spellStart"/>
      <w:r w:rsidRPr="00053796">
        <w:rPr>
          <w:rFonts w:ascii="Book Antiqua" w:hAnsi="Book Antiqua"/>
          <w:bCs/>
        </w:rPr>
        <w:t>DeBaun</w:t>
      </w:r>
      <w:proofErr w:type="spellEnd"/>
      <w:r w:rsidRPr="00053796">
        <w:rPr>
          <w:rFonts w:ascii="Book Antiqua" w:hAnsi="Book Antiqua"/>
          <w:bCs/>
        </w:rPr>
        <w:t xml:space="preserve"> (0000-0002-4391-5708); Melissa </w:t>
      </w:r>
      <w:proofErr w:type="spellStart"/>
      <w:r w:rsidRPr="00053796">
        <w:rPr>
          <w:rFonts w:ascii="Book Antiqua" w:hAnsi="Book Antiqua"/>
          <w:bCs/>
        </w:rPr>
        <w:t>Remmel</w:t>
      </w:r>
      <w:proofErr w:type="spellEnd"/>
      <w:r w:rsidRPr="00053796">
        <w:rPr>
          <w:rFonts w:ascii="Book Antiqua" w:hAnsi="Book Antiqua"/>
          <w:bCs/>
        </w:rPr>
        <w:t xml:space="preserve"> (0000-0002-9047-6891); </w:t>
      </w:r>
      <w:proofErr w:type="spellStart"/>
      <w:r w:rsidRPr="00053796">
        <w:rPr>
          <w:rFonts w:ascii="Book Antiqua" w:hAnsi="Book Antiqua"/>
          <w:bCs/>
        </w:rPr>
        <w:t>Uros</w:t>
      </w:r>
      <w:proofErr w:type="spellEnd"/>
      <w:r w:rsidRPr="00053796">
        <w:rPr>
          <w:rFonts w:ascii="Book Antiqua" w:hAnsi="Book Antiqua"/>
          <w:bCs/>
        </w:rPr>
        <w:t xml:space="preserve"> </w:t>
      </w:r>
      <w:proofErr w:type="spellStart"/>
      <w:r w:rsidRPr="00053796">
        <w:rPr>
          <w:rFonts w:ascii="Book Antiqua" w:hAnsi="Book Antiqua"/>
          <w:bCs/>
        </w:rPr>
        <w:t>Midic</w:t>
      </w:r>
      <w:proofErr w:type="spellEnd"/>
      <w:r w:rsidRPr="00053796">
        <w:rPr>
          <w:rFonts w:ascii="Book Antiqua" w:hAnsi="Book Antiqua"/>
          <w:bCs/>
        </w:rPr>
        <w:t xml:space="preserve"> (0000-0002-6635-1546); </w:t>
      </w:r>
      <w:proofErr w:type="spellStart"/>
      <w:r w:rsidRPr="00053796">
        <w:rPr>
          <w:rFonts w:ascii="Book Antiqua" w:hAnsi="Book Antiqua"/>
          <w:bCs/>
        </w:rPr>
        <w:t>Purvesh</w:t>
      </w:r>
      <w:proofErr w:type="spellEnd"/>
      <w:r w:rsidRPr="00053796">
        <w:rPr>
          <w:rFonts w:ascii="Book Antiqua" w:hAnsi="Book Antiqua"/>
          <w:bCs/>
        </w:rPr>
        <w:t xml:space="preserve"> Khatri (0000-0002-4143-4708); Michael J Gardner (0000-0003-0284-3397).</w:t>
      </w:r>
    </w:p>
    <w:p w14:paraId="7C256231" w14:textId="77777777" w:rsidR="000E4E45" w:rsidRPr="00053796" w:rsidRDefault="000E4E45" w:rsidP="00053796">
      <w:pPr>
        <w:spacing w:line="360" w:lineRule="auto"/>
        <w:jc w:val="both"/>
        <w:rPr>
          <w:rFonts w:ascii="Book Antiqua" w:hAnsi="Book Antiqua"/>
          <w:b/>
        </w:rPr>
      </w:pPr>
    </w:p>
    <w:p w14:paraId="0C5892D0" w14:textId="24326370" w:rsidR="00427F05" w:rsidRPr="00053796" w:rsidRDefault="00427F05" w:rsidP="00053796">
      <w:pPr>
        <w:spacing w:line="360" w:lineRule="auto"/>
        <w:jc w:val="both"/>
        <w:rPr>
          <w:rFonts w:ascii="Book Antiqua" w:hAnsi="Book Antiqua"/>
          <w:b/>
        </w:rPr>
      </w:pPr>
      <w:r w:rsidRPr="00053796">
        <w:rPr>
          <w:rFonts w:ascii="Book Antiqua" w:hAnsi="Book Antiqua"/>
          <w:b/>
        </w:rPr>
        <w:t>Author contribution</w:t>
      </w:r>
      <w:r w:rsidR="000E4E45" w:rsidRPr="00053796">
        <w:rPr>
          <w:rFonts w:ascii="Book Antiqua" w:hAnsi="Book Antiqua"/>
          <w:b/>
        </w:rPr>
        <w:t xml:space="preserve">: </w:t>
      </w:r>
      <w:r w:rsidR="000E4E45" w:rsidRPr="00053796">
        <w:rPr>
          <w:rFonts w:ascii="Book Antiqua" w:hAnsi="Book Antiqua"/>
          <w:bCs/>
        </w:rPr>
        <w:t>Sweeney T</w:t>
      </w:r>
      <w:r w:rsidRPr="00053796">
        <w:rPr>
          <w:rFonts w:ascii="Book Antiqua" w:hAnsi="Book Antiqua"/>
        </w:rPr>
        <w:t xml:space="preserve">, </w:t>
      </w:r>
      <w:proofErr w:type="spellStart"/>
      <w:r w:rsidR="000E4E45" w:rsidRPr="00053796">
        <w:rPr>
          <w:rFonts w:ascii="Book Antiqua" w:hAnsi="Book Antiqua"/>
          <w:bCs/>
        </w:rPr>
        <w:t>Remmel</w:t>
      </w:r>
      <w:proofErr w:type="spellEnd"/>
      <w:r w:rsidR="000E4E45" w:rsidRPr="00053796">
        <w:rPr>
          <w:rFonts w:ascii="Book Antiqua" w:hAnsi="Book Antiqua"/>
        </w:rPr>
        <w:t xml:space="preserve"> </w:t>
      </w:r>
      <w:r w:rsidRPr="00053796">
        <w:rPr>
          <w:rFonts w:ascii="Book Antiqua" w:hAnsi="Book Antiqua"/>
        </w:rPr>
        <w:t xml:space="preserve">M, </w:t>
      </w:r>
      <w:proofErr w:type="spellStart"/>
      <w:r w:rsidR="000E4E45" w:rsidRPr="00053796">
        <w:rPr>
          <w:rFonts w:ascii="Book Antiqua" w:hAnsi="Book Antiqua"/>
          <w:bCs/>
        </w:rPr>
        <w:t>Midic</w:t>
      </w:r>
      <w:proofErr w:type="spellEnd"/>
      <w:r w:rsidR="000E4E45" w:rsidRPr="00053796">
        <w:rPr>
          <w:rFonts w:ascii="Book Antiqua" w:hAnsi="Book Antiqua"/>
        </w:rPr>
        <w:t xml:space="preserve"> U</w:t>
      </w:r>
      <w:r w:rsidRPr="00053796">
        <w:rPr>
          <w:rFonts w:ascii="Book Antiqua" w:hAnsi="Book Antiqua"/>
        </w:rPr>
        <w:t xml:space="preserve">, </w:t>
      </w:r>
      <w:r w:rsidR="000E4E45" w:rsidRPr="00053796">
        <w:rPr>
          <w:rFonts w:ascii="Book Antiqua" w:hAnsi="Book Antiqua"/>
          <w:bCs/>
        </w:rPr>
        <w:t>Khatri</w:t>
      </w:r>
      <w:r w:rsidR="000E4E45" w:rsidRPr="00053796">
        <w:rPr>
          <w:rFonts w:ascii="Book Antiqua" w:hAnsi="Book Antiqua"/>
        </w:rPr>
        <w:t xml:space="preserve"> P</w:t>
      </w:r>
      <w:r w:rsidRPr="00053796">
        <w:rPr>
          <w:rFonts w:ascii="Book Antiqua" w:hAnsi="Book Antiqua"/>
        </w:rPr>
        <w:t xml:space="preserve"> ran the laboratory tests and performed data analysis and interpretation.</w:t>
      </w:r>
      <w:r w:rsidR="000E4E45" w:rsidRPr="00053796">
        <w:rPr>
          <w:rFonts w:ascii="Book Antiqua" w:hAnsi="Book Antiqua"/>
          <w:bCs/>
        </w:rPr>
        <w:t xml:space="preserve"> Schultz BJ</w:t>
      </w:r>
      <w:r w:rsidRPr="00053796">
        <w:rPr>
          <w:rFonts w:ascii="Book Antiqua" w:hAnsi="Book Antiqua"/>
        </w:rPr>
        <w:t xml:space="preserve">, </w:t>
      </w:r>
      <w:r w:rsidR="000E4E45" w:rsidRPr="00053796">
        <w:rPr>
          <w:rFonts w:ascii="Book Antiqua" w:hAnsi="Book Antiqua"/>
          <w:bCs/>
        </w:rPr>
        <w:t>DeBaun MR</w:t>
      </w:r>
      <w:r w:rsidRPr="00053796">
        <w:rPr>
          <w:rFonts w:ascii="Book Antiqua" w:hAnsi="Book Antiqua"/>
        </w:rPr>
        <w:t xml:space="preserve"> and </w:t>
      </w:r>
      <w:r w:rsidR="000E4E45" w:rsidRPr="00053796">
        <w:rPr>
          <w:rFonts w:ascii="Book Antiqua" w:hAnsi="Book Antiqua"/>
          <w:bCs/>
        </w:rPr>
        <w:t>Gardner MJ</w:t>
      </w:r>
      <w:r w:rsidRPr="00053796">
        <w:rPr>
          <w:rFonts w:ascii="Book Antiqua" w:hAnsi="Book Antiqua"/>
        </w:rPr>
        <w:t xml:space="preserve"> organized and ran the clinical trial. All authors provided critical feedback and helped </w:t>
      </w:r>
      <w:r w:rsidRPr="00053796">
        <w:rPr>
          <w:rFonts w:ascii="Book Antiqua" w:hAnsi="Book Antiqua"/>
        </w:rPr>
        <w:lastRenderedPageBreak/>
        <w:t>shape the research, analysis and manuscript. All authors have read and approve of the final submitted manuscript.</w:t>
      </w:r>
    </w:p>
    <w:p w14:paraId="74D39865" w14:textId="77777777" w:rsidR="000E4E45" w:rsidRPr="00053796" w:rsidRDefault="000E4E45" w:rsidP="00053796">
      <w:pPr>
        <w:spacing w:line="360" w:lineRule="auto"/>
        <w:jc w:val="both"/>
        <w:rPr>
          <w:rFonts w:ascii="Book Antiqua" w:eastAsiaTheme="minorEastAsia" w:hAnsi="Book Antiqua"/>
          <w:b/>
        </w:rPr>
      </w:pPr>
    </w:p>
    <w:p w14:paraId="772B9AB6" w14:textId="6930B392" w:rsidR="00E74E1A" w:rsidRPr="00053796" w:rsidRDefault="000E4E45" w:rsidP="00053796">
      <w:pPr>
        <w:snapToGrid w:val="0"/>
        <w:spacing w:line="360" w:lineRule="auto"/>
        <w:jc w:val="both"/>
        <w:rPr>
          <w:rFonts w:ascii="Book Antiqua" w:hAnsi="Book Antiqua"/>
          <w:b/>
        </w:rPr>
      </w:pPr>
      <w:r w:rsidRPr="00053796">
        <w:rPr>
          <w:rFonts w:ascii="Book Antiqua" w:hAnsi="Book Antiqua"/>
          <w:b/>
        </w:rPr>
        <w:t>Institutional review board statement:</w:t>
      </w:r>
      <w:r w:rsidR="00E74E1A" w:rsidRPr="00053796">
        <w:rPr>
          <w:rFonts w:ascii="Book Antiqua" w:hAnsi="Book Antiqua"/>
          <w:b/>
        </w:rPr>
        <w:t xml:space="preserve"> </w:t>
      </w:r>
      <w:r w:rsidR="00E74E1A" w:rsidRPr="00053796">
        <w:rPr>
          <w:rFonts w:ascii="Book Antiqua" w:hAnsi="Book Antiqua"/>
        </w:rPr>
        <w:t>All specimens from the patients were obtained after their informed consent and ethical permission was obtained for participation in the study.</w:t>
      </w:r>
    </w:p>
    <w:p w14:paraId="1D0A70F2" w14:textId="2B287656" w:rsidR="000E4E45" w:rsidRPr="00053796" w:rsidRDefault="000E4E45" w:rsidP="00053796">
      <w:pPr>
        <w:spacing w:line="360" w:lineRule="auto"/>
        <w:jc w:val="both"/>
        <w:rPr>
          <w:rFonts w:ascii="Book Antiqua" w:eastAsiaTheme="minorEastAsia" w:hAnsi="Book Antiqua"/>
          <w:b/>
        </w:rPr>
      </w:pPr>
    </w:p>
    <w:p w14:paraId="185A8796" w14:textId="77777777" w:rsidR="00E74E1A" w:rsidRPr="00053796" w:rsidRDefault="00E74E1A" w:rsidP="00053796">
      <w:pPr>
        <w:snapToGrid w:val="0"/>
        <w:spacing w:line="360" w:lineRule="auto"/>
        <w:jc w:val="both"/>
        <w:rPr>
          <w:rFonts w:ascii="Book Antiqua" w:hAnsi="Book Antiqua"/>
        </w:rPr>
      </w:pPr>
      <w:r w:rsidRPr="00053796">
        <w:rPr>
          <w:rFonts w:ascii="Book Antiqua" w:hAnsi="Book Antiqua"/>
          <w:b/>
          <w:bCs/>
        </w:rPr>
        <w:t xml:space="preserve">Conflict-of-interest statement: </w:t>
      </w:r>
      <w:r w:rsidRPr="00053796">
        <w:rPr>
          <w:rFonts w:ascii="Book Antiqua" w:hAnsi="Book Antiqua"/>
        </w:rPr>
        <w:t>The authors report no relevant conflicts of interest.</w:t>
      </w:r>
    </w:p>
    <w:p w14:paraId="51000C9A" w14:textId="77777777" w:rsidR="000E4E45" w:rsidRPr="00053796" w:rsidRDefault="000E4E45" w:rsidP="00053796">
      <w:pPr>
        <w:spacing w:line="360" w:lineRule="auto"/>
        <w:jc w:val="both"/>
        <w:rPr>
          <w:rFonts w:ascii="Book Antiqua" w:hAnsi="Book Antiqua"/>
          <w:b/>
        </w:rPr>
      </w:pPr>
    </w:p>
    <w:p w14:paraId="7CBA88B6" w14:textId="77777777" w:rsidR="00E74E1A" w:rsidRPr="00053796" w:rsidRDefault="00E74E1A" w:rsidP="00053796">
      <w:pPr>
        <w:snapToGrid w:val="0"/>
        <w:spacing w:line="360" w:lineRule="auto"/>
        <w:jc w:val="both"/>
        <w:rPr>
          <w:rFonts w:ascii="Book Antiqua" w:hAnsi="Book Antiqua"/>
        </w:rPr>
      </w:pPr>
      <w:bookmarkStart w:id="8" w:name="OLE_LINK10"/>
      <w:r w:rsidRPr="00053796">
        <w:rPr>
          <w:rFonts w:ascii="Book Antiqua" w:hAnsi="Book Antiqua"/>
          <w:b/>
        </w:rPr>
        <w:t>Open-Access:</w:t>
      </w:r>
      <w:r w:rsidRPr="00053796">
        <w:rPr>
          <w:rFonts w:ascii="Book Antiqua" w:hAnsi="Book Antiqua"/>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1B9D2A" w14:textId="77777777" w:rsidR="00E74E1A" w:rsidRPr="00053796" w:rsidRDefault="00E74E1A" w:rsidP="00053796">
      <w:pPr>
        <w:pStyle w:val="1"/>
        <w:adjustRightInd w:val="0"/>
        <w:snapToGrid w:val="0"/>
        <w:spacing w:line="360" w:lineRule="auto"/>
        <w:jc w:val="both"/>
        <w:rPr>
          <w:rFonts w:ascii="Book Antiqua" w:hAnsi="Book Antiqua" w:cs="Times New Roman"/>
          <w:b/>
          <w:bCs/>
          <w:color w:val="auto"/>
          <w:sz w:val="24"/>
          <w:szCs w:val="24"/>
          <w:lang w:val="en-US"/>
        </w:rPr>
      </w:pPr>
    </w:p>
    <w:p w14:paraId="0D690F3B" w14:textId="02745D52" w:rsidR="00E74E1A" w:rsidRPr="00053796" w:rsidRDefault="00E74E1A" w:rsidP="00053796">
      <w:pPr>
        <w:pStyle w:val="1"/>
        <w:adjustRightInd w:val="0"/>
        <w:snapToGrid w:val="0"/>
        <w:spacing w:line="360" w:lineRule="auto"/>
        <w:jc w:val="both"/>
        <w:rPr>
          <w:rFonts w:ascii="Book Antiqua" w:hAnsi="Book Antiqua" w:cs="Times New Roman"/>
          <w:color w:val="auto"/>
          <w:sz w:val="24"/>
          <w:szCs w:val="24"/>
          <w:lang w:val="en-US" w:eastAsia="zh-CN"/>
        </w:rPr>
      </w:pPr>
      <w:r w:rsidRPr="00053796">
        <w:rPr>
          <w:rFonts w:ascii="Book Antiqua" w:hAnsi="Book Antiqua" w:cs="Times New Roman"/>
          <w:b/>
          <w:bCs/>
          <w:color w:val="auto"/>
          <w:sz w:val="24"/>
          <w:szCs w:val="24"/>
          <w:lang w:val="en-US"/>
        </w:rPr>
        <w:t>Manuscript source:</w:t>
      </w:r>
      <w:r w:rsidRPr="00053796">
        <w:rPr>
          <w:rFonts w:ascii="Book Antiqua" w:hAnsi="Book Antiqua"/>
          <w:color w:val="auto"/>
          <w:sz w:val="24"/>
          <w:szCs w:val="24"/>
        </w:rPr>
        <w:t xml:space="preserve"> </w:t>
      </w:r>
      <w:r w:rsidRPr="00053796">
        <w:rPr>
          <w:rFonts w:ascii="Book Antiqua" w:hAnsi="Book Antiqua" w:cs="Times New Roman"/>
          <w:color w:val="auto"/>
          <w:sz w:val="24"/>
          <w:szCs w:val="24"/>
          <w:lang w:val="en-US" w:eastAsia="zh-CN"/>
        </w:rPr>
        <w:t>Unsolicited manuscript</w:t>
      </w:r>
    </w:p>
    <w:bookmarkEnd w:id="8"/>
    <w:p w14:paraId="2BFCE009" w14:textId="77777777" w:rsidR="000E4E45" w:rsidRPr="00053796" w:rsidRDefault="000E4E45" w:rsidP="00053796">
      <w:pPr>
        <w:spacing w:line="360" w:lineRule="auto"/>
        <w:jc w:val="both"/>
        <w:rPr>
          <w:rFonts w:ascii="Book Antiqua" w:hAnsi="Book Antiqua"/>
          <w:b/>
        </w:rPr>
      </w:pPr>
    </w:p>
    <w:p w14:paraId="7B31B5A0" w14:textId="7355553E" w:rsidR="009632FA" w:rsidRPr="00053796" w:rsidRDefault="00407467" w:rsidP="00053796">
      <w:pPr>
        <w:spacing w:line="360" w:lineRule="auto"/>
        <w:jc w:val="both"/>
        <w:rPr>
          <w:rFonts w:ascii="Book Antiqua" w:hAnsi="Book Antiqua"/>
          <w:b/>
          <w:u w:val="single"/>
        </w:rPr>
      </w:pPr>
      <w:r w:rsidRPr="00053796">
        <w:rPr>
          <w:rFonts w:ascii="Book Antiqua" w:hAnsi="Book Antiqua"/>
          <w:b/>
        </w:rPr>
        <w:t xml:space="preserve">Corresponding </w:t>
      </w:r>
      <w:r w:rsidR="00E74E1A" w:rsidRPr="00053796">
        <w:rPr>
          <w:rFonts w:ascii="Book Antiqua" w:hAnsi="Book Antiqua"/>
          <w:b/>
        </w:rPr>
        <w:t>author</w:t>
      </w:r>
      <w:r w:rsidRPr="00053796">
        <w:rPr>
          <w:rFonts w:ascii="Book Antiqua" w:hAnsi="Book Antiqua"/>
          <w:b/>
        </w:rPr>
        <w:t xml:space="preserve">: </w:t>
      </w:r>
      <w:r w:rsidRPr="00053796">
        <w:rPr>
          <w:rFonts w:ascii="Book Antiqua" w:hAnsi="Book Antiqua"/>
          <w:b/>
          <w:bCs/>
        </w:rPr>
        <w:t xml:space="preserve">Blake </w:t>
      </w:r>
      <w:r w:rsidR="00E74E1A" w:rsidRPr="00053796">
        <w:rPr>
          <w:rFonts w:ascii="Book Antiqua" w:hAnsi="Book Antiqua"/>
          <w:b/>
          <w:bCs/>
        </w:rPr>
        <w:t xml:space="preserve">J </w:t>
      </w:r>
      <w:r w:rsidRPr="00053796">
        <w:rPr>
          <w:rFonts w:ascii="Book Antiqua" w:hAnsi="Book Antiqua"/>
          <w:b/>
          <w:bCs/>
        </w:rPr>
        <w:t>Schultz,</w:t>
      </w:r>
      <w:r w:rsidRPr="00053796">
        <w:rPr>
          <w:rFonts w:ascii="Book Antiqua" w:hAnsi="Book Antiqua"/>
          <w:shd w:val="clear" w:color="auto" w:fill="FFFFFF"/>
        </w:rPr>
        <w:t xml:space="preserve"> </w:t>
      </w:r>
      <w:r w:rsidR="00E74E1A" w:rsidRPr="00053796">
        <w:rPr>
          <w:rFonts w:ascii="Book Antiqua" w:hAnsi="Book Antiqua"/>
          <w:b/>
        </w:rPr>
        <w:t>MD, Surgeon,</w:t>
      </w:r>
      <w:r w:rsidR="00E74E1A" w:rsidRPr="00053796">
        <w:rPr>
          <w:rFonts w:ascii="Book Antiqua" w:hAnsi="Book Antiqua"/>
          <w:shd w:val="clear" w:color="auto" w:fill="FFFFFF"/>
        </w:rPr>
        <w:t xml:space="preserve"> Department of Orthopedic Surgery,</w:t>
      </w:r>
      <w:r w:rsidR="00E74E1A" w:rsidRPr="00053796">
        <w:rPr>
          <w:rFonts w:ascii="Book Antiqua" w:eastAsiaTheme="minorEastAsia" w:hAnsi="Book Antiqua"/>
          <w:b/>
          <w:lang w:eastAsia="zh-CN"/>
        </w:rPr>
        <w:t xml:space="preserve"> </w:t>
      </w:r>
      <w:r w:rsidR="00E74E1A" w:rsidRPr="00053796">
        <w:rPr>
          <w:rFonts w:ascii="Book Antiqua" w:hAnsi="Book Antiqua"/>
          <w:bCs/>
        </w:rPr>
        <w:t>Stanford University, 450 Broadway Street Pavilion C, 4</w:t>
      </w:r>
      <w:r w:rsidR="00E74E1A" w:rsidRPr="00B62A58">
        <w:rPr>
          <w:rFonts w:ascii="Book Antiqua" w:hAnsi="Book Antiqua"/>
          <w:bCs/>
          <w:vertAlign w:val="superscript"/>
        </w:rPr>
        <w:t>th</w:t>
      </w:r>
      <w:r w:rsidR="00E74E1A" w:rsidRPr="00053796">
        <w:rPr>
          <w:rFonts w:ascii="Book Antiqua" w:hAnsi="Book Antiqua"/>
          <w:bCs/>
        </w:rPr>
        <w:t xml:space="preserve"> Floor, Redwood City, CA 94063, United States. </w:t>
      </w:r>
      <w:r w:rsidR="00E74E1A" w:rsidRPr="00053796">
        <w:rPr>
          <w:rFonts w:ascii="Book Antiqua" w:hAnsi="Book Antiqua"/>
          <w:bCs/>
          <w:u w:val="single"/>
        </w:rPr>
        <w:t>blakeschultzmd@gmail.com</w:t>
      </w:r>
    </w:p>
    <w:p w14:paraId="62D791EF" w14:textId="2DB06BFB" w:rsidR="00E74E1A" w:rsidRPr="00053796" w:rsidRDefault="00E74E1A" w:rsidP="00053796">
      <w:pPr>
        <w:pStyle w:val="NoSpacing"/>
        <w:spacing w:line="360" w:lineRule="auto"/>
        <w:jc w:val="both"/>
        <w:rPr>
          <w:rFonts w:ascii="Book Antiqua" w:hAnsi="Book Antiqua"/>
          <w:sz w:val="24"/>
          <w:szCs w:val="24"/>
        </w:rPr>
      </w:pPr>
      <w:bookmarkStart w:id="9" w:name="_Hlk17269656"/>
      <w:r w:rsidRPr="00053796">
        <w:rPr>
          <w:rFonts w:ascii="Book Antiqua" w:hAnsi="Book Antiqua"/>
          <w:b/>
          <w:bCs/>
          <w:sz w:val="24"/>
          <w:szCs w:val="24"/>
        </w:rPr>
        <w:t>Telephone:</w:t>
      </w:r>
      <w:bookmarkEnd w:id="9"/>
      <w:r w:rsidRPr="00053796">
        <w:rPr>
          <w:rFonts w:ascii="Book Antiqua" w:hAnsi="Book Antiqua"/>
          <w:b/>
          <w:bCs/>
          <w:sz w:val="24"/>
          <w:szCs w:val="24"/>
        </w:rPr>
        <w:t xml:space="preserve"> </w:t>
      </w:r>
      <w:r w:rsidRPr="00053796">
        <w:rPr>
          <w:rFonts w:ascii="Book Antiqua" w:hAnsi="Book Antiqua"/>
          <w:sz w:val="24"/>
          <w:szCs w:val="24"/>
        </w:rPr>
        <w:t>+</w:t>
      </w:r>
      <w:r w:rsidR="00950ACC" w:rsidRPr="00053796">
        <w:rPr>
          <w:rFonts w:ascii="Book Antiqua" w:hAnsi="Book Antiqua"/>
          <w:sz w:val="24"/>
          <w:szCs w:val="24"/>
        </w:rPr>
        <w:t>1-</w:t>
      </w:r>
      <w:r w:rsidRPr="00053796">
        <w:rPr>
          <w:rFonts w:ascii="Book Antiqua" w:hAnsi="Book Antiqua"/>
          <w:sz w:val="24"/>
          <w:szCs w:val="24"/>
        </w:rPr>
        <w:t>650</w:t>
      </w:r>
      <w:r w:rsidR="00950ACC" w:rsidRPr="00053796">
        <w:rPr>
          <w:rFonts w:ascii="Book Antiqua" w:hAnsi="Book Antiqua"/>
          <w:sz w:val="24"/>
          <w:szCs w:val="24"/>
        </w:rPr>
        <w:t>-</w:t>
      </w:r>
      <w:r w:rsidRPr="00053796">
        <w:rPr>
          <w:rFonts w:ascii="Book Antiqua" w:hAnsi="Book Antiqua"/>
          <w:sz w:val="24"/>
          <w:szCs w:val="24"/>
        </w:rPr>
        <w:t>4975281</w:t>
      </w:r>
    </w:p>
    <w:p w14:paraId="78184159" w14:textId="24AE2DD6" w:rsidR="00E74E1A" w:rsidRPr="00053796" w:rsidRDefault="00E74E1A" w:rsidP="00053796">
      <w:pPr>
        <w:pStyle w:val="NoSpacing"/>
        <w:spacing w:line="360" w:lineRule="auto"/>
        <w:jc w:val="both"/>
        <w:rPr>
          <w:rFonts w:ascii="Book Antiqua" w:hAnsi="Book Antiqua"/>
          <w:b/>
          <w:bCs/>
          <w:sz w:val="24"/>
          <w:szCs w:val="24"/>
        </w:rPr>
      </w:pPr>
    </w:p>
    <w:p w14:paraId="778A8369" w14:textId="58832307" w:rsidR="00950ACC" w:rsidRPr="00053796" w:rsidRDefault="00950ACC" w:rsidP="00053796">
      <w:pPr>
        <w:snapToGrid w:val="0"/>
        <w:spacing w:line="360" w:lineRule="auto"/>
        <w:jc w:val="both"/>
        <w:rPr>
          <w:rFonts w:ascii="Book Antiqua" w:hAnsi="Book Antiqua"/>
        </w:rPr>
      </w:pPr>
      <w:r w:rsidRPr="00053796">
        <w:rPr>
          <w:rFonts w:ascii="Book Antiqua" w:hAnsi="Book Antiqua"/>
          <w:b/>
        </w:rPr>
        <w:t>Received:</w:t>
      </w:r>
      <w:r w:rsidRPr="00053796">
        <w:rPr>
          <w:rFonts w:ascii="Book Antiqua" w:hAnsi="Book Antiqua"/>
        </w:rPr>
        <w:t xml:space="preserve"> August 14, 2019</w:t>
      </w:r>
    </w:p>
    <w:p w14:paraId="17E05CDE" w14:textId="76675319" w:rsidR="00950ACC" w:rsidRPr="00053796" w:rsidRDefault="00950ACC" w:rsidP="00053796">
      <w:pPr>
        <w:snapToGrid w:val="0"/>
        <w:spacing w:line="360" w:lineRule="auto"/>
        <w:jc w:val="both"/>
        <w:rPr>
          <w:rFonts w:ascii="Book Antiqua" w:hAnsi="Book Antiqua"/>
        </w:rPr>
      </w:pPr>
      <w:r w:rsidRPr="00053796">
        <w:rPr>
          <w:rFonts w:ascii="Book Antiqua" w:hAnsi="Book Antiqua"/>
          <w:b/>
        </w:rPr>
        <w:t>Peer-review started:</w:t>
      </w:r>
      <w:r w:rsidRPr="00053796">
        <w:rPr>
          <w:rFonts w:ascii="Book Antiqua" w:hAnsi="Book Antiqua"/>
        </w:rPr>
        <w:t xml:space="preserve"> </w:t>
      </w:r>
      <w:bookmarkStart w:id="10" w:name="OLE_LINK6"/>
      <w:bookmarkStart w:id="11" w:name="OLE_LINK7"/>
      <w:r w:rsidRPr="00053796">
        <w:rPr>
          <w:rFonts w:ascii="Book Antiqua" w:hAnsi="Book Antiqua"/>
        </w:rPr>
        <w:t>August 14</w:t>
      </w:r>
      <w:bookmarkEnd w:id="10"/>
      <w:bookmarkEnd w:id="11"/>
      <w:r w:rsidRPr="00053796">
        <w:rPr>
          <w:rFonts w:ascii="Book Antiqua" w:hAnsi="Book Antiqua"/>
        </w:rPr>
        <w:t>, 2019</w:t>
      </w:r>
    </w:p>
    <w:p w14:paraId="15575EBB" w14:textId="4DAFE461" w:rsidR="00950ACC" w:rsidRPr="00053796" w:rsidRDefault="00950ACC" w:rsidP="00053796">
      <w:pPr>
        <w:snapToGrid w:val="0"/>
        <w:spacing w:line="360" w:lineRule="auto"/>
        <w:jc w:val="both"/>
        <w:rPr>
          <w:rFonts w:ascii="Book Antiqua" w:hAnsi="Book Antiqua"/>
        </w:rPr>
      </w:pPr>
      <w:r w:rsidRPr="00053796">
        <w:rPr>
          <w:rFonts w:ascii="Book Antiqua" w:hAnsi="Book Antiqua"/>
          <w:b/>
        </w:rPr>
        <w:t>First decision:</w:t>
      </w:r>
      <w:r w:rsidRPr="00053796">
        <w:rPr>
          <w:rFonts w:ascii="Book Antiqua" w:hAnsi="Book Antiqua"/>
        </w:rPr>
        <w:t xml:space="preserve"> August 30, 2019</w:t>
      </w:r>
    </w:p>
    <w:p w14:paraId="53D9FA9B" w14:textId="2F6C6105" w:rsidR="00950ACC" w:rsidRPr="00053796" w:rsidRDefault="00950ACC" w:rsidP="00053796">
      <w:pPr>
        <w:snapToGrid w:val="0"/>
        <w:spacing w:line="360" w:lineRule="auto"/>
        <w:jc w:val="both"/>
        <w:rPr>
          <w:rFonts w:ascii="Book Antiqua" w:hAnsi="Book Antiqua"/>
        </w:rPr>
      </w:pPr>
      <w:r w:rsidRPr="00053796">
        <w:rPr>
          <w:rFonts w:ascii="Book Antiqua" w:hAnsi="Book Antiqua"/>
          <w:b/>
        </w:rPr>
        <w:t>Revised:</w:t>
      </w:r>
      <w:r w:rsidRPr="00053796">
        <w:rPr>
          <w:rFonts w:ascii="Book Antiqua" w:hAnsi="Book Antiqua"/>
        </w:rPr>
        <w:t xml:space="preserve"> September 19, 2019</w:t>
      </w:r>
    </w:p>
    <w:p w14:paraId="6C7001DE" w14:textId="76A2C091" w:rsidR="00950ACC" w:rsidRPr="00053796" w:rsidRDefault="00950ACC" w:rsidP="00053796">
      <w:pPr>
        <w:snapToGrid w:val="0"/>
        <w:spacing w:line="360" w:lineRule="auto"/>
        <w:jc w:val="both"/>
        <w:rPr>
          <w:rFonts w:ascii="Book Antiqua" w:hAnsi="Book Antiqua"/>
        </w:rPr>
      </w:pPr>
      <w:r w:rsidRPr="00053796">
        <w:rPr>
          <w:rFonts w:ascii="Book Antiqua" w:hAnsi="Book Antiqua"/>
          <w:b/>
        </w:rPr>
        <w:t>Accepted:</w:t>
      </w:r>
      <w:r w:rsidRPr="00053796">
        <w:rPr>
          <w:rFonts w:ascii="Book Antiqua" w:hAnsi="Book Antiqua"/>
        </w:rPr>
        <w:t xml:space="preserve"> </w:t>
      </w:r>
      <w:r w:rsidR="004D344F">
        <w:rPr>
          <w:rFonts w:ascii="Book Antiqua" w:hAnsi="Book Antiqua"/>
          <w:lang w:eastAsia="zh-CN"/>
        </w:rPr>
        <w:t>October 18, 2019</w:t>
      </w:r>
      <w:bookmarkStart w:id="12" w:name="_GoBack"/>
      <w:bookmarkEnd w:id="12"/>
    </w:p>
    <w:p w14:paraId="2004A1A1" w14:textId="77777777" w:rsidR="00950ACC" w:rsidRPr="00053796" w:rsidRDefault="00950ACC" w:rsidP="00053796">
      <w:pPr>
        <w:snapToGrid w:val="0"/>
        <w:spacing w:line="360" w:lineRule="auto"/>
        <w:jc w:val="both"/>
        <w:rPr>
          <w:rFonts w:ascii="Book Antiqua" w:hAnsi="Book Antiqua"/>
          <w:b/>
        </w:rPr>
      </w:pPr>
      <w:r w:rsidRPr="00053796">
        <w:rPr>
          <w:rFonts w:ascii="Book Antiqua" w:hAnsi="Book Antiqua"/>
          <w:b/>
        </w:rPr>
        <w:t>Article in press:</w:t>
      </w:r>
    </w:p>
    <w:p w14:paraId="6CB95A41" w14:textId="77777777" w:rsidR="00950ACC" w:rsidRPr="00053796" w:rsidRDefault="00950ACC" w:rsidP="00053796">
      <w:pPr>
        <w:snapToGrid w:val="0"/>
        <w:spacing w:line="360" w:lineRule="auto"/>
        <w:jc w:val="both"/>
        <w:rPr>
          <w:rFonts w:ascii="Book Antiqua" w:hAnsi="Book Antiqua"/>
          <w:b/>
        </w:rPr>
      </w:pPr>
      <w:r w:rsidRPr="00053796">
        <w:rPr>
          <w:rFonts w:ascii="Book Antiqua" w:hAnsi="Book Antiqua"/>
          <w:b/>
        </w:rPr>
        <w:lastRenderedPageBreak/>
        <w:t>Published online:</w:t>
      </w:r>
    </w:p>
    <w:p w14:paraId="4921379E" w14:textId="5354B00D" w:rsidR="00950ACC" w:rsidRPr="00053796" w:rsidRDefault="00950ACC" w:rsidP="00053796">
      <w:pPr>
        <w:spacing w:line="360" w:lineRule="auto"/>
        <w:jc w:val="both"/>
        <w:rPr>
          <w:rFonts w:ascii="Book Antiqua" w:eastAsiaTheme="minorEastAsia" w:hAnsi="Book Antiqua"/>
          <w:b/>
        </w:rPr>
      </w:pPr>
      <w:r w:rsidRPr="00053796">
        <w:rPr>
          <w:rFonts w:ascii="Book Antiqua" w:hAnsi="Book Antiqua"/>
          <w:b/>
        </w:rPr>
        <w:br w:type="page"/>
      </w:r>
    </w:p>
    <w:p w14:paraId="35AC6694" w14:textId="3C4554A8" w:rsidR="000662C1" w:rsidRPr="00053796" w:rsidRDefault="000662C1" w:rsidP="00053796">
      <w:pPr>
        <w:spacing w:line="360" w:lineRule="auto"/>
        <w:jc w:val="both"/>
        <w:rPr>
          <w:rFonts w:ascii="Book Antiqua" w:hAnsi="Book Antiqua"/>
          <w:b/>
        </w:rPr>
      </w:pPr>
      <w:r w:rsidRPr="00053796">
        <w:rPr>
          <w:rFonts w:ascii="Book Antiqua" w:hAnsi="Book Antiqua"/>
          <w:b/>
        </w:rPr>
        <w:lastRenderedPageBreak/>
        <w:t>Abstract</w:t>
      </w:r>
    </w:p>
    <w:p w14:paraId="4ACD97E8" w14:textId="51EF1532" w:rsidR="00950ACC" w:rsidRPr="00053796" w:rsidRDefault="00950ACC" w:rsidP="00053796">
      <w:pPr>
        <w:snapToGrid w:val="0"/>
        <w:spacing w:line="360" w:lineRule="auto"/>
        <w:jc w:val="both"/>
        <w:rPr>
          <w:rFonts w:ascii="Book Antiqua" w:hAnsi="Book Antiqua"/>
        </w:rPr>
      </w:pPr>
      <w:r w:rsidRPr="00053796">
        <w:rPr>
          <w:rFonts w:ascii="Book Antiqua" w:hAnsi="Book Antiqua"/>
          <w:b/>
          <w:i/>
        </w:rPr>
        <w:t>BACKGROUND</w:t>
      </w:r>
    </w:p>
    <w:p w14:paraId="6203749D" w14:textId="079D1869" w:rsidR="00407467" w:rsidRPr="00053796" w:rsidRDefault="005966A0" w:rsidP="00956C82">
      <w:pPr>
        <w:pStyle w:val="NoSpacing"/>
        <w:spacing w:line="360" w:lineRule="auto"/>
        <w:jc w:val="both"/>
        <w:rPr>
          <w:rFonts w:ascii="Book Antiqua" w:hAnsi="Book Antiqua" w:cs="Times New Roman"/>
          <w:sz w:val="24"/>
          <w:szCs w:val="24"/>
        </w:rPr>
      </w:pPr>
      <w:r w:rsidRPr="00053796">
        <w:rPr>
          <w:rFonts w:ascii="Book Antiqua" w:hAnsi="Book Antiqua" w:cs="Times New Roman"/>
          <w:sz w:val="24"/>
          <w:szCs w:val="24"/>
        </w:rPr>
        <w:t>Septic arthritis is an orthopedic emergency requiring immediate surgical intervention. Current diagnostic standard of care is an invasive joint aspiration. Aspirations provide information about the inflammatory cells in the sample within a few hours, but there is often ambiguity about whether the source is infectious (</w:t>
      </w:r>
      <w:r w:rsidRPr="00053796">
        <w:rPr>
          <w:rFonts w:ascii="Book Antiqua" w:hAnsi="Book Antiqua" w:cs="Times New Roman"/>
          <w:i/>
          <w:iCs/>
          <w:sz w:val="24"/>
          <w:szCs w:val="24"/>
        </w:rPr>
        <w:t>e.g.</w:t>
      </w:r>
      <w:r w:rsidRPr="00053796">
        <w:rPr>
          <w:rFonts w:ascii="Book Antiqua" w:hAnsi="Book Antiqua" w:cs="Times New Roman"/>
          <w:sz w:val="24"/>
          <w:szCs w:val="24"/>
        </w:rPr>
        <w:t xml:space="preserve"> bacterial) or non-infectious (</w:t>
      </w:r>
      <w:r w:rsidRPr="00053796">
        <w:rPr>
          <w:rFonts w:ascii="Book Antiqua" w:hAnsi="Book Antiqua" w:cs="Times New Roman"/>
          <w:i/>
          <w:iCs/>
          <w:sz w:val="24"/>
          <w:szCs w:val="24"/>
        </w:rPr>
        <w:t>e.g.</w:t>
      </w:r>
      <w:r w:rsidRPr="00053796">
        <w:rPr>
          <w:rFonts w:ascii="Book Antiqua" w:hAnsi="Book Antiqua" w:cs="Times New Roman"/>
          <w:sz w:val="24"/>
          <w:szCs w:val="24"/>
        </w:rPr>
        <w:t xml:space="preserve"> gout). Cultures can take days to result, so decisions about surgery are often made with incomplete data. Novel diagnostics are thus needed.</w:t>
      </w:r>
      <w:r w:rsidR="00956C82">
        <w:rPr>
          <w:rFonts w:ascii="Book Antiqua" w:hAnsi="Book Antiqua" w:cs="Times New Roman" w:hint="eastAsia"/>
          <w:sz w:val="24"/>
          <w:szCs w:val="24"/>
        </w:rPr>
        <w:t xml:space="preserve"> </w:t>
      </w:r>
      <w:r w:rsidRPr="00053796">
        <w:rPr>
          <w:rFonts w:ascii="Book Antiqua" w:hAnsi="Book Antiqua" w:cs="Times New Roman"/>
          <w:sz w:val="24"/>
          <w:szCs w:val="24"/>
        </w:rPr>
        <w:t xml:space="preserve">The </w:t>
      </w:r>
      <w:r w:rsidR="00950ACC" w:rsidRPr="00053796">
        <w:rPr>
          <w:rFonts w:ascii="Book Antiqua" w:hAnsi="Book Antiqua" w:cs="Times New Roman"/>
          <w:sz w:val="24"/>
          <w:szCs w:val="24"/>
        </w:rPr>
        <w:t>“</w:t>
      </w:r>
      <w:r w:rsidRPr="00053796">
        <w:rPr>
          <w:rFonts w:ascii="Book Antiqua" w:hAnsi="Book Antiqua" w:cs="Times New Roman"/>
          <w:sz w:val="24"/>
          <w:szCs w:val="24"/>
        </w:rPr>
        <w:t xml:space="preserve">Sepsis </w:t>
      </w:r>
      <w:proofErr w:type="spellStart"/>
      <w:r w:rsidRPr="00053796">
        <w:rPr>
          <w:rFonts w:ascii="Book Antiqua" w:hAnsi="Book Antiqua" w:cs="Times New Roman"/>
          <w:sz w:val="24"/>
          <w:szCs w:val="24"/>
        </w:rPr>
        <w:t>MetaScore</w:t>
      </w:r>
      <w:proofErr w:type="spellEnd"/>
      <w:r w:rsidR="00950ACC" w:rsidRPr="00053796">
        <w:rPr>
          <w:rFonts w:ascii="Book Antiqua" w:hAnsi="Book Antiqua" w:cs="Times New Roman"/>
          <w:sz w:val="24"/>
          <w:szCs w:val="24"/>
        </w:rPr>
        <w:t>”</w:t>
      </w:r>
      <w:r w:rsidRPr="00053796">
        <w:rPr>
          <w:rFonts w:ascii="Book Antiqua" w:hAnsi="Book Antiqua" w:cs="Times New Roman"/>
          <w:sz w:val="24"/>
          <w:szCs w:val="24"/>
        </w:rPr>
        <w:t xml:space="preserve"> (SMS) is an 11-mRNA host immune blood signature that can distinguish between infectious and non-infectious acute inflammation. It has been validated in multiple cohorts across heterogeneous clinical settings.</w:t>
      </w:r>
    </w:p>
    <w:p w14:paraId="41E75FBC" w14:textId="77777777" w:rsidR="00407467" w:rsidRPr="00053796" w:rsidRDefault="00407467" w:rsidP="00053796">
      <w:pPr>
        <w:pStyle w:val="NoSpacing"/>
        <w:spacing w:line="360" w:lineRule="auto"/>
        <w:jc w:val="both"/>
        <w:rPr>
          <w:rFonts w:ascii="Book Antiqua" w:hAnsi="Book Antiqua" w:cs="Times New Roman"/>
          <w:sz w:val="24"/>
          <w:szCs w:val="24"/>
        </w:rPr>
      </w:pPr>
    </w:p>
    <w:p w14:paraId="156E6DBB" w14:textId="77777777" w:rsidR="00407467" w:rsidRPr="00053796" w:rsidRDefault="00407467" w:rsidP="00053796">
      <w:pPr>
        <w:pStyle w:val="NoSpacing"/>
        <w:spacing w:line="360" w:lineRule="auto"/>
        <w:jc w:val="both"/>
        <w:rPr>
          <w:rFonts w:ascii="Book Antiqua" w:hAnsi="Book Antiqua" w:cs="Times New Roman"/>
          <w:b/>
          <w:bCs/>
          <w:i/>
          <w:iCs/>
          <w:sz w:val="24"/>
          <w:szCs w:val="24"/>
        </w:rPr>
      </w:pPr>
      <w:r w:rsidRPr="00053796">
        <w:rPr>
          <w:rFonts w:ascii="Book Antiqua" w:hAnsi="Book Antiqua" w:cs="Times New Roman"/>
          <w:b/>
          <w:bCs/>
          <w:i/>
          <w:iCs/>
          <w:sz w:val="24"/>
          <w:szCs w:val="24"/>
        </w:rPr>
        <w:t>AIM</w:t>
      </w:r>
    </w:p>
    <w:p w14:paraId="5BFED38C" w14:textId="347C49E1" w:rsidR="005966A0" w:rsidRPr="00053796" w:rsidRDefault="00950ACC" w:rsidP="00053796">
      <w:pPr>
        <w:pStyle w:val="NoSpacing"/>
        <w:spacing w:line="360" w:lineRule="auto"/>
        <w:jc w:val="both"/>
        <w:rPr>
          <w:rFonts w:ascii="Book Antiqua" w:hAnsi="Book Antiqua" w:cs="Times New Roman"/>
          <w:sz w:val="24"/>
          <w:szCs w:val="24"/>
        </w:rPr>
      </w:pPr>
      <w:r w:rsidRPr="00053796">
        <w:rPr>
          <w:rFonts w:ascii="Book Antiqua" w:hAnsi="Book Antiqua" w:cs="Times New Roman"/>
          <w:sz w:val="24"/>
          <w:szCs w:val="24"/>
        </w:rPr>
        <w:t>To</w:t>
      </w:r>
      <w:r w:rsidR="005966A0" w:rsidRPr="00053796">
        <w:rPr>
          <w:rFonts w:ascii="Book Antiqua" w:hAnsi="Book Antiqua" w:cs="Times New Roman"/>
          <w:sz w:val="24"/>
          <w:szCs w:val="24"/>
        </w:rPr>
        <w:t xml:space="preserve"> stud</w:t>
      </w:r>
      <w:r w:rsidRPr="00053796">
        <w:rPr>
          <w:rFonts w:ascii="Book Antiqua" w:hAnsi="Book Antiqua" w:cs="Times New Roman"/>
          <w:sz w:val="24"/>
          <w:szCs w:val="24"/>
        </w:rPr>
        <w:t>y</w:t>
      </w:r>
      <w:r w:rsidR="005966A0" w:rsidRPr="00053796">
        <w:rPr>
          <w:rFonts w:ascii="Book Antiqua" w:hAnsi="Book Antiqua" w:cs="Times New Roman"/>
          <w:sz w:val="24"/>
          <w:szCs w:val="24"/>
        </w:rPr>
        <w:t xml:space="preserve"> whether the SMS holds diagnostic validity in determining the etiology of acute arthritis.</w:t>
      </w:r>
    </w:p>
    <w:p w14:paraId="5A06958C" w14:textId="77777777" w:rsidR="005966A0" w:rsidRPr="00053796" w:rsidRDefault="005966A0" w:rsidP="00053796">
      <w:pPr>
        <w:pStyle w:val="NoSpacing"/>
        <w:spacing w:line="360" w:lineRule="auto"/>
        <w:jc w:val="both"/>
        <w:rPr>
          <w:rFonts w:ascii="Book Antiqua" w:hAnsi="Book Antiqua" w:cs="Times New Roman"/>
          <w:sz w:val="24"/>
          <w:szCs w:val="24"/>
        </w:rPr>
      </w:pPr>
    </w:p>
    <w:p w14:paraId="49A40715" w14:textId="77777777" w:rsidR="005966A0" w:rsidRPr="00053796" w:rsidRDefault="005966A0" w:rsidP="00053796">
      <w:pPr>
        <w:pStyle w:val="NoSpacing"/>
        <w:spacing w:line="360" w:lineRule="auto"/>
        <w:jc w:val="both"/>
        <w:rPr>
          <w:rFonts w:ascii="Book Antiqua" w:hAnsi="Book Antiqua" w:cs="Times New Roman"/>
          <w:b/>
          <w:i/>
          <w:iCs/>
          <w:caps/>
          <w:sz w:val="24"/>
          <w:szCs w:val="24"/>
        </w:rPr>
      </w:pPr>
      <w:r w:rsidRPr="00053796">
        <w:rPr>
          <w:rFonts w:ascii="Book Antiqua" w:hAnsi="Book Antiqua" w:cs="Times New Roman"/>
          <w:b/>
          <w:i/>
          <w:iCs/>
          <w:caps/>
          <w:sz w:val="24"/>
          <w:szCs w:val="24"/>
        </w:rPr>
        <w:t>Methods</w:t>
      </w:r>
    </w:p>
    <w:p w14:paraId="34B087B2" w14:textId="56589F5C" w:rsidR="005966A0" w:rsidRPr="00053796" w:rsidRDefault="005966A0" w:rsidP="00053796">
      <w:pPr>
        <w:spacing w:line="360" w:lineRule="auto"/>
        <w:jc w:val="both"/>
        <w:rPr>
          <w:rFonts w:ascii="Book Antiqua" w:hAnsi="Book Antiqua"/>
        </w:rPr>
      </w:pPr>
      <w:r w:rsidRPr="00053796">
        <w:rPr>
          <w:rFonts w:ascii="Book Antiqua" w:hAnsi="Book Antiqua"/>
        </w:rPr>
        <w:t xml:space="preserve">We conducted a blinded, prospective, non-interventional clinical study of the SMS. All patients undergoing work-up for a septic primary joint were enrolled. Patients proceeded through the normal standard-of-care pathway, including joint aspiration and inflammatory labs </w:t>
      </w:r>
      <w:r w:rsidR="00950ACC" w:rsidRPr="00053796">
        <w:rPr>
          <w:rFonts w:ascii="Book Antiqua" w:hAnsi="Book Antiqua"/>
        </w:rPr>
        <w:t>[</w:t>
      </w:r>
      <w:bookmarkStart w:id="13" w:name="OLE_LINK12"/>
      <w:bookmarkStart w:id="14" w:name="OLE_LINK13"/>
      <w:r w:rsidR="00950ACC" w:rsidRPr="00053796">
        <w:rPr>
          <w:rFonts w:ascii="Book Antiqua" w:hAnsi="Book Antiqua"/>
        </w:rPr>
        <w:t>white blood cell</w:t>
      </w:r>
      <w:bookmarkEnd w:id="13"/>
      <w:bookmarkEnd w:id="14"/>
      <w:r w:rsidR="00950ACC" w:rsidRPr="00053796">
        <w:rPr>
          <w:rFonts w:ascii="Book Antiqua" w:hAnsi="Book Antiqua"/>
        </w:rPr>
        <w:t xml:space="preserve"> (WBC)</w:t>
      </w:r>
      <w:r w:rsidRPr="00053796">
        <w:rPr>
          <w:rFonts w:ascii="Book Antiqua" w:hAnsi="Book Antiqua"/>
        </w:rPr>
        <w:t xml:space="preserve">, </w:t>
      </w:r>
      <w:r w:rsidR="00950ACC" w:rsidRPr="00053796">
        <w:rPr>
          <w:rFonts w:ascii="Book Antiqua" w:hAnsi="Book Antiqua"/>
        </w:rPr>
        <w:t>erythrocyte sedimentation rate (ESR)</w:t>
      </w:r>
      <w:r w:rsidRPr="00053796">
        <w:rPr>
          <w:rFonts w:ascii="Book Antiqua" w:hAnsi="Book Antiqua"/>
        </w:rPr>
        <w:t xml:space="preserve">, </w:t>
      </w:r>
      <w:r w:rsidR="00950ACC" w:rsidRPr="00053796">
        <w:rPr>
          <w:rFonts w:ascii="Book Antiqua" w:hAnsi="Book Antiqua"/>
        </w:rPr>
        <w:t>C-reactive protein (CRP)]</w:t>
      </w:r>
      <w:r w:rsidRPr="00053796">
        <w:rPr>
          <w:rFonts w:ascii="Book Antiqua" w:hAnsi="Book Antiqua"/>
        </w:rPr>
        <w:t>. Venous blood was also drawn into PAX</w:t>
      </w:r>
      <w:r w:rsidR="00950ACC" w:rsidRPr="00053796">
        <w:rPr>
          <w:rFonts w:ascii="Book Antiqua" w:hAnsi="Book Antiqua"/>
        </w:rPr>
        <w:t xml:space="preserve"> </w:t>
      </w:r>
      <w:r w:rsidRPr="00053796">
        <w:rPr>
          <w:rFonts w:ascii="Book Antiqua" w:hAnsi="Book Antiqua"/>
        </w:rPr>
        <w:t>gene RNA-stabilizing tubes and mRNAs were measured using Nano</w:t>
      </w:r>
      <w:r w:rsidR="00950ACC" w:rsidRPr="00053796">
        <w:rPr>
          <w:rFonts w:ascii="Book Antiqua" w:hAnsi="Book Antiqua"/>
        </w:rPr>
        <w:t xml:space="preserve"> </w:t>
      </w:r>
      <w:r w:rsidRPr="00053796">
        <w:rPr>
          <w:rFonts w:ascii="Book Antiqua" w:hAnsi="Book Antiqua"/>
        </w:rPr>
        <w:t xml:space="preserve">String </w:t>
      </w:r>
      <w:proofErr w:type="spellStart"/>
      <w:r w:rsidRPr="00053796">
        <w:rPr>
          <w:rFonts w:ascii="Book Antiqua" w:hAnsi="Book Antiqua"/>
        </w:rPr>
        <w:t>nCounter</w:t>
      </w:r>
      <w:proofErr w:type="spellEnd"/>
      <w:r w:rsidRPr="00053796">
        <w:rPr>
          <w:rFonts w:ascii="Book Antiqua" w:hAnsi="Book Antiqua"/>
        </w:rPr>
        <w:t>™. SMS was calculated blinded to clinical results.</w:t>
      </w:r>
    </w:p>
    <w:p w14:paraId="632C18DF" w14:textId="77777777" w:rsidR="00950ACC" w:rsidRPr="00053796" w:rsidRDefault="00950ACC" w:rsidP="00053796">
      <w:pPr>
        <w:spacing w:line="360" w:lineRule="auto"/>
        <w:jc w:val="both"/>
        <w:rPr>
          <w:rFonts w:ascii="Book Antiqua" w:hAnsi="Book Antiqua"/>
          <w:b/>
        </w:rPr>
      </w:pPr>
    </w:p>
    <w:p w14:paraId="7352940C" w14:textId="0C42365C" w:rsidR="005966A0" w:rsidRPr="00053796" w:rsidRDefault="005966A0" w:rsidP="00053796">
      <w:pPr>
        <w:spacing w:line="360" w:lineRule="auto"/>
        <w:jc w:val="both"/>
        <w:rPr>
          <w:rFonts w:ascii="Book Antiqua" w:hAnsi="Book Antiqua"/>
          <w:b/>
          <w:i/>
          <w:iCs/>
          <w:caps/>
        </w:rPr>
      </w:pPr>
      <w:r w:rsidRPr="00053796">
        <w:rPr>
          <w:rFonts w:ascii="Book Antiqua" w:hAnsi="Book Antiqua"/>
          <w:b/>
          <w:i/>
          <w:iCs/>
          <w:caps/>
        </w:rPr>
        <w:t>Results</w:t>
      </w:r>
    </w:p>
    <w:p w14:paraId="42068F23" w14:textId="6F62F938" w:rsidR="005966A0" w:rsidRPr="00053796" w:rsidRDefault="005966A0" w:rsidP="00053796">
      <w:pPr>
        <w:spacing w:line="360" w:lineRule="auto"/>
        <w:jc w:val="both"/>
        <w:rPr>
          <w:rFonts w:ascii="Book Antiqua" w:hAnsi="Book Antiqua"/>
          <w:b/>
        </w:rPr>
      </w:pPr>
      <w:r w:rsidRPr="00053796">
        <w:rPr>
          <w:rFonts w:ascii="Book Antiqua" w:hAnsi="Book Antiqua"/>
        </w:rPr>
        <w:t xml:space="preserve">A total of </w:t>
      </w:r>
      <w:r w:rsidR="00B2590A" w:rsidRPr="00053796">
        <w:rPr>
          <w:rFonts w:ascii="Book Antiqua" w:hAnsi="Book Antiqua"/>
        </w:rPr>
        <w:t>20</w:t>
      </w:r>
      <w:r w:rsidRPr="00053796">
        <w:rPr>
          <w:rFonts w:ascii="Book Antiqua" w:hAnsi="Book Antiqua"/>
        </w:rPr>
        <w:t xml:space="preserve"> samples were included, of which 11 were infected based on aspiration or intra-operative cultures. The SMS had an area under the ROC curve (AUROC) of 0.8</w:t>
      </w:r>
      <w:r w:rsidR="004941D3" w:rsidRPr="00053796">
        <w:rPr>
          <w:rFonts w:ascii="Book Antiqua" w:hAnsi="Book Antiqua"/>
        </w:rPr>
        <w:t>7</w:t>
      </w:r>
      <w:r w:rsidRPr="00053796">
        <w:rPr>
          <w:rFonts w:ascii="Book Antiqua" w:hAnsi="Book Antiqua"/>
        </w:rPr>
        <w:t xml:space="preserve"> for separating infectious from non-infectious conditions. For comparison, the AUROCs for ESR</w:t>
      </w:r>
      <w:r w:rsidR="00950ACC" w:rsidRPr="00053796">
        <w:rPr>
          <w:rFonts w:ascii="Book Antiqua" w:hAnsi="Book Antiqua"/>
        </w:rPr>
        <w:t xml:space="preserve"> </w:t>
      </w:r>
      <w:r w:rsidRPr="00053796">
        <w:rPr>
          <w:rFonts w:ascii="Book Antiqua" w:hAnsi="Book Antiqua"/>
        </w:rPr>
        <w:t>=</w:t>
      </w:r>
      <w:r w:rsidR="00950ACC" w:rsidRPr="00053796">
        <w:rPr>
          <w:rFonts w:ascii="Book Antiqua" w:hAnsi="Book Antiqua"/>
        </w:rPr>
        <w:t xml:space="preserve"> </w:t>
      </w:r>
      <w:r w:rsidRPr="00053796">
        <w:rPr>
          <w:rFonts w:ascii="Book Antiqua" w:hAnsi="Book Antiqua"/>
        </w:rPr>
        <w:t>0.5</w:t>
      </w:r>
      <w:r w:rsidR="004941D3" w:rsidRPr="00053796">
        <w:rPr>
          <w:rFonts w:ascii="Book Antiqua" w:hAnsi="Book Antiqua"/>
        </w:rPr>
        <w:t>8</w:t>
      </w:r>
      <w:r w:rsidRPr="00053796">
        <w:rPr>
          <w:rFonts w:ascii="Book Antiqua" w:hAnsi="Book Antiqua"/>
        </w:rPr>
        <w:t>, CRP</w:t>
      </w:r>
      <w:r w:rsidR="00640DAD" w:rsidRPr="00053796">
        <w:rPr>
          <w:rFonts w:ascii="Book Antiqua" w:hAnsi="Book Antiqua"/>
        </w:rPr>
        <w:t xml:space="preserve"> </w:t>
      </w:r>
      <w:r w:rsidRPr="00053796">
        <w:rPr>
          <w:rFonts w:ascii="Book Antiqua" w:hAnsi="Book Antiqua"/>
        </w:rPr>
        <w:t>=</w:t>
      </w:r>
      <w:r w:rsidR="00640DAD" w:rsidRPr="00053796">
        <w:rPr>
          <w:rFonts w:ascii="Book Antiqua" w:hAnsi="Book Antiqua"/>
        </w:rPr>
        <w:t xml:space="preserve"> </w:t>
      </w:r>
      <w:r w:rsidRPr="00053796">
        <w:rPr>
          <w:rFonts w:ascii="Book Antiqua" w:hAnsi="Book Antiqua"/>
        </w:rPr>
        <w:t>0.</w:t>
      </w:r>
      <w:r w:rsidR="004941D3" w:rsidRPr="00053796">
        <w:rPr>
          <w:rFonts w:ascii="Book Antiqua" w:hAnsi="Book Antiqua"/>
        </w:rPr>
        <w:t>6</w:t>
      </w:r>
      <w:r w:rsidRPr="00053796">
        <w:rPr>
          <w:rFonts w:ascii="Book Antiqua" w:hAnsi="Book Antiqua"/>
        </w:rPr>
        <w:t>, and WBC</w:t>
      </w:r>
      <w:r w:rsidR="00640DAD" w:rsidRPr="00053796">
        <w:rPr>
          <w:rFonts w:ascii="Book Antiqua" w:hAnsi="Book Antiqua"/>
        </w:rPr>
        <w:t xml:space="preserve"> </w:t>
      </w:r>
      <w:r w:rsidRPr="00053796">
        <w:rPr>
          <w:rFonts w:ascii="Book Antiqua" w:hAnsi="Book Antiqua"/>
        </w:rPr>
        <w:t>=</w:t>
      </w:r>
      <w:r w:rsidR="00640DAD" w:rsidRPr="00053796">
        <w:rPr>
          <w:rFonts w:ascii="Book Antiqua" w:hAnsi="Book Antiqua"/>
        </w:rPr>
        <w:t xml:space="preserve"> </w:t>
      </w:r>
      <w:r w:rsidRPr="00053796">
        <w:rPr>
          <w:rFonts w:ascii="Book Antiqua" w:hAnsi="Book Antiqua"/>
        </w:rPr>
        <w:t>0.5</w:t>
      </w:r>
      <w:r w:rsidR="004941D3" w:rsidRPr="00053796">
        <w:rPr>
          <w:rFonts w:ascii="Book Antiqua" w:hAnsi="Book Antiqua"/>
        </w:rPr>
        <w:t>9</w:t>
      </w:r>
      <w:r w:rsidRPr="00053796">
        <w:rPr>
          <w:rFonts w:ascii="Book Antiqua" w:hAnsi="Book Antiqua"/>
        </w:rPr>
        <w:t xml:space="preserve">. At 100% sensitivity for infection, the specificity </w:t>
      </w:r>
      <w:r w:rsidRPr="00053796">
        <w:rPr>
          <w:rFonts w:ascii="Book Antiqua" w:hAnsi="Book Antiqua"/>
        </w:rPr>
        <w:lastRenderedPageBreak/>
        <w:t xml:space="preserve">of the SMS was </w:t>
      </w:r>
      <w:r w:rsidR="00FF1A8B" w:rsidRPr="00053796">
        <w:rPr>
          <w:rFonts w:ascii="Book Antiqua" w:hAnsi="Book Antiqua"/>
        </w:rPr>
        <w:t>4</w:t>
      </w:r>
      <w:r w:rsidRPr="00053796">
        <w:rPr>
          <w:rFonts w:ascii="Book Antiqua" w:hAnsi="Book Antiqua"/>
        </w:rPr>
        <w:t xml:space="preserve">0%, meaning </w:t>
      </w:r>
      <w:r w:rsidR="00FF1A8B" w:rsidRPr="00053796">
        <w:rPr>
          <w:rFonts w:ascii="Book Antiqua" w:hAnsi="Book Antiqua"/>
        </w:rPr>
        <w:t xml:space="preserve">nearly </w:t>
      </w:r>
      <w:r w:rsidRPr="00053796">
        <w:rPr>
          <w:rFonts w:ascii="Book Antiqua" w:hAnsi="Book Antiqua"/>
        </w:rPr>
        <w:t>half of non-septic patients could have been ruled out for further intervention.</w:t>
      </w:r>
    </w:p>
    <w:p w14:paraId="10AE1872" w14:textId="77777777" w:rsidR="005966A0" w:rsidRPr="00053796" w:rsidRDefault="005966A0" w:rsidP="00053796">
      <w:pPr>
        <w:pStyle w:val="NoSpacing"/>
        <w:spacing w:line="360" w:lineRule="auto"/>
        <w:jc w:val="both"/>
        <w:rPr>
          <w:rFonts w:ascii="Book Antiqua" w:hAnsi="Book Antiqua" w:cs="Times New Roman"/>
          <w:b/>
          <w:sz w:val="24"/>
          <w:szCs w:val="24"/>
        </w:rPr>
      </w:pPr>
    </w:p>
    <w:p w14:paraId="01EC8205" w14:textId="5242B60D" w:rsidR="005966A0" w:rsidRPr="00053796" w:rsidRDefault="005966A0" w:rsidP="00053796">
      <w:pPr>
        <w:pStyle w:val="NoSpacing"/>
        <w:spacing w:line="360" w:lineRule="auto"/>
        <w:jc w:val="both"/>
        <w:rPr>
          <w:rFonts w:ascii="Book Antiqua" w:hAnsi="Book Antiqua" w:cs="Times New Roman"/>
          <w:b/>
          <w:i/>
          <w:iCs/>
          <w:caps/>
          <w:sz w:val="24"/>
          <w:szCs w:val="24"/>
        </w:rPr>
      </w:pPr>
      <w:r w:rsidRPr="00053796">
        <w:rPr>
          <w:rFonts w:ascii="Book Antiqua" w:hAnsi="Book Antiqua" w:cs="Times New Roman"/>
          <w:b/>
          <w:i/>
          <w:iCs/>
          <w:caps/>
          <w:sz w:val="24"/>
          <w:szCs w:val="24"/>
        </w:rPr>
        <w:t>Conclusion</w:t>
      </w:r>
    </w:p>
    <w:p w14:paraId="69449A8F" w14:textId="20EB7F9B" w:rsidR="005966A0" w:rsidRPr="00053796" w:rsidRDefault="005966A0" w:rsidP="00053796">
      <w:pPr>
        <w:pStyle w:val="NoSpacing"/>
        <w:spacing w:line="360" w:lineRule="auto"/>
        <w:jc w:val="both"/>
        <w:rPr>
          <w:rFonts w:ascii="Book Antiqua" w:hAnsi="Book Antiqua" w:cs="Times New Roman"/>
          <w:sz w:val="24"/>
          <w:szCs w:val="24"/>
        </w:rPr>
      </w:pPr>
      <w:r w:rsidRPr="00053796">
        <w:rPr>
          <w:rFonts w:ascii="Book Antiqua" w:hAnsi="Book Antiqua" w:cs="Times New Roman"/>
          <w:sz w:val="24"/>
          <w:szCs w:val="24"/>
        </w:rPr>
        <w:t xml:space="preserve">In this </w:t>
      </w:r>
      <w:r w:rsidR="00FF1A8B" w:rsidRPr="00053796">
        <w:rPr>
          <w:rFonts w:ascii="Book Antiqua" w:hAnsi="Book Antiqua" w:cs="Times New Roman"/>
          <w:sz w:val="24"/>
          <w:szCs w:val="24"/>
        </w:rPr>
        <w:t xml:space="preserve">pilot </w:t>
      </w:r>
      <w:r w:rsidRPr="00053796">
        <w:rPr>
          <w:rFonts w:ascii="Book Antiqua" w:hAnsi="Book Antiqua" w:cs="Times New Roman"/>
          <w:sz w:val="24"/>
          <w:szCs w:val="24"/>
        </w:rPr>
        <w:t>study, SMS showed a high level of diagnostic accuracy in predicting septic joints compared to other diagnostic biomarkers. This quick blood test could be an important tool for early, accurate identification of acute septic joints and need for emergent surgery, improving clinical care and healthcare spending.</w:t>
      </w:r>
    </w:p>
    <w:p w14:paraId="0B20A772" w14:textId="4EE8F7B9" w:rsidR="00407467" w:rsidRPr="00053796" w:rsidRDefault="00407467" w:rsidP="00053796">
      <w:pPr>
        <w:pStyle w:val="NoSpacing"/>
        <w:spacing w:line="360" w:lineRule="auto"/>
        <w:jc w:val="both"/>
        <w:rPr>
          <w:rFonts w:ascii="Book Antiqua" w:hAnsi="Book Antiqua" w:cs="Times New Roman"/>
          <w:sz w:val="24"/>
          <w:szCs w:val="24"/>
        </w:rPr>
      </w:pPr>
    </w:p>
    <w:p w14:paraId="5FA7F068" w14:textId="78324FA2" w:rsidR="00950ACC" w:rsidRPr="00053796" w:rsidRDefault="00950ACC" w:rsidP="00053796">
      <w:pPr>
        <w:pStyle w:val="NoSpacing"/>
        <w:spacing w:line="360" w:lineRule="auto"/>
        <w:jc w:val="both"/>
        <w:rPr>
          <w:rFonts w:ascii="Book Antiqua" w:hAnsi="Book Antiqua" w:cs="Times New Roman"/>
          <w:bCs/>
          <w:sz w:val="24"/>
          <w:szCs w:val="24"/>
        </w:rPr>
      </w:pPr>
      <w:r w:rsidRPr="00053796">
        <w:rPr>
          <w:rFonts w:ascii="Book Antiqua" w:hAnsi="Book Antiqua" w:cs="Times New Roman"/>
          <w:b/>
          <w:sz w:val="24"/>
          <w:szCs w:val="24"/>
        </w:rPr>
        <w:t>Key words:</w:t>
      </w:r>
      <w:r w:rsidRPr="00053796">
        <w:rPr>
          <w:rFonts w:ascii="Book Antiqua" w:hAnsi="Book Antiqua" w:cs="Times New Roman"/>
          <w:bCs/>
          <w:sz w:val="24"/>
          <w:szCs w:val="24"/>
        </w:rPr>
        <w:t xml:space="preserve"> </w:t>
      </w:r>
      <w:bookmarkStart w:id="15" w:name="OLE_LINK16"/>
      <w:r w:rsidR="00640DAD" w:rsidRPr="00053796">
        <w:rPr>
          <w:rFonts w:ascii="Book Antiqua" w:hAnsi="Book Antiqua" w:cs="Times New Roman"/>
          <w:bCs/>
          <w:sz w:val="24"/>
          <w:szCs w:val="24"/>
        </w:rPr>
        <w:t>Biomarkers</w:t>
      </w:r>
      <w:bookmarkEnd w:id="15"/>
      <w:r w:rsidR="00640DAD" w:rsidRPr="00053796">
        <w:rPr>
          <w:rFonts w:ascii="Book Antiqua" w:hAnsi="Book Antiqua" w:cs="Times New Roman"/>
          <w:bCs/>
          <w:sz w:val="24"/>
          <w:szCs w:val="24"/>
        </w:rPr>
        <w:t>;</w:t>
      </w:r>
      <w:r w:rsidRPr="00053796">
        <w:rPr>
          <w:rFonts w:ascii="Book Antiqua" w:hAnsi="Book Antiqua" w:cs="Times New Roman"/>
          <w:bCs/>
          <w:sz w:val="24"/>
          <w:szCs w:val="24"/>
        </w:rPr>
        <w:t xml:space="preserve"> </w:t>
      </w:r>
      <w:bookmarkStart w:id="16" w:name="OLE_LINK17"/>
      <w:bookmarkStart w:id="17" w:name="OLE_LINK18"/>
      <w:r w:rsidR="00640DAD" w:rsidRPr="00053796">
        <w:rPr>
          <w:rFonts w:ascii="Book Antiqua" w:hAnsi="Book Antiqua" w:cs="Times New Roman"/>
          <w:bCs/>
          <w:sz w:val="24"/>
          <w:szCs w:val="24"/>
        </w:rPr>
        <w:t>Bioinformatics</w:t>
      </w:r>
      <w:bookmarkEnd w:id="16"/>
      <w:bookmarkEnd w:id="17"/>
      <w:r w:rsidR="00640DAD" w:rsidRPr="00053796">
        <w:rPr>
          <w:rFonts w:ascii="Book Antiqua" w:hAnsi="Book Antiqua" w:cs="Times New Roman"/>
          <w:bCs/>
          <w:sz w:val="24"/>
          <w:szCs w:val="24"/>
        </w:rPr>
        <w:t>;</w:t>
      </w:r>
      <w:r w:rsidRPr="00053796">
        <w:rPr>
          <w:rFonts w:ascii="Book Antiqua" w:hAnsi="Book Antiqua" w:cs="Times New Roman"/>
          <w:bCs/>
          <w:sz w:val="24"/>
          <w:szCs w:val="24"/>
        </w:rPr>
        <w:t xml:space="preserve"> </w:t>
      </w:r>
      <w:bookmarkStart w:id="18" w:name="OLE_LINK19"/>
      <w:r w:rsidR="00640DAD" w:rsidRPr="00053796">
        <w:rPr>
          <w:rFonts w:ascii="Book Antiqua" w:hAnsi="Book Antiqua" w:cs="Times New Roman"/>
          <w:bCs/>
          <w:sz w:val="24"/>
          <w:szCs w:val="24"/>
        </w:rPr>
        <w:t>Infection</w:t>
      </w:r>
      <w:bookmarkEnd w:id="18"/>
      <w:r w:rsidR="00640DAD" w:rsidRPr="00053796">
        <w:rPr>
          <w:rFonts w:ascii="Book Antiqua" w:hAnsi="Book Antiqua" w:cs="Times New Roman"/>
          <w:bCs/>
          <w:sz w:val="24"/>
          <w:szCs w:val="24"/>
        </w:rPr>
        <w:t>;</w:t>
      </w:r>
      <w:r w:rsidRPr="00053796">
        <w:rPr>
          <w:rFonts w:ascii="Book Antiqua" w:hAnsi="Book Antiqua" w:cs="Times New Roman"/>
          <w:bCs/>
          <w:sz w:val="24"/>
          <w:szCs w:val="24"/>
        </w:rPr>
        <w:t xml:space="preserve"> </w:t>
      </w:r>
      <w:bookmarkStart w:id="19" w:name="OLE_LINK20"/>
      <w:r w:rsidR="00640DAD" w:rsidRPr="00053796">
        <w:rPr>
          <w:rFonts w:ascii="Book Antiqua" w:hAnsi="Book Antiqua" w:cs="Times New Roman"/>
          <w:bCs/>
          <w:sz w:val="24"/>
          <w:szCs w:val="24"/>
        </w:rPr>
        <w:t xml:space="preserve">Septic </w:t>
      </w:r>
      <w:r w:rsidRPr="00053796">
        <w:rPr>
          <w:rFonts w:ascii="Book Antiqua" w:hAnsi="Book Antiqua" w:cs="Times New Roman"/>
          <w:bCs/>
          <w:sz w:val="24"/>
          <w:szCs w:val="24"/>
        </w:rPr>
        <w:t>arthritis</w:t>
      </w:r>
      <w:bookmarkEnd w:id="19"/>
      <w:r w:rsidR="00640DAD" w:rsidRPr="00053796">
        <w:rPr>
          <w:rFonts w:ascii="Book Antiqua" w:hAnsi="Book Antiqua" w:cs="Times New Roman"/>
          <w:bCs/>
          <w:sz w:val="24"/>
          <w:szCs w:val="24"/>
        </w:rPr>
        <w:t>;</w:t>
      </w:r>
      <w:r w:rsidRPr="00053796">
        <w:rPr>
          <w:rFonts w:ascii="Book Antiqua" w:hAnsi="Book Antiqua" w:cs="Times New Roman"/>
          <w:bCs/>
          <w:sz w:val="24"/>
          <w:szCs w:val="24"/>
        </w:rPr>
        <w:t xml:space="preserve"> </w:t>
      </w:r>
      <w:bookmarkStart w:id="20" w:name="OLE_LINK21"/>
      <w:r w:rsidR="00640DAD" w:rsidRPr="00053796">
        <w:rPr>
          <w:rFonts w:ascii="Book Antiqua" w:hAnsi="Book Antiqua" w:cs="Times New Roman"/>
          <w:bCs/>
          <w:sz w:val="24"/>
          <w:szCs w:val="24"/>
        </w:rPr>
        <w:t xml:space="preserve">Medical </w:t>
      </w:r>
      <w:r w:rsidRPr="00053796">
        <w:rPr>
          <w:rFonts w:ascii="Book Antiqua" w:hAnsi="Book Antiqua" w:cs="Times New Roman"/>
          <w:bCs/>
          <w:sz w:val="24"/>
          <w:szCs w:val="24"/>
        </w:rPr>
        <w:t>technology</w:t>
      </w:r>
      <w:bookmarkEnd w:id="20"/>
      <w:r w:rsidR="00640DAD" w:rsidRPr="00053796">
        <w:rPr>
          <w:rFonts w:ascii="Book Antiqua" w:hAnsi="Book Antiqua" w:cs="Times New Roman"/>
          <w:bCs/>
          <w:sz w:val="24"/>
          <w:szCs w:val="24"/>
        </w:rPr>
        <w:t>;</w:t>
      </w:r>
      <w:r w:rsidRPr="00053796">
        <w:rPr>
          <w:rFonts w:ascii="Book Antiqua" w:hAnsi="Book Antiqua" w:cs="Times New Roman"/>
          <w:bCs/>
          <w:sz w:val="24"/>
          <w:szCs w:val="24"/>
        </w:rPr>
        <w:t xml:space="preserve"> </w:t>
      </w:r>
      <w:bookmarkStart w:id="21" w:name="OLE_LINK22"/>
      <w:r w:rsidR="00640DAD" w:rsidRPr="00053796">
        <w:rPr>
          <w:rFonts w:ascii="Book Antiqua" w:hAnsi="Book Antiqua" w:cs="Times New Roman"/>
          <w:bCs/>
          <w:sz w:val="24"/>
          <w:szCs w:val="24"/>
        </w:rPr>
        <w:t>Diagnostics</w:t>
      </w:r>
      <w:bookmarkEnd w:id="21"/>
    </w:p>
    <w:p w14:paraId="5A745816" w14:textId="124A1808" w:rsidR="00950ACC" w:rsidRPr="00053796" w:rsidRDefault="00950ACC" w:rsidP="00053796">
      <w:pPr>
        <w:pStyle w:val="NoSpacing"/>
        <w:spacing w:line="360" w:lineRule="auto"/>
        <w:jc w:val="both"/>
        <w:rPr>
          <w:rFonts w:ascii="Book Antiqua" w:hAnsi="Book Antiqua" w:cs="Times New Roman"/>
          <w:sz w:val="24"/>
          <w:szCs w:val="24"/>
        </w:rPr>
      </w:pPr>
    </w:p>
    <w:p w14:paraId="7D16BE06" w14:textId="77777777" w:rsidR="00640DAD" w:rsidRPr="00053796" w:rsidRDefault="00640DAD" w:rsidP="00053796">
      <w:pPr>
        <w:snapToGrid w:val="0"/>
        <w:spacing w:line="360" w:lineRule="auto"/>
        <w:jc w:val="both"/>
        <w:rPr>
          <w:rFonts w:ascii="Book Antiqua" w:hAnsi="Book Antiqua"/>
        </w:rPr>
      </w:pPr>
      <w:bookmarkStart w:id="22" w:name="OLE_LINK8"/>
      <w:r w:rsidRPr="00053796">
        <w:rPr>
          <w:rFonts w:ascii="Book Antiqua" w:hAnsi="Book Antiqua"/>
          <w:b/>
          <w:bCs/>
        </w:rPr>
        <w:t xml:space="preserve">© The Author(s) 2019. </w:t>
      </w:r>
      <w:r w:rsidRPr="00053796">
        <w:rPr>
          <w:rFonts w:ascii="Book Antiqua" w:hAnsi="Book Antiqua"/>
        </w:rPr>
        <w:t xml:space="preserve">Published by </w:t>
      </w:r>
      <w:proofErr w:type="spellStart"/>
      <w:r w:rsidRPr="00053796">
        <w:rPr>
          <w:rFonts w:ascii="Book Antiqua" w:hAnsi="Book Antiqua"/>
        </w:rPr>
        <w:t>Baishideng</w:t>
      </w:r>
      <w:proofErr w:type="spellEnd"/>
      <w:r w:rsidRPr="00053796">
        <w:rPr>
          <w:rFonts w:ascii="Book Antiqua" w:hAnsi="Book Antiqua"/>
        </w:rPr>
        <w:t xml:space="preserve"> Publishing Group Inc. All rights reserved.</w:t>
      </w:r>
    </w:p>
    <w:bookmarkEnd w:id="22"/>
    <w:p w14:paraId="3F88A174" w14:textId="77777777" w:rsidR="00640DAD" w:rsidRPr="00053796" w:rsidRDefault="00640DAD" w:rsidP="00053796">
      <w:pPr>
        <w:pStyle w:val="NoSpacing"/>
        <w:spacing w:line="360" w:lineRule="auto"/>
        <w:jc w:val="both"/>
        <w:rPr>
          <w:rFonts w:ascii="Book Antiqua" w:hAnsi="Book Antiqua" w:cs="Times New Roman"/>
          <w:sz w:val="24"/>
          <w:szCs w:val="24"/>
        </w:rPr>
      </w:pPr>
    </w:p>
    <w:p w14:paraId="0460DF3B" w14:textId="77777777" w:rsidR="00640DAD" w:rsidRPr="00053796" w:rsidRDefault="00407467" w:rsidP="00053796">
      <w:pPr>
        <w:pStyle w:val="NoSpacing"/>
        <w:spacing w:line="360" w:lineRule="auto"/>
        <w:jc w:val="both"/>
        <w:rPr>
          <w:rFonts w:ascii="Book Antiqua" w:hAnsi="Book Antiqua"/>
          <w:bCs/>
          <w:sz w:val="24"/>
          <w:szCs w:val="24"/>
        </w:rPr>
      </w:pPr>
      <w:r w:rsidRPr="00053796">
        <w:rPr>
          <w:rFonts w:ascii="Book Antiqua" w:hAnsi="Book Antiqua" w:cs="Times New Roman"/>
          <w:b/>
          <w:bCs/>
          <w:sz w:val="24"/>
          <w:szCs w:val="24"/>
        </w:rPr>
        <w:t>Core tip</w:t>
      </w:r>
      <w:r w:rsidR="00640DAD" w:rsidRPr="00053796">
        <w:rPr>
          <w:rFonts w:ascii="Book Antiqua" w:hAnsi="Book Antiqua" w:cs="Times New Roman"/>
          <w:b/>
          <w:bCs/>
          <w:sz w:val="24"/>
          <w:szCs w:val="24"/>
        </w:rPr>
        <w:t xml:space="preserve">: </w:t>
      </w:r>
      <w:bookmarkStart w:id="23" w:name="OLE_LINK23"/>
      <w:r w:rsidRPr="00053796">
        <w:rPr>
          <w:rFonts w:ascii="Book Antiqua" w:hAnsi="Book Antiqua"/>
          <w:bCs/>
          <w:sz w:val="24"/>
          <w:szCs w:val="24"/>
        </w:rPr>
        <w:t xml:space="preserve">Acute septic arthritis is an orthopedic emergency. The current gold standard diagnostic tool is synovial fluid culture, but this can take days to results, so decisions about surgery are made with imperfect information. A novel diagnostic </w:t>
      </w:r>
      <w:r w:rsidR="00640DAD" w:rsidRPr="00053796">
        <w:rPr>
          <w:rFonts w:ascii="Book Antiqua" w:hAnsi="Book Antiqua"/>
          <w:bCs/>
          <w:sz w:val="24"/>
          <w:szCs w:val="24"/>
        </w:rPr>
        <w:t>“</w:t>
      </w:r>
      <w:r w:rsidRPr="00053796">
        <w:rPr>
          <w:rFonts w:ascii="Book Antiqua" w:hAnsi="Book Antiqua"/>
          <w:bCs/>
          <w:sz w:val="24"/>
          <w:szCs w:val="24"/>
        </w:rPr>
        <w:t xml:space="preserve">Sepsis </w:t>
      </w:r>
      <w:proofErr w:type="spellStart"/>
      <w:r w:rsidRPr="00053796">
        <w:rPr>
          <w:rFonts w:ascii="Book Antiqua" w:hAnsi="Book Antiqua"/>
          <w:bCs/>
          <w:sz w:val="24"/>
          <w:szCs w:val="24"/>
        </w:rPr>
        <w:t>MetaScore</w:t>
      </w:r>
      <w:proofErr w:type="spellEnd"/>
      <w:r w:rsidR="00640DAD" w:rsidRPr="00053796">
        <w:rPr>
          <w:rFonts w:ascii="Book Antiqua" w:hAnsi="Book Antiqua"/>
          <w:bCs/>
          <w:sz w:val="24"/>
          <w:szCs w:val="24"/>
        </w:rPr>
        <w:t>”</w:t>
      </w:r>
      <w:r w:rsidRPr="00053796">
        <w:rPr>
          <w:rFonts w:ascii="Book Antiqua" w:hAnsi="Book Antiqua"/>
          <w:bCs/>
          <w:sz w:val="24"/>
          <w:szCs w:val="24"/>
        </w:rPr>
        <w:t xml:space="preserve"> (SMS) based on an mRNA signature has been identified that uses a blood sample to rapidly identify differentiate septic </w:t>
      </w:r>
      <w:r w:rsidRPr="00053796">
        <w:rPr>
          <w:rFonts w:ascii="Book Antiqua" w:hAnsi="Book Antiqua"/>
          <w:bCs/>
          <w:i/>
          <w:iCs/>
          <w:sz w:val="24"/>
          <w:szCs w:val="24"/>
        </w:rPr>
        <w:t>vs</w:t>
      </w:r>
      <w:r w:rsidRPr="00053796">
        <w:rPr>
          <w:rFonts w:ascii="Book Antiqua" w:hAnsi="Book Antiqua"/>
          <w:bCs/>
          <w:sz w:val="24"/>
          <w:szCs w:val="24"/>
        </w:rPr>
        <w:t xml:space="preserve"> aseptic inflammation. Our pilot study showed the SMS had higher diagnostic accuracy than current standard of care inflammatory labs, showing potential for use as a rule-out test for septic arthritis, helping to minimize misdiagnosis and avoid unnecessary surgeries.</w:t>
      </w:r>
    </w:p>
    <w:bookmarkEnd w:id="23"/>
    <w:p w14:paraId="1E975EA0" w14:textId="77777777" w:rsidR="00640DAD" w:rsidRPr="00053796" w:rsidRDefault="00640DAD" w:rsidP="00053796">
      <w:pPr>
        <w:pStyle w:val="NoSpacing"/>
        <w:spacing w:line="360" w:lineRule="auto"/>
        <w:jc w:val="both"/>
        <w:rPr>
          <w:rFonts w:ascii="Book Antiqua" w:hAnsi="Book Antiqua"/>
          <w:bCs/>
          <w:sz w:val="24"/>
          <w:szCs w:val="24"/>
        </w:rPr>
      </w:pPr>
    </w:p>
    <w:p w14:paraId="34E29F86" w14:textId="07F82C1E" w:rsidR="00640DAD" w:rsidRPr="00053796" w:rsidRDefault="00640DAD" w:rsidP="00053796">
      <w:pPr>
        <w:pStyle w:val="NoSpacing"/>
        <w:spacing w:line="360" w:lineRule="auto"/>
        <w:jc w:val="both"/>
        <w:rPr>
          <w:rFonts w:ascii="Book Antiqua" w:hAnsi="Book Antiqua" w:cs="Times New Roman"/>
          <w:bCs/>
          <w:i/>
          <w:iCs/>
          <w:sz w:val="24"/>
          <w:szCs w:val="24"/>
        </w:rPr>
      </w:pPr>
      <w:r w:rsidRPr="00053796">
        <w:rPr>
          <w:rFonts w:ascii="Book Antiqua" w:hAnsi="Book Antiqua"/>
          <w:sz w:val="24"/>
          <w:szCs w:val="24"/>
        </w:rPr>
        <w:t xml:space="preserve">Schultz BJ, Sweeney T, </w:t>
      </w:r>
      <w:proofErr w:type="spellStart"/>
      <w:r w:rsidRPr="00053796">
        <w:rPr>
          <w:rFonts w:ascii="Book Antiqua" w:hAnsi="Book Antiqua"/>
          <w:sz w:val="24"/>
          <w:szCs w:val="24"/>
        </w:rPr>
        <w:t>DeBaun</w:t>
      </w:r>
      <w:proofErr w:type="spellEnd"/>
      <w:r w:rsidRPr="00053796">
        <w:rPr>
          <w:rFonts w:ascii="Book Antiqua" w:hAnsi="Book Antiqua"/>
          <w:sz w:val="24"/>
          <w:szCs w:val="24"/>
        </w:rPr>
        <w:t xml:space="preserve"> MR, </w:t>
      </w:r>
      <w:proofErr w:type="spellStart"/>
      <w:r w:rsidRPr="00053796">
        <w:rPr>
          <w:rFonts w:ascii="Book Antiqua" w:hAnsi="Book Antiqua"/>
          <w:sz w:val="24"/>
          <w:szCs w:val="24"/>
        </w:rPr>
        <w:t>Remmel</w:t>
      </w:r>
      <w:proofErr w:type="spellEnd"/>
      <w:r w:rsidRPr="00053796">
        <w:rPr>
          <w:rFonts w:ascii="Book Antiqua" w:hAnsi="Book Antiqua"/>
          <w:sz w:val="24"/>
          <w:szCs w:val="24"/>
        </w:rPr>
        <w:t xml:space="preserve"> M, </w:t>
      </w:r>
      <w:proofErr w:type="spellStart"/>
      <w:r w:rsidRPr="00053796">
        <w:rPr>
          <w:rFonts w:ascii="Book Antiqua" w:hAnsi="Book Antiqua"/>
          <w:sz w:val="24"/>
          <w:szCs w:val="24"/>
        </w:rPr>
        <w:t>Midic</w:t>
      </w:r>
      <w:proofErr w:type="spellEnd"/>
      <w:r w:rsidRPr="00053796">
        <w:rPr>
          <w:rFonts w:ascii="Book Antiqua" w:hAnsi="Book Antiqua"/>
          <w:sz w:val="24"/>
          <w:szCs w:val="24"/>
        </w:rPr>
        <w:t xml:space="preserve"> U, Khatri P, Gardner MJ.</w:t>
      </w:r>
      <w:r w:rsidRPr="00053796">
        <w:rPr>
          <w:rFonts w:ascii="Book Antiqua" w:hAnsi="Book Antiqua" w:cs="Times New Roman"/>
          <w:b/>
          <w:sz w:val="24"/>
          <w:szCs w:val="24"/>
        </w:rPr>
        <w:t xml:space="preserve"> </w:t>
      </w:r>
      <w:r w:rsidRPr="00053796">
        <w:rPr>
          <w:rFonts w:ascii="Book Antiqua" w:hAnsi="Book Antiqua" w:cs="Times New Roman"/>
          <w:bCs/>
          <w:sz w:val="24"/>
          <w:szCs w:val="24"/>
        </w:rPr>
        <w:t>Pilot study of a novel serum m</w:t>
      </w:r>
      <w:r w:rsidRPr="00053796">
        <w:rPr>
          <w:rFonts w:ascii="Book Antiqua" w:hAnsi="Book Antiqua" w:cs="Times New Roman"/>
          <w:bCs/>
          <w:caps/>
          <w:sz w:val="24"/>
          <w:szCs w:val="24"/>
        </w:rPr>
        <w:t>rna</w:t>
      </w:r>
      <w:r w:rsidRPr="00053796">
        <w:rPr>
          <w:rFonts w:ascii="Book Antiqua" w:hAnsi="Book Antiqua" w:cs="Times New Roman"/>
          <w:bCs/>
          <w:sz w:val="24"/>
          <w:szCs w:val="24"/>
        </w:rPr>
        <w:t xml:space="preserve"> gene panel for diagnosis of acute septic arthritis.</w:t>
      </w:r>
      <w:r w:rsidRPr="00053796">
        <w:rPr>
          <w:rFonts w:ascii="Book Antiqua" w:hAnsi="Book Antiqua"/>
          <w:sz w:val="24"/>
          <w:szCs w:val="24"/>
        </w:rPr>
        <w:t xml:space="preserve"> </w:t>
      </w:r>
      <w:r w:rsidRPr="00053796">
        <w:rPr>
          <w:rFonts w:ascii="Book Antiqua" w:hAnsi="Book Antiqua" w:cs="Times New Roman"/>
          <w:bCs/>
          <w:i/>
          <w:iCs/>
          <w:sz w:val="24"/>
          <w:szCs w:val="24"/>
        </w:rPr>
        <w:t xml:space="preserve">World J </w:t>
      </w:r>
      <w:proofErr w:type="spellStart"/>
      <w:r w:rsidRPr="00053796">
        <w:rPr>
          <w:rFonts w:ascii="Book Antiqua" w:hAnsi="Book Antiqua" w:cs="Times New Roman"/>
          <w:bCs/>
          <w:i/>
          <w:iCs/>
          <w:sz w:val="24"/>
          <w:szCs w:val="24"/>
        </w:rPr>
        <w:t>Orthop</w:t>
      </w:r>
      <w:proofErr w:type="spellEnd"/>
      <w:r w:rsidRPr="00053796">
        <w:rPr>
          <w:rFonts w:ascii="Book Antiqua" w:hAnsi="Book Antiqua" w:cs="Times New Roman"/>
          <w:bCs/>
          <w:i/>
          <w:iCs/>
          <w:sz w:val="24"/>
          <w:szCs w:val="24"/>
        </w:rPr>
        <w:t xml:space="preserve"> </w:t>
      </w:r>
      <w:r w:rsidRPr="00053796">
        <w:rPr>
          <w:rFonts w:ascii="Book Antiqua" w:hAnsi="Book Antiqua"/>
          <w:iCs/>
          <w:sz w:val="24"/>
          <w:szCs w:val="24"/>
        </w:rPr>
        <w:t>2019</w:t>
      </w:r>
      <w:r w:rsidRPr="00053796">
        <w:rPr>
          <w:rFonts w:ascii="Book Antiqua" w:hAnsi="Book Antiqua"/>
          <w:iCs/>
          <w:kern w:val="2"/>
          <w:sz w:val="24"/>
          <w:szCs w:val="24"/>
          <w:lang w:eastAsia="zh-CN"/>
        </w:rPr>
        <w:t xml:space="preserve">; </w:t>
      </w:r>
      <w:bookmarkStart w:id="24" w:name="_Hlk17271814"/>
      <w:bookmarkStart w:id="25" w:name="OLE_LINK11"/>
      <w:r w:rsidRPr="00053796">
        <w:rPr>
          <w:rFonts w:ascii="Book Antiqua" w:hAnsi="Book Antiqua"/>
          <w:kern w:val="2"/>
          <w:sz w:val="24"/>
          <w:szCs w:val="24"/>
          <w:lang w:eastAsia="zh-CN"/>
        </w:rPr>
        <w:t>In press</w:t>
      </w:r>
      <w:bookmarkEnd w:id="24"/>
      <w:bookmarkEnd w:id="25"/>
    </w:p>
    <w:p w14:paraId="5A876374" w14:textId="399E9DC1" w:rsidR="00640DAD" w:rsidRPr="00053796" w:rsidRDefault="00640DAD" w:rsidP="00053796">
      <w:pPr>
        <w:spacing w:line="360" w:lineRule="auto"/>
        <w:jc w:val="both"/>
        <w:rPr>
          <w:rFonts w:ascii="Book Antiqua" w:hAnsi="Book Antiqua"/>
          <w:vertAlign w:val="superscript"/>
        </w:rPr>
      </w:pPr>
    </w:p>
    <w:p w14:paraId="3E5F674A" w14:textId="0633812D" w:rsidR="00371158" w:rsidRPr="00053796" w:rsidRDefault="00B74E58" w:rsidP="00053796">
      <w:pPr>
        <w:pStyle w:val="NoSpacing"/>
        <w:spacing w:line="360" w:lineRule="auto"/>
        <w:jc w:val="both"/>
        <w:rPr>
          <w:rFonts w:ascii="Book Antiqua" w:hAnsi="Book Antiqua" w:cs="Times New Roman"/>
          <w:b/>
          <w:bCs/>
          <w:caps/>
          <w:sz w:val="24"/>
          <w:szCs w:val="24"/>
        </w:rPr>
      </w:pPr>
      <w:r w:rsidRPr="00053796">
        <w:rPr>
          <w:rFonts w:ascii="Book Antiqua" w:hAnsi="Book Antiqua"/>
          <w:bCs/>
          <w:sz w:val="24"/>
          <w:szCs w:val="24"/>
        </w:rPr>
        <w:br w:type="page"/>
      </w:r>
      <w:r w:rsidR="00BC192B" w:rsidRPr="00053796">
        <w:rPr>
          <w:rFonts w:ascii="Book Antiqua" w:hAnsi="Book Antiqua"/>
          <w:b/>
          <w:caps/>
          <w:sz w:val="24"/>
          <w:szCs w:val="24"/>
        </w:rPr>
        <w:lastRenderedPageBreak/>
        <w:t>Introduction</w:t>
      </w:r>
    </w:p>
    <w:p w14:paraId="427EAD98" w14:textId="444CBE12" w:rsidR="00162979" w:rsidRPr="00053796" w:rsidRDefault="00162979" w:rsidP="00053796">
      <w:pPr>
        <w:pStyle w:val="Bibliography"/>
        <w:tabs>
          <w:tab w:val="clear" w:pos="500"/>
          <w:tab w:val="left" w:pos="15"/>
        </w:tabs>
        <w:spacing w:after="0" w:line="360" w:lineRule="auto"/>
        <w:ind w:left="0" w:firstLine="0"/>
        <w:mirrorIndents/>
        <w:jc w:val="both"/>
        <w:rPr>
          <w:rFonts w:ascii="Book Antiqua" w:hAnsi="Book Antiqua" w:cs="Times New Roman"/>
        </w:rPr>
      </w:pPr>
      <w:r w:rsidRPr="00053796">
        <w:rPr>
          <w:rFonts w:ascii="Book Antiqua" w:hAnsi="Book Antiqua" w:cs="Times New Roman"/>
        </w:rPr>
        <w:tab/>
        <w:t xml:space="preserve">Acute arthritis is a common </w:t>
      </w:r>
      <w:r w:rsidR="009E2921" w:rsidRPr="00053796">
        <w:rPr>
          <w:rFonts w:ascii="Book Antiqua" w:hAnsi="Book Antiqua" w:cs="Times New Roman"/>
        </w:rPr>
        <w:t>complaint</w:t>
      </w:r>
      <w:r w:rsidR="00434DBB" w:rsidRPr="00053796">
        <w:rPr>
          <w:rFonts w:ascii="Book Antiqua" w:hAnsi="Book Antiqua" w:cs="Times New Roman"/>
        </w:rPr>
        <w:t xml:space="preserve"> </w:t>
      </w:r>
      <w:r w:rsidRPr="00053796">
        <w:rPr>
          <w:rFonts w:ascii="Book Antiqua" w:hAnsi="Book Antiqua" w:cs="Times New Roman"/>
        </w:rPr>
        <w:t>in emergency rooms and orthopedic clinics</w:t>
      </w:r>
      <w:r w:rsidR="0064122E" w:rsidRPr="00053796">
        <w:rPr>
          <w:rFonts w:ascii="Book Antiqua" w:hAnsi="Book Antiqua" w:cs="Times New Roman"/>
        </w:rPr>
        <w:t>, with over 13000 hospitalizations per year and over $750 million dollars in healthcare spending in the United States alone</w:t>
      </w:r>
      <w:r w:rsidR="0064122E" w:rsidRPr="00053796">
        <w:rPr>
          <w:rFonts w:ascii="Book Antiqua" w:hAnsi="Book Antiqua" w:cs="Times New Roman"/>
          <w:vertAlign w:val="superscript"/>
        </w:rPr>
        <w:fldChar w:fldCharType="begin"/>
      </w:r>
      <w:r w:rsidR="00A2329C" w:rsidRPr="00053796">
        <w:rPr>
          <w:rFonts w:ascii="Book Antiqua" w:hAnsi="Book Antiqua" w:cs="Times New Roman"/>
          <w:vertAlign w:val="superscript"/>
        </w:rPr>
        <w:instrText xml:space="preserve"> ADDIN ZOTERO_ITEM CSL_CITATION {"citationID":"vLMhEXfj","properties":{"formattedCitation":"(1,2)","plainCitation":"(1,2)","noteIndex":0},"citationItems":[{"id":1615,"uris":["http://zotero.org/users/4971527/items/IV6X5JI2"],"uri":["http://zotero.org/users/4971527/items/IV6X5JI2"],"itemData":{"id":1615,"type":"article-journal","title":"The burden of septic arthritis on the U.S. inpatient care: A national study","container-title":"PloS One","page":"e0182577","volume":"12","issue":"8","source":"PubMed","abstract":"OBJECTIVE: To assess the health care burden of septic arthritis in the U.S. and examine the associated factors.\nMETHODS: We used the U.S. Nationwide Emergency Department Sample (NEDS) data of patients hospitalized with septic arthritis as the primary diagnosis from 2009-12 to assess time-trends. Multivariable-adjusted models assessed demographics, comorbidity and hospital characteristics as potential predictors of duration of hospitalization, total hospital (inpatient and ED) charges and discharge to home.\nRESULTS: In 2009, 2010 and 2012 in the U.S., respectively, there were 13,087, 13,662 and 13,714 hospitalizations with septic arthritis as the primary diagnosis. Respective average hospital stay was 7.4 vs. 7.4 vs. 7.2 days; total hospital charges were $601 vs. $674 vs. $759 million; and proportion discharged home were 43% vs. 43% vs. 44%. Almost 25% each were discharged to a skilled facility or with home health. Age &gt;50 years, Medicaid and self-pay as primary payer, Northeast U.S. hospital location, teaching hospital status, heart failure and diabetes were associated with longer hospitalization; hyperlipidemia, hypertension or gout were associated with a shorter hospital stay. Similar associations were noted for higher hospital charges. Age &gt;50 years, higher income, Medicare insurance, heart failure, diabetes and longer hospital stay were associated with lower odds, and Western U.S. hospital location and gout with higher odds, of discharge to home.\nCONCLUSIONS: We noted an increase in hospital charges from 2009-12, but no time trends in duration or outcomes of hospitalization for septic arthritis. Comorbidity associations with outcomes indicate the potential for developing interventions to improve outcomes.","DOI":"10.1371/journal.pone.0182577","ISSN":"1932-6203","note":"PMID: 28809954\nPMCID: PMC5557487","title-short":"The burden of septic arthritis on the U.S. inpatient care","journalAbbreviation":"PLoS ONE","language":"eng","author":[{"family":"Singh","given":"Jasvinder A."},{"family":"Yu","given":"Shaohua"}],"issued":{"date-parts":[["2017"]]}}},{"id":1618,"uris":["http://zotero.org/users/4971527/items/JDYUPJKB"],"uri":["http://zotero.org/users/4971527/items/JDYUPJKB"],"itemData":{"id":1618,"type":"article-journal","title":"Septic Arthritis in Emergency Departments in the US: A National Study of Health Care Utilization and Time Trends","container-title":"Arthritis Care &amp; Research","page":"320-326","volume":"70","issue":"2","source":"PubMed","abstract":"OBJECTIVE: To assess the health care utilization and emergency department (ED) charges for septic arthritis.\nMETHODS: We performed a retrospective cohort study of ED visits with septic arthritis as the primary diagnosis using the US Nationwide Emergency Department Sample data from 2009-2012. We examined ED charges, hospitalization, and associated time trends. Multivariable models were adjusted for demographics (age, sex, insurance status, residence, and household income), comorbidity, and hospital characteristics to assess factors associated with ED charges and hospitalization.\nRESULTS: Septic arthritis was responsible for 16,382 ED visits in 2012 in the US, which constituted 0.01% of all ED visits. The number of ED visits was stable from 2009-2012. Total ED charges were $34.6, $30.6, and $36.9 million in 2009, 2010, and 2012, respectively, and mean ED charges were $2,149, $1,866, and $2,257, respectively. The majority of the patients with an ED visit for septic arthritis were hospitalized: 82%, 83%, and 84% in 2009, 2010, and 2012, respectively. Metropolitan residence and western US location were associated with higher ED charges, and the highest income quartile, renal failure, or osteoarthritis were associated with lower ED charges. Female sex, metropolitan residence, metropolitan teaching hospital status, and medical comorbidity (diabetes mellitus, hyperlipidemia, hypertension, chronic obstructive pulmonary disease, coronary heart disease, gout, osteoarthritis, renal failure, and heart failure) were associated with a higher risk of hospitalization.\nCONCLUSION: Comorbidities were associated with a higher risk of hospitalization after an ED visit for septic arthritis, but not higher ED charges. No time trends in ED visit incidence, ED charges, or hospitalization rate for septic arthritis from 2009-2012 were noted.","DOI":"10.1002/acr.23270","ISSN":"2151-4658","note":"PMID: 28464432","title-short":"Septic Arthritis in Emergency Departments in the US","journalAbbreviation":"Arthritis Care Res (Hoboken)","language":"eng","author":[{"family":"Singh","given":"Jasvinder A."},{"family":"Yu","given":"Shaohua"}],"issued":{"date-parts":[["2018"]]}}}],"schema":"https://github.com/citation-style-language/schema/raw/master/csl-citation.json"} </w:instrText>
      </w:r>
      <w:r w:rsidR="0064122E" w:rsidRPr="00053796">
        <w:rPr>
          <w:rFonts w:ascii="Book Antiqua" w:hAnsi="Book Antiqua" w:cs="Times New Roman"/>
          <w:vertAlign w:val="superscript"/>
        </w:rPr>
        <w:fldChar w:fldCharType="separate"/>
      </w:r>
      <w:r w:rsidR="00640DAD" w:rsidRPr="00053796">
        <w:rPr>
          <w:rFonts w:ascii="Book Antiqua" w:hAnsi="Book Antiqua" w:cs="Times New Roman"/>
          <w:noProof/>
          <w:vertAlign w:val="superscript"/>
        </w:rPr>
        <w:t>[</w:t>
      </w:r>
      <w:r w:rsidR="00A2329C" w:rsidRPr="00053796">
        <w:rPr>
          <w:rFonts w:ascii="Book Antiqua" w:hAnsi="Book Antiqua" w:cs="Times New Roman"/>
          <w:noProof/>
          <w:vertAlign w:val="superscript"/>
        </w:rPr>
        <w:t>1,2</w:t>
      </w:r>
      <w:r w:rsidR="00640DAD" w:rsidRPr="00053796">
        <w:rPr>
          <w:rFonts w:ascii="Book Antiqua" w:hAnsi="Book Antiqua" w:cs="Times New Roman"/>
          <w:noProof/>
          <w:vertAlign w:val="superscript"/>
        </w:rPr>
        <w:t>]</w:t>
      </w:r>
      <w:r w:rsidR="0064122E" w:rsidRPr="00053796">
        <w:rPr>
          <w:rFonts w:ascii="Book Antiqua" w:hAnsi="Book Antiqua" w:cs="Times New Roman"/>
          <w:vertAlign w:val="superscript"/>
        </w:rPr>
        <w:fldChar w:fldCharType="end"/>
      </w:r>
      <w:r w:rsidR="00640DAD" w:rsidRPr="00053796">
        <w:rPr>
          <w:rFonts w:ascii="Book Antiqua" w:hAnsi="Book Antiqua" w:cs="Times New Roman"/>
        </w:rPr>
        <w:t>.</w:t>
      </w:r>
      <w:r w:rsidRPr="00053796">
        <w:rPr>
          <w:rFonts w:ascii="Book Antiqua" w:hAnsi="Book Antiqua" w:cs="Times New Roman"/>
        </w:rPr>
        <w:t xml:space="preserve"> The etiology can be septic, commonly from a bacterial infection, or aseptic, such as gout, transient synovitis or other inflammatory, non-infectious </w:t>
      </w:r>
      <w:r w:rsidR="00774B64" w:rsidRPr="00053796">
        <w:rPr>
          <w:rFonts w:ascii="Book Antiqua" w:hAnsi="Book Antiqua" w:cs="Times New Roman"/>
        </w:rPr>
        <w:t>etiologies.</w:t>
      </w:r>
      <w:r w:rsidRPr="00053796">
        <w:rPr>
          <w:rFonts w:ascii="Book Antiqua" w:hAnsi="Book Antiqua" w:cs="Times New Roman"/>
        </w:rPr>
        <w:t xml:space="preserve"> Acute septic arthritis</w:t>
      </w:r>
      <w:r w:rsidR="0064122E" w:rsidRPr="00053796">
        <w:rPr>
          <w:rFonts w:ascii="Book Antiqua" w:hAnsi="Book Antiqua" w:cs="Times New Roman"/>
        </w:rPr>
        <w:t xml:space="preserve"> of native joints</w:t>
      </w:r>
      <w:r w:rsidRPr="00053796">
        <w:rPr>
          <w:rFonts w:ascii="Book Antiqua" w:hAnsi="Book Antiqua" w:cs="Times New Roman"/>
        </w:rPr>
        <w:t xml:space="preserve"> is an orthopedic emergency requiring </w:t>
      </w:r>
      <w:r w:rsidR="009E2921" w:rsidRPr="00053796">
        <w:rPr>
          <w:rFonts w:ascii="Book Antiqua" w:hAnsi="Book Antiqua" w:cs="Times New Roman"/>
        </w:rPr>
        <w:t>urgent</w:t>
      </w:r>
      <w:r w:rsidRPr="00053796">
        <w:rPr>
          <w:rFonts w:ascii="Book Antiqua" w:hAnsi="Book Antiqua" w:cs="Times New Roman"/>
        </w:rPr>
        <w:t xml:space="preserve"> surgical i</w:t>
      </w:r>
      <w:r w:rsidR="008B186A" w:rsidRPr="00053796">
        <w:rPr>
          <w:rFonts w:ascii="Book Antiqua" w:hAnsi="Book Antiqua" w:cs="Times New Roman"/>
        </w:rPr>
        <w:t>rrigation and debridement (I</w:t>
      </w:r>
      <w:r w:rsidR="00640DAD" w:rsidRPr="00053796">
        <w:rPr>
          <w:rFonts w:ascii="Book Antiqua" w:hAnsi="Book Antiqua" w:cs="Times New Roman"/>
        </w:rPr>
        <w:t xml:space="preserve"> and </w:t>
      </w:r>
      <w:r w:rsidR="008B186A" w:rsidRPr="00053796">
        <w:rPr>
          <w:rFonts w:ascii="Book Antiqua" w:hAnsi="Book Antiqua" w:cs="Times New Roman"/>
        </w:rPr>
        <w:t xml:space="preserve">D) </w:t>
      </w:r>
      <w:r w:rsidRPr="00053796">
        <w:rPr>
          <w:rFonts w:ascii="Book Antiqua" w:hAnsi="Book Antiqua" w:cs="Times New Roman"/>
        </w:rPr>
        <w:t xml:space="preserve">to prevent irreparable damage to the joint, inpatient hospitalization and an extended course of IV antibiotics. Inflammatory arthritis </w:t>
      </w:r>
      <w:r w:rsidR="00434DBB" w:rsidRPr="00053796">
        <w:rPr>
          <w:rFonts w:ascii="Book Antiqua" w:hAnsi="Book Antiqua" w:cs="Times New Roman"/>
        </w:rPr>
        <w:t>is typically</w:t>
      </w:r>
      <w:r w:rsidR="001A15C2" w:rsidRPr="00053796">
        <w:rPr>
          <w:rFonts w:ascii="Book Antiqua" w:hAnsi="Book Antiqua" w:cs="Times New Roman"/>
        </w:rPr>
        <w:t xml:space="preserve"> managed</w:t>
      </w:r>
      <w:r w:rsidRPr="00053796">
        <w:rPr>
          <w:rFonts w:ascii="Book Antiqua" w:hAnsi="Book Antiqua" w:cs="Times New Roman"/>
        </w:rPr>
        <w:t xml:space="preserve"> medically on an outpatient basis. The presentation of septic v</w:t>
      </w:r>
      <w:r w:rsidR="00A67E1A" w:rsidRPr="00053796">
        <w:rPr>
          <w:rFonts w:ascii="Book Antiqua" w:hAnsi="Book Antiqua" w:cs="Times New Roman"/>
        </w:rPr>
        <w:t>ersu</w:t>
      </w:r>
      <w:r w:rsidRPr="00053796">
        <w:rPr>
          <w:rFonts w:ascii="Book Antiqua" w:hAnsi="Book Antiqua" w:cs="Times New Roman"/>
        </w:rPr>
        <w:t>s aseptic acute arthritis is difficult to distinguish</w:t>
      </w:r>
      <w:r w:rsidR="001A15C2" w:rsidRPr="00053796">
        <w:rPr>
          <w:rFonts w:ascii="Book Antiqua" w:hAnsi="Book Antiqua" w:cs="Times New Roman"/>
        </w:rPr>
        <w:t xml:space="preserve"> clinically</w:t>
      </w:r>
      <w:r w:rsidR="00640DAD" w:rsidRPr="00053796">
        <w:rPr>
          <w:rFonts w:ascii="Book Antiqua" w:hAnsi="Book Antiqua" w:cs="Times New Roman"/>
          <w:vertAlign w:val="superscript"/>
        </w:rPr>
        <w:t>[</w:t>
      </w:r>
      <w:r w:rsidRPr="00053796">
        <w:rPr>
          <w:rFonts w:ascii="Book Antiqua" w:hAnsi="Book Antiqua" w:cs="Times New Roman"/>
          <w:vertAlign w:val="superscript"/>
        </w:rPr>
        <w:fldChar w:fldCharType="begin"/>
      </w:r>
      <w:r w:rsidR="00A2329C" w:rsidRPr="00053796">
        <w:rPr>
          <w:rFonts w:ascii="Book Antiqua" w:hAnsi="Book Antiqua" w:cs="Times New Roman"/>
          <w:vertAlign w:val="superscript"/>
        </w:rPr>
        <w:instrText xml:space="preserve"> ADDIN ZOTERO_ITEM CSL_CITATION {"citationID":"YobS2OFY","properties":{"formattedCitation":"(3)","plainCitation":"(3)","noteIndex":0},"citationItems":[{"id":374,"uris":["http://zotero.org/users/4971527/items/FH4BKI6U"],"uri":["http://zotero.org/users/4971527/items/FH4BKI6U"],"itemData":{"id":374,"type":"article-journal","title":"Concomitant septic and gouty arthritis--an analysis of 30 cases","container-title":"Rheumatology (Oxford, England)","page":"1062-1066","volume":"42","issue":"9","source":"PubMed","abstract":"OBJECTIVES: To analyse the clinical features and outcomes of gouty patients with concomitant septic arthritis in a medical centre.\nMETHODS: From the hospital database, we collected 30 hospitalized cases with concomitant septic arthritis and gouty arthritis from 1987 to 2001. All patients had positive bacterial culture and monosodium urate crystals in the affected joints. Medical records of the patients were analysed in detail.\nRESULTS: The mean age of patients was 52.8+/-12.5 yr. One-third of patients were afebrile at presentation, 30% had a normal blood leucocyte count and 10% had a synovial fluid leucocyte count less than 6000/mm3. The knee joint was the most common site of involvement, followed by the ankle, shoulder and wrist joints. Most patients had long-standing disease and subcutaneous tophi. Subcutaneous tophi rupture with secondary wound infection is the most common route of infection. Causative micro-organisms were Staphylococcus aureus (16 cases, 7 of whom were oxacillin-resistant), Streptococcus sp. (5 cases), Pediococcus sp. (1 case), and Gram-negative bacilli (9 cases). Fourteen patients received surgical debridement, among them two patients had an arthrodesis owing to severe joint destruction and one received above-knee amputation. Two patients died. One died of septic complications and the other died of acute myocardial infarction.\nCONCLUSIONS: Septic arthritis coexistent with gout presented a diagnostic difficulty. An early diagnosis requires a high level of suspicion. Prompt aspiration and analysis of the synovial fluid is imperative, regardless of the absence of fever or leucocytosis. Culture of the aspirated synovial fluid is warranted in gouty attack, even when it has a low white cell count or the Gram stain reveals no organisms.","DOI":"10.1093/rheumatology/keg297","ISSN":"1462-0324","note":"PMID: 12730521","journalAbbreviation":"Rheumatology (Oxford)","language":"eng","author":[{"family":"Yu","given":"K. H."},{"family":"Luo","given":"S. F."},{"family":"Liou","given":"L. B."},{"family":"Wu","given":"Y.-J. J."},{"family":"Tsai","given":"W. P."},{"family":"Chen","given":"J. Y."},{"family":"Ho","given":"H. H."}],"issued":{"date-parts":[["2003",9]]}}}],"schema":"https://github.com/citation-style-language/schema/raw/master/csl-citation.json"} </w:instrText>
      </w:r>
      <w:r w:rsidRPr="00053796">
        <w:rPr>
          <w:rFonts w:ascii="Book Antiqua" w:hAnsi="Book Antiqua" w:cs="Times New Roman"/>
          <w:vertAlign w:val="superscript"/>
        </w:rPr>
        <w:fldChar w:fldCharType="separate"/>
      </w:r>
      <w:r w:rsidR="00A2329C" w:rsidRPr="00053796">
        <w:rPr>
          <w:rFonts w:ascii="Book Antiqua" w:hAnsi="Book Antiqua" w:cs="Times New Roman"/>
          <w:vertAlign w:val="superscript"/>
        </w:rPr>
        <w:t>3</w:t>
      </w:r>
      <w:r w:rsidRPr="00053796">
        <w:rPr>
          <w:rFonts w:ascii="Book Antiqua" w:hAnsi="Book Antiqua" w:cs="Times New Roman"/>
          <w:vertAlign w:val="superscript"/>
        </w:rPr>
        <w:fldChar w:fldCharType="end"/>
      </w:r>
      <w:r w:rsidR="00640DAD" w:rsidRPr="00053796">
        <w:rPr>
          <w:rFonts w:ascii="Book Antiqua" w:hAnsi="Book Antiqua" w:cs="Times New Roman"/>
          <w:vertAlign w:val="superscript"/>
        </w:rPr>
        <w:t>]</w:t>
      </w:r>
      <w:r w:rsidR="00640DAD" w:rsidRPr="00053796">
        <w:rPr>
          <w:rFonts w:ascii="Book Antiqua" w:hAnsi="Book Antiqua" w:cs="Times New Roman"/>
        </w:rPr>
        <w:t xml:space="preserve">. </w:t>
      </w:r>
      <w:r w:rsidR="000129F8" w:rsidRPr="00053796">
        <w:rPr>
          <w:rFonts w:ascii="Book Antiqua" w:hAnsi="Book Antiqua" w:cs="Times New Roman"/>
        </w:rPr>
        <w:t>but making a quick and accurate diagnosis is</w:t>
      </w:r>
      <w:r w:rsidR="00BB7498" w:rsidRPr="00053796">
        <w:rPr>
          <w:rFonts w:ascii="Book Antiqua" w:hAnsi="Book Antiqua" w:cs="Times New Roman"/>
        </w:rPr>
        <w:t xml:space="preserve"> cr</w:t>
      </w:r>
      <w:r w:rsidR="009E2921" w:rsidRPr="00053796">
        <w:rPr>
          <w:rFonts w:ascii="Book Antiqua" w:hAnsi="Book Antiqua" w:cs="Times New Roman"/>
        </w:rPr>
        <w:t>itical</w:t>
      </w:r>
      <w:r w:rsidR="00BB7498" w:rsidRPr="00053796">
        <w:rPr>
          <w:rFonts w:ascii="Book Antiqua" w:hAnsi="Book Antiqua" w:cs="Times New Roman"/>
        </w:rPr>
        <w:t xml:space="preserve"> given the drastically different treatment</w:t>
      </w:r>
      <w:r w:rsidR="006034DF" w:rsidRPr="00053796">
        <w:rPr>
          <w:rFonts w:ascii="Book Antiqua" w:hAnsi="Book Antiqua" w:cs="Times New Roman"/>
        </w:rPr>
        <w:t>s</w:t>
      </w:r>
      <w:r w:rsidR="00BB7498" w:rsidRPr="00053796">
        <w:rPr>
          <w:rFonts w:ascii="Book Antiqua" w:hAnsi="Book Antiqua" w:cs="Times New Roman"/>
        </w:rPr>
        <w:t xml:space="preserve">. Currently, </w:t>
      </w:r>
      <w:r w:rsidRPr="00053796">
        <w:rPr>
          <w:rFonts w:ascii="Book Antiqua" w:hAnsi="Book Antiqua" w:cs="Times New Roman"/>
        </w:rPr>
        <w:t xml:space="preserve">clinicians rely heavily on imperfect serum and synovial </w:t>
      </w:r>
      <w:r w:rsidR="00434DBB" w:rsidRPr="00053796">
        <w:rPr>
          <w:rFonts w:ascii="Book Antiqua" w:hAnsi="Book Antiqua" w:cs="Times New Roman"/>
        </w:rPr>
        <w:t xml:space="preserve">fluid laboratory values </w:t>
      </w:r>
      <w:r w:rsidRPr="00053796">
        <w:rPr>
          <w:rFonts w:ascii="Book Antiqua" w:hAnsi="Book Antiqua" w:cs="Times New Roman"/>
        </w:rPr>
        <w:t>to make acute decisions about emergency surgery</w:t>
      </w:r>
      <w:r w:rsidR="00640DAD" w:rsidRPr="00053796">
        <w:rPr>
          <w:rFonts w:ascii="Book Antiqua" w:hAnsi="Book Antiqua" w:cs="Times New Roman"/>
          <w:vertAlign w:val="superscript"/>
        </w:rPr>
        <w:t>[4-7]</w:t>
      </w:r>
      <w:r w:rsidR="00640DAD" w:rsidRPr="00053796">
        <w:rPr>
          <w:rFonts w:ascii="Book Antiqua" w:hAnsi="Book Antiqua" w:cs="Times New Roman"/>
        </w:rPr>
        <w:t xml:space="preserve">, </w:t>
      </w:r>
      <w:r w:rsidRPr="00053796">
        <w:rPr>
          <w:rFonts w:ascii="Book Antiqua" w:hAnsi="Book Antiqua" w:cs="Times New Roman"/>
        </w:rPr>
        <w:t>potentially exposing non-infected patient</w:t>
      </w:r>
      <w:r w:rsidR="007C6BBB" w:rsidRPr="00053796">
        <w:rPr>
          <w:rFonts w:ascii="Book Antiqua" w:hAnsi="Book Antiqua" w:cs="Times New Roman"/>
        </w:rPr>
        <w:t>s</w:t>
      </w:r>
      <w:r w:rsidRPr="00053796">
        <w:rPr>
          <w:rFonts w:ascii="Book Antiqua" w:hAnsi="Book Antiqua" w:cs="Times New Roman"/>
        </w:rPr>
        <w:t xml:space="preserve"> to unnecessary surgery.</w:t>
      </w:r>
    </w:p>
    <w:p w14:paraId="35BEBAB8" w14:textId="1DE4A49F" w:rsidR="00F570AD" w:rsidRPr="00053796" w:rsidRDefault="007770C7" w:rsidP="00053796">
      <w:pPr>
        <w:pStyle w:val="Bibliography"/>
        <w:spacing w:after="0" w:line="360" w:lineRule="auto"/>
        <w:ind w:left="0" w:firstLineChars="100" w:firstLine="240"/>
        <w:mirrorIndents/>
        <w:jc w:val="both"/>
        <w:rPr>
          <w:rFonts w:ascii="Book Antiqua" w:hAnsi="Book Antiqua" w:cs="Times New Roman"/>
        </w:rPr>
      </w:pPr>
      <w:r w:rsidRPr="00053796">
        <w:rPr>
          <w:rFonts w:ascii="Book Antiqua" w:hAnsi="Book Antiqua" w:cs="Times New Roman"/>
        </w:rPr>
        <w:t>The annual incidence of septic arthritis in native joints is 4-10 patients/100000 patient years</w:t>
      </w:r>
      <w:r w:rsidR="006034DF" w:rsidRPr="00053796">
        <w:rPr>
          <w:rFonts w:ascii="Book Antiqua" w:hAnsi="Book Antiqua" w:cs="Times New Roman"/>
        </w:rPr>
        <w:t>,</w:t>
      </w:r>
      <w:r w:rsidRPr="00053796">
        <w:rPr>
          <w:rFonts w:ascii="Book Antiqua" w:hAnsi="Book Antiqua" w:cs="Times New Roman"/>
        </w:rPr>
        <w:t xml:space="preserve"> and is continuing to rise with increasing antimicrobial resistance, aging, immunosuppression and</w:t>
      </w:r>
      <w:r w:rsidR="009E2921" w:rsidRPr="00053796">
        <w:rPr>
          <w:rFonts w:ascii="Book Antiqua" w:hAnsi="Book Antiqua" w:cs="Times New Roman"/>
        </w:rPr>
        <w:t xml:space="preserve"> the</w:t>
      </w:r>
      <w:r w:rsidRPr="00053796">
        <w:rPr>
          <w:rFonts w:ascii="Book Antiqua" w:hAnsi="Book Antiqua" w:cs="Times New Roman"/>
        </w:rPr>
        <w:t xml:space="preserve"> increasing number of invasive or </w:t>
      </w:r>
      <w:proofErr w:type="spellStart"/>
      <w:r w:rsidRPr="00053796">
        <w:rPr>
          <w:rFonts w:ascii="Book Antiqua" w:hAnsi="Book Antiqua" w:cs="Times New Roman"/>
        </w:rPr>
        <w:t>orthop</w:t>
      </w:r>
      <w:r w:rsidR="00C12127" w:rsidRPr="00053796">
        <w:rPr>
          <w:rFonts w:ascii="Book Antiqua" w:hAnsi="Book Antiqua" w:cs="Times New Roman"/>
        </w:rPr>
        <w:t>a</w:t>
      </w:r>
      <w:r w:rsidRPr="00053796">
        <w:rPr>
          <w:rFonts w:ascii="Book Antiqua" w:hAnsi="Book Antiqua" w:cs="Times New Roman"/>
        </w:rPr>
        <w:t>edic</w:t>
      </w:r>
      <w:proofErr w:type="spellEnd"/>
      <w:r w:rsidRPr="00053796">
        <w:rPr>
          <w:rFonts w:ascii="Book Antiqua" w:hAnsi="Book Antiqua" w:cs="Times New Roman"/>
        </w:rPr>
        <w:t xml:space="preserve"> procedures</w:t>
      </w:r>
      <w:r w:rsidR="00640DAD" w:rsidRPr="00053796">
        <w:rPr>
          <w:rFonts w:ascii="Book Antiqua" w:hAnsi="Book Antiqua" w:cs="Times New Roman"/>
          <w:vertAlign w:val="superscript"/>
        </w:rPr>
        <w:t>[8-11]</w:t>
      </w:r>
      <w:r w:rsidR="00640DAD" w:rsidRPr="00053796">
        <w:rPr>
          <w:rFonts w:ascii="Book Antiqua" w:hAnsi="Book Antiqua" w:cs="Times New Roman"/>
        </w:rPr>
        <w:t>.</w:t>
      </w:r>
      <w:r w:rsidR="008F1790" w:rsidRPr="00053796">
        <w:rPr>
          <w:rFonts w:ascii="Book Antiqua" w:hAnsi="Book Antiqua" w:cs="Times New Roman"/>
        </w:rPr>
        <w:t xml:space="preserve"> </w:t>
      </w:r>
      <w:r w:rsidR="00162979" w:rsidRPr="00053796">
        <w:rPr>
          <w:rFonts w:ascii="Book Antiqua" w:hAnsi="Book Antiqua" w:cs="Times New Roman"/>
        </w:rPr>
        <w:t xml:space="preserve">The current diagnostic work-up includes serum inflammatory labs </w:t>
      </w:r>
      <w:r w:rsidR="00956C82">
        <w:rPr>
          <w:rFonts w:ascii="Book Antiqua" w:hAnsi="Book Antiqua" w:cs="Times New Roman"/>
        </w:rPr>
        <w:t>[</w:t>
      </w:r>
      <w:r w:rsidR="00CA1B21" w:rsidRPr="00053796">
        <w:rPr>
          <w:rFonts w:ascii="Book Antiqua" w:hAnsi="Book Antiqua" w:cs="Times New Roman"/>
        </w:rPr>
        <w:t>w</w:t>
      </w:r>
      <w:r w:rsidR="00162979" w:rsidRPr="00053796">
        <w:rPr>
          <w:rFonts w:ascii="Book Antiqua" w:hAnsi="Book Antiqua" w:cs="Times New Roman"/>
        </w:rPr>
        <w:t xml:space="preserve">hite </w:t>
      </w:r>
      <w:r w:rsidR="00CA1B21" w:rsidRPr="00053796">
        <w:rPr>
          <w:rFonts w:ascii="Book Antiqua" w:hAnsi="Book Antiqua" w:cs="Times New Roman"/>
        </w:rPr>
        <w:t>b</w:t>
      </w:r>
      <w:r w:rsidR="00162979" w:rsidRPr="00053796">
        <w:rPr>
          <w:rFonts w:ascii="Book Antiqua" w:hAnsi="Book Antiqua" w:cs="Times New Roman"/>
        </w:rPr>
        <w:t xml:space="preserve">lood </w:t>
      </w:r>
      <w:r w:rsidR="00CA1B21" w:rsidRPr="00053796">
        <w:rPr>
          <w:rFonts w:ascii="Book Antiqua" w:hAnsi="Book Antiqua" w:cs="Times New Roman"/>
        </w:rPr>
        <w:t>c</w:t>
      </w:r>
      <w:r w:rsidR="00162979" w:rsidRPr="00053796">
        <w:rPr>
          <w:rFonts w:ascii="Book Antiqua" w:hAnsi="Book Antiqua" w:cs="Times New Roman"/>
        </w:rPr>
        <w:t>ell</w:t>
      </w:r>
      <w:r w:rsidR="00CA1B21" w:rsidRPr="00053796">
        <w:rPr>
          <w:rFonts w:ascii="Book Antiqua" w:hAnsi="Book Antiqua" w:cs="Times New Roman"/>
        </w:rPr>
        <w:t xml:space="preserve"> (WBC) count</w:t>
      </w:r>
      <w:r w:rsidR="00162979" w:rsidRPr="00053796">
        <w:rPr>
          <w:rFonts w:ascii="Book Antiqua" w:hAnsi="Book Antiqua" w:cs="Times New Roman"/>
        </w:rPr>
        <w:t>s, erythrocyte sedimentation rate (ESR) and C-reactive protein (CRP)</w:t>
      </w:r>
      <w:r w:rsidR="00956C82">
        <w:rPr>
          <w:rFonts w:ascii="Book Antiqua" w:hAnsi="Book Antiqua" w:cs="Times New Roman"/>
        </w:rPr>
        <w:t>]</w:t>
      </w:r>
      <w:r w:rsidR="00162979" w:rsidRPr="00053796">
        <w:rPr>
          <w:rFonts w:ascii="Book Antiqua" w:hAnsi="Book Antiqua" w:cs="Times New Roman"/>
        </w:rPr>
        <w:t xml:space="preserve">, and an invasive synovial </w:t>
      </w:r>
      <w:r w:rsidR="00C12127" w:rsidRPr="00053796">
        <w:rPr>
          <w:rFonts w:ascii="Book Antiqua" w:hAnsi="Book Antiqua" w:cs="Times New Roman"/>
        </w:rPr>
        <w:t>fluid</w:t>
      </w:r>
      <w:r w:rsidR="00162979" w:rsidRPr="00053796">
        <w:rPr>
          <w:rFonts w:ascii="Book Antiqua" w:hAnsi="Book Antiqua" w:cs="Times New Roman"/>
        </w:rPr>
        <w:t xml:space="preserve"> aspiration</w:t>
      </w:r>
      <w:r w:rsidR="00C12127" w:rsidRPr="00053796">
        <w:rPr>
          <w:rFonts w:ascii="Book Antiqua" w:hAnsi="Book Antiqua" w:cs="Times New Roman"/>
        </w:rPr>
        <w:t xml:space="preserve"> from the joint</w:t>
      </w:r>
      <w:r w:rsidR="00162979" w:rsidRPr="00053796">
        <w:rPr>
          <w:rFonts w:ascii="Book Antiqua" w:hAnsi="Book Antiqua" w:cs="Times New Roman"/>
        </w:rPr>
        <w:t xml:space="preserve">. </w:t>
      </w:r>
      <w:r w:rsidR="004B1F22" w:rsidRPr="00053796">
        <w:rPr>
          <w:rFonts w:ascii="Book Antiqua" w:hAnsi="Book Antiqua" w:cs="Times New Roman"/>
        </w:rPr>
        <w:t>Th</w:t>
      </w:r>
      <w:r w:rsidR="0032718A" w:rsidRPr="00053796">
        <w:rPr>
          <w:rFonts w:ascii="Book Antiqua" w:hAnsi="Book Antiqua" w:cs="Times New Roman"/>
        </w:rPr>
        <w:t>ese diagnostics are limited by their turn-around time and specificity</w:t>
      </w:r>
      <w:r w:rsidR="001C4DFC" w:rsidRPr="00053796">
        <w:rPr>
          <w:rFonts w:ascii="Book Antiqua" w:hAnsi="Book Antiqua" w:cs="Times New Roman"/>
        </w:rPr>
        <w:t>. The</w:t>
      </w:r>
      <w:r w:rsidR="005A3A75" w:rsidRPr="00053796">
        <w:rPr>
          <w:rFonts w:ascii="Book Antiqua" w:hAnsi="Book Antiqua" w:cs="Times New Roman"/>
        </w:rPr>
        <w:t xml:space="preserve"> </w:t>
      </w:r>
      <w:r w:rsidR="00434DBB" w:rsidRPr="00053796">
        <w:rPr>
          <w:rFonts w:ascii="Book Antiqua" w:hAnsi="Book Antiqua" w:cs="Times New Roman"/>
        </w:rPr>
        <w:t xml:space="preserve">definitive </w:t>
      </w:r>
      <w:r w:rsidR="00C12127" w:rsidRPr="00053796">
        <w:rPr>
          <w:rFonts w:ascii="Book Antiqua" w:hAnsi="Book Antiqua" w:cs="Times New Roman"/>
        </w:rPr>
        <w:t>diagnosis of septic arthritis requires a positive culture from the synovial fluid, which</w:t>
      </w:r>
      <w:r w:rsidR="00BB7498" w:rsidRPr="00053796">
        <w:rPr>
          <w:rFonts w:ascii="Book Antiqua" w:hAnsi="Book Antiqua" w:cs="Times New Roman"/>
        </w:rPr>
        <w:t xml:space="preserve"> can </w:t>
      </w:r>
      <w:r w:rsidR="00335C9F" w:rsidRPr="00053796">
        <w:rPr>
          <w:rFonts w:ascii="Book Antiqua" w:hAnsi="Book Antiqua" w:cs="Times New Roman"/>
        </w:rPr>
        <w:t xml:space="preserve">take </w:t>
      </w:r>
      <w:r w:rsidR="007C6BBB" w:rsidRPr="00053796">
        <w:rPr>
          <w:rFonts w:ascii="Book Antiqua" w:hAnsi="Book Antiqua" w:cs="Times New Roman"/>
        </w:rPr>
        <w:t xml:space="preserve">multiple </w:t>
      </w:r>
      <w:r w:rsidR="00BB7498" w:rsidRPr="00053796">
        <w:rPr>
          <w:rFonts w:ascii="Book Antiqua" w:hAnsi="Book Antiqua" w:cs="Times New Roman"/>
        </w:rPr>
        <w:t>days to result</w:t>
      </w:r>
      <w:r w:rsidR="006034DF" w:rsidRPr="00053796">
        <w:rPr>
          <w:rFonts w:ascii="Book Antiqua" w:hAnsi="Book Antiqua" w:cs="Times New Roman"/>
        </w:rPr>
        <w:t>.</w:t>
      </w:r>
      <w:r w:rsidR="00BB7498" w:rsidRPr="00053796">
        <w:rPr>
          <w:rFonts w:ascii="Book Antiqua" w:hAnsi="Book Antiqua" w:cs="Times New Roman"/>
        </w:rPr>
        <w:t xml:space="preserve"> </w:t>
      </w:r>
      <w:r w:rsidR="00162979" w:rsidRPr="00053796">
        <w:rPr>
          <w:rFonts w:ascii="Book Antiqua" w:hAnsi="Book Antiqua" w:cs="Times New Roman"/>
        </w:rPr>
        <w:t>Serum labs result quickly and provide information about general systemic inflammation, but are not specific for infection</w:t>
      </w:r>
      <w:r w:rsidR="00640DAD" w:rsidRPr="00053796">
        <w:rPr>
          <w:rFonts w:ascii="Book Antiqua" w:hAnsi="Book Antiqua" w:cs="Times New Roman"/>
          <w:vertAlign w:val="superscript"/>
        </w:rPr>
        <w:t>[4]</w:t>
      </w:r>
      <w:r w:rsidR="00640DAD" w:rsidRPr="00053796">
        <w:rPr>
          <w:rFonts w:ascii="Book Antiqua" w:hAnsi="Book Antiqua" w:cs="Times New Roman"/>
        </w:rPr>
        <w:t>.</w:t>
      </w:r>
      <w:r w:rsidR="00162979" w:rsidRPr="00053796">
        <w:rPr>
          <w:rFonts w:ascii="Book Antiqua" w:hAnsi="Book Antiqua" w:cs="Times New Roman"/>
        </w:rPr>
        <w:t xml:space="preserve"> Synovial </w:t>
      </w:r>
      <w:r w:rsidR="00C12127" w:rsidRPr="00053796">
        <w:rPr>
          <w:rFonts w:ascii="Book Antiqua" w:hAnsi="Book Antiqua" w:cs="Times New Roman"/>
        </w:rPr>
        <w:t>fluid</w:t>
      </w:r>
      <w:r w:rsidR="00162979" w:rsidRPr="00053796">
        <w:rPr>
          <w:rFonts w:ascii="Book Antiqua" w:hAnsi="Book Antiqua" w:cs="Times New Roman"/>
        </w:rPr>
        <w:t xml:space="preserve"> </w:t>
      </w:r>
      <w:r w:rsidR="00C01E10" w:rsidRPr="00053796">
        <w:rPr>
          <w:rFonts w:ascii="Book Antiqua" w:hAnsi="Book Antiqua" w:cs="Times New Roman"/>
        </w:rPr>
        <w:t xml:space="preserve">evaluation reveals </w:t>
      </w:r>
      <w:r w:rsidR="00162979" w:rsidRPr="00053796">
        <w:rPr>
          <w:rFonts w:ascii="Book Antiqua" w:hAnsi="Book Antiqua" w:cs="Times New Roman"/>
        </w:rPr>
        <w:t xml:space="preserve">the inflammatory </w:t>
      </w:r>
      <w:r w:rsidR="00C01E10" w:rsidRPr="00053796">
        <w:rPr>
          <w:rFonts w:ascii="Book Antiqua" w:hAnsi="Book Antiqua" w:cs="Times New Roman"/>
        </w:rPr>
        <w:t>milieu within</w:t>
      </w:r>
      <w:r w:rsidR="00335C9F" w:rsidRPr="00053796">
        <w:rPr>
          <w:rFonts w:ascii="Book Antiqua" w:hAnsi="Book Antiqua" w:cs="Times New Roman"/>
        </w:rPr>
        <w:t xml:space="preserve"> the</w:t>
      </w:r>
      <w:r w:rsidR="00162979" w:rsidRPr="00053796">
        <w:rPr>
          <w:rFonts w:ascii="Book Antiqua" w:hAnsi="Book Antiqua" w:cs="Times New Roman"/>
        </w:rPr>
        <w:t xml:space="preserve"> </w:t>
      </w:r>
      <w:r w:rsidR="00BB7498" w:rsidRPr="00053796">
        <w:rPr>
          <w:rFonts w:ascii="Book Antiqua" w:hAnsi="Book Antiqua" w:cs="Times New Roman"/>
        </w:rPr>
        <w:t xml:space="preserve">joint, </w:t>
      </w:r>
      <w:r w:rsidR="00162979" w:rsidRPr="00053796">
        <w:rPr>
          <w:rFonts w:ascii="Book Antiqua" w:hAnsi="Book Antiqua" w:cs="Times New Roman"/>
        </w:rPr>
        <w:t xml:space="preserve">specifically </w:t>
      </w:r>
      <w:r w:rsidR="00BB7498" w:rsidRPr="00053796">
        <w:rPr>
          <w:rFonts w:ascii="Book Antiqua" w:hAnsi="Book Antiqua" w:cs="Times New Roman"/>
        </w:rPr>
        <w:t>WBC</w:t>
      </w:r>
      <w:r w:rsidR="00C01E10" w:rsidRPr="00053796">
        <w:rPr>
          <w:rFonts w:ascii="Book Antiqua" w:hAnsi="Book Antiqua" w:cs="Times New Roman"/>
        </w:rPr>
        <w:t xml:space="preserve"> count</w:t>
      </w:r>
      <w:r w:rsidR="00BB7498" w:rsidRPr="00053796">
        <w:rPr>
          <w:rFonts w:ascii="Book Antiqua" w:hAnsi="Book Antiqua" w:cs="Times New Roman"/>
        </w:rPr>
        <w:t xml:space="preserve">, </w:t>
      </w:r>
      <w:r w:rsidR="00C01E10" w:rsidRPr="00053796">
        <w:rPr>
          <w:rFonts w:ascii="Book Antiqua" w:hAnsi="Book Antiqua" w:cs="Times New Roman"/>
        </w:rPr>
        <w:t>percentage of</w:t>
      </w:r>
      <w:r w:rsidR="00BB7498" w:rsidRPr="00053796">
        <w:rPr>
          <w:rFonts w:ascii="Book Antiqua" w:hAnsi="Book Antiqua" w:cs="Times New Roman"/>
        </w:rPr>
        <w:t xml:space="preserve"> polymorphonuclear cells (</w:t>
      </w:r>
      <w:r w:rsidR="00162979" w:rsidRPr="00053796">
        <w:rPr>
          <w:rFonts w:ascii="Book Antiqua" w:hAnsi="Book Antiqua" w:cs="Times New Roman"/>
        </w:rPr>
        <w:t>PMNs</w:t>
      </w:r>
      <w:r w:rsidR="00BB7498" w:rsidRPr="00053796">
        <w:rPr>
          <w:rFonts w:ascii="Book Antiqua" w:hAnsi="Book Antiqua" w:cs="Times New Roman"/>
        </w:rPr>
        <w:t>)</w:t>
      </w:r>
      <w:r w:rsidR="007C6BBB" w:rsidRPr="00053796">
        <w:rPr>
          <w:rFonts w:ascii="Book Antiqua" w:hAnsi="Book Antiqua" w:cs="Times New Roman"/>
        </w:rPr>
        <w:t>,</w:t>
      </w:r>
      <w:r w:rsidR="00BB7498" w:rsidRPr="00053796">
        <w:rPr>
          <w:rFonts w:ascii="Book Antiqua" w:hAnsi="Book Antiqua" w:cs="Times New Roman"/>
        </w:rPr>
        <w:t xml:space="preserve"> presence of crystals</w:t>
      </w:r>
      <w:r w:rsidR="00C01E10" w:rsidRPr="00053796">
        <w:rPr>
          <w:rFonts w:ascii="Book Antiqua" w:hAnsi="Book Antiqua" w:cs="Times New Roman"/>
        </w:rPr>
        <w:t xml:space="preserve"> and a gram stain for bacteria</w:t>
      </w:r>
      <w:r w:rsidR="00BB7498" w:rsidRPr="00053796">
        <w:rPr>
          <w:rFonts w:ascii="Book Antiqua" w:hAnsi="Book Antiqua" w:cs="Times New Roman"/>
        </w:rPr>
        <w:t xml:space="preserve">, </w:t>
      </w:r>
      <w:r w:rsidR="00162979" w:rsidRPr="00053796">
        <w:rPr>
          <w:rFonts w:ascii="Book Antiqua" w:hAnsi="Book Antiqua" w:cs="Times New Roman"/>
        </w:rPr>
        <w:t xml:space="preserve">within a few hours, but again, </w:t>
      </w:r>
      <w:r w:rsidR="00BB7498" w:rsidRPr="00053796">
        <w:rPr>
          <w:rFonts w:ascii="Book Antiqua" w:hAnsi="Book Antiqua" w:cs="Times New Roman"/>
        </w:rPr>
        <w:t>these are</w:t>
      </w:r>
      <w:r w:rsidR="00162979" w:rsidRPr="00053796">
        <w:rPr>
          <w:rFonts w:ascii="Book Antiqua" w:hAnsi="Book Antiqua" w:cs="Times New Roman"/>
        </w:rPr>
        <w:t xml:space="preserve"> not diagnostic, often leaving ambiguity about whether the source is infectious (</w:t>
      </w:r>
      <w:r w:rsidR="00162979" w:rsidRPr="00053796">
        <w:rPr>
          <w:rFonts w:ascii="Book Antiqua" w:hAnsi="Book Antiqua" w:cs="Times New Roman"/>
          <w:i/>
          <w:iCs/>
        </w:rPr>
        <w:t>e.g.</w:t>
      </w:r>
      <w:r w:rsidR="00162979" w:rsidRPr="00053796">
        <w:rPr>
          <w:rFonts w:ascii="Book Antiqua" w:hAnsi="Book Antiqua" w:cs="Times New Roman"/>
        </w:rPr>
        <w:t xml:space="preserve"> bacterial) or non-infectious (</w:t>
      </w:r>
      <w:r w:rsidR="00162979" w:rsidRPr="00053796">
        <w:rPr>
          <w:rFonts w:ascii="Book Antiqua" w:hAnsi="Book Antiqua" w:cs="Times New Roman"/>
          <w:i/>
          <w:iCs/>
        </w:rPr>
        <w:t>e.g.</w:t>
      </w:r>
      <w:r w:rsidR="00162979" w:rsidRPr="00053796">
        <w:rPr>
          <w:rFonts w:ascii="Book Antiqua" w:hAnsi="Book Antiqua" w:cs="Times New Roman"/>
        </w:rPr>
        <w:t xml:space="preserve"> gout)</w:t>
      </w:r>
      <w:r w:rsidR="00CE747F" w:rsidRPr="00053796">
        <w:rPr>
          <w:rFonts w:ascii="Book Antiqua" w:hAnsi="Book Antiqua" w:cs="Times New Roman"/>
          <w:vertAlign w:val="superscript"/>
        </w:rPr>
        <w:t>[4,5]</w:t>
      </w:r>
      <w:r w:rsidR="00162979" w:rsidRPr="00053796">
        <w:rPr>
          <w:rFonts w:ascii="Book Antiqua" w:hAnsi="Book Antiqua" w:cs="Times New Roman"/>
        </w:rPr>
        <w:t>.</w:t>
      </w:r>
      <w:r w:rsidR="00F570AD" w:rsidRPr="00053796">
        <w:rPr>
          <w:rFonts w:ascii="Book Antiqua" w:hAnsi="Book Antiqua" w:cs="Times New Roman"/>
        </w:rPr>
        <w:t xml:space="preserve"> </w:t>
      </w:r>
      <w:r w:rsidR="00C01E10" w:rsidRPr="00053796">
        <w:rPr>
          <w:rFonts w:ascii="Book Antiqua" w:hAnsi="Book Antiqua" w:cs="Times New Roman"/>
        </w:rPr>
        <w:t>In addition, the presence of inflammatory cells</w:t>
      </w:r>
      <w:r w:rsidR="00162979" w:rsidRPr="00053796">
        <w:rPr>
          <w:rFonts w:ascii="Book Antiqua" w:hAnsi="Book Antiqua" w:cs="Times New Roman"/>
        </w:rPr>
        <w:t xml:space="preserve"> can be artificially low in </w:t>
      </w:r>
      <w:r w:rsidR="00C01E10" w:rsidRPr="00053796">
        <w:rPr>
          <w:rFonts w:ascii="Book Antiqua" w:hAnsi="Book Antiqua" w:cs="Times New Roman"/>
        </w:rPr>
        <w:t xml:space="preserve">patients who are </w:t>
      </w:r>
      <w:r w:rsidR="00162979" w:rsidRPr="00053796">
        <w:rPr>
          <w:rFonts w:ascii="Book Antiqua" w:hAnsi="Book Antiqua" w:cs="Times New Roman"/>
        </w:rPr>
        <w:t>immunocompromised</w:t>
      </w:r>
      <w:r w:rsidR="00CE747F" w:rsidRPr="00053796">
        <w:rPr>
          <w:rFonts w:ascii="Book Antiqua" w:hAnsi="Book Antiqua" w:cs="Times New Roman"/>
          <w:vertAlign w:val="superscript"/>
        </w:rPr>
        <w:t>[6,12]</w:t>
      </w:r>
      <w:r w:rsidR="00CE747F" w:rsidRPr="00053796">
        <w:rPr>
          <w:rFonts w:ascii="Book Antiqua" w:hAnsi="Book Antiqua" w:cs="Times New Roman"/>
        </w:rPr>
        <w:t>.</w:t>
      </w:r>
      <w:r w:rsidR="0019144C" w:rsidRPr="00053796">
        <w:rPr>
          <w:rFonts w:ascii="Book Antiqua" w:hAnsi="Book Antiqua" w:cs="Times New Roman"/>
        </w:rPr>
        <w:t xml:space="preserve"> </w:t>
      </w:r>
      <w:r w:rsidR="00C01E10" w:rsidRPr="00053796">
        <w:rPr>
          <w:rFonts w:ascii="Book Antiqua" w:hAnsi="Book Antiqua" w:cs="Times New Roman"/>
        </w:rPr>
        <w:t>Furthermore,</w:t>
      </w:r>
      <w:r w:rsidR="00A33FAA" w:rsidRPr="00053796">
        <w:rPr>
          <w:rFonts w:ascii="Book Antiqua" w:hAnsi="Book Antiqua" w:cs="Times New Roman"/>
        </w:rPr>
        <w:t xml:space="preserve"> the presence of gouty </w:t>
      </w:r>
      <w:r w:rsidR="00A33FAA" w:rsidRPr="00053796">
        <w:rPr>
          <w:rFonts w:ascii="Book Antiqua" w:hAnsi="Book Antiqua" w:cs="Times New Roman"/>
        </w:rPr>
        <w:lastRenderedPageBreak/>
        <w:t>crystals alone does not rule out a concomitant superimposed bacterial infection,</w:t>
      </w:r>
      <w:r w:rsidR="00A1405E" w:rsidRPr="00053796">
        <w:rPr>
          <w:rFonts w:ascii="Book Antiqua" w:hAnsi="Book Antiqua" w:cs="Times New Roman"/>
        </w:rPr>
        <w:t xml:space="preserve"> </w:t>
      </w:r>
      <w:r w:rsidR="00162979" w:rsidRPr="00053796">
        <w:rPr>
          <w:rFonts w:ascii="Book Antiqua" w:hAnsi="Book Antiqua" w:cs="Times New Roman"/>
        </w:rPr>
        <w:t xml:space="preserve">making accurate diagnosis </w:t>
      </w:r>
      <w:r w:rsidR="00C01E10" w:rsidRPr="00053796">
        <w:rPr>
          <w:rFonts w:ascii="Book Antiqua" w:hAnsi="Book Antiqua" w:cs="Times New Roman"/>
        </w:rPr>
        <w:t>in this setting</w:t>
      </w:r>
      <w:r w:rsidR="00162979" w:rsidRPr="00053796">
        <w:rPr>
          <w:rFonts w:ascii="Book Antiqua" w:hAnsi="Book Antiqua" w:cs="Times New Roman"/>
        </w:rPr>
        <w:t xml:space="preserve"> </w:t>
      </w:r>
      <w:r w:rsidR="00A33FAA" w:rsidRPr="00053796">
        <w:rPr>
          <w:rFonts w:ascii="Book Antiqua" w:hAnsi="Book Antiqua" w:cs="Times New Roman"/>
        </w:rPr>
        <w:t xml:space="preserve">even </w:t>
      </w:r>
      <w:r w:rsidR="00162979" w:rsidRPr="00053796">
        <w:rPr>
          <w:rFonts w:ascii="Book Antiqua" w:hAnsi="Book Antiqua" w:cs="Times New Roman"/>
        </w:rPr>
        <w:t>more difficult</w:t>
      </w:r>
      <w:r w:rsidR="00CE747F" w:rsidRPr="00053796">
        <w:rPr>
          <w:rFonts w:ascii="Book Antiqua" w:hAnsi="Book Antiqua" w:cs="Times New Roman"/>
          <w:vertAlign w:val="superscript"/>
        </w:rPr>
        <w:t>[3]</w:t>
      </w:r>
      <w:r w:rsidR="00162979" w:rsidRPr="00053796">
        <w:rPr>
          <w:rFonts w:ascii="Book Antiqua" w:hAnsi="Book Antiqua" w:cs="Times New Roman"/>
        </w:rPr>
        <w:t>.</w:t>
      </w:r>
      <w:r w:rsidR="00652481" w:rsidRPr="00053796">
        <w:rPr>
          <w:rFonts w:ascii="Book Antiqua" w:hAnsi="Book Antiqua" w:cs="Times New Roman"/>
        </w:rPr>
        <w:fldChar w:fldCharType="begin"/>
      </w:r>
      <w:r w:rsidR="00A2329C" w:rsidRPr="00053796">
        <w:rPr>
          <w:rFonts w:ascii="Book Antiqua" w:hAnsi="Book Antiqua" w:cs="Times New Roman"/>
        </w:rPr>
        <w:instrText xml:space="preserve"> ADDIN ZOTERO_ITEM CSL_CITATION {"citationID":"Ukb21rgi","properties":{"formattedCitation":"(3)","plainCitation":"(3)","noteIndex":0},"citationItems":[{"id":374,"uris":["http://zotero.org/users/4971527/items/FH4BKI6U"],"uri":["http://zotero.org/users/4971527/items/FH4BKI6U"],"itemData":{"id":374,"type":"article-journal","title":"Concomitant septic and gouty arthritis--an analysis of 30 cases","container-title":"Rheumatology (Oxford, England)","page":"1062-1066","volume":"42","issue":"9","source":"PubMed","abstract":"OBJECTIVES: To analyse the clinical features and outcomes of gouty patients with concomitant septic arthritis in a medical centre.\nMETHODS: From the hospital database, we collected 30 hospitalized cases with concomitant septic arthritis and gouty arthritis from 1987 to 2001. All patients had positive bacterial culture and monosodium urate crystals in the affected joints. Medical records of the patients were analysed in detail.\nRESULTS: The mean age of patients was 52.8+/-12.5 yr. One-third of patients were afebrile at presentation, 30% had a normal blood leucocyte count and 10% had a synovial fluid leucocyte count less than 6000/mm3. The knee joint was the most common site of involvement, followed by the ankle, shoulder and wrist joints. Most patients had long-standing disease and subcutaneous tophi. Subcutaneous tophi rupture with secondary wound infection is the most common route of infection. Causative micro-organisms were Staphylococcus aureus (16 cases, 7 of whom were oxacillin-resistant), Streptococcus sp. (5 cases), Pediococcus sp. (1 case), and Gram-negative bacilli (9 cases). Fourteen patients received surgical debridement, among them two patients had an arthrodesis owing to severe joint destruction and one received above-knee amputation. Two patients died. One died of septic complications and the other died of acute myocardial infarction.\nCONCLUSIONS: Septic arthritis coexistent with gout presented a diagnostic difficulty. An early diagnosis requires a high level of suspicion. Prompt aspiration and analysis of the synovial fluid is imperative, regardless of the absence of fever or leucocytosis. Culture of the aspirated synovial fluid is warranted in gouty attack, even when it has a low white cell count or the Gram stain reveals no organisms.","DOI":"10.1093/rheumatology/keg297","ISSN":"1462-0324","note":"PMID: 12730521","journalAbbreviation":"Rheumatology (Oxford)","language":"eng","author":[{"family":"Yu","given":"K. H."},{"family":"Luo","given":"S. F."},{"family":"Liou","given":"L. B."},{"family":"Wu","given":"Y.-J. J."},{"family":"Tsai","given":"W. P."},{"family":"Chen","given":"J. Y."},{"family":"Ho","given":"H. H."}],"issued":{"date-parts":[["2003",9]]}}}],"schema":"https://github.com/citation-style-language/schema/raw/master/csl-citation.json"} </w:instrText>
      </w:r>
      <w:r w:rsidR="00652481" w:rsidRPr="00053796">
        <w:rPr>
          <w:rFonts w:ascii="Book Antiqua" w:hAnsi="Book Antiqua" w:cs="Times New Roman"/>
        </w:rPr>
        <w:fldChar w:fldCharType="end"/>
      </w:r>
      <w:r w:rsidR="00CE747F" w:rsidRPr="00053796">
        <w:rPr>
          <w:rFonts w:ascii="Book Antiqua" w:hAnsi="Book Antiqua" w:cs="Times New Roman"/>
        </w:rPr>
        <w:t xml:space="preserve"> </w:t>
      </w:r>
      <w:r w:rsidR="00A2329C" w:rsidRPr="00053796">
        <w:rPr>
          <w:rFonts w:ascii="Book Antiqua" w:hAnsi="Book Antiqua" w:cs="Times New Roman"/>
        </w:rPr>
        <w:t>Procalcitonin has recently been investigated as an inflammatory serum biomarker</w:t>
      </w:r>
      <w:r w:rsidR="00CE747F" w:rsidRPr="00053796">
        <w:rPr>
          <w:rFonts w:ascii="Book Antiqua" w:hAnsi="Book Antiqua" w:cs="Times New Roman"/>
          <w:vertAlign w:val="superscript"/>
        </w:rPr>
        <w:t>[13,14]</w:t>
      </w:r>
      <w:r w:rsidR="00A2329C" w:rsidRPr="00053796">
        <w:rPr>
          <w:rFonts w:ascii="Book Antiqua" w:hAnsi="Book Antiqua" w:cs="Times New Roman"/>
        </w:rPr>
        <w:t>. While it has shown promise in distinguishing septic from aseptic arthritis, it also does not accurately distinguish non-infective inflammation like gout from septic arthritis, and therefore is still a limited diagnostic biomarker</w:t>
      </w:r>
      <w:r w:rsidR="00CE747F" w:rsidRPr="00053796">
        <w:rPr>
          <w:rFonts w:ascii="Book Antiqua" w:hAnsi="Book Antiqua" w:cs="Times New Roman"/>
          <w:vertAlign w:val="superscript"/>
        </w:rPr>
        <w:t>[15]</w:t>
      </w:r>
      <w:r w:rsidR="00CE747F" w:rsidRPr="00053796">
        <w:rPr>
          <w:rFonts w:ascii="Book Antiqua" w:hAnsi="Book Antiqua" w:cs="Times New Roman"/>
        </w:rPr>
        <w:t>.</w:t>
      </w:r>
    </w:p>
    <w:p w14:paraId="560479E6" w14:textId="0137C0A3" w:rsidR="00162979" w:rsidRPr="00053796" w:rsidRDefault="00162979" w:rsidP="00053796">
      <w:pPr>
        <w:pStyle w:val="Bibliography"/>
        <w:spacing w:after="0" w:line="360" w:lineRule="auto"/>
        <w:ind w:left="0" w:firstLineChars="100" w:firstLine="240"/>
        <w:mirrorIndents/>
        <w:jc w:val="both"/>
        <w:rPr>
          <w:rFonts w:ascii="Book Antiqua" w:hAnsi="Book Antiqua" w:cs="Times New Roman"/>
        </w:rPr>
      </w:pPr>
      <w:r w:rsidRPr="00053796">
        <w:rPr>
          <w:rFonts w:ascii="Book Antiqua" w:hAnsi="Book Antiqua" w:cs="Times New Roman"/>
        </w:rPr>
        <w:t xml:space="preserve">The Sepsis </w:t>
      </w:r>
      <w:proofErr w:type="spellStart"/>
      <w:r w:rsidRPr="00053796">
        <w:rPr>
          <w:rFonts w:ascii="Book Antiqua" w:hAnsi="Book Antiqua" w:cs="Times New Roman"/>
        </w:rPr>
        <w:t>MetaScore</w:t>
      </w:r>
      <w:proofErr w:type="spellEnd"/>
      <w:r w:rsidRPr="00053796">
        <w:rPr>
          <w:rFonts w:ascii="Book Antiqua" w:hAnsi="Book Antiqua" w:cs="Times New Roman"/>
        </w:rPr>
        <w:t xml:space="preserve"> (SMS) is a novel diagnostic</w:t>
      </w:r>
      <w:r w:rsidR="006034DF" w:rsidRPr="00053796">
        <w:rPr>
          <w:rFonts w:ascii="Book Antiqua" w:hAnsi="Book Antiqua" w:cs="Times New Roman"/>
        </w:rPr>
        <w:t xml:space="preserve"> serum blood test</w:t>
      </w:r>
      <w:r w:rsidRPr="00053796">
        <w:rPr>
          <w:rFonts w:ascii="Book Antiqua" w:hAnsi="Book Antiqua" w:cs="Times New Roman"/>
        </w:rPr>
        <w:t xml:space="preserve"> that can </w:t>
      </w:r>
      <w:r w:rsidR="001C4DFC" w:rsidRPr="00053796">
        <w:rPr>
          <w:rFonts w:ascii="Book Antiqua" w:hAnsi="Book Antiqua" w:cs="Times New Roman"/>
        </w:rPr>
        <w:t xml:space="preserve">efficiently </w:t>
      </w:r>
      <w:r w:rsidRPr="00053796">
        <w:rPr>
          <w:rFonts w:ascii="Book Antiqua" w:hAnsi="Book Antiqua" w:cs="Times New Roman"/>
        </w:rPr>
        <w:t>distinguish between infectious and non-infectious acute</w:t>
      </w:r>
      <w:r w:rsidR="00CA1B21" w:rsidRPr="00053796">
        <w:rPr>
          <w:rFonts w:ascii="Book Antiqua" w:hAnsi="Book Antiqua" w:cs="Times New Roman"/>
        </w:rPr>
        <w:t xml:space="preserve"> systemic</w:t>
      </w:r>
      <w:r w:rsidRPr="00053796">
        <w:rPr>
          <w:rFonts w:ascii="Book Antiqua" w:hAnsi="Book Antiqua" w:cs="Times New Roman"/>
        </w:rPr>
        <w:t xml:space="preserve"> inflammation</w:t>
      </w:r>
      <w:r w:rsidR="00CE747F" w:rsidRPr="00053796">
        <w:rPr>
          <w:rFonts w:ascii="Book Antiqua" w:hAnsi="Book Antiqua" w:cs="Times New Roman"/>
          <w:vertAlign w:val="superscript"/>
        </w:rPr>
        <w:t>[16]</w:t>
      </w:r>
      <w:r w:rsidR="00CE747F" w:rsidRPr="00053796">
        <w:rPr>
          <w:rFonts w:ascii="Book Antiqua" w:hAnsi="Book Antiqua" w:cs="Times New Roman"/>
        </w:rPr>
        <w:t>.</w:t>
      </w:r>
      <w:r w:rsidRPr="00053796">
        <w:rPr>
          <w:rFonts w:ascii="Book Antiqua" w:hAnsi="Book Antiqua" w:cs="Times New Roman"/>
        </w:rPr>
        <w:t xml:space="preserve"> </w:t>
      </w:r>
      <w:r w:rsidR="0032718A" w:rsidRPr="00053796">
        <w:rPr>
          <w:rFonts w:ascii="Book Antiqua" w:hAnsi="Book Antiqua" w:cs="Times New Roman"/>
        </w:rPr>
        <w:t>SMS</w:t>
      </w:r>
      <w:r w:rsidRPr="00053796">
        <w:rPr>
          <w:rFonts w:ascii="Book Antiqua" w:hAnsi="Book Antiqua" w:cs="Times New Roman"/>
        </w:rPr>
        <w:t xml:space="preserve"> works by interpreting the expression levels of 11 </w:t>
      </w:r>
      <w:r w:rsidR="008B1288" w:rsidRPr="00053796">
        <w:rPr>
          <w:rFonts w:ascii="Book Antiqua" w:hAnsi="Book Antiqua" w:cs="Times New Roman"/>
        </w:rPr>
        <w:t xml:space="preserve">specific </w:t>
      </w:r>
      <w:r w:rsidRPr="00053796">
        <w:rPr>
          <w:rFonts w:ascii="Book Antiqua" w:hAnsi="Book Antiqua" w:cs="Times New Roman"/>
        </w:rPr>
        <w:t xml:space="preserve">mRNAs in peripheral blood (the so-called </w:t>
      </w:r>
      <w:r w:rsidR="00CE747F" w:rsidRPr="00053796">
        <w:rPr>
          <w:rFonts w:ascii="Book Antiqua" w:hAnsi="Book Antiqua" w:cs="Times New Roman"/>
        </w:rPr>
        <w:t>“</w:t>
      </w:r>
      <w:r w:rsidRPr="00053796">
        <w:rPr>
          <w:rFonts w:ascii="Book Antiqua" w:hAnsi="Book Antiqua" w:cs="Times New Roman"/>
        </w:rPr>
        <w:t>host response</w:t>
      </w:r>
      <w:r w:rsidR="00CE747F" w:rsidRPr="00053796">
        <w:rPr>
          <w:rFonts w:ascii="Book Antiqua" w:hAnsi="Book Antiqua" w:cs="Times New Roman"/>
        </w:rPr>
        <w:t>”</w:t>
      </w:r>
      <w:r w:rsidRPr="00053796">
        <w:rPr>
          <w:rFonts w:ascii="Book Antiqua" w:hAnsi="Book Antiqua" w:cs="Times New Roman"/>
        </w:rPr>
        <w:t xml:space="preserve"> to infection). </w:t>
      </w:r>
      <w:r w:rsidR="001C4DFC" w:rsidRPr="00053796">
        <w:rPr>
          <w:rFonts w:ascii="Book Antiqua" w:hAnsi="Book Antiqua" w:cs="Times New Roman"/>
        </w:rPr>
        <w:t>Previous studies have</w:t>
      </w:r>
      <w:r w:rsidRPr="00053796">
        <w:rPr>
          <w:rFonts w:ascii="Book Antiqua" w:hAnsi="Book Antiqua" w:cs="Times New Roman"/>
        </w:rPr>
        <w:t xml:space="preserve"> validated </w:t>
      </w:r>
      <w:r w:rsidR="001C4DFC" w:rsidRPr="00053796">
        <w:rPr>
          <w:rFonts w:ascii="Book Antiqua" w:hAnsi="Book Antiqua" w:cs="Times New Roman"/>
        </w:rPr>
        <w:t>its ability to distinguish</w:t>
      </w:r>
      <w:r w:rsidRPr="00053796">
        <w:rPr>
          <w:rFonts w:ascii="Book Antiqua" w:hAnsi="Book Antiqua" w:cs="Times New Roman"/>
        </w:rPr>
        <w:t xml:space="preserve"> infection from non-infectious inflammation </w:t>
      </w:r>
      <w:r w:rsidR="001C4DFC" w:rsidRPr="00053796">
        <w:rPr>
          <w:rFonts w:ascii="Book Antiqua" w:hAnsi="Book Antiqua" w:cs="Times New Roman"/>
        </w:rPr>
        <w:t xml:space="preserve">in a variety of </w:t>
      </w:r>
      <w:r w:rsidR="00F53580" w:rsidRPr="00053796">
        <w:rPr>
          <w:rFonts w:ascii="Book Antiqua" w:hAnsi="Book Antiqua" w:cs="Times New Roman"/>
        </w:rPr>
        <w:t xml:space="preserve">independent </w:t>
      </w:r>
      <w:r w:rsidRPr="00053796">
        <w:rPr>
          <w:rFonts w:ascii="Book Antiqua" w:hAnsi="Book Antiqua" w:cs="Times New Roman"/>
        </w:rPr>
        <w:t xml:space="preserve">clinical settings including medical and surgical patients </w:t>
      </w:r>
      <w:r w:rsidR="00B25B1C" w:rsidRPr="00053796">
        <w:rPr>
          <w:rFonts w:ascii="Book Antiqua" w:hAnsi="Book Antiqua" w:cs="Times New Roman"/>
        </w:rPr>
        <w:t>from</w:t>
      </w:r>
      <w:r w:rsidR="00CA1B21" w:rsidRPr="00053796">
        <w:rPr>
          <w:rFonts w:ascii="Book Antiqua" w:hAnsi="Book Antiqua" w:cs="Times New Roman"/>
        </w:rPr>
        <w:t xml:space="preserve"> ambulatory </w:t>
      </w:r>
      <w:r w:rsidR="003C7FFE" w:rsidRPr="00053796">
        <w:rPr>
          <w:rFonts w:ascii="Book Antiqua" w:hAnsi="Book Antiqua" w:cs="Times New Roman"/>
        </w:rPr>
        <w:t>clinics</w:t>
      </w:r>
      <w:r w:rsidR="00CA1B21" w:rsidRPr="00053796">
        <w:rPr>
          <w:rFonts w:ascii="Book Antiqua" w:hAnsi="Book Antiqua" w:cs="Times New Roman"/>
        </w:rPr>
        <w:t xml:space="preserve"> to the</w:t>
      </w:r>
      <w:r w:rsidRPr="00053796">
        <w:rPr>
          <w:rFonts w:ascii="Book Antiqua" w:hAnsi="Book Antiqua" w:cs="Times New Roman"/>
        </w:rPr>
        <w:t xml:space="preserve"> ICU</w:t>
      </w:r>
      <w:r w:rsidR="00CE747F" w:rsidRPr="00053796">
        <w:rPr>
          <w:rFonts w:ascii="Book Antiqua" w:hAnsi="Book Antiqua" w:cs="Times New Roman"/>
          <w:vertAlign w:val="superscript"/>
        </w:rPr>
        <w:t>[17-19]</w:t>
      </w:r>
      <w:r w:rsidRPr="00053796">
        <w:rPr>
          <w:rFonts w:ascii="Book Antiqua" w:hAnsi="Book Antiqua" w:cs="Times New Roman"/>
        </w:rPr>
        <w:t xml:space="preserve">. </w:t>
      </w:r>
      <w:r w:rsidR="00843704" w:rsidRPr="00053796">
        <w:rPr>
          <w:rFonts w:ascii="Book Antiqua" w:hAnsi="Book Antiqua" w:cs="Times New Roman"/>
        </w:rPr>
        <w:t>In this study, w</w:t>
      </w:r>
      <w:r w:rsidR="001C4DFC" w:rsidRPr="00053796">
        <w:rPr>
          <w:rFonts w:ascii="Book Antiqua" w:hAnsi="Book Antiqua" w:cs="Times New Roman"/>
        </w:rPr>
        <w:t>e hypothesize</w:t>
      </w:r>
      <w:r w:rsidR="00843704" w:rsidRPr="00053796">
        <w:rPr>
          <w:rFonts w:ascii="Book Antiqua" w:hAnsi="Book Antiqua" w:cs="Times New Roman"/>
        </w:rPr>
        <w:t>d</w:t>
      </w:r>
      <w:r w:rsidR="001C4DFC" w:rsidRPr="00053796">
        <w:rPr>
          <w:rFonts w:ascii="Book Antiqua" w:hAnsi="Book Antiqua" w:cs="Times New Roman"/>
        </w:rPr>
        <w:t xml:space="preserve"> that the SMS </w:t>
      </w:r>
      <w:r w:rsidR="003C7FFE" w:rsidRPr="00053796">
        <w:rPr>
          <w:rFonts w:ascii="Book Antiqua" w:hAnsi="Book Antiqua" w:cs="Times New Roman"/>
        </w:rPr>
        <w:t>could</w:t>
      </w:r>
      <w:r w:rsidR="001C4DFC" w:rsidRPr="00053796">
        <w:rPr>
          <w:rFonts w:ascii="Book Antiqua" w:hAnsi="Book Antiqua" w:cs="Times New Roman"/>
        </w:rPr>
        <w:t xml:space="preserve"> identify patients presenting acutely with septic arthritis </w:t>
      </w:r>
      <w:r w:rsidR="0067711E" w:rsidRPr="00053796">
        <w:rPr>
          <w:rFonts w:ascii="Book Antiqua" w:hAnsi="Book Antiqua" w:cs="Times New Roman"/>
        </w:rPr>
        <w:t xml:space="preserve">based on positive cultures </w:t>
      </w:r>
      <w:r w:rsidR="001C4DFC" w:rsidRPr="00053796">
        <w:rPr>
          <w:rFonts w:ascii="Book Antiqua" w:hAnsi="Book Antiqua" w:cs="Times New Roman"/>
        </w:rPr>
        <w:t xml:space="preserve">from those with </w:t>
      </w:r>
      <w:r w:rsidR="003C7FFE" w:rsidRPr="00053796">
        <w:rPr>
          <w:rFonts w:ascii="Book Antiqua" w:hAnsi="Book Antiqua" w:cs="Times New Roman"/>
        </w:rPr>
        <w:t xml:space="preserve">aseptic </w:t>
      </w:r>
      <w:r w:rsidR="001C4DFC" w:rsidRPr="00053796">
        <w:rPr>
          <w:rFonts w:ascii="Book Antiqua" w:hAnsi="Book Antiqua" w:cs="Times New Roman"/>
        </w:rPr>
        <w:t>arthropathies.</w:t>
      </w:r>
    </w:p>
    <w:p w14:paraId="0DEC7F99" w14:textId="77777777" w:rsidR="00CE747F" w:rsidRPr="00053796" w:rsidRDefault="00CE747F" w:rsidP="00053796">
      <w:pPr>
        <w:spacing w:line="360" w:lineRule="auto"/>
        <w:jc w:val="both"/>
        <w:rPr>
          <w:rFonts w:ascii="Book Antiqua" w:hAnsi="Book Antiqua"/>
          <w:b/>
        </w:rPr>
      </w:pPr>
    </w:p>
    <w:p w14:paraId="75D57545" w14:textId="77777777" w:rsidR="00CE747F" w:rsidRPr="00053796" w:rsidRDefault="00CE747F" w:rsidP="00053796">
      <w:pPr>
        <w:snapToGrid w:val="0"/>
        <w:spacing w:line="360" w:lineRule="auto"/>
        <w:jc w:val="both"/>
        <w:rPr>
          <w:rFonts w:ascii="Book Antiqua" w:hAnsi="Book Antiqua"/>
        </w:rPr>
      </w:pPr>
      <w:r w:rsidRPr="00053796">
        <w:rPr>
          <w:rFonts w:ascii="Book Antiqua" w:hAnsi="Book Antiqua"/>
          <w:b/>
        </w:rPr>
        <w:t>MATERIALS AND METHODS</w:t>
      </w:r>
    </w:p>
    <w:p w14:paraId="7A861C33" w14:textId="420D58C9" w:rsidR="008D4A74" w:rsidRPr="00053796" w:rsidRDefault="008D4A74" w:rsidP="00053796">
      <w:pPr>
        <w:spacing w:line="360" w:lineRule="auto"/>
        <w:jc w:val="both"/>
        <w:rPr>
          <w:rFonts w:ascii="Book Antiqua" w:hAnsi="Book Antiqua"/>
          <w:b/>
          <w:i/>
          <w:iCs/>
        </w:rPr>
      </w:pPr>
      <w:r w:rsidRPr="00053796">
        <w:rPr>
          <w:rFonts w:ascii="Book Antiqua" w:hAnsi="Book Antiqua"/>
          <w:b/>
          <w:i/>
          <w:iCs/>
        </w:rPr>
        <w:t>Level II</w:t>
      </w:r>
      <w:r w:rsidR="00F309E6" w:rsidRPr="00053796">
        <w:rPr>
          <w:rFonts w:ascii="Book Antiqua" w:hAnsi="Book Antiqua"/>
          <w:b/>
          <w:i/>
          <w:iCs/>
        </w:rPr>
        <w:t xml:space="preserve"> </w:t>
      </w:r>
      <w:r w:rsidR="00182940" w:rsidRPr="00053796">
        <w:rPr>
          <w:rFonts w:ascii="Book Antiqua" w:hAnsi="Book Antiqua"/>
          <w:b/>
          <w:i/>
          <w:iCs/>
        </w:rPr>
        <w:t xml:space="preserve">blinded, prospective, </w:t>
      </w:r>
      <w:r w:rsidR="007772C9" w:rsidRPr="00053796">
        <w:rPr>
          <w:rFonts w:ascii="Book Antiqua" w:hAnsi="Book Antiqua"/>
          <w:b/>
          <w:i/>
          <w:iCs/>
        </w:rPr>
        <w:t>observational</w:t>
      </w:r>
      <w:r w:rsidR="00182940" w:rsidRPr="00053796">
        <w:rPr>
          <w:rFonts w:ascii="Book Antiqua" w:hAnsi="Book Antiqua"/>
          <w:b/>
          <w:i/>
          <w:iCs/>
        </w:rPr>
        <w:t xml:space="preserve"> study</w:t>
      </w:r>
    </w:p>
    <w:p w14:paraId="33762320" w14:textId="2C04B605" w:rsidR="0088797C" w:rsidRPr="00053796" w:rsidRDefault="00182940" w:rsidP="00053796">
      <w:pPr>
        <w:spacing w:line="360" w:lineRule="auto"/>
        <w:jc w:val="both"/>
        <w:rPr>
          <w:rFonts w:ascii="Book Antiqua" w:hAnsi="Book Antiqua"/>
        </w:rPr>
      </w:pPr>
      <w:r w:rsidRPr="00053796">
        <w:rPr>
          <w:rFonts w:ascii="Book Antiqua" w:hAnsi="Book Antiqua"/>
        </w:rPr>
        <w:t>Following I</w:t>
      </w:r>
      <w:r w:rsidR="00FD69D8" w:rsidRPr="00053796">
        <w:rPr>
          <w:rFonts w:ascii="Book Antiqua" w:hAnsi="Book Antiqua"/>
        </w:rPr>
        <w:t xml:space="preserve">nstitutional </w:t>
      </w:r>
      <w:r w:rsidRPr="00053796">
        <w:rPr>
          <w:rFonts w:ascii="Book Antiqua" w:hAnsi="Book Antiqua"/>
        </w:rPr>
        <w:t>R</w:t>
      </w:r>
      <w:r w:rsidR="00FD69D8" w:rsidRPr="00053796">
        <w:rPr>
          <w:rFonts w:ascii="Book Antiqua" w:hAnsi="Book Antiqua"/>
        </w:rPr>
        <w:t xml:space="preserve">eview </w:t>
      </w:r>
      <w:r w:rsidRPr="00053796">
        <w:rPr>
          <w:rFonts w:ascii="Book Antiqua" w:hAnsi="Book Antiqua"/>
        </w:rPr>
        <w:t>B</w:t>
      </w:r>
      <w:r w:rsidR="00FD69D8" w:rsidRPr="00053796">
        <w:rPr>
          <w:rFonts w:ascii="Book Antiqua" w:hAnsi="Book Antiqua"/>
        </w:rPr>
        <w:t>oard</w:t>
      </w:r>
      <w:r w:rsidRPr="00053796">
        <w:rPr>
          <w:rFonts w:ascii="Book Antiqua" w:hAnsi="Book Antiqua"/>
        </w:rPr>
        <w:t xml:space="preserve"> approval</w:t>
      </w:r>
      <w:r w:rsidR="00FD69D8" w:rsidRPr="00053796">
        <w:rPr>
          <w:rFonts w:ascii="Book Antiqua" w:hAnsi="Book Antiqua"/>
        </w:rPr>
        <w:t xml:space="preserve">, we </w:t>
      </w:r>
      <w:r w:rsidR="00CA1B21" w:rsidRPr="00053796">
        <w:rPr>
          <w:rFonts w:ascii="Book Antiqua" w:hAnsi="Book Antiqua"/>
        </w:rPr>
        <w:t xml:space="preserve">enrolled a </w:t>
      </w:r>
      <w:r w:rsidR="00205429" w:rsidRPr="00053796">
        <w:rPr>
          <w:rFonts w:ascii="Book Antiqua" w:hAnsi="Book Antiqua"/>
        </w:rPr>
        <w:t xml:space="preserve">convenience </w:t>
      </w:r>
      <w:r w:rsidR="00CA1B21" w:rsidRPr="00053796">
        <w:rPr>
          <w:rFonts w:ascii="Book Antiqua" w:hAnsi="Book Antiqua"/>
        </w:rPr>
        <w:t xml:space="preserve">sample of </w:t>
      </w:r>
      <w:r w:rsidR="00FD69D8" w:rsidRPr="00053796">
        <w:rPr>
          <w:rFonts w:ascii="Book Antiqua" w:hAnsi="Book Antiqua"/>
        </w:rPr>
        <w:t>adult patients</w:t>
      </w:r>
      <w:r w:rsidR="00B6025D" w:rsidRPr="00053796">
        <w:rPr>
          <w:rFonts w:ascii="Book Antiqua" w:hAnsi="Book Antiqua"/>
        </w:rPr>
        <w:t xml:space="preserve"> </w:t>
      </w:r>
      <w:r w:rsidR="00573FE1" w:rsidRPr="00053796">
        <w:rPr>
          <w:rFonts w:ascii="Book Antiqua" w:hAnsi="Book Antiqua"/>
        </w:rPr>
        <w:t>presenting to</w:t>
      </w:r>
      <w:r w:rsidR="00B6025D" w:rsidRPr="00053796">
        <w:rPr>
          <w:rFonts w:ascii="Book Antiqua" w:hAnsi="Book Antiqua"/>
        </w:rPr>
        <w:t xml:space="preserve"> the emergency department </w:t>
      </w:r>
      <w:r w:rsidR="00FD69D8" w:rsidRPr="00053796">
        <w:rPr>
          <w:rFonts w:ascii="Book Antiqua" w:hAnsi="Book Antiqua"/>
        </w:rPr>
        <w:t xml:space="preserve">at </w:t>
      </w:r>
      <w:r w:rsidR="00CA1B21" w:rsidRPr="00053796">
        <w:rPr>
          <w:rFonts w:ascii="Book Antiqua" w:hAnsi="Book Antiqua"/>
        </w:rPr>
        <w:t xml:space="preserve">a quaternary referral center </w:t>
      </w:r>
      <w:r w:rsidR="00573FE1" w:rsidRPr="00053796">
        <w:rPr>
          <w:rFonts w:ascii="Book Antiqua" w:hAnsi="Book Antiqua"/>
        </w:rPr>
        <w:t xml:space="preserve">with </w:t>
      </w:r>
      <w:r w:rsidR="00B6025D" w:rsidRPr="00053796">
        <w:rPr>
          <w:rFonts w:ascii="Book Antiqua" w:hAnsi="Book Antiqua"/>
        </w:rPr>
        <w:t>acute</w:t>
      </w:r>
      <w:r w:rsidR="00573FE1" w:rsidRPr="00053796">
        <w:rPr>
          <w:rFonts w:ascii="Book Antiqua" w:hAnsi="Book Antiqua"/>
        </w:rPr>
        <w:t>, atraumatic onset</w:t>
      </w:r>
      <w:r w:rsidR="00B6025D" w:rsidRPr="00053796">
        <w:rPr>
          <w:rFonts w:ascii="Book Antiqua" w:hAnsi="Book Antiqua"/>
        </w:rPr>
        <w:t xml:space="preserve"> of </w:t>
      </w:r>
      <w:r w:rsidR="00573FE1" w:rsidRPr="00053796">
        <w:rPr>
          <w:rFonts w:ascii="Book Antiqua" w:hAnsi="Book Antiqua"/>
        </w:rPr>
        <w:t xml:space="preserve">a painful, swollen </w:t>
      </w:r>
      <w:r w:rsidR="00B6025D" w:rsidRPr="00053796">
        <w:rPr>
          <w:rFonts w:ascii="Book Antiqua" w:hAnsi="Book Antiqua"/>
        </w:rPr>
        <w:t xml:space="preserve">native </w:t>
      </w:r>
      <w:r w:rsidR="00573FE1" w:rsidRPr="00053796">
        <w:rPr>
          <w:rFonts w:ascii="Book Antiqua" w:hAnsi="Book Antiqua"/>
        </w:rPr>
        <w:t>joint</w:t>
      </w:r>
      <w:r w:rsidR="00B6025D" w:rsidRPr="00053796">
        <w:rPr>
          <w:rFonts w:ascii="Book Antiqua" w:hAnsi="Book Antiqua"/>
        </w:rPr>
        <w:t>. Non-native</w:t>
      </w:r>
      <w:r w:rsidR="00FD69D8" w:rsidRPr="00053796">
        <w:rPr>
          <w:rFonts w:ascii="Book Antiqua" w:hAnsi="Book Antiqua"/>
        </w:rPr>
        <w:t xml:space="preserve"> joints were</w:t>
      </w:r>
      <w:r w:rsidR="00B6025D" w:rsidRPr="00053796">
        <w:rPr>
          <w:rFonts w:ascii="Book Antiqua" w:hAnsi="Book Antiqua"/>
        </w:rPr>
        <w:t xml:space="preserve"> excluded due to the different clinical and laboratory diagnostic cut-offs and treatment options for </w:t>
      </w:r>
      <w:r w:rsidR="00502D49" w:rsidRPr="00053796">
        <w:rPr>
          <w:rFonts w:ascii="Book Antiqua" w:hAnsi="Book Antiqua"/>
        </w:rPr>
        <w:t>peri</w:t>
      </w:r>
      <w:r w:rsidR="00B6025D" w:rsidRPr="00053796">
        <w:rPr>
          <w:rFonts w:ascii="Book Antiqua" w:hAnsi="Book Antiqua"/>
        </w:rPr>
        <w:t xml:space="preserve">prosthetic joint </w:t>
      </w:r>
      <w:r w:rsidR="00FF1EF1" w:rsidRPr="00053796">
        <w:rPr>
          <w:rFonts w:ascii="Book Antiqua" w:hAnsi="Book Antiqua"/>
        </w:rPr>
        <w:t>infections</w:t>
      </w:r>
      <w:r w:rsidR="008B1288" w:rsidRPr="00053796">
        <w:rPr>
          <w:rFonts w:ascii="Book Antiqua" w:hAnsi="Book Antiqua"/>
        </w:rPr>
        <w:t xml:space="preserve">. </w:t>
      </w:r>
      <w:r w:rsidR="007772C9" w:rsidRPr="00053796">
        <w:rPr>
          <w:rFonts w:ascii="Book Antiqua" w:hAnsi="Book Antiqua"/>
        </w:rPr>
        <w:t>Patients</w:t>
      </w:r>
      <w:r w:rsidR="00B6025D" w:rsidRPr="00053796">
        <w:rPr>
          <w:rFonts w:ascii="Book Antiqua" w:hAnsi="Book Antiqua"/>
        </w:rPr>
        <w:t xml:space="preserve"> </w:t>
      </w:r>
      <w:r w:rsidR="00FD69D8" w:rsidRPr="00053796">
        <w:rPr>
          <w:rFonts w:ascii="Book Antiqua" w:hAnsi="Book Antiqua"/>
        </w:rPr>
        <w:t xml:space="preserve">were enrolled </w:t>
      </w:r>
      <w:r w:rsidR="008B1288" w:rsidRPr="00053796">
        <w:rPr>
          <w:rFonts w:ascii="Book Antiqua" w:hAnsi="Book Antiqua"/>
        </w:rPr>
        <w:t xml:space="preserve">in the trial at the time of presentation </w:t>
      </w:r>
      <w:r w:rsidR="00FD69D8" w:rsidRPr="00053796">
        <w:rPr>
          <w:rFonts w:ascii="Book Antiqua" w:hAnsi="Book Antiqua"/>
        </w:rPr>
        <w:t>by</w:t>
      </w:r>
      <w:r w:rsidR="00FF1EF1" w:rsidRPr="00053796">
        <w:rPr>
          <w:rFonts w:ascii="Book Antiqua" w:hAnsi="Book Antiqua"/>
        </w:rPr>
        <w:t xml:space="preserve"> an </w:t>
      </w:r>
      <w:proofErr w:type="spellStart"/>
      <w:r w:rsidR="007772C9" w:rsidRPr="00053796">
        <w:rPr>
          <w:rFonts w:ascii="Book Antiqua" w:hAnsi="Book Antiqua"/>
        </w:rPr>
        <w:t>orthopaedic</w:t>
      </w:r>
      <w:proofErr w:type="spellEnd"/>
      <w:r w:rsidR="00FF1EF1" w:rsidRPr="00053796">
        <w:rPr>
          <w:rFonts w:ascii="Book Antiqua" w:hAnsi="Book Antiqua"/>
        </w:rPr>
        <w:t xml:space="preserve"> surgery resident.</w:t>
      </w:r>
    </w:p>
    <w:p w14:paraId="045F2E9B" w14:textId="481B7F26" w:rsidR="0088797C" w:rsidRPr="00053796" w:rsidRDefault="007772C9" w:rsidP="00053796">
      <w:pPr>
        <w:spacing w:line="360" w:lineRule="auto"/>
        <w:ind w:firstLineChars="100" w:firstLine="240"/>
        <w:jc w:val="both"/>
        <w:rPr>
          <w:rFonts w:ascii="Book Antiqua" w:hAnsi="Book Antiqua"/>
        </w:rPr>
      </w:pPr>
      <w:r w:rsidRPr="00053796">
        <w:rPr>
          <w:rFonts w:ascii="Book Antiqua" w:hAnsi="Book Antiqua"/>
        </w:rPr>
        <w:t>All enrolled patients</w:t>
      </w:r>
      <w:r w:rsidR="00FF1EF1" w:rsidRPr="00053796">
        <w:rPr>
          <w:rFonts w:ascii="Book Antiqua" w:hAnsi="Book Antiqua"/>
        </w:rPr>
        <w:t xml:space="preserve"> proceeded through the normal standard-of-care pathway, including </w:t>
      </w:r>
      <w:r w:rsidR="00EF41F1" w:rsidRPr="00053796">
        <w:rPr>
          <w:rFonts w:ascii="Book Antiqua" w:hAnsi="Book Antiqua"/>
        </w:rPr>
        <w:t xml:space="preserve">inflammatory labs (WBC, ESR, CRP) and a </w:t>
      </w:r>
      <w:r w:rsidR="00FF1EF1" w:rsidRPr="00053796">
        <w:rPr>
          <w:rFonts w:ascii="Book Antiqua" w:hAnsi="Book Antiqua"/>
        </w:rPr>
        <w:t xml:space="preserve">joint aspiration </w:t>
      </w:r>
      <w:r w:rsidR="00EF41F1" w:rsidRPr="00053796">
        <w:rPr>
          <w:rFonts w:ascii="Book Antiqua" w:hAnsi="Book Antiqua"/>
        </w:rPr>
        <w:t xml:space="preserve">performed by an orthopedic surgery resident. Aspirations were analyzed by the hospital lab for </w:t>
      </w:r>
      <w:r w:rsidRPr="00053796">
        <w:rPr>
          <w:rFonts w:ascii="Book Antiqua" w:hAnsi="Book Antiqua"/>
        </w:rPr>
        <w:t>WBC</w:t>
      </w:r>
      <w:r w:rsidR="00EF41F1" w:rsidRPr="00053796">
        <w:rPr>
          <w:rFonts w:ascii="Book Antiqua" w:hAnsi="Book Antiqua"/>
        </w:rPr>
        <w:t xml:space="preserve"> count, </w:t>
      </w:r>
      <w:r w:rsidRPr="00053796">
        <w:rPr>
          <w:rFonts w:ascii="Book Antiqua" w:hAnsi="Book Antiqua"/>
        </w:rPr>
        <w:t>percentage of PMN</w:t>
      </w:r>
      <w:r w:rsidR="005A1044" w:rsidRPr="00053796">
        <w:rPr>
          <w:rFonts w:ascii="Book Antiqua" w:hAnsi="Book Antiqua"/>
        </w:rPr>
        <w:t>s</w:t>
      </w:r>
      <w:r w:rsidRPr="00053796">
        <w:rPr>
          <w:rFonts w:ascii="Book Antiqua" w:hAnsi="Book Antiqua"/>
        </w:rPr>
        <w:t>,</w:t>
      </w:r>
      <w:r w:rsidR="00EF41F1" w:rsidRPr="00053796">
        <w:rPr>
          <w:rFonts w:ascii="Book Antiqua" w:hAnsi="Book Antiqua"/>
        </w:rPr>
        <w:t xml:space="preserve"> culture, gram stain and crystals. If the patient was taken for surgery, </w:t>
      </w:r>
      <w:r w:rsidR="00F557D6" w:rsidRPr="00053796">
        <w:rPr>
          <w:rFonts w:ascii="Book Antiqua" w:hAnsi="Book Antiqua"/>
        </w:rPr>
        <w:t xml:space="preserve">an </w:t>
      </w:r>
      <w:r w:rsidR="00EF41F1" w:rsidRPr="00053796">
        <w:rPr>
          <w:rFonts w:ascii="Book Antiqua" w:hAnsi="Book Antiqua"/>
        </w:rPr>
        <w:t xml:space="preserve">additional intra-operative </w:t>
      </w:r>
      <w:r w:rsidR="00F557D6" w:rsidRPr="00053796">
        <w:rPr>
          <w:rFonts w:ascii="Book Antiqua" w:hAnsi="Book Antiqua"/>
        </w:rPr>
        <w:t>tissue sample was sent for culture</w:t>
      </w:r>
      <w:r w:rsidR="00EF41F1" w:rsidRPr="00053796">
        <w:rPr>
          <w:rFonts w:ascii="Book Antiqua" w:hAnsi="Book Antiqua"/>
        </w:rPr>
        <w:t xml:space="preserve">. </w:t>
      </w:r>
      <w:r w:rsidR="00FF1EF1" w:rsidRPr="00053796">
        <w:rPr>
          <w:rFonts w:ascii="Book Antiqua" w:hAnsi="Book Antiqua"/>
        </w:rPr>
        <w:t xml:space="preserve">At the time of the </w:t>
      </w:r>
      <w:r w:rsidR="001E3696" w:rsidRPr="00053796">
        <w:rPr>
          <w:rFonts w:ascii="Book Antiqua" w:hAnsi="Book Antiqua"/>
        </w:rPr>
        <w:t xml:space="preserve">initial </w:t>
      </w:r>
      <w:r w:rsidR="00FF1EF1" w:rsidRPr="00053796">
        <w:rPr>
          <w:rFonts w:ascii="Book Antiqua" w:hAnsi="Book Antiqua"/>
        </w:rPr>
        <w:t xml:space="preserve">lab draw, </w:t>
      </w:r>
      <w:r w:rsidR="00CA1B21" w:rsidRPr="00053796">
        <w:rPr>
          <w:rFonts w:ascii="Book Antiqua" w:hAnsi="Book Antiqua"/>
        </w:rPr>
        <w:t>2.</w:t>
      </w:r>
      <w:r w:rsidR="008B186A" w:rsidRPr="00053796">
        <w:rPr>
          <w:rFonts w:ascii="Book Antiqua" w:hAnsi="Book Antiqua"/>
        </w:rPr>
        <w:t>5</w:t>
      </w:r>
      <w:r w:rsidR="00CE747F" w:rsidRPr="00053796">
        <w:rPr>
          <w:rFonts w:ascii="Book Antiqua" w:hAnsi="Book Antiqua"/>
        </w:rPr>
        <w:t xml:space="preserve"> </w:t>
      </w:r>
      <w:r w:rsidR="008B186A" w:rsidRPr="00053796">
        <w:rPr>
          <w:rFonts w:ascii="Book Antiqua" w:hAnsi="Book Antiqua"/>
        </w:rPr>
        <w:t xml:space="preserve">cc of </w:t>
      </w:r>
      <w:r w:rsidR="00FF1EF1" w:rsidRPr="00053796">
        <w:rPr>
          <w:rFonts w:ascii="Book Antiqua" w:hAnsi="Book Antiqua"/>
        </w:rPr>
        <w:t>venous blood was also drawn into a PAX</w:t>
      </w:r>
      <w:r w:rsidR="00CE747F" w:rsidRPr="00053796">
        <w:rPr>
          <w:rFonts w:ascii="Book Antiqua" w:hAnsi="Book Antiqua"/>
        </w:rPr>
        <w:t xml:space="preserve"> </w:t>
      </w:r>
      <w:r w:rsidR="00FF1EF1" w:rsidRPr="00053796">
        <w:rPr>
          <w:rFonts w:ascii="Book Antiqua" w:hAnsi="Book Antiqua"/>
        </w:rPr>
        <w:t>gene RNA-</w:t>
      </w:r>
      <w:r w:rsidR="00FF1EF1" w:rsidRPr="00053796">
        <w:rPr>
          <w:rFonts w:ascii="Book Antiqua" w:hAnsi="Book Antiqua"/>
        </w:rPr>
        <w:lastRenderedPageBreak/>
        <w:t xml:space="preserve">stabilizing tube. </w:t>
      </w:r>
      <w:r w:rsidR="00CA1B21" w:rsidRPr="00053796">
        <w:rPr>
          <w:rFonts w:ascii="Book Antiqua" w:hAnsi="Book Antiqua"/>
        </w:rPr>
        <w:t>Blinded, d</w:t>
      </w:r>
      <w:r w:rsidR="00FF1EF1" w:rsidRPr="00053796">
        <w:rPr>
          <w:rFonts w:ascii="Book Antiqua" w:hAnsi="Book Antiqua"/>
        </w:rPr>
        <w:t xml:space="preserve">eidentified samples were sent to </w:t>
      </w:r>
      <w:proofErr w:type="spellStart"/>
      <w:r w:rsidR="00FF1EF1" w:rsidRPr="00053796">
        <w:rPr>
          <w:rFonts w:ascii="Book Antiqua" w:hAnsi="Book Antiqua"/>
        </w:rPr>
        <w:t>Inflammatix</w:t>
      </w:r>
      <w:proofErr w:type="spellEnd"/>
      <w:r w:rsidR="00FF1EF1" w:rsidRPr="00053796">
        <w:rPr>
          <w:rFonts w:ascii="Book Antiqua" w:hAnsi="Book Antiqua"/>
        </w:rPr>
        <w:t>, where the 11 mRNAs that comprise the SMS were measured using Nano</w:t>
      </w:r>
      <w:r w:rsidR="00CE747F" w:rsidRPr="00053796">
        <w:rPr>
          <w:rFonts w:ascii="Book Antiqua" w:hAnsi="Book Antiqua"/>
        </w:rPr>
        <w:t xml:space="preserve"> </w:t>
      </w:r>
      <w:r w:rsidR="00FF1EF1" w:rsidRPr="00053796">
        <w:rPr>
          <w:rFonts w:ascii="Book Antiqua" w:hAnsi="Book Antiqua"/>
        </w:rPr>
        <w:t xml:space="preserve">String </w:t>
      </w:r>
      <w:proofErr w:type="spellStart"/>
      <w:r w:rsidR="00FF1EF1" w:rsidRPr="00053796">
        <w:rPr>
          <w:rFonts w:ascii="Book Antiqua" w:hAnsi="Book Antiqua"/>
        </w:rPr>
        <w:t>nCounter</w:t>
      </w:r>
      <w:proofErr w:type="spellEnd"/>
      <w:r w:rsidR="00FF1EF1" w:rsidRPr="00053796">
        <w:rPr>
          <w:rFonts w:ascii="Book Antiqua" w:hAnsi="Book Antiqua"/>
        </w:rPr>
        <w:t>™</w:t>
      </w:r>
      <w:r w:rsidR="00CA1B21" w:rsidRPr="00053796">
        <w:rPr>
          <w:rFonts w:ascii="Book Antiqua" w:hAnsi="Book Antiqua"/>
        </w:rPr>
        <w:t>. T</w:t>
      </w:r>
      <w:r w:rsidR="00FF1EF1" w:rsidRPr="00053796">
        <w:rPr>
          <w:rFonts w:ascii="Book Antiqua" w:hAnsi="Book Antiqua"/>
        </w:rPr>
        <w:t>he SMS was calculated</w:t>
      </w:r>
      <w:r w:rsidR="00CA1B21" w:rsidRPr="00053796">
        <w:rPr>
          <w:rFonts w:ascii="Book Antiqua" w:hAnsi="Book Antiqua"/>
        </w:rPr>
        <w:t xml:space="preserve"> as previously described (difference of geometric means)</w:t>
      </w:r>
      <w:r w:rsidR="00FF1EF1" w:rsidRPr="00053796">
        <w:rPr>
          <w:rFonts w:ascii="Book Antiqua" w:hAnsi="Book Antiqua"/>
        </w:rPr>
        <w:t xml:space="preserve"> blinded to clinical results</w:t>
      </w:r>
      <w:r w:rsidR="00CE747F" w:rsidRPr="00053796">
        <w:rPr>
          <w:rFonts w:ascii="Book Antiqua" w:hAnsi="Book Antiqua"/>
          <w:vertAlign w:val="superscript"/>
        </w:rPr>
        <w:t>[16]</w:t>
      </w:r>
      <w:r w:rsidR="00FF1EF1" w:rsidRPr="00053796">
        <w:rPr>
          <w:rFonts w:ascii="Book Antiqua" w:hAnsi="Book Antiqua"/>
        </w:rPr>
        <w:t xml:space="preserve">. The SMS score was calculated at the end of </w:t>
      </w:r>
      <w:r w:rsidR="008B186A" w:rsidRPr="00053796">
        <w:rPr>
          <w:rFonts w:ascii="Book Antiqua" w:hAnsi="Book Antiqua"/>
        </w:rPr>
        <w:t xml:space="preserve">study </w:t>
      </w:r>
      <w:r w:rsidR="00FF1EF1" w:rsidRPr="00053796">
        <w:rPr>
          <w:rFonts w:ascii="Book Antiqua" w:hAnsi="Book Antiqua"/>
        </w:rPr>
        <w:t>enrollment</w:t>
      </w:r>
      <w:r w:rsidR="008B186A" w:rsidRPr="00053796">
        <w:rPr>
          <w:rFonts w:ascii="Book Antiqua" w:hAnsi="Book Antiqua"/>
        </w:rPr>
        <w:t xml:space="preserve">, so no treating physician was aware of the results during patient care </w:t>
      </w:r>
      <w:r w:rsidR="00FF1EF1" w:rsidRPr="00053796">
        <w:rPr>
          <w:rFonts w:ascii="Book Antiqua" w:hAnsi="Book Antiqua"/>
        </w:rPr>
        <w:t xml:space="preserve">and </w:t>
      </w:r>
      <w:r w:rsidR="008B186A" w:rsidRPr="00053796">
        <w:rPr>
          <w:rFonts w:ascii="Book Antiqua" w:hAnsi="Book Antiqua"/>
        </w:rPr>
        <w:t xml:space="preserve">it </w:t>
      </w:r>
      <w:r w:rsidR="00FF1EF1" w:rsidRPr="00053796">
        <w:rPr>
          <w:rFonts w:ascii="Book Antiqua" w:hAnsi="Book Antiqua"/>
        </w:rPr>
        <w:t xml:space="preserve">was not a factor in any clinical decisions. </w:t>
      </w:r>
      <w:r w:rsidR="0088797C" w:rsidRPr="00053796">
        <w:rPr>
          <w:rFonts w:ascii="Book Antiqua" w:hAnsi="Book Antiqua"/>
        </w:rPr>
        <w:t>An independent observer (BS) retrospectively reviewed the chart and patients</w:t>
      </w:r>
      <w:r w:rsidR="00FF1EF1" w:rsidRPr="00053796">
        <w:rPr>
          <w:rFonts w:ascii="Book Antiqua" w:hAnsi="Book Antiqua"/>
        </w:rPr>
        <w:t xml:space="preserve"> </w:t>
      </w:r>
      <w:r w:rsidR="0088797C" w:rsidRPr="00053796">
        <w:rPr>
          <w:rFonts w:ascii="Book Antiqua" w:hAnsi="Book Antiqua"/>
        </w:rPr>
        <w:t>were diagnosed with</w:t>
      </w:r>
      <w:r w:rsidR="00EB18F7" w:rsidRPr="00053796">
        <w:rPr>
          <w:rFonts w:ascii="Book Antiqua" w:hAnsi="Book Antiqua"/>
        </w:rPr>
        <w:t xml:space="preserve"> </w:t>
      </w:r>
      <w:r w:rsidR="001E159B" w:rsidRPr="00053796">
        <w:rPr>
          <w:rFonts w:ascii="Book Antiqua" w:hAnsi="Book Antiqua"/>
        </w:rPr>
        <w:t xml:space="preserve">septic </w:t>
      </w:r>
      <w:r w:rsidR="0088797C" w:rsidRPr="00053796">
        <w:rPr>
          <w:rFonts w:ascii="Book Antiqua" w:hAnsi="Book Antiqua"/>
        </w:rPr>
        <w:t xml:space="preserve">arthritis if they had a positive culture resulted from the synovial fluid </w:t>
      </w:r>
      <w:r w:rsidR="001E159B" w:rsidRPr="00053796">
        <w:rPr>
          <w:rFonts w:ascii="Book Antiqua" w:hAnsi="Book Antiqua"/>
        </w:rPr>
        <w:t xml:space="preserve">or </w:t>
      </w:r>
      <w:r w:rsidR="0088797C" w:rsidRPr="00053796">
        <w:rPr>
          <w:rFonts w:ascii="Book Antiqua" w:hAnsi="Book Antiqua"/>
        </w:rPr>
        <w:t xml:space="preserve">tissue sample at time of surgery. All other patients were diagnosed with </w:t>
      </w:r>
      <w:r w:rsidR="001E159B" w:rsidRPr="00053796">
        <w:rPr>
          <w:rFonts w:ascii="Book Antiqua" w:hAnsi="Book Antiqua"/>
        </w:rPr>
        <w:t>aseptic arthritis.</w:t>
      </w:r>
    </w:p>
    <w:p w14:paraId="53EEDEFB" w14:textId="3C37591F" w:rsidR="008D4A74" w:rsidRPr="00053796" w:rsidRDefault="008D4A74" w:rsidP="00053796">
      <w:pPr>
        <w:spacing w:line="360" w:lineRule="auto"/>
        <w:jc w:val="both"/>
        <w:rPr>
          <w:rFonts w:ascii="Book Antiqua" w:hAnsi="Book Antiqua"/>
          <w:b/>
        </w:rPr>
      </w:pPr>
    </w:p>
    <w:p w14:paraId="2B379D56" w14:textId="1EF29F04" w:rsidR="00837026" w:rsidRPr="00053796" w:rsidRDefault="00371158" w:rsidP="00053796">
      <w:pPr>
        <w:spacing w:line="360" w:lineRule="auto"/>
        <w:jc w:val="both"/>
        <w:rPr>
          <w:rFonts w:ascii="Book Antiqua" w:hAnsi="Book Antiqua"/>
          <w:b/>
          <w:i/>
          <w:iCs/>
        </w:rPr>
      </w:pPr>
      <w:r w:rsidRPr="00053796">
        <w:rPr>
          <w:rFonts w:ascii="Book Antiqua" w:hAnsi="Book Antiqua"/>
          <w:b/>
          <w:i/>
          <w:iCs/>
        </w:rPr>
        <w:t xml:space="preserve">Statistical </w:t>
      </w:r>
      <w:r w:rsidR="00CE747F" w:rsidRPr="00053796">
        <w:rPr>
          <w:rFonts w:ascii="Book Antiqua" w:hAnsi="Book Antiqua"/>
          <w:b/>
          <w:i/>
          <w:iCs/>
        </w:rPr>
        <w:t>analysis</w:t>
      </w:r>
    </w:p>
    <w:p w14:paraId="36EA9FBC" w14:textId="5E1A7AA8" w:rsidR="007814A4" w:rsidRPr="00053796" w:rsidRDefault="001E159B" w:rsidP="00053796">
      <w:pPr>
        <w:spacing w:line="360" w:lineRule="auto"/>
        <w:jc w:val="both"/>
        <w:rPr>
          <w:rFonts w:ascii="Book Antiqua" w:hAnsi="Book Antiqua"/>
        </w:rPr>
      </w:pPr>
      <w:r w:rsidRPr="00053796">
        <w:rPr>
          <w:rFonts w:ascii="Book Antiqua" w:hAnsi="Book Antiqua"/>
        </w:rPr>
        <w:t xml:space="preserve">The primary endpoint of the study was the </w:t>
      </w:r>
      <w:r w:rsidR="001E3236" w:rsidRPr="00053796">
        <w:rPr>
          <w:rFonts w:ascii="Book Antiqua" w:hAnsi="Book Antiqua"/>
        </w:rPr>
        <w:t>ROC curve (AUROC)</w:t>
      </w:r>
      <w:r w:rsidRPr="00053796">
        <w:rPr>
          <w:rFonts w:ascii="Book Antiqua" w:hAnsi="Book Antiqua"/>
        </w:rPr>
        <w:t xml:space="preserve"> of the SMS to determine clinically adjudicated septic joint status. Secondary endpoints were (</w:t>
      </w:r>
      <w:r w:rsidR="00DD5F67" w:rsidRPr="00053796">
        <w:rPr>
          <w:rFonts w:ascii="Book Antiqua" w:eastAsiaTheme="minorEastAsia" w:hAnsi="Book Antiqua"/>
          <w:lang w:eastAsia="zh-CN"/>
        </w:rPr>
        <w:t>1</w:t>
      </w:r>
      <w:r w:rsidRPr="00053796">
        <w:rPr>
          <w:rFonts w:ascii="Book Antiqua" w:hAnsi="Book Antiqua"/>
        </w:rPr>
        <w:t xml:space="preserve">) </w:t>
      </w:r>
      <w:r w:rsidR="00CE747F" w:rsidRPr="00053796">
        <w:rPr>
          <w:rFonts w:ascii="Book Antiqua" w:hAnsi="Book Antiqua"/>
        </w:rPr>
        <w:t xml:space="preserve">The </w:t>
      </w:r>
      <w:r w:rsidRPr="00053796">
        <w:rPr>
          <w:rFonts w:ascii="Book Antiqua" w:hAnsi="Book Antiqua"/>
        </w:rPr>
        <w:t>specificity of the SMS at the sensitivity &gt;</w:t>
      </w:r>
      <w:r w:rsidR="00CE747F" w:rsidRPr="00053796">
        <w:rPr>
          <w:rFonts w:ascii="Book Antiqua" w:hAnsi="Book Antiqua"/>
        </w:rPr>
        <w:t xml:space="preserve"> </w:t>
      </w:r>
      <w:r w:rsidRPr="00053796">
        <w:rPr>
          <w:rFonts w:ascii="Book Antiqua" w:hAnsi="Book Antiqua"/>
        </w:rPr>
        <w:t>95%, and (</w:t>
      </w:r>
      <w:r w:rsidR="00DD5F67" w:rsidRPr="00053796">
        <w:rPr>
          <w:rFonts w:ascii="Book Antiqua" w:eastAsiaTheme="minorEastAsia" w:hAnsi="Book Antiqua"/>
          <w:lang w:eastAsia="zh-CN"/>
        </w:rPr>
        <w:t>2</w:t>
      </w:r>
      <w:r w:rsidRPr="00053796">
        <w:rPr>
          <w:rFonts w:ascii="Book Antiqua" w:hAnsi="Book Antiqua"/>
        </w:rPr>
        <w:t xml:space="preserve">) </w:t>
      </w:r>
      <w:r w:rsidR="00CE747F" w:rsidRPr="00053796">
        <w:rPr>
          <w:rFonts w:ascii="Book Antiqua" w:hAnsi="Book Antiqua"/>
        </w:rPr>
        <w:t xml:space="preserve">The </w:t>
      </w:r>
      <w:r w:rsidRPr="00053796">
        <w:rPr>
          <w:rFonts w:ascii="Book Antiqua" w:hAnsi="Book Antiqua"/>
        </w:rPr>
        <w:t xml:space="preserve">AUROCs of comparator inflammatory biomarkers (serum WBC, CRP, ESR, and synovial WBCs and %PMNs). Student’s </w:t>
      </w:r>
      <w:r w:rsidRPr="00053796">
        <w:rPr>
          <w:rFonts w:ascii="Book Antiqua" w:hAnsi="Book Antiqua"/>
          <w:i/>
          <w:iCs/>
        </w:rPr>
        <w:t>t</w:t>
      </w:r>
      <w:r w:rsidR="007814A4" w:rsidRPr="00053796">
        <w:rPr>
          <w:rFonts w:ascii="Book Antiqua" w:hAnsi="Book Antiqua"/>
        </w:rPr>
        <w:t xml:space="preserve">-tests were used </w:t>
      </w:r>
      <w:r w:rsidR="008B186A" w:rsidRPr="00053796">
        <w:rPr>
          <w:rFonts w:ascii="Book Antiqua" w:hAnsi="Book Antiqua"/>
        </w:rPr>
        <w:t xml:space="preserve">to compare </w:t>
      </w:r>
      <w:r w:rsidRPr="00053796">
        <w:rPr>
          <w:rFonts w:ascii="Book Antiqua" w:hAnsi="Book Antiqua"/>
        </w:rPr>
        <w:t>continuous variables</w:t>
      </w:r>
      <w:r w:rsidR="00B90BAC" w:rsidRPr="00053796">
        <w:rPr>
          <w:rFonts w:ascii="Book Antiqua" w:hAnsi="Book Antiqua"/>
        </w:rPr>
        <w:t>. Multivariate least-squares logistic regression included only those patients with no missing variables</w:t>
      </w:r>
      <w:r w:rsidRPr="00053796">
        <w:rPr>
          <w:rFonts w:ascii="Book Antiqua" w:hAnsi="Book Antiqua"/>
        </w:rPr>
        <w:t xml:space="preserve">. Significance was set a </w:t>
      </w:r>
      <w:r w:rsidRPr="00053796">
        <w:rPr>
          <w:rFonts w:ascii="Book Antiqua" w:hAnsi="Book Antiqua"/>
          <w:i/>
          <w:iCs/>
          <w:caps/>
        </w:rPr>
        <w:t>p</w:t>
      </w:r>
      <w:r w:rsidR="00CE747F" w:rsidRPr="00053796">
        <w:rPr>
          <w:rFonts w:ascii="Book Antiqua" w:hAnsi="Book Antiqua"/>
        </w:rPr>
        <w:t xml:space="preserve"> </w:t>
      </w:r>
      <w:r w:rsidRPr="00053796">
        <w:rPr>
          <w:rFonts w:ascii="Book Antiqua" w:hAnsi="Book Antiqua"/>
        </w:rPr>
        <w:t>&lt;</w:t>
      </w:r>
      <w:r w:rsidR="00CE747F" w:rsidRPr="00053796">
        <w:rPr>
          <w:rFonts w:ascii="Book Antiqua" w:hAnsi="Book Antiqua"/>
        </w:rPr>
        <w:t xml:space="preserve"> </w:t>
      </w:r>
      <w:r w:rsidRPr="00053796">
        <w:rPr>
          <w:rFonts w:ascii="Book Antiqua" w:hAnsi="Book Antiqua"/>
        </w:rPr>
        <w:t>0.05</w:t>
      </w:r>
      <w:r w:rsidR="00B90BAC" w:rsidRPr="00053796">
        <w:rPr>
          <w:rFonts w:ascii="Book Antiqua" w:hAnsi="Book Antiqua"/>
        </w:rPr>
        <w:t xml:space="preserve">. </w:t>
      </w:r>
      <w:r w:rsidRPr="00053796">
        <w:rPr>
          <w:rFonts w:ascii="Book Antiqua" w:hAnsi="Book Antiqua"/>
        </w:rPr>
        <w:t>Calculations were conducted in R, version 3.5.1</w:t>
      </w:r>
      <w:r w:rsidR="008B186A" w:rsidRPr="00053796">
        <w:rPr>
          <w:rFonts w:ascii="Book Antiqua" w:hAnsi="Book Antiqua"/>
        </w:rPr>
        <w:t>.</w:t>
      </w:r>
    </w:p>
    <w:p w14:paraId="527517AC" w14:textId="77777777" w:rsidR="008B186A" w:rsidRPr="00053796" w:rsidRDefault="008B186A" w:rsidP="00053796">
      <w:pPr>
        <w:spacing w:line="360" w:lineRule="auto"/>
        <w:jc w:val="both"/>
        <w:rPr>
          <w:rFonts w:ascii="Book Antiqua" w:hAnsi="Book Antiqua"/>
        </w:rPr>
      </w:pPr>
    </w:p>
    <w:p w14:paraId="13A9640B" w14:textId="2870E22E" w:rsidR="007C69DD" w:rsidRPr="00053796" w:rsidRDefault="00371158" w:rsidP="00053796">
      <w:pPr>
        <w:spacing w:line="360" w:lineRule="auto"/>
        <w:jc w:val="both"/>
        <w:rPr>
          <w:rFonts w:ascii="Book Antiqua" w:hAnsi="Book Antiqua"/>
          <w:b/>
          <w:caps/>
        </w:rPr>
      </w:pPr>
      <w:r w:rsidRPr="00053796">
        <w:rPr>
          <w:rFonts w:ascii="Book Antiqua" w:hAnsi="Book Antiqua"/>
          <w:b/>
          <w:caps/>
        </w:rPr>
        <w:t>Results</w:t>
      </w:r>
    </w:p>
    <w:p w14:paraId="646FBCD5" w14:textId="1728A16E" w:rsidR="007C69DD" w:rsidRPr="00053796" w:rsidRDefault="007C69DD" w:rsidP="00053796">
      <w:pPr>
        <w:spacing w:line="360" w:lineRule="auto"/>
        <w:jc w:val="both"/>
        <w:rPr>
          <w:rFonts w:ascii="Book Antiqua" w:hAnsi="Book Antiqua"/>
        </w:rPr>
      </w:pPr>
      <w:r w:rsidRPr="00053796">
        <w:rPr>
          <w:rFonts w:ascii="Book Antiqua" w:hAnsi="Book Antiqua"/>
        </w:rPr>
        <w:t xml:space="preserve">Our cohort included 20 patients </w:t>
      </w:r>
      <w:r w:rsidR="00843704" w:rsidRPr="00053796">
        <w:rPr>
          <w:rFonts w:ascii="Book Antiqua" w:hAnsi="Book Antiqua"/>
        </w:rPr>
        <w:t>(</w:t>
      </w:r>
      <w:r w:rsidRPr="00053796">
        <w:rPr>
          <w:rFonts w:ascii="Book Antiqua" w:hAnsi="Book Antiqua"/>
        </w:rPr>
        <w:t>14 males and 6 females</w:t>
      </w:r>
      <w:r w:rsidR="00843704" w:rsidRPr="00053796">
        <w:rPr>
          <w:rFonts w:ascii="Book Antiqua" w:hAnsi="Book Antiqua"/>
        </w:rPr>
        <w:t>)</w:t>
      </w:r>
      <w:r w:rsidRPr="00053796">
        <w:rPr>
          <w:rFonts w:ascii="Book Antiqua" w:hAnsi="Book Antiqua"/>
        </w:rPr>
        <w:t>, with an average age of 54.7 years (Table 1). With respect to anatomic location there were fourteen knees, three ankles, two elbows, and one wrist. Ten samples were septic and ten were aseptic based on final c</w:t>
      </w:r>
      <w:r w:rsidR="005A1044" w:rsidRPr="00053796">
        <w:rPr>
          <w:rFonts w:ascii="Book Antiqua" w:hAnsi="Book Antiqua"/>
        </w:rPr>
        <w:t>ulture results</w:t>
      </w:r>
      <w:r w:rsidRPr="00053796">
        <w:rPr>
          <w:rFonts w:ascii="Book Antiqua" w:hAnsi="Book Antiqua"/>
        </w:rPr>
        <w:t xml:space="preserve">. Types of bacterial infections included </w:t>
      </w:r>
      <w:r w:rsidRPr="00053796">
        <w:rPr>
          <w:rFonts w:ascii="Book Antiqua" w:hAnsi="Book Antiqua"/>
          <w:i/>
        </w:rPr>
        <w:t>Staphylococcus aureus</w:t>
      </w:r>
      <w:r w:rsidRPr="00053796">
        <w:rPr>
          <w:rFonts w:ascii="Book Antiqua" w:hAnsi="Book Antiqua"/>
        </w:rPr>
        <w:t xml:space="preserve">, </w:t>
      </w:r>
      <w:r w:rsidRPr="00053796">
        <w:rPr>
          <w:rFonts w:ascii="Book Antiqua" w:hAnsi="Book Antiqua"/>
          <w:i/>
        </w:rPr>
        <w:t>Streptococcus</w:t>
      </w:r>
      <w:r w:rsidRPr="00053796">
        <w:rPr>
          <w:rFonts w:ascii="Book Antiqua" w:hAnsi="Book Antiqua"/>
        </w:rPr>
        <w:t xml:space="preserve">, </w:t>
      </w:r>
      <w:r w:rsidRPr="00053796">
        <w:rPr>
          <w:rFonts w:ascii="Book Antiqua" w:hAnsi="Book Antiqua"/>
          <w:i/>
        </w:rPr>
        <w:t>Pseudomonas aeruginosa</w:t>
      </w:r>
      <w:r w:rsidRPr="00053796">
        <w:rPr>
          <w:rFonts w:ascii="Book Antiqua" w:hAnsi="Book Antiqua"/>
        </w:rPr>
        <w:t xml:space="preserve">, </w:t>
      </w:r>
      <w:r w:rsidRPr="00053796">
        <w:rPr>
          <w:rFonts w:ascii="Book Antiqua" w:hAnsi="Book Antiqua"/>
          <w:i/>
        </w:rPr>
        <w:t>Klebsiella pneumoniae</w:t>
      </w:r>
      <w:r w:rsidRPr="00053796">
        <w:rPr>
          <w:rFonts w:ascii="Book Antiqua" w:hAnsi="Book Antiqua"/>
        </w:rPr>
        <w:t xml:space="preserve">, and </w:t>
      </w:r>
      <w:r w:rsidRPr="00053796">
        <w:rPr>
          <w:rFonts w:ascii="Book Antiqua" w:hAnsi="Book Antiqua"/>
          <w:i/>
        </w:rPr>
        <w:t>Candida</w:t>
      </w:r>
      <w:r w:rsidR="00CE747F" w:rsidRPr="00053796">
        <w:rPr>
          <w:rFonts w:ascii="Book Antiqua" w:hAnsi="Book Antiqua"/>
          <w:vertAlign w:val="superscript"/>
        </w:rPr>
        <w:t>[1,6]</w:t>
      </w:r>
      <w:r w:rsidRPr="00053796">
        <w:rPr>
          <w:rFonts w:ascii="Book Antiqua" w:hAnsi="Book Antiqua"/>
        </w:rPr>
        <w:t>. The</w:t>
      </w:r>
      <w:r w:rsidR="0032718A" w:rsidRPr="00053796">
        <w:rPr>
          <w:rFonts w:ascii="Book Antiqua" w:hAnsi="Book Antiqua"/>
        </w:rPr>
        <w:t xml:space="preserve">re were </w:t>
      </w:r>
      <w:r w:rsidR="00843704" w:rsidRPr="00053796">
        <w:rPr>
          <w:rFonts w:ascii="Book Antiqua" w:hAnsi="Book Antiqua"/>
        </w:rPr>
        <w:t>two</w:t>
      </w:r>
      <w:r w:rsidRPr="00053796">
        <w:rPr>
          <w:rFonts w:ascii="Book Antiqua" w:hAnsi="Book Antiqua"/>
        </w:rPr>
        <w:t xml:space="preserve"> cases of a concomitant gout flare with articular bacterial infection and</w:t>
      </w:r>
      <w:r w:rsidR="005A1044" w:rsidRPr="00053796">
        <w:rPr>
          <w:rFonts w:ascii="Book Antiqua" w:hAnsi="Book Antiqua"/>
        </w:rPr>
        <w:t xml:space="preserve"> one</w:t>
      </w:r>
      <w:r w:rsidRPr="00053796">
        <w:rPr>
          <w:rFonts w:ascii="Book Antiqua" w:hAnsi="Book Antiqua"/>
        </w:rPr>
        <w:t xml:space="preserve"> case of concomitant pseudogout with </w:t>
      </w:r>
      <w:r w:rsidR="005A1044" w:rsidRPr="00053796">
        <w:rPr>
          <w:rFonts w:ascii="Book Antiqua" w:hAnsi="Book Antiqua"/>
        </w:rPr>
        <w:t xml:space="preserve">articular </w:t>
      </w:r>
      <w:r w:rsidRPr="00053796">
        <w:rPr>
          <w:rFonts w:ascii="Book Antiqua" w:hAnsi="Book Antiqua"/>
        </w:rPr>
        <w:t xml:space="preserve">bacterial infection; these </w:t>
      </w:r>
      <w:r w:rsidR="001A15C2" w:rsidRPr="00053796">
        <w:rPr>
          <w:rFonts w:ascii="Book Antiqua" w:hAnsi="Book Antiqua"/>
        </w:rPr>
        <w:t>three</w:t>
      </w:r>
      <w:r w:rsidRPr="00053796">
        <w:rPr>
          <w:rFonts w:ascii="Book Antiqua" w:hAnsi="Book Antiqua"/>
        </w:rPr>
        <w:t xml:space="preserve"> cases were considered septic. There were </w:t>
      </w:r>
      <w:r w:rsidR="001A15C2" w:rsidRPr="00053796">
        <w:rPr>
          <w:rFonts w:ascii="Book Antiqua" w:hAnsi="Book Antiqua"/>
        </w:rPr>
        <w:t>four</w:t>
      </w:r>
      <w:r w:rsidRPr="00053796">
        <w:rPr>
          <w:rFonts w:ascii="Book Antiqua" w:hAnsi="Book Antiqua"/>
        </w:rPr>
        <w:t xml:space="preserve"> cases of gout that were aseptic, one had a surgical I</w:t>
      </w:r>
      <w:r w:rsidR="00CE747F" w:rsidRPr="00053796">
        <w:rPr>
          <w:rFonts w:ascii="Book Antiqua" w:hAnsi="Book Antiqua"/>
        </w:rPr>
        <w:t xml:space="preserve"> and </w:t>
      </w:r>
      <w:r w:rsidRPr="00053796">
        <w:rPr>
          <w:rFonts w:ascii="Book Antiqua" w:hAnsi="Book Antiqua"/>
        </w:rPr>
        <w:t xml:space="preserve">D due to acute concern for infection, however no aspirate or intra-operative cultures ever grew. In one septic patient the lab was unable to calculate the synovial cell counts because there was </w:t>
      </w:r>
      <w:r w:rsidRPr="00053796">
        <w:rPr>
          <w:rFonts w:ascii="Book Antiqua" w:hAnsi="Book Antiqua"/>
        </w:rPr>
        <w:lastRenderedPageBreak/>
        <w:t>not enough fluid. One patient with concomitant gout and articular bacterial infection could not have the synovial PMNs calculated because of the high level of cellular degeneration. One aseptic patient did not have serum inflammatory labs drawn. All other patients had a full set of serum and synovial labs. All patients had an SMS calculated.</w:t>
      </w:r>
    </w:p>
    <w:p w14:paraId="267066A4" w14:textId="384D046A" w:rsidR="00CE747F" w:rsidRPr="00053796" w:rsidRDefault="00CE747F" w:rsidP="00053796">
      <w:pPr>
        <w:spacing w:line="360" w:lineRule="auto"/>
        <w:ind w:firstLineChars="100" w:firstLine="240"/>
        <w:mirrorIndents/>
        <w:jc w:val="both"/>
        <w:rPr>
          <w:rFonts w:ascii="Book Antiqua" w:hAnsi="Book Antiqua"/>
        </w:rPr>
      </w:pPr>
      <w:r w:rsidRPr="00053796">
        <w:rPr>
          <w:rFonts w:ascii="Book Antiqua" w:hAnsi="Book Antiqua"/>
        </w:rPr>
        <w:t>In the aseptic group (10 patients), average serum WBC = 11.7 cells/mm</w:t>
      </w:r>
      <w:r w:rsidRPr="00053796">
        <w:rPr>
          <w:rFonts w:ascii="Book Antiqua" w:hAnsi="Book Antiqua"/>
          <w:vertAlign w:val="superscript"/>
        </w:rPr>
        <w:t>3</w:t>
      </w:r>
      <w:r w:rsidRPr="00053796">
        <w:rPr>
          <w:rFonts w:ascii="Book Antiqua" w:hAnsi="Book Antiqua"/>
        </w:rPr>
        <w:t>, ESR</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58.4 mm/</w:t>
      </w:r>
      <w:bookmarkStart w:id="26" w:name="OLE_LINK169"/>
      <w:bookmarkStart w:id="27" w:name="OLE_LINK170"/>
      <w:r w:rsidRPr="00053796">
        <w:rPr>
          <w:rFonts w:ascii="Book Antiqua" w:hAnsi="Book Antiqua"/>
        </w:rPr>
        <w:t>h</w:t>
      </w:r>
      <w:bookmarkEnd w:id="26"/>
      <w:bookmarkEnd w:id="27"/>
      <w:r w:rsidRPr="00053796">
        <w:rPr>
          <w:rFonts w:ascii="Book Antiqua" w:hAnsi="Book Antiqua"/>
        </w:rPr>
        <w:t xml:space="preserve"> and CRP</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16.1 mg/dL, and the average synovial WBC</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39881 cells/mm</w:t>
      </w:r>
      <w:r w:rsidRPr="00053796">
        <w:rPr>
          <w:rFonts w:ascii="Book Antiqua" w:hAnsi="Book Antiqua"/>
          <w:vertAlign w:val="superscript"/>
        </w:rPr>
        <w:t>3</w:t>
      </w:r>
      <w:r w:rsidRPr="00053796">
        <w:rPr>
          <w:rFonts w:ascii="Book Antiqua" w:hAnsi="Book Antiqua"/>
        </w:rPr>
        <w:t>, PMNs</w:t>
      </w:r>
      <w:r w:rsidR="001E3236" w:rsidRPr="00053796">
        <w:rPr>
          <w:rFonts w:ascii="Book Antiqua" w:hAnsi="Book Antiqua"/>
        </w:rPr>
        <w:t xml:space="preserve"> </w:t>
      </w:r>
      <w:r w:rsidRPr="00053796">
        <w:rPr>
          <w:rFonts w:ascii="Book Antiqua" w:hAnsi="Book Antiqua"/>
        </w:rPr>
        <w:t>= 84.8%</w:t>
      </w:r>
      <w:r w:rsidR="001E3236" w:rsidRPr="00053796">
        <w:rPr>
          <w:rFonts w:ascii="Book Antiqua" w:hAnsi="Book Antiqua"/>
        </w:rPr>
        <w:t xml:space="preserve"> </w:t>
      </w:r>
      <w:r w:rsidRPr="00053796">
        <w:rPr>
          <w:rFonts w:ascii="Book Antiqua" w:hAnsi="Book Antiqua"/>
        </w:rPr>
        <w:t>(Table 1). In the septic group (10 patients), the average serum WBC</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13.4 ESR</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80.4 and CRP</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19.6, and the average synovial WBC</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42800, PMNs</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 xml:space="preserve">80.6%. No significant statistical difference was found in any inflammatory labs between the septic and aseptic groups. However, there was a significant difference in the Sepsis </w:t>
      </w:r>
      <w:proofErr w:type="spellStart"/>
      <w:r w:rsidRPr="00053796">
        <w:rPr>
          <w:rFonts w:ascii="Book Antiqua" w:hAnsi="Book Antiqua"/>
        </w:rPr>
        <w:t>MetaScore</w:t>
      </w:r>
      <w:proofErr w:type="spellEnd"/>
      <w:r w:rsidRPr="00053796">
        <w:rPr>
          <w:rFonts w:ascii="Book Antiqua" w:hAnsi="Book Antiqua"/>
        </w:rPr>
        <w:t xml:space="preserve"> between groups; aseptic</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0.33, septic</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1.1 (</w:t>
      </w:r>
      <w:r w:rsidRPr="00053796">
        <w:rPr>
          <w:rFonts w:ascii="Book Antiqua" w:hAnsi="Book Antiqua"/>
          <w:i/>
          <w:iCs/>
        </w:rPr>
        <w:t>P</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0.008).</w:t>
      </w:r>
    </w:p>
    <w:p w14:paraId="411E6C22" w14:textId="42E399CE" w:rsidR="00CE747F" w:rsidRPr="00053796" w:rsidRDefault="00CE747F" w:rsidP="00053796">
      <w:pPr>
        <w:spacing w:line="360" w:lineRule="auto"/>
        <w:ind w:firstLineChars="100" w:firstLine="240"/>
        <w:jc w:val="both"/>
        <w:rPr>
          <w:rFonts w:ascii="Book Antiqua" w:hAnsi="Book Antiqua"/>
        </w:rPr>
      </w:pPr>
      <w:r w:rsidRPr="00053796">
        <w:rPr>
          <w:rFonts w:ascii="Book Antiqua" w:hAnsi="Book Antiqua"/>
        </w:rPr>
        <w:t>The SMS had an area under the AUROC of 0.87 (95%CI: 0.71-1)</w:t>
      </w:r>
      <w:r w:rsidRPr="00053796">
        <w:rPr>
          <w:rStyle w:val="CommentReference"/>
          <w:rFonts w:ascii="Book Antiqua" w:hAnsi="Book Antiqua"/>
          <w:sz w:val="24"/>
          <w:szCs w:val="24"/>
        </w:rPr>
        <w:t xml:space="preserve"> </w:t>
      </w:r>
      <w:r w:rsidRPr="00053796">
        <w:rPr>
          <w:rFonts w:ascii="Book Antiqua" w:hAnsi="Book Antiqua"/>
        </w:rPr>
        <w:t>for separating infectious from non-infectious conditions</w:t>
      </w:r>
      <w:r w:rsidR="001E3236" w:rsidRPr="00053796">
        <w:rPr>
          <w:rFonts w:ascii="Book Antiqua" w:hAnsi="Book Antiqua"/>
        </w:rPr>
        <w:t xml:space="preserve"> </w:t>
      </w:r>
      <w:r w:rsidRPr="00053796">
        <w:rPr>
          <w:rFonts w:ascii="Book Antiqua" w:hAnsi="Book Antiqua"/>
        </w:rPr>
        <w:t>(Figure 1A)</w:t>
      </w:r>
      <w:r w:rsidR="001E3236" w:rsidRPr="00053796">
        <w:rPr>
          <w:rFonts w:ascii="Book Antiqua" w:hAnsi="Book Antiqua"/>
        </w:rPr>
        <w:t>.</w:t>
      </w:r>
      <w:r w:rsidRPr="00053796">
        <w:rPr>
          <w:rFonts w:ascii="Book Antiqua" w:hAnsi="Book Antiqua"/>
        </w:rPr>
        <w:t xml:space="preserve"> Notably, this is very similar to its diagnostic accuracy in multiple other cohorts, lending credence to the stability of the metric</w:t>
      </w:r>
      <w:r w:rsidRPr="00053796">
        <w:rPr>
          <w:rFonts w:ascii="Book Antiqua" w:hAnsi="Book Antiqua"/>
          <w:vertAlign w:val="superscript"/>
        </w:rPr>
        <w:fldChar w:fldCharType="begin"/>
      </w:r>
      <w:r w:rsidRPr="00053796">
        <w:rPr>
          <w:rFonts w:ascii="Book Antiqua" w:hAnsi="Book Antiqua"/>
          <w:vertAlign w:val="superscript"/>
        </w:rPr>
        <w:instrText xml:space="preserve"> ADDIN ZOTERO_ITEM CSL_CITATION {"citationID":"8rrUj6mY","properties":{"formattedCitation":"(16\\uc0\\u8211{}18)","plainCitation":"(16–18)","noteIndex":0},"citationItems":[{"id":461,"uris":["http://zotero.org/users/4971527/items/W7LPFC9F"],"uri":["http://zotero.org/users/4971527/items/W7LPFC9F"],"itemData":{"id":461,"type":"article-journal","title":"A comprehensive time-course-based multicohort analysis of sepsis and sterile inflammation reveals a robust diagnostic gene set","container-title":"Science Translational Medicine","page":"287ra71","volume":"7","issue":"287","source":"PubMed","abstract":"Although several dozen studies of gene expression in sepsis have been published, distinguishing sepsis from a sterile systemic inflammatory response syndrome (SIRS) is still largely up to clinical suspicion. We hypothesized that a multicohort analysis of the publicly available sepsis gene expression data sets would yield a robust set of genes for distinguishing patients with sepsis from patients with sterile inflammation. A comprehensive search for gene expression data sets in sepsis identified 27 data sets matching our inclusion criteria. Five data sets (n = 663 samples) compared patients with sterile inflammation (SIRS/trauma) to time-matched patients with infections. We applied our multicohort analysis framework that uses both effect sizes and P values in a leave-one-data set-out fashion to these data sets. We identified 11 genes that were differentially expressed (false discovery rate ≤1%, inter-data set heterogeneity P &gt; 0.01, summary effect size &gt;1.5-fold) across all discovery cohorts with excellent diagnostic power [mean area under the receiver operating characteristic curve (AUC), 0.87; range, 0.7 to 0.98]. We then validated these 11 genes in 15 independent cohorts comparing (i) time-matched infected versus noninfected trauma patients (4 cohorts), (ii) ICU/trauma patients with infections over the clinical time course (3 cohorts), and (iii) healthy subjects versus sepsis patients (8 cohorts). In the discovery Glue Grant cohort, SIRS plus the 11-gene set improved prediction of infection (compared to SIRS alone) with a continuous net reclassification index of 0.90. Overall, multicohort analysis of time-matched cohorts yielded 11 genes that robustly distinguish sterile inflammation from infectious inflammation.","DOI":"10.1126/scitranslmed.aaa5993","ISSN":"1946-6242","note":"PMID: 25972003\nPMCID: PMC4734362","journalAbbreviation":"Sci Transl Med","language":"eng","author":[{"family":"Sweeney","given":"Timothy E."},{"family":"Shidham","given":"Aaditya"},{"family":"Wong","given":"Hector R."},{"family":"Khatri","given":"Purvesh"}],"issued":{"date-parts":[["2015",5,13]]}}},{"id":463,"uris":["http://zotero.org/users/4971527/items/VH257YYE"],"uri":["http://zotero.org/users/4971527/items/VH257YYE"],"itemData":{"id":463,"type":"article-journal","title":"Benchmarking Sepsis Gene Expression Diagnostics Using Public Data","container-title":"Critical Care Medicine","page":"1-10","volume":"45","issue":"1","source":"PubMed","abstract":"OBJECTIVE: In response to a need for better sepsis diagnostics, several new gene expression classifiers have been recently published, including the 11-gene \"Sepsis MetaScore,\" the \"FAIM3-to-PLAC8\" ratio, and the Septicyte Lab. We performed a systematic search for publicly available gene expression data in sepsis and tested each gene expression classifier in all included datasets. We also created a public repository of sepsis gene expression data to encourage their future reuse.\nDATA SOURCES: We searched National Institutes of Health Gene Expression Omnibus and EBI ArrayExpress for human gene expression microarray datasets. We also included the Glue Grant trauma gene expression cohorts.\nSTUDY SELECTION: We selected clinical, time-matched, whole blood studies of sepsis and acute infections as compared to healthy and/or noninfectious inflammation patients. We identified 39 datasets composed of 3,241 samples from 2,604 patients.\nDATA EXTRACTION: All data were renormalized from raw data, when available, using consistent methods.\nDATA SYNTHESIS: Mean validation areas under the receiver operating characteristic curve for discriminating septic patients from patients with noninfectious inflammation for the Sepsis MetaScore, the FAIM3-to-PLAC8 ratio, and the Septicyte Lab were 0.82 (range, 0.73-0.89), 0.78 (range, 0.49-0.96), and 0.73 (range, 0.44-0.90), respectively. Paired-sample t tests of validation datasets showed no significant differences in area under the receiver operating characteristic curves. Mean validation area under the receiver operating characteristic curves for discriminating infected patients from healthy controls for the Sepsis MetaScore, FAIM3-to-PLAC8 ratio, and Septicyte Lab were 0.97 (range, 0.85-1.0), 0.94 (range, 0.65-1.0), and 0.71 (range, 0.24-1.0), respectively. There were few significant differences in any diagnostics due to pathogen type.\nCONCLUSIONS: The three diagnostics do not show significant differences in overall ability to distinguish noninfectious systemic inflammatory response syndrome from sepsis, though the performance in some datasets was low (area under the receiver operating characteristic curve, &lt; 0.7) for the FAIM3-to-PLAC8 ratio and Septicyte Lab. The Septicyte Lab also demonstrated significantly worse performance in discriminating infections as compared to healthy controls. Overall, public gene expression data are a useful tool for benchmarking gene expression diagnostics.","DOI":"10.1097/CCM.0000000000002021","ISSN":"1530-0293","note":"PMID: 27681387\nPMCID: PMC5518756","journalAbbreviation":"Crit. Care Med.","language":"eng","author":[{"family":"Sweeney","given":"Timothy E."},{"family":"Khatri","given":"Purvesh"}],"issued":{"date-parts":[["2017",1]]}}},{"id":462,"uris":["http://zotero.org/users/4971527/items/MSMCRNJZ"],"uri":["http://zotero.org/users/4971527/items/MSMCRNJZ"],"itemData":{"id":462,"type":"article-journal","title":"Comprehensive Validation of the FAIM3:PLAC8 Ratio in Time-matched Public Gene Expression Data","container-title":"American Journal of Respiratory and Critical Care Medicine","page":"1260-1261","volume":"192","issue":"10","source":"PubMed","DOI":"10.1164/rccm.201507-1321LE","ISSN":"1535-4970","note":"PMID: 26568247\nPMCID: PMC4731623","title-short":"Comprehensive Validation of the FAIM3","journalAbbreviation":"Am. J. Respir. Crit. Care Med.","language":"eng","author":[{"family":"Sweeney","given":"Timothy E."},{"family":"Khatri","given":"Purvesh"}],"issued":{"date-parts":[["2015",11,15]]}}}],"schema":"https://github.com/citation-style-language/schema/raw/master/csl-citation.json"} </w:instrText>
      </w:r>
      <w:r w:rsidRPr="00053796">
        <w:rPr>
          <w:rFonts w:ascii="Book Antiqua" w:hAnsi="Book Antiqua"/>
          <w:vertAlign w:val="superscript"/>
        </w:rPr>
        <w:fldChar w:fldCharType="separate"/>
      </w:r>
      <w:r w:rsidR="001E3236" w:rsidRPr="00053796">
        <w:rPr>
          <w:rFonts w:ascii="Book Antiqua" w:hAnsi="Book Antiqua"/>
          <w:vertAlign w:val="superscript"/>
        </w:rPr>
        <w:t>[</w:t>
      </w:r>
      <w:r w:rsidRPr="00053796">
        <w:rPr>
          <w:rFonts w:ascii="Book Antiqua" w:hAnsi="Book Antiqua"/>
          <w:vertAlign w:val="superscript"/>
        </w:rPr>
        <w:t>16–18</w:t>
      </w:r>
      <w:r w:rsidR="001E3236" w:rsidRPr="00053796">
        <w:rPr>
          <w:rFonts w:ascii="Book Antiqua" w:hAnsi="Book Antiqua"/>
          <w:vertAlign w:val="superscript"/>
        </w:rPr>
        <w:t>]</w:t>
      </w:r>
      <w:r w:rsidRPr="00053796">
        <w:rPr>
          <w:rFonts w:ascii="Book Antiqua" w:hAnsi="Book Antiqua"/>
          <w:vertAlign w:val="superscript"/>
        </w:rPr>
        <w:fldChar w:fldCharType="end"/>
      </w:r>
      <w:r w:rsidR="001E3236" w:rsidRPr="00053796">
        <w:rPr>
          <w:rFonts w:ascii="Book Antiqua" w:hAnsi="Book Antiqua"/>
        </w:rPr>
        <w:t xml:space="preserve">. </w:t>
      </w:r>
      <w:r w:rsidRPr="00053796">
        <w:rPr>
          <w:rFonts w:ascii="Book Antiqua" w:hAnsi="Book Antiqua"/>
        </w:rPr>
        <w:t>For comparison, the AUROCs for serum ESR</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0.58 (95%CI: 0.87-0.29), CRP</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0.6 (95%CI: 0.87-0.34), and WBC</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0.59 (95%CI: 0.85-0.33), and synovial WBC</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0.54 (95%CI: 0.81-0.28) and PMN</w:t>
      </w:r>
      <w:r w:rsidR="001E3236" w:rsidRPr="00053796">
        <w:rPr>
          <w:rFonts w:ascii="Book Antiqua" w:hAnsi="Book Antiqua"/>
        </w:rPr>
        <w:t xml:space="preserve"> </w:t>
      </w:r>
      <w:r w:rsidRPr="00053796">
        <w:rPr>
          <w:rFonts w:ascii="Book Antiqua" w:hAnsi="Book Antiqua"/>
        </w:rPr>
        <w:t>=</w:t>
      </w:r>
      <w:r w:rsidR="001E3236" w:rsidRPr="00053796">
        <w:rPr>
          <w:rFonts w:ascii="Book Antiqua" w:hAnsi="Book Antiqua"/>
        </w:rPr>
        <w:t xml:space="preserve"> </w:t>
      </w:r>
      <w:r w:rsidRPr="00053796">
        <w:rPr>
          <w:rFonts w:ascii="Book Antiqua" w:hAnsi="Book Antiqua"/>
        </w:rPr>
        <w:t>0.51(95%CI: 0.79-0.24)</w:t>
      </w:r>
      <w:r w:rsidR="001E3236" w:rsidRPr="00053796">
        <w:rPr>
          <w:rFonts w:ascii="Book Antiqua" w:hAnsi="Book Antiqua"/>
        </w:rPr>
        <w:t xml:space="preserve"> </w:t>
      </w:r>
      <w:r w:rsidRPr="00053796">
        <w:rPr>
          <w:rFonts w:ascii="Book Antiqua" w:hAnsi="Book Antiqua"/>
        </w:rPr>
        <w:t>(Figure 1B-F)</w:t>
      </w:r>
      <w:r w:rsidR="001E3236" w:rsidRPr="00053796">
        <w:rPr>
          <w:rFonts w:ascii="Book Antiqua" w:hAnsi="Book Antiqua"/>
        </w:rPr>
        <w:t>.</w:t>
      </w:r>
      <w:r w:rsidRPr="00053796">
        <w:rPr>
          <w:rFonts w:ascii="Book Antiqua" w:hAnsi="Book Antiqua"/>
        </w:rPr>
        <w:t xml:space="preserve"> At 100% sensitivity for infection, the specificity of the SMS was 40%. This suggests that a substantial fraction of non-septic patients could potentially be safely ruled out for further surgical intervention.</w:t>
      </w:r>
    </w:p>
    <w:p w14:paraId="386945EB" w14:textId="038DF161" w:rsidR="001E3236" w:rsidRPr="00053796" w:rsidRDefault="001E3236" w:rsidP="00053796">
      <w:pPr>
        <w:spacing w:line="360" w:lineRule="auto"/>
        <w:ind w:firstLineChars="100" w:firstLine="240"/>
        <w:jc w:val="both"/>
        <w:rPr>
          <w:rFonts w:ascii="Book Antiqua" w:hAnsi="Book Antiqua"/>
        </w:rPr>
      </w:pPr>
      <w:r w:rsidRPr="00053796">
        <w:rPr>
          <w:rFonts w:ascii="Book Antiqua" w:hAnsi="Book Antiqua"/>
        </w:rPr>
        <w:t>In practice, the decision for surgery is not based on one specific inflammatory marker, but rather on the constellation of the clinical and laboratory presentation. To account for this we performed a multivariate logistic regression on all patients with complete laboratory data to measure whether the SMS remained an independent predictor of infection status when accounting for blood and synovial markers of inflammation (Table 2). Note six observations removed due to missingness. SMS was the only significant predictor of infection status when combined with “standard” inflammatory labs, further indicating that it may continue to hold diagnostic utility compared to several standard-of-care labs at once.</w:t>
      </w:r>
    </w:p>
    <w:p w14:paraId="6C00C749" w14:textId="2AE3F8D0" w:rsidR="001E3236" w:rsidRPr="00053796" w:rsidRDefault="001E3236" w:rsidP="00053796">
      <w:pPr>
        <w:spacing w:line="360" w:lineRule="auto"/>
        <w:ind w:firstLineChars="100" w:firstLine="240"/>
        <w:jc w:val="both"/>
        <w:rPr>
          <w:rFonts w:ascii="Book Antiqua" w:hAnsi="Book Antiqua"/>
        </w:rPr>
      </w:pPr>
      <w:r w:rsidRPr="00053796">
        <w:rPr>
          <w:rFonts w:ascii="Book Antiqua" w:hAnsi="Book Antiqua"/>
        </w:rPr>
        <w:t xml:space="preserve">Patients with septic arthritis can also have systemic infections, which can complicate the diagnosis. One patient who was admitted for a bacterial pleural effusion with positive </w:t>
      </w:r>
      <w:r w:rsidRPr="00053796">
        <w:rPr>
          <w:rFonts w:ascii="Book Antiqua" w:hAnsi="Book Antiqua"/>
        </w:rPr>
        <w:lastRenderedPageBreak/>
        <w:t>blood cultures, who also had an acute onset of knee pain (Figure 2). The patient’s knee was aseptic based on a negative aspirate culture and 15111 WBC, but the SMS was elevated. Note, because of the small sample size, a distinct cut-off has not yet been established for the SMS, but as Figure 2 indicates, SMS in the aseptic group tended to be lower (&lt; 0) and SMS is septic group tended to be higher (&gt; 1). This was ruled as a “false positive” since the joint was aseptic, though the SMS did accurately indicate that the patient had a bacterial infection. Notably, if this patient is excluded from the data, the AUROC improves to 0.90 (95%CI: 0.76–1). Additionally, two patients in the septic group received antibiotics prior to SMS draw. Both had at least 12 h of antibiotics, and not surprisingly, their SMS scores were the two lowest of the septic group (Figure 2).</w:t>
      </w:r>
    </w:p>
    <w:p w14:paraId="1F147A84" w14:textId="77777777" w:rsidR="001E3236" w:rsidRPr="00053796" w:rsidRDefault="001E3236" w:rsidP="00053796">
      <w:pPr>
        <w:spacing w:line="360" w:lineRule="auto"/>
        <w:jc w:val="both"/>
        <w:rPr>
          <w:rFonts w:ascii="Book Antiqua" w:hAnsi="Book Antiqua"/>
          <w:b/>
        </w:rPr>
      </w:pPr>
    </w:p>
    <w:p w14:paraId="7A017F10" w14:textId="7E4102C7" w:rsidR="001E3236" w:rsidRPr="00053796" w:rsidRDefault="001E3236" w:rsidP="00053796">
      <w:pPr>
        <w:spacing w:line="360" w:lineRule="auto"/>
        <w:jc w:val="both"/>
        <w:rPr>
          <w:rFonts w:ascii="Book Antiqua" w:hAnsi="Book Antiqua"/>
          <w:b/>
          <w:caps/>
        </w:rPr>
      </w:pPr>
      <w:r w:rsidRPr="00053796">
        <w:rPr>
          <w:rFonts w:ascii="Book Antiqua" w:hAnsi="Book Antiqua"/>
          <w:b/>
          <w:caps/>
        </w:rPr>
        <w:t>Discussion</w:t>
      </w:r>
    </w:p>
    <w:p w14:paraId="26747DED" w14:textId="77777777" w:rsidR="001E3236" w:rsidRPr="00053796" w:rsidRDefault="001E3236" w:rsidP="00053796">
      <w:pPr>
        <w:spacing w:line="360" w:lineRule="auto"/>
        <w:jc w:val="both"/>
        <w:rPr>
          <w:rFonts w:ascii="Book Antiqua" w:hAnsi="Book Antiqua"/>
        </w:rPr>
      </w:pPr>
      <w:r w:rsidRPr="00053796">
        <w:rPr>
          <w:rFonts w:ascii="Book Antiqua" w:hAnsi="Book Antiqua"/>
        </w:rPr>
        <w:t xml:space="preserve">Septic arthritis can be difficult to distinguish from non-infectious arthropathies at the time of presentation. In this pilot study we determined the early diagnostic validity of a novel blood test, the Sepsis </w:t>
      </w:r>
      <w:proofErr w:type="spellStart"/>
      <w:r w:rsidRPr="00053796">
        <w:rPr>
          <w:rFonts w:ascii="Book Antiqua" w:hAnsi="Book Antiqua"/>
        </w:rPr>
        <w:t>Metascore</w:t>
      </w:r>
      <w:proofErr w:type="spellEnd"/>
      <w:r w:rsidRPr="00053796">
        <w:rPr>
          <w:rFonts w:ascii="Book Antiqua" w:hAnsi="Book Antiqua"/>
        </w:rPr>
        <w:t>, for septic arthritis. Notably, the SMS had substantially higher AUROCs than standard-of-care inflammatory markers, though this did not reach significance in our small pilot study.</w:t>
      </w:r>
    </w:p>
    <w:p w14:paraId="5E0FC357" w14:textId="0649C5F5" w:rsidR="001E3236" w:rsidRPr="00053796" w:rsidRDefault="001E3236" w:rsidP="00053796">
      <w:pPr>
        <w:spacing w:line="360" w:lineRule="auto"/>
        <w:ind w:firstLineChars="100" w:firstLine="240"/>
        <w:jc w:val="both"/>
        <w:rPr>
          <w:rFonts w:ascii="Book Antiqua" w:hAnsi="Book Antiqua"/>
        </w:rPr>
      </w:pPr>
      <w:r w:rsidRPr="00053796">
        <w:rPr>
          <w:rFonts w:ascii="Book Antiqua" w:hAnsi="Book Antiqua"/>
        </w:rPr>
        <w:t>The current laboratory work-up for acute septic arthritis lacks diagnostic accuracy</w:t>
      </w:r>
      <w:r w:rsidRPr="00053796">
        <w:rPr>
          <w:rFonts w:ascii="Book Antiqua" w:hAnsi="Book Antiqua"/>
          <w:vertAlign w:val="superscript"/>
        </w:rPr>
        <w:t>[4,5]</w:t>
      </w:r>
      <w:r w:rsidRPr="00053796">
        <w:rPr>
          <w:rFonts w:ascii="Book Antiqua" w:hAnsi="Book Antiqua"/>
        </w:rPr>
        <w:t>. In our cohort, there was a trend towards lower serum WBC, ESR and CRP in the aseptic group compared to the septic group, however, this was not significantly different. The synovial PMN percentages were actually slightly lower in the septic group than the aseptic group, and both groups had synovial WBC averages lower than 50000 cells/mm</w:t>
      </w:r>
      <w:r w:rsidRPr="00053796">
        <w:rPr>
          <w:rFonts w:ascii="Book Antiqua" w:hAnsi="Book Antiqua"/>
          <w:vertAlign w:val="superscript"/>
        </w:rPr>
        <w:t>3</w:t>
      </w:r>
      <w:r w:rsidRPr="00053796">
        <w:rPr>
          <w:rFonts w:ascii="Book Antiqua" w:hAnsi="Book Antiqua"/>
        </w:rPr>
        <w:t xml:space="preserve"> which is the generally accepted cut-off for septic arthritis</w:t>
      </w:r>
      <w:r w:rsidRPr="00053796">
        <w:rPr>
          <w:rFonts w:ascii="Book Antiqua" w:hAnsi="Book Antiqua"/>
          <w:vertAlign w:val="superscript"/>
        </w:rPr>
        <w:t>[5,6,20]</w:t>
      </w:r>
      <w:r w:rsidRPr="00053796">
        <w:rPr>
          <w:rFonts w:ascii="Book Antiqua" w:hAnsi="Book Antiqua"/>
        </w:rPr>
        <w:t xml:space="preserve">. This finding could be from the abnormalities in a few of the septic patients, including immunosuppression and gouty superinfections where the lab noted high levels of cellular degeneration that compromised an accurate cell count. While a larger sample size may decrease the effect of these abnormalities on the lab averages, these cases highlight the overall limited diagnostic potential of the current laboratory work-up. With a reasonable specificity (40%) at 100% sensitivity for infection seen in this study, the SMS offers diagnostic potential as a rule-out test for acute septic arthritis in native joints. Its high sensitivity is </w:t>
      </w:r>
      <w:r w:rsidRPr="00053796">
        <w:rPr>
          <w:rFonts w:ascii="Book Antiqua" w:hAnsi="Book Antiqua"/>
        </w:rPr>
        <w:lastRenderedPageBreak/>
        <w:t xml:space="preserve">ideal for the clinical urgency associated with acute septic arthritis, where a missed diagnosis could lead to devastating, irreversible articular destruction. In such scenarios, the test would have to be available in a rapid timeframe. The SMS has been licensed to </w:t>
      </w:r>
      <w:proofErr w:type="spellStart"/>
      <w:r w:rsidRPr="00053796">
        <w:rPr>
          <w:rFonts w:ascii="Book Antiqua" w:hAnsi="Book Antiqua"/>
        </w:rPr>
        <w:t>Inflammatix</w:t>
      </w:r>
      <w:proofErr w:type="spellEnd"/>
      <w:r w:rsidRPr="00053796">
        <w:rPr>
          <w:rFonts w:ascii="Book Antiqua" w:hAnsi="Book Antiqua"/>
        </w:rPr>
        <w:t xml:space="preserve"> for commercial development as part of a point-of-care test with a 30</w:t>
      </w:r>
      <w:r w:rsidR="00D6731B">
        <w:rPr>
          <w:rFonts w:ascii="Book Antiqua" w:hAnsi="Book Antiqua"/>
        </w:rPr>
        <w:t xml:space="preserve"> </w:t>
      </w:r>
      <w:r w:rsidRPr="00053796">
        <w:rPr>
          <w:rFonts w:ascii="Book Antiqua" w:hAnsi="Book Antiqua"/>
        </w:rPr>
        <w:t>min turnaround time, which would make it a valuable additional data point for early diagnosis.</w:t>
      </w:r>
    </w:p>
    <w:p w14:paraId="1DC5BD12" w14:textId="34B00BEB" w:rsidR="001E3236" w:rsidRPr="00053796" w:rsidRDefault="001E3236" w:rsidP="00053796">
      <w:pPr>
        <w:spacing w:line="360" w:lineRule="auto"/>
        <w:ind w:firstLineChars="100" w:firstLine="240"/>
        <w:jc w:val="both"/>
        <w:rPr>
          <w:rFonts w:ascii="Book Antiqua" w:hAnsi="Book Antiqua"/>
        </w:rPr>
      </w:pPr>
      <w:r w:rsidRPr="00053796">
        <w:rPr>
          <w:rFonts w:ascii="Book Antiqua" w:hAnsi="Book Antiqua"/>
        </w:rPr>
        <w:t>The SMS has the potential to be particularly helpful in patients with inflammatory arthropathies and immunocompromise that further complicate septic arthritis diagnosis. Patients with gout can have elevated inflammatory labs and cellular degeneration in the synovial aspirate that make diagnosing a superimposed bacterial infection difficult</w:t>
      </w:r>
      <w:r w:rsidRPr="00053796">
        <w:rPr>
          <w:rFonts w:ascii="Book Antiqua" w:hAnsi="Book Antiqua"/>
          <w:vertAlign w:val="superscript"/>
        </w:rPr>
        <w:t>[3]</w:t>
      </w:r>
      <w:r w:rsidRPr="00053796">
        <w:rPr>
          <w:rFonts w:ascii="Book Antiqua" w:hAnsi="Book Antiqua"/>
        </w:rPr>
        <w:t>. In our sample, there was one patient with a history of gout who presented with acute knee pain and a synovial aspirate of 96000 WBC and 86% PMNs with few monosodium urate crystals. Despite no synovial culture results, the high inflammatory markers were concerning for a concomitant bacterial infection and the patient was taken emergently to the OR for a surgical I</w:t>
      </w:r>
      <w:r w:rsidR="0087705A" w:rsidRPr="00053796">
        <w:rPr>
          <w:rFonts w:ascii="Book Antiqua" w:hAnsi="Book Antiqua"/>
        </w:rPr>
        <w:t xml:space="preserve"> and </w:t>
      </w:r>
      <w:r w:rsidRPr="00053796">
        <w:rPr>
          <w:rFonts w:ascii="Book Antiqua" w:hAnsi="Book Antiqua"/>
        </w:rPr>
        <w:t>D and admitted to the hospital for IV antibiotics. Neither aspirate nor multiple intra-operative cultures grew any bacteria, implying the joint was aseptic. The SMS was -1.05 here. This case was a prime example of a patient who underwent a surgical procedure in the setting of an ambiguous diagnosis that could have been best treated with only medical management.</w:t>
      </w:r>
    </w:p>
    <w:p w14:paraId="45F3148F" w14:textId="0BEBC56F" w:rsidR="001E3236" w:rsidRPr="00053796" w:rsidRDefault="001E3236" w:rsidP="00053796">
      <w:pPr>
        <w:spacing w:line="360" w:lineRule="auto"/>
        <w:ind w:firstLineChars="100" w:firstLine="240"/>
        <w:jc w:val="both"/>
        <w:rPr>
          <w:rFonts w:ascii="Book Antiqua" w:hAnsi="Book Antiqua"/>
        </w:rPr>
      </w:pPr>
      <w:r w:rsidRPr="00053796">
        <w:rPr>
          <w:rFonts w:ascii="Book Antiqua" w:hAnsi="Book Antiqua"/>
        </w:rPr>
        <w:t>SMS could be similarly helpful in patients with other inflammatory arthropathies such rheumatoid arthritis. These patients have an increased risk of developing septic arthritis, especially if they are on immunomodulators, but often experience delay in clinical diagnosis because their inflammatory labs are often elevated at baseline, making it difficult to diagnose acute infection</w:t>
      </w:r>
      <w:r w:rsidR="0087705A" w:rsidRPr="00053796">
        <w:rPr>
          <w:rFonts w:ascii="Book Antiqua" w:hAnsi="Book Antiqua"/>
          <w:vertAlign w:val="superscript"/>
        </w:rPr>
        <w:t>[2</w:t>
      </w:r>
      <w:r w:rsidR="005A7333" w:rsidRPr="00053796">
        <w:rPr>
          <w:rFonts w:ascii="Book Antiqua" w:hAnsi="Book Antiqua"/>
          <w:vertAlign w:val="superscript"/>
        </w:rPr>
        <w:t>1</w:t>
      </w:r>
      <w:r w:rsidR="0087705A" w:rsidRPr="00053796">
        <w:rPr>
          <w:rFonts w:ascii="Book Antiqua" w:hAnsi="Book Antiqua"/>
          <w:vertAlign w:val="superscript"/>
        </w:rPr>
        <w:t>,2</w:t>
      </w:r>
      <w:r w:rsidR="005A7333" w:rsidRPr="00053796">
        <w:rPr>
          <w:rFonts w:ascii="Book Antiqua" w:hAnsi="Book Antiqua"/>
          <w:vertAlign w:val="superscript"/>
        </w:rPr>
        <w:t>2</w:t>
      </w:r>
      <w:r w:rsidR="0087705A" w:rsidRPr="00053796">
        <w:rPr>
          <w:rFonts w:ascii="Book Antiqua" w:hAnsi="Book Antiqua"/>
          <w:vertAlign w:val="superscript"/>
        </w:rPr>
        <w:t>]</w:t>
      </w:r>
      <w:r w:rsidRPr="00053796">
        <w:rPr>
          <w:rFonts w:ascii="Book Antiqua" w:hAnsi="Book Antiqua"/>
        </w:rPr>
        <w:t>. We had an example of this in our study with a patient with seropositive rheumatoid arthritis who presented with acute elbow pain and a synovial aspirate with 189000 WBC and 94% PMNs. Surgical I</w:t>
      </w:r>
      <w:r w:rsidR="0087705A" w:rsidRPr="00053796">
        <w:rPr>
          <w:rFonts w:ascii="Book Antiqua" w:hAnsi="Book Antiqua"/>
        </w:rPr>
        <w:t xml:space="preserve"> and </w:t>
      </w:r>
      <w:r w:rsidRPr="00053796">
        <w:rPr>
          <w:rFonts w:ascii="Book Antiqua" w:hAnsi="Book Antiqua"/>
        </w:rPr>
        <w:t xml:space="preserve">D was performed, but neither the aspirate nor intra-operative cultures were positive. The SMS was low at </w:t>
      </w:r>
      <w:r w:rsidR="0087705A" w:rsidRPr="00053796">
        <w:rPr>
          <w:rFonts w:ascii="Book Antiqua" w:hAnsi="Book Antiqua"/>
        </w:rPr>
        <w:t>-</w:t>
      </w:r>
      <w:r w:rsidRPr="00053796">
        <w:rPr>
          <w:rFonts w:ascii="Book Antiqua" w:hAnsi="Book Antiqua"/>
        </w:rPr>
        <w:t>0.52. They re-presented eight months later with a similar clinical presentation with 176000 WBC with 85% PMNs on aspiration. The patient was taken for a second I</w:t>
      </w:r>
      <w:r w:rsidR="0087705A" w:rsidRPr="00053796">
        <w:rPr>
          <w:rFonts w:ascii="Book Antiqua" w:hAnsi="Book Antiqua"/>
        </w:rPr>
        <w:t xml:space="preserve"> and </w:t>
      </w:r>
      <w:r w:rsidRPr="00053796">
        <w:rPr>
          <w:rFonts w:ascii="Book Antiqua" w:hAnsi="Book Antiqua"/>
        </w:rPr>
        <w:t xml:space="preserve">D, again with negative aspirate and intra-operative cultures. Acid fast bacilli, fungal cultures and </w:t>
      </w:r>
      <w:r w:rsidRPr="00053796">
        <w:rPr>
          <w:rFonts w:ascii="Book Antiqua" w:hAnsi="Book Antiqua"/>
        </w:rPr>
        <w:lastRenderedPageBreak/>
        <w:t>16S PCR were also negative. Ultimately our Infectious Disease colleagues diagnosed the patient with recurrent aseptic inflammatory arthritis.</w:t>
      </w:r>
    </w:p>
    <w:p w14:paraId="1968948F" w14:textId="013A6BDD" w:rsidR="001E3236" w:rsidRPr="00053796" w:rsidRDefault="001E3236" w:rsidP="00053796">
      <w:pPr>
        <w:spacing w:line="360" w:lineRule="auto"/>
        <w:ind w:firstLineChars="100" w:firstLine="240"/>
        <w:jc w:val="both"/>
        <w:rPr>
          <w:rFonts w:ascii="Book Antiqua" w:hAnsi="Book Antiqua"/>
        </w:rPr>
      </w:pPr>
      <w:r w:rsidRPr="00053796">
        <w:rPr>
          <w:rFonts w:ascii="Book Antiqua" w:hAnsi="Book Antiqua"/>
        </w:rPr>
        <w:t>Finally, the SMS could also be useful in patients with immunosuppression who have “falsely” low inflammatory markers</w:t>
      </w:r>
      <w:r w:rsidR="0087705A" w:rsidRPr="00053796">
        <w:rPr>
          <w:rFonts w:ascii="Book Antiqua" w:hAnsi="Book Antiqua"/>
          <w:vertAlign w:val="superscript"/>
        </w:rPr>
        <w:t>[6,12]</w:t>
      </w:r>
      <w:r w:rsidRPr="00053796">
        <w:rPr>
          <w:rFonts w:ascii="Book Antiqua" w:hAnsi="Book Antiqua"/>
        </w:rPr>
        <w:t>. There was one patient in the septic group on chemotherapy for leukemia who had suppressed inflammatory markers (WBC</w:t>
      </w:r>
      <w:r w:rsidR="0087705A" w:rsidRPr="00053796">
        <w:rPr>
          <w:rFonts w:ascii="Book Antiqua" w:hAnsi="Book Antiqua"/>
        </w:rPr>
        <w:t xml:space="preserve"> </w:t>
      </w:r>
      <w:r w:rsidRPr="00053796">
        <w:rPr>
          <w:rFonts w:ascii="Book Antiqua" w:hAnsi="Book Antiqua"/>
        </w:rPr>
        <w:t>=</w:t>
      </w:r>
      <w:r w:rsidR="0087705A" w:rsidRPr="00053796">
        <w:rPr>
          <w:rFonts w:ascii="Book Antiqua" w:hAnsi="Book Antiqua"/>
        </w:rPr>
        <w:t xml:space="preserve"> </w:t>
      </w:r>
      <w:r w:rsidRPr="00053796">
        <w:rPr>
          <w:rFonts w:ascii="Book Antiqua" w:hAnsi="Book Antiqua"/>
        </w:rPr>
        <w:t>0.8, ESR</w:t>
      </w:r>
      <w:r w:rsidR="0087705A" w:rsidRPr="00053796">
        <w:rPr>
          <w:rFonts w:ascii="Book Antiqua" w:hAnsi="Book Antiqua"/>
        </w:rPr>
        <w:t xml:space="preserve"> </w:t>
      </w:r>
      <w:r w:rsidRPr="00053796">
        <w:rPr>
          <w:rFonts w:ascii="Book Antiqua" w:hAnsi="Book Antiqua"/>
        </w:rPr>
        <w:t>=</w:t>
      </w:r>
      <w:r w:rsidR="0087705A" w:rsidRPr="00053796">
        <w:rPr>
          <w:rFonts w:ascii="Book Antiqua" w:hAnsi="Book Antiqua"/>
        </w:rPr>
        <w:t xml:space="preserve"> </w:t>
      </w:r>
      <w:r w:rsidRPr="00053796">
        <w:rPr>
          <w:rFonts w:ascii="Book Antiqua" w:hAnsi="Book Antiqua"/>
        </w:rPr>
        <w:t>58, CRP</w:t>
      </w:r>
      <w:r w:rsidR="0087705A" w:rsidRPr="00053796">
        <w:rPr>
          <w:rFonts w:ascii="Book Antiqua" w:hAnsi="Book Antiqua"/>
        </w:rPr>
        <w:t xml:space="preserve"> </w:t>
      </w:r>
      <w:r w:rsidRPr="00053796">
        <w:rPr>
          <w:rFonts w:ascii="Book Antiqua" w:hAnsi="Book Antiqua"/>
        </w:rPr>
        <w:t>=</w:t>
      </w:r>
      <w:r w:rsidR="0087705A" w:rsidRPr="00053796">
        <w:rPr>
          <w:rFonts w:ascii="Book Antiqua" w:hAnsi="Book Antiqua"/>
        </w:rPr>
        <w:t xml:space="preserve"> </w:t>
      </w:r>
      <w:r w:rsidRPr="00053796">
        <w:rPr>
          <w:rFonts w:ascii="Book Antiqua" w:hAnsi="Book Antiqua"/>
        </w:rPr>
        <w:t>27.5, synovial WBC</w:t>
      </w:r>
      <w:r w:rsidR="0087705A" w:rsidRPr="00053796">
        <w:rPr>
          <w:rFonts w:ascii="Book Antiqua" w:hAnsi="Book Antiqua"/>
        </w:rPr>
        <w:t xml:space="preserve"> </w:t>
      </w:r>
      <w:r w:rsidRPr="00053796">
        <w:rPr>
          <w:rFonts w:ascii="Book Antiqua" w:hAnsi="Book Antiqua"/>
        </w:rPr>
        <w:t>=</w:t>
      </w:r>
      <w:r w:rsidR="0087705A" w:rsidRPr="00053796">
        <w:rPr>
          <w:rFonts w:ascii="Book Antiqua" w:hAnsi="Book Antiqua"/>
        </w:rPr>
        <w:t xml:space="preserve"> </w:t>
      </w:r>
      <w:r w:rsidRPr="00053796">
        <w:rPr>
          <w:rFonts w:ascii="Book Antiqua" w:hAnsi="Book Antiqua"/>
        </w:rPr>
        <w:t>139, PMN</w:t>
      </w:r>
      <w:r w:rsidR="0087705A" w:rsidRPr="00053796">
        <w:rPr>
          <w:rFonts w:ascii="Book Antiqua" w:hAnsi="Book Antiqua"/>
        </w:rPr>
        <w:t xml:space="preserve"> </w:t>
      </w:r>
      <w:r w:rsidRPr="00053796">
        <w:rPr>
          <w:rFonts w:ascii="Book Antiqua" w:hAnsi="Book Antiqua"/>
        </w:rPr>
        <w:t>=</w:t>
      </w:r>
      <w:r w:rsidR="0087705A" w:rsidRPr="00053796">
        <w:rPr>
          <w:rFonts w:ascii="Book Antiqua" w:hAnsi="Book Antiqua"/>
        </w:rPr>
        <w:t xml:space="preserve"> </w:t>
      </w:r>
      <w:r w:rsidRPr="00053796">
        <w:rPr>
          <w:rFonts w:ascii="Book Antiqua" w:hAnsi="Book Antiqua"/>
        </w:rPr>
        <w:t xml:space="preserve">9%) despite a positive aspirate culture that grew </w:t>
      </w:r>
      <w:r w:rsidRPr="00053796">
        <w:rPr>
          <w:rFonts w:ascii="Book Antiqua" w:hAnsi="Book Antiqua"/>
          <w:i/>
        </w:rPr>
        <w:t>Klebsiella</w:t>
      </w:r>
      <w:r w:rsidRPr="00053796">
        <w:rPr>
          <w:rFonts w:ascii="Book Antiqua" w:hAnsi="Book Antiqua"/>
        </w:rPr>
        <w:t>. Despite the low inflammatory labs, the SMS was correctly elevated at 1.28, showing its potential as a valuable tool in these special circumstances to prevent missed septic arthritis in patients with a compromised inflammatory response.</w:t>
      </w:r>
    </w:p>
    <w:p w14:paraId="5C17E6EC" w14:textId="0347C39B" w:rsidR="001E3236" w:rsidRPr="00053796" w:rsidRDefault="001E3236" w:rsidP="00053796">
      <w:pPr>
        <w:spacing w:line="360" w:lineRule="auto"/>
        <w:ind w:firstLineChars="100" w:firstLine="240"/>
        <w:jc w:val="both"/>
        <w:rPr>
          <w:rFonts w:ascii="Book Antiqua" w:hAnsi="Book Antiqua"/>
        </w:rPr>
      </w:pPr>
      <w:r w:rsidRPr="00053796">
        <w:rPr>
          <w:rFonts w:ascii="Book Antiqua" w:hAnsi="Book Antiqua"/>
        </w:rPr>
        <w:t>Although our pilot study focused on adult patients, the SMS also has potential utility in pediatric and adolescent septic arthritis. The common clinical presentation of transient synovitis of the hip, which is thought to be triggered by a systemic viral infection</w:t>
      </w:r>
      <w:r w:rsidR="0087705A" w:rsidRPr="00053796">
        <w:rPr>
          <w:rFonts w:ascii="Book Antiqua" w:hAnsi="Book Antiqua"/>
          <w:vertAlign w:val="superscript"/>
        </w:rPr>
        <w:t>[23,24]</w:t>
      </w:r>
      <w:r w:rsidR="0087705A" w:rsidRPr="00053796">
        <w:rPr>
          <w:rFonts w:ascii="Book Antiqua" w:hAnsi="Book Antiqua"/>
        </w:rPr>
        <w:t xml:space="preserve">, </w:t>
      </w:r>
      <w:r w:rsidRPr="00053796">
        <w:rPr>
          <w:rFonts w:ascii="Book Antiqua" w:hAnsi="Book Antiqua"/>
        </w:rPr>
        <w:t xml:space="preserve">presents similarly to septic arthritis. Additionally, pediatric patients have a high incidence of </w:t>
      </w:r>
      <w:r w:rsidR="0087705A" w:rsidRPr="00053796">
        <w:rPr>
          <w:rFonts w:ascii="Book Antiqua" w:hAnsi="Book Antiqua"/>
        </w:rPr>
        <w:t>“</w:t>
      </w:r>
      <w:r w:rsidRPr="00053796">
        <w:rPr>
          <w:rFonts w:ascii="Book Antiqua" w:hAnsi="Book Antiqua"/>
        </w:rPr>
        <w:t>culture negative</w:t>
      </w:r>
      <w:r w:rsidR="0087705A" w:rsidRPr="00053796">
        <w:rPr>
          <w:rFonts w:ascii="Book Antiqua" w:hAnsi="Book Antiqua"/>
        </w:rPr>
        <w:t>”</w:t>
      </w:r>
      <w:r w:rsidRPr="00053796">
        <w:rPr>
          <w:rFonts w:ascii="Book Antiqua" w:hAnsi="Book Antiqua"/>
        </w:rPr>
        <w:t xml:space="preserve"> septic arthritis which makes diagnosis difficult</w:t>
      </w:r>
      <w:r w:rsidR="0087705A" w:rsidRPr="00053796">
        <w:rPr>
          <w:rFonts w:ascii="Book Antiqua" w:hAnsi="Book Antiqua"/>
          <w:vertAlign w:val="superscript"/>
        </w:rPr>
        <w:t>[25]</w:t>
      </w:r>
      <w:r w:rsidRPr="00053796">
        <w:rPr>
          <w:rFonts w:ascii="Book Antiqua" w:hAnsi="Book Antiqua"/>
        </w:rPr>
        <w:t>.</w:t>
      </w:r>
      <w:r w:rsidRPr="00053796">
        <w:rPr>
          <w:rFonts w:ascii="Book Antiqua" w:hAnsi="Book Antiqua"/>
        </w:rPr>
        <w:fldChar w:fldCharType="begin"/>
      </w:r>
      <w:r w:rsidRPr="00053796">
        <w:rPr>
          <w:rFonts w:ascii="Book Antiqua" w:hAnsi="Book Antiqua"/>
        </w:rPr>
        <w:instrText xml:space="preserve"> ADDIN ZOTERO_ITEM CSL_CITATION {"citationID":"iR8cdtuR","properties":{"formattedCitation":"(25)","plainCitation":"(25)","noteIndex":0},"citationItems":[{"id":317,"uris":["http://zotero.org/users/4971527/items/6FPFG6YB"],"uri":["http://zotero.org/users/4971527/items/6FPFG6YB"],"itemData":{"id":317,"type":"article-journal","title":"Clinical Features and Outcomes of Children with Culture-Negative Septic Arthritis","container-title":"Journal of the Pediatric Infectious Diseases Society","source":"PubMed","abstract":"Background: Septic arthritis is a serious infection, but the results of blood and joint fluid cultures are often negative in children. We describe here the clinical features and management of culture-negative septic arthritis in children at our hospital and their outcomes.\nMethods: We performed a retrospective review of a cohort of children with septic arthritis who were hospitalized at Children's Hospital of Philadelphia between January 2002 and December 2014. Culture-negative septic arthritis was defined as a joint white blood cell count of &gt;50000/μL with associated symptoms, a clinical diagnosis of septic arthritis, and a negative culture result. Children with pretreatment, an intensive case unit admission, Lyme arthritis, immunodeficiency, or surgical hardware were excluded. Treatment failure included a change in antibiotics, surgery, and/or reevaluation because of a lack of improvement/worsening.\nResults: We identified 157 children with septic arthritis. The patients with concurrent osteomyelitis (n = 28) had higher inflammatory marker levels at presentation, had a longer duration of symptoms (median, 4.5 vs 3 days, respectively; P &lt; .001), and more often had bacteremia (46.4% vs 6.2%, respectively; P &lt; .001). Among children with septic arthritis without associated osteomyelitis, 69% (89 of 129) had negative culture results. These children had lower C-reactive protein levels (median, 4.0 vs 7.3 mg/dL, respectively; P = .001) and erythrocyte sedimentation rates (median, 39 vs 51 mm/hour, respectively; P = .01) at admission and less often had foot/ankle involvement (P = .02). Among the children with culture-negative septic arthritis, the inpatient treatment failure rate was 9.1%, and treatment failure was more common in boys than in girls (17.1% vs 3.8%, respectively; P = .03). We found no association between treatment failure and empiric antibiotics or patient age. No outpatient treatment failures occurred during the 6-month follow-up period, although 17% of the children discharged with a peripherally inserted central catheter line experienced complications, including 3 with bacteremia.\nConclusions: The majority of septic arthritis infections at our institution were culture negative. Among patients with culture-negative infection, empiric antibiotics failed for 9% and necessitated a change in therapy. More sensitive diagnostic testing should be implemented to elucidate the causes of culture-negative septic arthritis in children.","DOI":"10.1093/jpids/piy034","ISSN":"2048-7207","note":"PMID: 29718310","journalAbbreviation":"J Pediatric Infect Dis Soc","language":"eng","author":[{"family":"Spyridakis","given":"Evangelos"},{"family":"Gerber","given":"Jeffrey S."},{"family":"Schriver","given":"Emily"},{"family":"Grundmeier","given":"Robert W."},{"family":"Porsch","given":"Eric A."},{"family":"St Geme","given":"Joseph W."},{"family":"Downes","given":"Kevin J."}],"issued":{"date-parts":[["2018",4,30]]}}}],"schema":"https://github.com/citation-style-language/schema/raw/master/csl-citation.json"} </w:instrText>
      </w:r>
      <w:r w:rsidRPr="00053796">
        <w:rPr>
          <w:rFonts w:ascii="Book Antiqua" w:hAnsi="Book Antiqua"/>
        </w:rPr>
        <w:fldChar w:fldCharType="end"/>
      </w:r>
      <w:r w:rsidR="0087705A" w:rsidRPr="00053796">
        <w:rPr>
          <w:rFonts w:ascii="Book Antiqua" w:hAnsi="Book Antiqua"/>
        </w:rPr>
        <w:t xml:space="preserve"> </w:t>
      </w:r>
      <w:r w:rsidRPr="00053796">
        <w:rPr>
          <w:rFonts w:ascii="Book Antiqua" w:hAnsi="Book Antiqua"/>
        </w:rPr>
        <w:t>Given the technical skill and advanced imaging needed to obtain a diagnostic hip aspiration, there would be tremendous benefit if the SMS proved to be an effective rule-out test in this population. Periprosthetic joint infection diagnosis is another area of potential application</w:t>
      </w:r>
      <w:r w:rsidR="0087705A" w:rsidRPr="00053796">
        <w:rPr>
          <w:rFonts w:ascii="Book Antiqua" w:hAnsi="Book Antiqua"/>
          <w:vertAlign w:val="superscript"/>
        </w:rPr>
        <w:t>[26,27]</w:t>
      </w:r>
      <w:r w:rsidRPr="00053796">
        <w:rPr>
          <w:rFonts w:ascii="Book Antiqua" w:hAnsi="Book Antiqua"/>
        </w:rPr>
        <w:t xml:space="preserve">. Although </w:t>
      </w:r>
      <w:r w:rsidR="005A7333" w:rsidRPr="00053796">
        <w:rPr>
          <w:rFonts w:ascii="Book Antiqua" w:hAnsi="Book Antiqua"/>
        </w:rPr>
        <w:t xml:space="preserve">this </w:t>
      </w:r>
      <w:r w:rsidRPr="00053796">
        <w:rPr>
          <w:rFonts w:ascii="Book Antiqua" w:hAnsi="Book Antiqua"/>
        </w:rPr>
        <w:t>case do</w:t>
      </w:r>
      <w:r w:rsidR="00D6731B">
        <w:rPr>
          <w:rFonts w:ascii="Book Antiqua" w:hAnsi="Book Antiqua"/>
        </w:rPr>
        <w:t>es</w:t>
      </w:r>
      <w:r w:rsidRPr="00053796">
        <w:rPr>
          <w:rFonts w:ascii="Book Antiqua" w:hAnsi="Book Antiqua"/>
        </w:rPr>
        <w:t xml:space="preserve"> not always require the same urgency that septic native joints require the SMS could potentially add another data point to suggest infection in equivocal cases prior to surgical intervention.</w:t>
      </w:r>
    </w:p>
    <w:p w14:paraId="1C02D5AF" w14:textId="42DE7ABD" w:rsidR="001E3236" w:rsidRPr="00053796" w:rsidRDefault="001E3236" w:rsidP="00053796">
      <w:pPr>
        <w:spacing w:line="360" w:lineRule="auto"/>
        <w:ind w:firstLineChars="100" w:firstLine="240"/>
        <w:jc w:val="both"/>
        <w:rPr>
          <w:rFonts w:ascii="Book Antiqua" w:hAnsi="Book Antiqua"/>
        </w:rPr>
      </w:pPr>
      <w:r w:rsidRPr="00053796">
        <w:rPr>
          <w:rFonts w:ascii="Book Antiqua" w:hAnsi="Book Antiqua"/>
        </w:rPr>
        <w:t xml:space="preserve">One limitation of this pilot study is its small sample size. A larger sample size, in a rigorously validated, properly statistically powered cohort of patients is necessary to confirm the diagnostic accuracy of the SMS. Another limitation of the study was the timing of SMS lab draw. While our protocol indicated lab draw at the same time as the initial inflammatory lab sample, this was not always possible, and sometimes occurred hours later. Still, we expect the SMS score to decrease with the administration of antibiotics and/or surgical debridement, so the fact that it was still accurate in predicting infection in these patients supports the validity of the test. More generally, a limitation of the SMS is the inability to distinguish systemic </w:t>
      </w:r>
      <w:r w:rsidRPr="00053796">
        <w:rPr>
          <w:rFonts w:ascii="Book Antiqua" w:hAnsi="Book Antiqua"/>
          <w:i/>
          <w:iCs/>
        </w:rPr>
        <w:t>vs</w:t>
      </w:r>
      <w:r w:rsidRPr="00053796">
        <w:rPr>
          <w:rFonts w:ascii="Book Antiqua" w:hAnsi="Book Antiqua"/>
        </w:rPr>
        <w:t xml:space="preserve"> isolated articular infections. One patient with a bacterial pleural effusion had an aseptic aspirate of their knee. The SMS was </w:t>
      </w:r>
      <w:r w:rsidRPr="00053796">
        <w:rPr>
          <w:rFonts w:ascii="Book Antiqua" w:hAnsi="Book Antiqua"/>
        </w:rPr>
        <w:lastRenderedPageBreak/>
        <w:t xml:space="preserve">elevated, correctly identifying the systemic bacterial infection, but in our data was ruled as a </w:t>
      </w:r>
      <w:r w:rsidR="0087705A" w:rsidRPr="00053796">
        <w:rPr>
          <w:rFonts w:ascii="Book Antiqua" w:hAnsi="Book Antiqua"/>
        </w:rPr>
        <w:t>“</w:t>
      </w:r>
      <w:r w:rsidRPr="00053796">
        <w:rPr>
          <w:rFonts w:ascii="Book Antiqua" w:hAnsi="Book Antiqua"/>
        </w:rPr>
        <w:t>false positive</w:t>
      </w:r>
      <w:r w:rsidR="0087705A" w:rsidRPr="00053796">
        <w:rPr>
          <w:rFonts w:ascii="Book Antiqua" w:hAnsi="Book Antiqua"/>
        </w:rPr>
        <w:t>”</w:t>
      </w:r>
      <w:r w:rsidRPr="00053796">
        <w:rPr>
          <w:rFonts w:ascii="Book Antiqua" w:hAnsi="Book Antiqua"/>
        </w:rPr>
        <w:t xml:space="preserve"> since the joint was aseptic (Figure 2)</w:t>
      </w:r>
      <w:r w:rsidR="0087705A" w:rsidRPr="00053796">
        <w:rPr>
          <w:rFonts w:ascii="Book Antiqua" w:hAnsi="Book Antiqua"/>
        </w:rPr>
        <w:t>.</w:t>
      </w:r>
      <w:r w:rsidRPr="00053796">
        <w:rPr>
          <w:rFonts w:ascii="Book Antiqua" w:hAnsi="Book Antiqua"/>
        </w:rPr>
        <w:t xml:space="preserve"> With this in mind, the use of SMS to diagnose septic arthritis in patients with concomitant acute infections may be limited. Finally, a limitation in our data analysis is the reliance on synovial and intra-operative cultures to definitively diagnosing septic arthritis. While this is the current gold-standard diagnostic, it is not 100% sensitive, and can be influenced by administration of antibiotics prior to aspiration</w:t>
      </w:r>
      <w:r w:rsidR="0087705A" w:rsidRPr="00053796">
        <w:rPr>
          <w:rFonts w:ascii="Book Antiqua" w:hAnsi="Book Antiqua"/>
          <w:vertAlign w:val="superscript"/>
        </w:rPr>
        <w:t>[28-30]</w:t>
      </w:r>
      <w:r w:rsidR="0087705A" w:rsidRPr="00053796">
        <w:rPr>
          <w:rFonts w:ascii="Book Antiqua" w:hAnsi="Book Antiqua"/>
        </w:rPr>
        <w:t>.</w:t>
      </w:r>
      <w:r w:rsidRPr="00053796">
        <w:rPr>
          <w:rFonts w:ascii="Book Antiqua" w:hAnsi="Book Antiqua"/>
        </w:rPr>
        <w:t xml:space="preserve"> Additionally, clinical diagnosis of septic arthritis is not based on one or two lab values, but rather a clinical gestalt factoring in clinical exam, weight bearing status, prior antibiotic use, past medical history and presentation. While the regression model does allow us to compare a combination of lab values to the SMS, further study into the entire patient picture is warranted. Additionally, comparison to newer infection diagnostics such as pro-calcitonin and PCR analysis is warranted</w:t>
      </w:r>
      <w:r w:rsidR="0087705A" w:rsidRPr="00053796">
        <w:rPr>
          <w:rFonts w:ascii="Book Antiqua" w:hAnsi="Book Antiqua"/>
          <w:vertAlign w:val="superscript"/>
        </w:rPr>
        <w:t>[14,31]</w:t>
      </w:r>
      <w:r w:rsidR="0087705A" w:rsidRPr="00053796">
        <w:rPr>
          <w:rFonts w:ascii="Book Antiqua" w:hAnsi="Book Antiqua"/>
        </w:rPr>
        <w:t>.</w:t>
      </w:r>
    </w:p>
    <w:p w14:paraId="33CC6E45" w14:textId="30EAAF0A" w:rsidR="001E3236" w:rsidRPr="00053796" w:rsidRDefault="001E3236" w:rsidP="00053796">
      <w:pPr>
        <w:pStyle w:val="Bibliography"/>
        <w:spacing w:after="0" w:line="360" w:lineRule="auto"/>
        <w:ind w:left="0" w:firstLineChars="100" w:firstLine="240"/>
        <w:mirrorIndents/>
        <w:jc w:val="both"/>
        <w:rPr>
          <w:rFonts w:ascii="Book Antiqua" w:hAnsi="Book Antiqua" w:cs="Times New Roman"/>
        </w:rPr>
      </w:pPr>
      <w:r w:rsidRPr="00053796">
        <w:rPr>
          <w:rFonts w:ascii="Book Antiqua" w:hAnsi="Book Antiqua" w:cs="Times New Roman"/>
        </w:rPr>
        <w:t>The literature is scarce regarding the incidence of patients who undergo emergent I</w:t>
      </w:r>
      <w:r w:rsidR="0087705A" w:rsidRPr="00053796">
        <w:rPr>
          <w:rFonts w:ascii="Book Antiqua" w:hAnsi="Book Antiqua" w:cs="Times New Roman"/>
        </w:rPr>
        <w:t xml:space="preserve"> and </w:t>
      </w:r>
      <w:r w:rsidRPr="00053796">
        <w:rPr>
          <w:rFonts w:ascii="Book Antiqua" w:hAnsi="Book Antiqua" w:cs="Times New Roman"/>
        </w:rPr>
        <w:t>D for presumed septic arthritis that is ultimately deemed to be non-infected, but anecdotally at our institution this could be as high as 15</w:t>
      </w:r>
      <w:r w:rsidR="0087705A" w:rsidRPr="00053796">
        <w:rPr>
          <w:rFonts w:ascii="Book Antiqua" w:hAnsi="Book Antiqua" w:cs="Times New Roman"/>
        </w:rPr>
        <w:t>%</w:t>
      </w:r>
      <w:r w:rsidRPr="00053796">
        <w:rPr>
          <w:rFonts w:ascii="Book Antiqua" w:hAnsi="Book Antiqua" w:cs="Times New Roman"/>
        </w:rPr>
        <w:t>-20% of patients who undergo urgent I</w:t>
      </w:r>
      <w:r w:rsidR="0087705A" w:rsidRPr="00053796">
        <w:rPr>
          <w:rFonts w:ascii="Book Antiqua" w:hAnsi="Book Antiqua" w:cs="Times New Roman"/>
        </w:rPr>
        <w:t xml:space="preserve"> and </w:t>
      </w:r>
      <w:r w:rsidRPr="00053796">
        <w:rPr>
          <w:rFonts w:ascii="Book Antiqua" w:hAnsi="Book Antiqua" w:cs="Times New Roman"/>
        </w:rPr>
        <w:t>D. This highlights the importance of a fast, reliable and less invasive rule-out diagnostic test to give clinicians confidence to choose not to intervene, sparing substantial costs, unnecessary surgery and patient morbidity.</w:t>
      </w:r>
    </w:p>
    <w:p w14:paraId="34E82511" w14:textId="10739BD8" w:rsidR="0087705A" w:rsidRPr="00053796" w:rsidRDefault="001E3236" w:rsidP="00D6731B">
      <w:pPr>
        <w:pStyle w:val="NormalWeb"/>
        <w:shd w:val="clear" w:color="auto" w:fill="FFFFFF"/>
        <w:spacing w:before="0" w:beforeAutospacing="0" w:after="0" w:afterAutospacing="0" w:line="360" w:lineRule="auto"/>
        <w:ind w:firstLineChars="100" w:firstLine="240"/>
        <w:mirrorIndents/>
        <w:jc w:val="both"/>
        <w:rPr>
          <w:rFonts w:ascii="Book Antiqua" w:hAnsi="Book Antiqua"/>
        </w:rPr>
      </w:pPr>
      <w:r w:rsidRPr="00053796">
        <w:rPr>
          <w:rFonts w:ascii="Book Antiqua" w:hAnsi="Book Antiqua"/>
        </w:rPr>
        <w:t>Novel diagnostic tests are needed to quickly and accurately diagnose acute septic arthritis in native joints. In this pilot study, the SMS showed a high level of diagnostic accuracy in predicting septic joints compared to other diagnostic biomarkers. A large, prospective validation study is warranted to better establish the diagnostic accuracy and predictive values of the SMS. When confirmed in larger cohorts and available as a rapid blood test, the SMS could be an important tool for early, accurate diagnosis of acute septic joints and evaluation of need for urgent surgery. Future research should also expand to in investigate infection in non-unions, periprosthetic joints, infected hardware or grafts, transient synovitis, and others.</w:t>
      </w:r>
    </w:p>
    <w:p w14:paraId="08825EE4" w14:textId="788F87FD" w:rsidR="0087705A" w:rsidRPr="00053796" w:rsidRDefault="0087705A" w:rsidP="00053796">
      <w:pPr>
        <w:pStyle w:val="NormalWeb"/>
        <w:shd w:val="clear" w:color="auto" w:fill="FFFFFF"/>
        <w:spacing w:before="0" w:beforeAutospacing="0" w:after="0" w:afterAutospacing="0" w:line="360" w:lineRule="auto"/>
        <w:mirrorIndents/>
        <w:jc w:val="both"/>
        <w:rPr>
          <w:rFonts w:ascii="Book Antiqua" w:hAnsi="Book Antiqua"/>
        </w:rPr>
      </w:pPr>
    </w:p>
    <w:p w14:paraId="18611CD0" w14:textId="5ED50012" w:rsidR="00DD5F67" w:rsidRPr="00053796" w:rsidRDefault="00DD5F67" w:rsidP="00053796">
      <w:pPr>
        <w:pStyle w:val="NormalWeb"/>
        <w:shd w:val="clear" w:color="auto" w:fill="FFFFFF"/>
        <w:spacing w:before="0" w:beforeAutospacing="0" w:after="0" w:afterAutospacing="0" w:line="360" w:lineRule="auto"/>
        <w:mirrorIndents/>
        <w:jc w:val="both"/>
        <w:rPr>
          <w:rFonts w:ascii="Book Antiqua" w:hAnsi="Book Antiqua"/>
          <w:b/>
          <w:bCs/>
        </w:rPr>
      </w:pPr>
      <w:r w:rsidRPr="00053796">
        <w:rPr>
          <w:rFonts w:ascii="Book Antiqua" w:hAnsi="Book Antiqua"/>
          <w:b/>
          <w:bCs/>
        </w:rPr>
        <w:t>ARTICLE HIGHLIGHTS</w:t>
      </w:r>
    </w:p>
    <w:p w14:paraId="3560F2F1" w14:textId="28654702" w:rsidR="00DD5F67" w:rsidRPr="00053796" w:rsidRDefault="00DD5F67" w:rsidP="00053796">
      <w:pPr>
        <w:pStyle w:val="NormalWeb"/>
        <w:shd w:val="clear" w:color="auto" w:fill="FFFFFF"/>
        <w:tabs>
          <w:tab w:val="center" w:pos="4680"/>
        </w:tabs>
        <w:spacing w:before="0" w:beforeAutospacing="0" w:after="0" w:afterAutospacing="0" w:line="360" w:lineRule="auto"/>
        <w:mirrorIndents/>
        <w:jc w:val="both"/>
        <w:rPr>
          <w:rFonts w:ascii="Book Antiqua" w:hAnsi="Book Antiqua"/>
          <w:b/>
          <w:bCs/>
          <w:i/>
          <w:iCs/>
        </w:rPr>
      </w:pPr>
      <w:r w:rsidRPr="00053796">
        <w:rPr>
          <w:rFonts w:ascii="Book Antiqua" w:hAnsi="Book Antiqua"/>
          <w:b/>
          <w:bCs/>
          <w:i/>
          <w:iCs/>
        </w:rPr>
        <w:lastRenderedPageBreak/>
        <w:t>Research background</w:t>
      </w:r>
    </w:p>
    <w:p w14:paraId="4C1DFF8E" w14:textId="12C89FDC" w:rsidR="00FA1247" w:rsidRPr="00053796" w:rsidRDefault="00CC5E78" w:rsidP="00053796">
      <w:pPr>
        <w:snapToGrid w:val="0"/>
        <w:spacing w:line="360" w:lineRule="auto"/>
        <w:jc w:val="both"/>
        <w:rPr>
          <w:rFonts w:ascii="Book Antiqua" w:eastAsiaTheme="minorEastAsia" w:hAnsi="Book Antiqua"/>
        </w:rPr>
      </w:pPr>
      <w:bookmarkStart w:id="28" w:name="OLE_LINK151"/>
      <w:bookmarkStart w:id="29" w:name="OLE_LINK259"/>
      <w:bookmarkStart w:id="30" w:name="OLE_LINK158"/>
      <w:bookmarkStart w:id="31" w:name="OLE_LINK159"/>
      <w:bookmarkStart w:id="32" w:name="OLE_LINK205"/>
      <w:bookmarkStart w:id="33" w:name="OLE_LINK206"/>
      <w:bookmarkStart w:id="34" w:name="OLE_LINK244"/>
      <w:bookmarkStart w:id="35" w:name="OLE_LINK245"/>
      <w:bookmarkStart w:id="36" w:name="OLE_LINK332"/>
      <w:bookmarkStart w:id="37" w:name="OLE_LINK521"/>
      <w:r w:rsidRPr="00053796">
        <w:rPr>
          <w:rFonts w:ascii="Book Antiqua" w:eastAsiaTheme="minorEastAsia" w:hAnsi="Book Antiqua"/>
        </w:rPr>
        <w:t xml:space="preserve">Septic arthritis in native joints is an orthopedic emergency, requiting urgent surgical intervention. </w:t>
      </w:r>
      <w:r w:rsidR="00E54A99" w:rsidRPr="00053796">
        <w:rPr>
          <w:rFonts w:ascii="Book Antiqua" w:eastAsiaTheme="minorEastAsia" w:hAnsi="Book Antiqua"/>
        </w:rPr>
        <w:t xml:space="preserve">It can present similarly to non-septic arthritis such as grout, transient synovitis or inflammatory arthritis. Non-septic arthritis can be managed medically, so accurate diagnosis is important. </w:t>
      </w:r>
      <w:r w:rsidRPr="00053796">
        <w:rPr>
          <w:rFonts w:ascii="Book Antiqua" w:eastAsiaTheme="minorEastAsia" w:hAnsi="Book Antiqua"/>
        </w:rPr>
        <w:t xml:space="preserve">Currently, </w:t>
      </w:r>
      <w:r w:rsidR="00E54A99" w:rsidRPr="00053796">
        <w:rPr>
          <w:rFonts w:ascii="Book Antiqua" w:eastAsiaTheme="minorEastAsia" w:hAnsi="Book Antiqua"/>
        </w:rPr>
        <w:t>diagnosis is based on a combination of clinic exam and serum and synovial biomarkers which do not reliability differentiate infection from non-infective inflammation. T</w:t>
      </w:r>
      <w:r w:rsidRPr="00053796">
        <w:rPr>
          <w:rFonts w:ascii="Book Antiqua" w:eastAsiaTheme="minorEastAsia" w:hAnsi="Book Antiqua"/>
        </w:rPr>
        <w:t>he gold standard of diagnosis is intra-articular aspiration</w:t>
      </w:r>
      <w:r w:rsidR="00E54A99" w:rsidRPr="00053796">
        <w:rPr>
          <w:rFonts w:ascii="Book Antiqua" w:eastAsiaTheme="minorEastAsia" w:hAnsi="Book Antiqua"/>
        </w:rPr>
        <w:t xml:space="preserve"> cultures</w:t>
      </w:r>
      <w:r w:rsidRPr="00053796">
        <w:rPr>
          <w:rFonts w:ascii="Book Antiqua" w:eastAsiaTheme="minorEastAsia" w:hAnsi="Book Antiqua"/>
        </w:rPr>
        <w:t xml:space="preserve">, which can take days to result, so decisions about urgent surgery are </w:t>
      </w:r>
      <w:r w:rsidR="00E54A99" w:rsidRPr="00053796">
        <w:rPr>
          <w:rFonts w:ascii="Book Antiqua" w:eastAsiaTheme="minorEastAsia" w:hAnsi="Book Antiqua"/>
        </w:rPr>
        <w:t>often made with incomplete information</w:t>
      </w:r>
      <w:r w:rsidRPr="00053796">
        <w:rPr>
          <w:rFonts w:ascii="Book Antiqua" w:eastAsiaTheme="minorEastAsia" w:hAnsi="Book Antiqua"/>
        </w:rPr>
        <w:t xml:space="preserve">. Novel diagnostics </w:t>
      </w:r>
      <w:r w:rsidR="00E54A99" w:rsidRPr="00053796">
        <w:rPr>
          <w:rFonts w:ascii="Book Antiqua" w:eastAsiaTheme="minorEastAsia" w:hAnsi="Book Antiqua"/>
        </w:rPr>
        <w:t>are needed to improve the speed and accuracy of diagnosis.</w:t>
      </w:r>
    </w:p>
    <w:p w14:paraId="1F1ACCCA" w14:textId="77777777" w:rsidR="00DD5F67" w:rsidRPr="00053796" w:rsidRDefault="00DD5F67" w:rsidP="00053796">
      <w:pPr>
        <w:snapToGrid w:val="0"/>
        <w:spacing w:line="360" w:lineRule="auto"/>
        <w:jc w:val="both"/>
        <w:rPr>
          <w:rFonts w:ascii="Book Antiqua" w:eastAsiaTheme="minorEastAsia" w:hAnsi="Book Antiqua"/>
          <w:b/>
          <w:bCs/>
          <w:i/>
          <w:iCs/>
          <w:lang w:eastAsia="zh-CN"/>
        </w:rPr>
      </w:pPr>
    </w:p>
    <w:p w14:paraId="50C49652" w14:textId="42B7C559" w:rsidR="00E54A99" w:rsidRPr="00053796" w:rsidRDefault="00DD5F67" w:rsidP="00053796">
      <w:pPr>
        <w:snapToGrid w:val="0"/>
        <w:spacing w:line="360" w:lineRule="auto"/>
        <w:jc w:val="both"/>
        <w:rPr>
          <w:rFonts w:ascii="Book Antiqua" w:eastAsiaTheme="minorEastAsia" w:hAnsi="Book Antiqua"/>
          <w:b/>
          <w:bCs/>
          <w:i/>
          <w:iCs/>
        </w:rPr>
      </w:pPr>
      <w:r w:rsidRPr="00053796">
        <w:rPr>
          <w:rFonts w:ascii="Book Antiqua" w:eastAsiaTheme="minorEastAsia" w:hAnsi="Book Antiqua"/>
          <w:b/>
          <w:bCs/>
          <w:i/>
          <w:iCs/>
        </w:rPr>
        <w:t>Research motivation</w:t>
      </w:r>
    </w:p>
    <w:p w14:paraId="51B828F0" w14:textId="3FEB0C7D" w:rsidR="00E54A99" w:rsidRPr="00053796" w:rsidRDefault="00E54A99" w:rsidP="00053796">
      <w:pPr>
        <w:snapToGrid w:val="0"/>
        <w:spacing w:line="360" w:lineRule="auto"/>
        <w:jc w:val="both"/>
        <w:rPr>
          <w:rFonts w:ascii="Book Antiqua" w:eastAsiaTheme="minorEastAsia" w:hAnsi="Book Antiqua"/>
        </w:rPr>
      </w:pPr>
      <w:r w:rsidRPr="00053796">
        <w:rPr>
          <w:rFonts w:ascii="Book Antiqua" w:eastAsiaTheme="minorEastAsia" w:hAnsi="Book Antiqua"/>
        </w:rPr>
        <w:t>Novel diagnostics are needed to improve the speed and accuracy of diagnosis of septic arthritis to prevent the irreversible damage to cartilage seen in septic arthritis of native joints and to avoid unnecessary surgery in patients with aseptic arthritis. The ability to quickly and accurately identify and monitor infection through serum biomarkers, instead of invasive aspirations, has many potential applications across orthopedics, including peri-prosthetic infection, pediatric transient synovitis, hardware infection and in the work-up of fracture non-union.</w:t>
      </w:r>
    </w:p>
    <w:p w14:paraId="11CB7E3F" w14:textId="77777777" w:rsidR="00FA1247" w:rsidRPr="00053796" w:rsidRDefault="00FA1247" w:rsidP="00053796">
      <w:pPr>
        <w:snapToGrid w:val="0"/>
        <w:spacing w:line="360" w:lineRule="auto"/>
        <w:jc w:val="both"/>
        <w:rPr>
          <w:rFonts w:ascii="Book Antiqua" w:eastAsiaTheme="minorEastAsia" w:hAnsi="Book Antiqua"/>
          <w:b/>
        </w:rPr>
      </w:pPr>
    </w:p>
    <w:p w14:paraId="05265E0B" w14:textId="7D2EC885" w:rsidR="00DD5F67" w:rsidRPr="00053796" w:rsidRDefault="00DD5F67" w:rsidP="00053796">
      <w:pPr>
        <w:snapToGrid w:val="0"/>
        <w:spacing w:line="360" w:lineRule="auto"/>
        <w:jc w:val="both"/>
        <w:rPr>
          <w:rFonts w:ascii="Book Antiqua" w:hAnsi="Book Antiqua"/>
          <w:b/>
          <w:i/>
        </w:rPr>
      </w:pPr>
      <w:r w:rsidRPr="00053796">
        <w:rPr>
          <w:rFonts w:ascii="Book Antiqua" w:hAnsi="Book Antiqua"/>
          <w:b/>
          <w:i/>
        </w:rPr>
        <w:t>Research objectives</w:t>
      </w:r>
    </w:p>
    <w:p w14:paraId="5EE5B35E" w14:textId="2144659B" w:rsidR="00E54A99" w:rsidRPr="00053796" w:rsidRDefault="00E54A99" w:rsidP="00053796">
      <w:pPr>
        <w:snapToGrid w:val="0"/>
        <w:spacing w:line="360" w:lineRule="auto"/>
        <w:jc w:val="both"/>
        <w:rPr>
          <w:rFonts w:ascii="Book Antiqua" w:hAnsi="Book Antiqua"/>
          <w:bCs/>
        </w:rPr>
      </w:pPr>
      <w:r w:rsidRPr="00053796">
        <w:rPr>
          <w:rFonts w:ascii="Book Antiqua" w:hAnsi="Book Antiqua"/>
          <w:bCs/>
        </w:rPr>
        <w:t xml:space="preserve">The main objective was to compare the ability of the Sepsis </w:t>
      </w:r>
      <w:proofErr w:type="spellStart"/>
      <w:r w:rsidRPr="00053796">
        <w:rPr>
          <w:rFonts w:ascii="Book Antiqua" w:hAnsi="Book Antiqua"/>
          <w:bCs/>
        </w:rPr>
        <w:t>Meta</w:t>
      </w:r>
      <w:r w:rsidR="00967BFB" w:rsidRPr="00053796">
        <w:rPr>
          <w:rFonts w:ascii="Book Antiqua" w:hAnsi="Book Antiqua"/>
          <w:bCs/>
        </w:rPr>
        <w:t>S</w:t>
      </w:r>
      <w:r w:rsidRPr="00053796">
        <w:rPr>
          <w:rFonts w:ascii="Book Antiqua" w:hAnsi="Book Antiqua"/>
          <w:bCs/>
        </w:rPr>
        <w:t>core</w:t>
      </w:r>
      <w:proofErr w:type="spellEnd"/>
      <w:r w:rsidR="00DD5F67" w:rsidRPr="00053796">
        <w:rPr>
          <w:rFonts w:ascii="Book Antiqua" w:hAnsi="Book Antiqua"/>
          <w:bCs/>
        </w:rPr>
        <w:t xml:space="preserve"> </w:t>
      </w:r>
      <w:r w:rsidR="00DD5F67" w:rsidRPr="00053796">
        <w:rPr>
          <w:rFonts w:ascii="Book Antiqua" w:eastAsia="SimSun" w:hAnsi="Book Antiqua" w:cs="SimSun"/>
          <w:bCs/>
          <w:lang w:eastAsia="zh-CN"/>
        </w:rPr>
        <w:t>(SMS)</w:t>
      </w:r>
      <w:r w:rsidR="00DD5F67" w:rsidRPr="00053796">
        <w:rPr>
          <w:rFonts w:ascii="Book Antiqua" w:hAnsi="Book Antiqua"/>
          <w:bCs/>
        </w:rPr>
        <w:t xml:space="preserve"> </w:t>
      </w:r>
      <w:r w:rsidRPr="00053796">
        <w:rPr>
          <w:rFonts w:ascii="Book Antiqua" w:hAnsi="Book Antiqua"/>
          <w:bCs/>
        </w:rPr>
        <w:t xml:space="preserve">to diagnosis acute septic arthritis in native joints compared to current diagnostic serum and synovial biomarkers. The SMS proved more accurate than </w:t>
      </w:r>
      <w:r w:rsidR="00037AE5" w:rsidRPr="00053796">
        <w:rPr>
          <w:rFonts w:ascii="Book Antiqua" w:hAnsi="Book Antiqua"/>
          <w:bCs/>
        </w:rPr>
        <w:t xml:space="preserve">serum </w:t>
      </w:r>
      <w:r w:rsidR="00597567" w:rsidRPr="00053796">
        <w:rPr>
          <w:rFonts w:ascii="Book Antiqua" w:hAnsi="Book Antiqua"/>
        </w:rPr>
        <w:t>white blood cell (WBC)</w:t>
      </w:r>
      <w:r w:rsidR="00037AE5" w:rsidRPr="00053796">
        <w:rPr>
          <w:rFonts w:ascii="Book Antiqua" w:hAnsi="Book Antiqua"/>
          <w:bCs/>
        </w:rPr>
        <w:t xml:space="preserve">, </w:t>
      </w:r>
      <w:r w:rsidR="00F82CC6" w:rsidRPr="00053796">
        <w:rPr>
          <w:rFonts w:ascii="Book Antiqua" w:hAnsi="Book Antiqua"/>
        </w:rPr>
        <w:t>erythrocyte sedimentation rate</w:t>
      </w:r>
      <w:r w:rsidR="00DD5F67" w:rsidRPr="00053796">
        <w:rPr>
          <w:rFonts w:ascii="Book Antiqua" w:hAnsi="Book Antiqua"/>
          <w:bCs/>
        </w:rPr>
        <w:t xml:space="preserve"> </w:t>
      </w:r>
      <w:r w:rsidR="00037AE5" w:rsidRPr="00053796">
        <w:rPr>
          <w:rFonts w:ascii="Book Antiqua" w:hAnsi="Book Antiqua"/>
          <w:bCs/>
        </w:rPr>
        <w:t xml:space="preserve">&lt; </w:t>
      </w:r>
      <w:r w:rsidR="00F82CC6" w:rsidRPr="00053796">
        <w:rPr>
          <w:rFonts w:ascii="Book Antiqua" w:hAnsi="Book Antiqua"/>
        </w:rPr>
        <w:t>C-reactive protein</w:t>
      </w:r>
      <w:r w:rsidR="00037AE5" w:rsidRPr="00053796">
        <w:rPr>
          <w:rFonts w:ascii="Book Antiqua" w:hAnsi="Book Antiqua"/>
          <w:bCs/>
        </w:rPr>
        <w:t xml:space="preserve"> and synovial WBC and </w:t>
      </w:r>
      <w:r w:rsidR="00597567" w:rsidRPr="00053796">
        <w:rPr>
          <w:rFonts w:ascii="Book Antiqua" w:hAnsi="Book Antiqua"/>
        </w:rPr>
        <w:t>polymorphonuclear cells</w:t>
      </w:r>
      <w:r w:rsidR="00597567" w:rsidRPr="00053796">
        <w:rPr>
          <w:rFonts w:ascii="Book Antiqua" w:hAnsi="Book Antiqua"/>
          <w:bCs/>
        </w:rPr>
        <w:t xml:space="preserve"> </w:t>
      </w:r>
      <w:r w:rsidR="00037AE5" w:rsidRPr="00053796">
        <w:rPr>
          <w:rFonts w:ascii="Book Antiqua" w:hAnsi="Book Antiqua"/>
          <w:bCs/>
        </w:rPr>
        <w:t>%.</w:t>
      </w:r>
      <w:r w:rsidRPr="00053796">
        <w:rPr>
          <w:rFonts w:ascii="Book Antiqua" w:hAnsi="Book Antiqua"/>
          <w:bCs/>
        </w:rPr>
        <w:t xml:space="preserve"> </w:t>
      </w:r>
      <w:r w:rsidR="00037AE5" w:rsidRPr="00053796">
        <w:rPr>
          <w:rFonts w:ascii="Book Antiqua" w:hAnsi="Book Antiqua"/>
          <w:bCs/>
        </w:rPr>
        <w:t>W</w:t>
      </w:r>
      <w:r w:rsidRPr="00053796">
        <w:rPr>
          <w:rFonts w:ascii="Book Antiqua" w:hAnsi="Book Antiqua"/>
          <w:bCs/>
        </w:rPr>
        <w:t>ith the ability to result in 30 min without an invasive intra-articular aspiration</w:t>
      </w:r>
      <w:r w:rsidR="00037AE5" w:rsidRPr="00053796">
        <w:rPr>
          <w:rFonts w:ascii="Book Antiqua" w:hAnsi="Book Antiqua"/>
          <w:bCs/>
        </w:rPr>
        <w:t>, there is potential for future research across orthopedics for diagnosis and monitoring of infection.</w:t>
      </w:r>
    </w:p>
    <w:p w14:paraId="18338DC4" w14:textId="6AD8A8A4" w:rsidR="00FA1247" w:rsidRPr="00053796" w:rsidRDefault="00FA1247" w:rsidP="00053796">
      <w:pPr>
        <w:snapToGrid w:val="0"/>
        <w:spacing w:line="360" w:lineRule="auto"/>
        <w:jc w:val="both"/>
        <w:rPr>
          <w:rFonts w:ascii="Book Antiqua" w:eastAsiaTheme="minorEastAsia" w:hAnsi="Book Antiqua"/>
          <w:b/>
        </w:rPr>
      </w:pPr>
    </w:p>
    <w:p w14:paraId="14CA89E0" w14:textId="39090E68" w:rsidR="00DD5F67" w:rsidRPr="00053796" w:rsidRDefault="00DD5F67" w:rsidP="00053796">
      <w:pPr>
        <w:snapToGrid w:val="0"/>
        <w:spacing w:line="360" w:lineRule="auto"/>
        <w:jc w:val="both"/>
        <w:rPr>
          <w:rFonts w:ascii="Book Antiqua" w:eastAsiaTheme="minorEastAsia" w:hAnsi="Book Antiqua"/>
          <w:b/>
          <w:i/>
          <w:iCs/>
        </w:rPr>
      </w:pPr>
      <w:r w:rsidRPr="00053796">
        <w:rPr>
          <w:rFonts w:ascii="Book Antiqua" w:eastAsiaTheme="minorEastAsia" w:hAnsi="Book Antiqua"/>
          <w:b/>
          <w:i/>
          <w:iCs/>
        </w:rPr>
        <w:t>Research methods</w:t>
      </w:r>
    </w:p>
    <w:p w14:paraId="53B8FFE5" w14:textId="60CAB923" w:rsidR="00967BFB" w:rsidRPr="00053796" w:rsidRDefault="00967BFB" w:rsidP="00053796">
      <w:pPr>
        <w:snapToGrid w:val="0"/>
        <w:spacing w:line="360" w:lineRule="auto"/>
        <w:jc w:val="both"/>
        <w:rPr>
          <w:rFonts w:ascii="Book Antiqua" w:hAnsi="Book Antiqua"/>
        </w:rPr>
      </w:pPr>
      <w:r w:rsidRPr="00053796">
        <w:rPr>
          <w:rFonts w:ascii="Book Antiqua" w:hAnsi="Book Antiqua"/>
        </w:rPr>
        <w:lastRenderedPageBreak/>
        <w:t>We conducted a prospective, observational study of adult patients being worked up for acute septic arthritis of native joints in the emergency department. They proceeded through the standard of care work-up including inflammatory labs and aspiration, with an additional venous lab draw into a PAX</w:t>
      </w:r>
      <w:r w:rsidR="00F82CC6" w:rsidRPr="00053796">
        <w:rPr>
          <w:rFonts w:ascii="Book Antiqua" w:hAnsi="Book Antiqua"/>
        </w:rPr>
        <w:t xml:space="preserve"> </w:t>
      </w:r>
      <w:r w:rsidRPr="00053796">
        <w:rPr>
          <w:rFonts w:ascii="Book Antiqua" w:hAnsi="Book Antiqua"/>
        </w:rPr>
        <w:t xml:space="preserve">gene RNA-stabilizing tube that was used to calculate the </w:t>
      </w:r>
      <w:r w:rsidR="00DD5F67" w:rsidRPr="00053796">
        <w:rPr>
          <w:rFonts w:ascii="Book Antiqua" w:eastAsia="SimSun" w:hAnsi="Book Antiqua" w:cs="SimSun"/>
          <w:bCs/>
          <w:lang w:eastAsia="zh-CN"/>
        </w:rPr>
        <w:t>SMS</w:t>
      </w:r>
      <w:r w:rsidRPr="00053796">
        <w:rPr>
          <w:rFonts w:ascii="Book Antiqua" w:hAnsi="Book Antiqua"/>
        </w:rPr>
        <w:t xml:space="preserve">. Decisions for surgery were made without consideration of </w:t>
      </w:r>
      <w:r w:rsidR="00DD5F67" w:rsidRPr="00053796">
        <w:rPr>
          <w:rFonts w:ascii="Book Antiqua" w:eastAsia="SimSun" w:hAnsi="Book Antiqua" w:cs="SimSun"/>
          <w:bCs/>
          <w:lang w:eastAsia="zh-CN"/>
        </w:rPr>
        <w:t>SMS</w:t>
      </w:r>
      <w:r w:rsidRPr="00053796">
        <w:rPr>
          <w:rFonts w:ascii="Book Antiqua" w:hAnsi="Book Antiqua"/>
        </w:rPr>
        <w:t xml:space="preserve"> which was calculated at the end of the enrollment period, blinded to clinical results. Patients were retrospectively deemed infected or not based on synovial culture results. The </w:t>
      </w:r>
      <w:r w:rsidR="00DD5F67" w:rsidRPr="00053796">
        <w:rPr>
          <w:rFonts w:ascii="Book Antiqua" w:eastAsia="SimSun" w:hAnsi="Book Antiqua" w:cs="SimSun"/>
          <w:bCs/>
          <w:lang w:eastAsia="zh-CN"/>
        </w:rPr>
        <w:t>SMS</w:t>
      </w:r>
      <w:r w:rsidRPr="00053796">
        <w:rPr>
          <w:rFonts w:ascii="Book Antiqua" w:hAnsi="Book Antiqua"/>
        </w:rPr>
        <w:t xml:space="preserve"> and other inflammatory labs were compared to this diagnosis</w:t>
      </w:r>
    </w:p>
    <w:p w14:paraId="420E69C1" w14:textId="77777777" w:rsidR="00FA1247" w:rsidRPr="00053796" w:rsidRDefault="00FA1247" w:rsidP="00053796">
      <w:pPr>
        <w:snapToGrid w:val="0"/>
        <w:spacing w:line="360" w:lineRule="auto"/>
        <w:jc w:val="both"/>
        <w:rPr>
          <w:rFonts w:ascii="Book Antiqua" w:eastAsiaTheme="minorEastAsia" w:hAnsi="Book Antiqua"/>
          <w:b/>
        </w:rPr>
      </w:pPr>
    </w:p>
    <w:p w14:paraId="5B852152" w14:textId="02C4E29B" w:rsidR="00967BFB" w:rsidRPr="00053796" w:rsidRDefault="00DD5F67" w:rsidP="00053796">
      <w:pPr>
        <w:snapToGrid w:val="0"/>
        <w:spacing w:line="360" w:lineRule="auto"/>
        <w:jc w:val="both"/>
        <w:rPr>
          <w:rFonts w:ascii="Book Antiqua" w:hAnsi="Book Antiqua"/>
          <w:b/>
          <w:bCs/>
          <w:i/>
          <w:iCs/>
        </w:rPr>
      </w:pPr>
      <w:r w:rsidRPr="00053796">
        <w:rPr>
          <w:rFonts w:ascii="Book Antiqua" w:hAnsi="Book Antiqua"/>
          <w:b/>
          <w:bCs/>
          <w:i/>
          <w:iCs/>
        </w:rPr>
        <w:t>Research results</w:t>
      </w:r>
    </w:p>
    <w:p w14:paraId="1111B2B7" w14:textId="6D7B21D9" w:rsidR="00967BFB" w:rsidRPr="00053796" w:rsidRDefault="00967BFB" w:rsidP="00053796">
      <w:pPr>
        <w:snapToGrid w:val="0"/>
        <w:spacing w:line="360" w:lineRule="auto"/>
        <w:jc w:val="both"/>
        <w:rPr>
          <w:rFonts w:ascii="Book Antiqua" w:eastAsiaTheme="minorEastAsia" w:hAnsi="Book Antiqua"/>
        </w:rPr>
      </w:pPr>
      <w:r w:rsidRPr="00053796">
        <w:rPr>
          <w:rFonts w:ascii="Book Antiqua" w:eastAsiaTheme="minorEastAsia" w:hAnsi="Book Antiqua"/>
        </w:rPr>
        <w:t xml:space="preserve">There was no significant difference in any of the standard serum or synovial labs between the septic and aseptic groups, except for the </w:t>
      </w:r>
      <w:r w:rsidR="00DD5F67" w:rsidRPr="00053796">
        <w:rPr>
          <w:rFonts w:ascii="Book Antiqua" w:eastAsia="SimSun" w:hAnsi="Book Antiqua" w:cs="SimSun"/>
          <w:bCs/>
          <w:lang w:eastAsia="zh-CN"/>
        </w:rPr>
        <w:t>SMS</w:t>
      </w:r>
      <w:r w:rsidRPr="00053796">
        <w:rPr>
          <w:rFonts w:ascii="Book Antiqua" w:eastAsiaTheme="minorEastAsia" w:hAnsi="Book Antiqua"/>
        </w:rPr>
        <w:t xml:space="preserve"> which was significantly higher in septic patient compared to aseptic patient (</w:t>
      </w:r>
      <w:r w:rsidRPr="00053796">
        <w:rPr>
          <w:rFonts w:ascii="Book Antiqua" w:eastAsiaTheme="minorEastAsia" w:hAnsi="Book Antiqua"/>
          <w:i/>
          <w:iCs/>
          <w:caps/>
        </w:rPr>
        <w:t>p</w:t>
      </w:r>
      <w:r w:rsidR="004669BF" w:rsidRPr="00053796">
        <w:rPr>
          <w:rFonts w:ascii="Book Antiqua" w:eastAsiaTheme="minorEastAsia" w:hAnsi="Book Antiqua"/>
          <w:i/>
          <w:iCs/>
          <w:caps/>
        </w:rPr>
        <w:t xml:space="preserve"> </w:t>
      </w:r>
      <w:r w:rsidRPr="00053796">
        <w:rPr>
          <w:rFonts w:ascii="Book Antiqua" w:eastAsiaTheme="minorEastAsia" w:hAnsi="Book Antiqua"/>
        </w:rPr>
        <w:t>=</w:t>
      </w:r>
      <w:r w:rsidR="004669BF" w:rsidRPr="00053796">
        <w:rPr>
          <w:rFonts w:ascii="Book Antiqua" w:eastAsiaTheme="minorEastAsia" w:hAnsi="Book Antiqua"/>
        </w:rPr>
        <w:t xml:space="preserve"> </w:t>
      </w:r>
      <w:r w:rsidRPr="00053796">
        <w:rPr>
          <w:rFonts w:ascii="Book Antiqua" w:eastAsiaTheme="minorEastAsia" w:hAnsi="Book Antiqua"/>
        </w:rPr>
        <w:t>0.008). This pilot study data is encouraging, but still needs to be validated in a larger</w:t>
      </w:r>
      <w:r w:rsidR="004A2944" w:rsidRPr="00053796">
        <w:rPr>
          <w:rFonts w:ascii="Book Antiqua" w:eastAsiaTheme="minorEastAsia" w:hAnsi="Book Antiqua"/>
        </w:rPr>
        <w:t xml:space="preserve"> study.</w:t>
      </w:r>
    </w:p>
    <w:p w14:paraId="3E62078C" w14:textId="77777777" w:rsidR="00FA1247" w:rsidRPr="00053796" w:rsidRDefault="00FA1247" w:rsidP="00053796">
      <w:pPr>
        <w:snapToGrid w:val="0"/>
        <w:spacing w:line="360" w:lineRule="auto"/>
        <w:jc w:val="both"/>
        <w:rPr>
          <w:rFonts w:ascii="Book Antiqua" w:eastAsiaTheme="minorEastAsia" w:hAnsi="Book Antiqua" w:cs="Segoe UI"/>
          <w:shd w:val="clear" w:color="auto" w:fill="FFFFFF"/>
        </w:rPr>
      </w:pPr>
    </w:p>
    <w:p w14:paraId="7DD32DFE" w14:textId="63C04658" w:rsidR="00FA1247" w:rsidRPr="00053796" w:rsidRDefault="00DD5F67" w:rsidP="00053796">
      <w:pPr>
        <w:snapToGrid w:val="0"/>
        <w:spacing w:line="360" w:lineRule="auto"/>
        <w:jc w:val="both"/>
        <w:rPr>
          <w:rFonts w:ascii="Book Antiqua" w:eastAsiaTheme="minorEastAsia" w:hAnsi="Book Antiqua" w:cs="Segoe UI"/>
          <w:b/>
          <w:bCs/>
          <w:i/>
          <w:iCs/>
          <w:shd w:val="clear" w:color="auto" w:fill="FFFFFF"/>
        </w:rPr>
      </w:pPr>
      <w:r w:rsidRPr="00053796">
        <w:rPr>
          <w:rFonts w:ascii="Book Antiqua" w:hAnsi="Book Antiqua"/>
          <w:b/>
          <w:bCs/>
          <w:i/>
          <w:iCs/>
        </w:rPr>
        <w:t>Research conclusions</w:t>
      </w:r>
    </w:p>
    <w:p w14:paraId="1DCFC7E5" w14:textId="598C8F7C" w:rsidR="004A2944" w:rsidRPr="00053796" w:rsidRDefault="004A2944" w:rsidP="00053796">
      <w:pPr>
        <w:snapToGrid w:val="0"/>
        <w:spacing w:line="360" w:lineRule="auto"/>
        <w:jc w:val="both"/>
        <w:rPr>
          <w:rFonts w:ascii="Book Antiqua" w:hAnsi="Book Antiqua"/>
        </w:rPr>
      </w:pPr>
      <w:r w:rsidRPr="00053796">
        <w:rPr>
          <w:rFonts w:ascii="Book Antiqua" w:hAnsi="Book Antiqua"/>
        </w:rPr>
        <w:t xml:space="preserve">The </w:t>
      </w:r>
      <w:r w:rsidR="00DD5F67" w:rsidRPr="00053796">
        <w:rPr>
          <w:rFonts w:ascii="Book Antiqua" w:eastAsia="SimSun" w:hAnsi="Book Antiqua" w:cs="SimSun"/>
          <w:bCs/>
          <w:lang w:eastAsia="zh-CN"/>
        </w:rPr>
        <w:t>SMS</w:t>
      </w:r>
      <w:r w:rsidRPr="00053796">
        <w:rPr>
          <w:rFonts w:ascii="Book Antiqua" w:hAnsi="Book Antiqua"/>
        </w:rPr>
        <w:t xml:space="preserve"> shows potential as a quicker and more accurate diagnostic tool for acute septic arthritis that current serum and synovial biomarkers. It shows unique potential in complicated patients with histories of gout, inflammatory arthritis or immunocompromise where the current serum biomarkers are known to be less accurate.</w:t>
      </w:r>
      <w:r w:rsidR="00053796" w:rsidRPr="00053796">
        <w:rPr>
          <w:rFonts w:ascii="Book Antiqua" w:hAnsi="Book Antiqua"/>
        </w:rPr>
        <w:t xml:space="preserve"> </w:t>
      </w:r>
      <w:r w:rsidRPr="00053796">
        <w:rPr>
          <w:rFonts w:ascii="Book Antiqua" w:hAnsi="Book Antiqua"/>
        </w:rPr>
        <w:t>With development of the 30</w:t>
      </w:r>
      <w:r w:rsidR="00D6731B">
        <w:rPr>
          <w:rFonts w:ascii="Book Antiqua" w:hAnsi="Book Antiqua"/>
        </w:rPr>
        <w:t xml:space="preserve"> </w:t>
      </w:r>
      <w:r w:rsidRPr="00053796">
        <w:rPr>
          <w:rFonts w:ascii="Book Antiqua" w:hAnsi="Book Antiqua"/>
        </w:rPr>
        <w:t>min point of care testing, this is a potentially valuable diagnostic aid for decisions about emergency surgery and has potential applications across orthopedics subspecialties for infection diagnosis and monitoring.</w:t>
      </w:r>
    </w:p>
    <w:p w14:paraId="26963816" w14:textId="77777777" w:rsidR="00DD5F67" w:rsidRPr="00053796" w:rsidRDefault="00DD5F67" w:rsidP="00053796">
      <w:pPr>
        <w:snapToGrid w:val="0"/>
        <w:spacing w:line="360" w:lineRule="auto"/>
        <w:jc w:val="both"/>
        <w:rPr>
          <w:rFonts w:ascii="Book Antiqua" w:hAnsi="Book Antiqua"/>
        </w:rPr>
      </w:pPr>
    </w:p>
    <w:p w14:paraId="2998632F" w14:textId="5D8085B4" w:rsidR="00FA1247" w:rsidRPr="00053796" w:rsidRDefault="00DD5F67" w:rsidP="00053796">
      <w:pPr>
        <w:snapToGrid w:val="0"/>
        <w:spacing w:line="360" w:lineRule="auto"/>
        <w:jc w:val="both"/>
        <w:rPr>
          <w:rFonts w:ascii="Book Antiqua" w:eastAsiaTheme="minorEastAsia" w:hAnsi="Book Antiqua" w:cs="Segoe UI"/>
          <w:b/>
          <w:bCs/>
          <w:i/>
          <w:iCs/>
          <w:shd w:val="clear" w:color="auto" w:fill="FFFFFF"/>
        </w:rPr>
      </w:pPr>
      <w:r w:rsidRPr="00053796">
        <w:rPr>
          <w:rFonts w:ascii="Book Antiqua" w:hAnsi="Book Antiqua"/>
          <w:b/>
          <w:bCs/>
          <w:i/>
          <w:iCs/>
        </w:rPr>
        <w:t>Research perspectives</w:t>
      </w:r>
    </w:p>
    <w:p w14:paraId="33343EC4" w14:textId="44731160" w:rsidR="00CC5E78" w:rsidRPr="00053796" w:rsidRDefault="00CC5E78" w:rsidP="00053796">
      <w:pPr>
        <w:snapToGrid w:val="0"/>
        <w:spacing w:line="360" w:lineRule="auto"/>
        <w:jc w:val="both"/>
        <w:rPr>
          <w:rFonts w:ascii="Book Antiqua" w:hAnsi="Book Antiqua" w:cs="Segoe UI"/>
          <w:shd w:val="clear" w:color="auto" w:fill="FFFFFF"/>
        </w:rPr>
      </w:pPr>
      <w:r w:rsidRPr="00053796">
        <w:rPr>
          <w:rFonts w:ascii="Book Antiqua" w:hAnsi="Book Antiqua" w:cs="Segoe UI"/>
          <w:shd w:val="clear" w:color="auto" w:fill="FFFFFF"/>
        </w:rPr>
        <w:t>Novel serum biomarkers show potential to increase the accuracy and decrease to timing to diagnosis of septic arthritis. Future research in a larger study population is needed to validate these findings, which could then be replicated to investigate other topics in orthopedics such as periprosthetic joint infection, septic arthritis in pediatric patients, fracture non-unions and hardware infection.</w:t>
      </w:r>
    </w:p>
    <w:bookmarkEnd w:id="28"/>
    <w:bookmarkEnd w:id="29"/>
    <w:bookmarkEnd w:id="30"/>
    <w:bookmarkEnd w:id="31"/>
    <w:bookmarkEnd w:id="32"/>
    <w:bookmarkEnd w:id="33"/>
    <w:bookmarkEnd w:id="34"/>
    <w:bookmarkEnd w:id="35"/>
    <w:bookmarkEnd w:id="36"/>
    <w:bookmarkEnd w:id="37"/>
    <w:p w14:paraId="31C1417F" w14:textId="77777777" w:rsidR="00FA1247" w:rsidRPr="00053796" w:rsidRDefault="00FA1247" w:rsidP="00053796">
      <w:pPr>
        <w:pStyle w:val="NormalWeb"/>
        <w:shd w:val="clear" w:color="auto" w:fill="FFFFFF"/>
        <w:spacing w:before="0" w:beforeAutospacing="0" w:after="0" w:afterAutospacing="0" w:line="360" w:lineRule="auto"/>
        <w:mirrorIndents/>
        <w:jc w:val="both"/>
        <w:rPr>
          <w:rFonts w:ascii="Book Antiqua" w:hAnsi="Book Antiqua"/>
        </w:rPr>
      </w:pPr>
    </w:p>
    <w:p w14:paraId="7197F82E" w14:textId="66DC3477" w:rsidR="0087705A" w:rsidRPr="00053796" w:rsidRDefault="0087705A" w:rsidP="00053796">
      <w:pPr>
        <w:spacing w:line="360" w:lineRule="auto"/>
        <w:jc w:val="both"/>
        <w:rPr>
          <w:rFonts w:ascii="Book Antiqua" w:hAnsi="Book Antiqua"/>
          <w:b/>
          <w:caps/>
        </w:rPr>
      </w:pPr>
      <w:r w:rsidRPr="00053796">
        <w:rPr>
          <w:rFonts w:ascii="Book Antiqua" w:hAnsi="Book Antiqua"/>
          <w:b/>
          <w:caps/>
        </w:rPr>
        <w:t>References</w:t>
      </w:r>
    </w:p>
    <w:p w14:paraId="2D1B8D29"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1 </w:t>
      </w:r>
      <w:r w:rsidRPr="00053796">
        <w:rPr>
          <w:rFonts w:ascii="Book Antiqua" w:hAnsi="Book Antiqua"/>
          <w:b/>
        </w:rPr>
        <w:t>Singh JA</w:t>
      </w:r>
      <w:r w:rsidRPr="00053796">
        <w:rPr>
          <w:rFonts w:ascii="Book Antiqua" w:hAnsi="Book Antiqua"/>
        </w:rPr>
        <w:t xml:space="preserve">, Yu S. The burden of septic arthritis on the U.S. inpatient care: A national study. </w:t>
      </w:r>
      <w:proofErr w:type="spellStart"/>
      <w:r w:rsidRPr="00053796">
        <w:rPr>
          <w:rFonts w:ascii="Book Antiqua" w:hAnsi="Book Antiqua"/>
          <w:i/>
        </w:rPr>
        <w:t>PLoS</w:t>
      </w:r>
      <w:proofErr w:type="spellEnd"/>
      <w:r w:rsidRPr="00053796">
        <w:rPr>
          <w:rFonts w:ascii="Book Antiqua" w:hAnsi="Book Antiqua"/>
          <w:i/>
        </w:rPr>
        <w:t xml:space="preserve"> One</w:t>
      </w:r>
      <w:r w:rsidRPr="00053796">
        <w:rPr>
          <w:rFonts w:ascii="Book Antiqua" w:hAnsi="Book Antiqua"/>
        </w:rPr>
        <w:t xml:space="preserve"> 2017; </w:t>
      </w:r>
      <w:r w:rsidRPr="00053796">
        <w:rPr>
          <w:rFonts w:ascii="Book Antiqua" w:hAnsi="Book Antiqua"/>
          <w:b/>
        </w:rPr>
        <w:t>12</w:t>
      </w:r>
      <w:r w:rsidRPr="00053796">
        <w:rPr>
          <w:rFonts w:ascii="Book Antiqua" w:hAnsi="Book Antiqua"/>
        </w:rPr>
        <w:t>: e0182577 [PMID: 28809954 DOI: 10.1371/journal.pone.0182577]</w:t>
      </w:r>
    </w:p>
    <w:p w14:paraId="15031904"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2 </w:t>
      </w:r>
      <w:r w:rsidRPr="00053796">
        <w:rPr>
          <w:rFonts w:ascii="Book Antiqua" w:hAnsi="Book Antiqua"/>
          <w:b/>
        </w:rPr>
        <w:t>Singh JA</w:t>
      </w:r>
      <w:r w:rsidRPr="00053796">
        <w:rPr>
          <w:rFonts w:ascii="Book Antiqua" w:hAnsi="Book Antiqua"/>
        </w:rPr>
        <w:t xml:space="preserve">, Yu S. Septic Arthritis in Emergency Departments in the US: A National Study of Health Care Utilization and Time Trends. </w:t>
      </w:r>
      <w:r w:rsidRPr="00053796">
        <w:rPr>
          <w:rFonts w:ascii="Book Antiqua" w:hAnsi="Book Antiqua"/>
          <w:i/>
        </w:rPr>
        <w:t>Arthritis Care Res (Hoboken)</w:t>
      </w:r>
      <w:r w:rsidRPr="00053796">
        <w:rPr>
          <w:rFonts w:ascii="Book Antiqua" w:hAnsi="Book Antiqua"/>
        </w:rPr>
        <w:t xml:space="preserve"> 2018; </w:t>
      </w:r>
      <w:r w:rsidRPr="00053796">
        <w:rPr>
          <w:rFonts w:ascii="Book Antiqua" w:hAnsi="Book Antiqua"/>
          <w:b/>
        </w:rPr>
        <w:t>70</w:t>
      </w:r>
      <w:r w:rsidRPr="00053796">
        <w:rPr>
          <w:rFonts w:ascii="Book Antiqua" w:hAnsi="Book Antiqua"/>
        </w:rPr>
        <w:t>: 320-326 [PMID: 28464432 DOI: 10.1002/acr.23270]</w:t>
      </w:r>
    </w:p>
    <w:p w14:paraId="32E36DFE"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3 </w:t>
      </w:r>
      <w:r w:rsidRPr="00053796">
        <w:rPr>
          <w:rFonts w:ascii="Book Antiqua" w:hAnsi="Book Antiqua"/>
          <w:b/>
        </w:rPr>
        <w:t>Yu KH</w:t>
      </w:r>
      <w:r w:rsidRPr="00053796">
        <w:rPr>
          <w:rFonts w:ascii="Book Antiqua" w:hAnsi="Book Antiqua"/>
        </w:rPr>
        <w:t xml:space="preserve">, Luo SF, </w:t>
      </w:r>
      <w:proofErr w:type="spellStart"/>
      <w:r w:rsidRPr="00053796">
        <w:rPr>
          <w:rFonts w:ascii="Book Antiqua" w:hAnsi="Book Antiqua"/>
        </w:rPr>
        <w:t>Liou</w:t>
      </w:r>
      <w:proofErr w:type="spellEnd"/>
      <w:r w:rsidRPr="00053796">
        <w:rPr>
          <w:rFonts w:ascii="Book Antiqua" w:hAnsi="Book Antiqua"/>
        </w:rPr>
        <w:t xml:space="preserve"> LB, Wu YJ, Tsai WP, Chen JY, Ho HH. Concomitant septic and gouty arthritis--an analysis of 30 cases. </w:t>
      </w:r>
      <w:r w:rsidRPr="00053796">
        <w:rPr>
          <w:rFonts w:ascii="Book Antiqua" w:hAnsi="Book Antiqua"/>
          <w:i/>
        </w:rPr>
        <w:t>Rheumatology (Oxford)</w:t>
      </w:r>
      <w:r w:rsidRPr="00053796">
        <w:rPr>
          <w:rFonts w:ascii="Book Antiqua" w:hAnsi="Book Antiqua"/>
        </w:rPr>
        <w:t xml:space="preserve"> 2003; </w:t>
      </w:r>
      <w:r w:rsidRPr="00053796">
        <w:rPr>
          <w:rFonts w:ascii="Book Antiqua" w:hAnsi="Book Antiqua"/>
          <w:b/>
        </w:rPr>
        <w:t>42</w:t>
      </w:r>
      <w:r w:rsidRPr="00053796">
        <w:rPr>
          <w:rFonts w:ascii="Book Antiqua" w:hAnsi="Book Antiqua"/>
        </w:rPr>
        <w:t>: 1062-1066 [PMID: 12730521 DOI: 10.1093/rheumatology/keg297]</w:t>
      </w:r>
    </w:p>
    <w:p w14:paraId="59FF844F"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4 </w:t>
      </w:r>
      <w:r w:rsidRPr="00053796">
        <w:rPr>
          <w:rFonts w:ascii="Book Antiqua" w:hAnsi="Book Antiqua"/>
          <w:b/>
        </w:rPr>
        <w:t>Li SF</w:t>
      </w:r>
      <w:r w:rsidRPr="00053796">
        <w:rPr>
          <w:rFonts w:ascii="Book Antiqua" w:hAnsi="Book Antiqua"/>
        </w:rPr>
        <w:t xml:space="preserve">, Cassidy C, Chang C, Gharib S, Torres J. Diagnostic utility of laboratory tests in septic arthritis. </w:t>
      </w:r>
      <w:proofErr w:type="spellStart"/>
      <w:r w:rsidRPr="00053796">
        <w:rPr>
          <w:rFonts w:ascii="Book Antiqua" w:hAnsi="Book Antiqua"/>
          <w:i/>
        </w:rPr>
        <w:t>Emerg</w:t>
      </w:r>
      <w:proofErr w:type="spellEnd"/>
      <w:r w:rsidRPr="00053796">
        <w:rPr>
          <w:rFonts w:ascii="Book Antiqua" w:hAnsi="Book Antiqua"/>
          <w:i/>
        </w:rPr>
        <w:t xml:space="preserve"> Med J</w:t>
      </w:r>
      <w:r w:rsidRPr="00053796">
        <w:rPr>
          <w:rFonts w:ascii="Book Antiqua" w:hAnsi="Book Antiqua"/>
        </w:rPr>
        <w:t xml:space="preserve"> 2007; </w:t>
      </w:r>
      <w:r w:rsidRPr="00053796">
        <w:rPr>
          <w:rFonts w:ascii="Book Antiqua" w:hAnsi="Book Antiqua"/>
          <w:b/>
        </w:rPr>
        <w:t>24</w:t>
      </w:r>
      <w:r w:rsidRPr="00053796">
        <w:rPr>
          <w:rFonts w:ascii="Book Antiqua" w:hAnsi="Book Antiqua"/>
        </w:rPr>
        <w:t>: 75-77 [PMID: 17251607 DOI: 10.1136/emj.2006.037929]</w:t>
      </w:r>
    </w:p>
    <w:p w14:paraId="3A83BF23"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5 </w:t>
      </w:r>
      <w:proofErr w:type="spellStart"/>
      <w:r w:rsidRPr="00053796">
        <w:rPr>
          <w:rFonts w:ascii="Book Antiqua" w:hAnsi="Book Antiqua"/>
          <w:b/>
        </w:rPr>
        <w:t>McGillicuddy</w:t>
      </w:r>
      <w:proofErr w:type="spellEnd"/>
      <w:r w:rsidRPr="00053796">
        <w:rPr>
          <w:rFonts w:ascii="Book Antiqua" w:hAnsi="Book Antiqua"/>
          <w:b/>
        </w:rPr>
        <w:t xml:space="preserve"> DC</w:t>
      </w:r>
      <w:r w:rsidRPr="00053796">
        <w:rPr>
          <w:rFonts w:ascii="Book Antiqua" w:hAnsi="Book Antiqua"/>
        </w:rPr>
        <w:t xml:space="preserve">, Shah KH, Friedberg RP, Nathanson LA, </w:t>
      </w:r>
      <w:proofErr w:type="spellStart"/>
      <w:r w:rsidRPr="00053796">
        <w:rPr>
          <w:rFonts w:ascii="Book Antiqua" w:hAnsi="Book Antiqua"/>
        </w:rPr>
        <w:t>Edlow</w:t>
      </w:r>
      <w:proofErr w:type="spellEnd"/>
      <w:r w:rsidRPr="00053796">
        <w:rPr>
          <w:rFonts w:ascii="Book Antiqua" w:hAnsi="Book Antiqua"/>
        </w:rPr>
        <w:t xml:space="preserve"> JA. How sensitive is the synovial fluid white blood cell count in diagnosing septic arthritis? </w:t>
      </w:r>
      <w:r w:rsidRPr="00053796">
        <w:rPr>
          <w:rFonts w:ascii="Book Antiqua" w:hAnsi="Book Antiqua"/>
          <w:i/>
        </w:rPr>
        <w:t xml:space="preserve">Am J </w:t>
      </w:r>
      <w:proofErr w:type="spellStart"/>
      <w:r w:rsidRPr="00053796">
        <w:rPr>
          <w:rFonts w:ascii="Book Antiqua" w:hAnsi="Book Antiqua"/>
          <w:i/>
        </w:rPr>
        <w:t>Emerg</w:t>
      </w:r>
      <w:proofErr w:type="spellEnd"/>
      <w:r w:rsidRPr="00053796">
        <w:rPr>
          <w:rFonts w:ascii="Book Antiqua" w:hAnsi="Book Antiqua"/>
          <w:i/>
        </w:rPr>
        <w:t xml:space="preserve"> Med</w:t>
      </w:r>
      <w:r w:rsidRPr="00053796">
        <w:rPr>
          <w:rFonts w:ascii="Book Antiqua" w:hAnsi="Book Antiqua"/>
        </w:rPr>
        <w:t xml:space="preserve"> 2007; </w:t>
      </w:r>
      <w:r w:rsidRPr="00053796">
        <w:rPr>
          <w:rFonts w:ascii="Book Antiqua" w:hAnsi="Book Antiqua"/>
          <w:b/>
        </w:rPr>
        <w:t>25</w:t>
      </w:r>
      <w:r w:rsidRPr="00053796">
        <w:rPr>
          <w:rFonts w:ascii="Book Antiqua" w:hAnsi="Book Antiqua"/>
        </w:rPr>
        <w:t>: 749-752 [PMID: 17870475 DOI: 10.1016/j.ajem.2006.12.001]</w:t>
      </w:r>
    </w:p>
    <w:p w14:paraId="6B4885E4" w14:textId="22CD21FE" w:rsidR="005269FF" w:rsidRPr="00053796" w:rsidRDefault="005269FF" w:rsidP="00053796">
      <w:pPr>
        <w:spacing w:line="360" w:lineRule="auto"/>
        <w:jc w:val="both"/>
        <w:rPr>
          <w:rFonts w:ascii="Book Antiqua" w:hAnsi="Book Antiqua"/>
        </w:rPr>
      </w:pPr>
      <w:r w:rsidRPr="00053796">
        <w:rPr>
          <w:rFonts w:ascii="Book Antiqua" w:hAnsi="Book Antiqua"/>
        </w:rPr>
        <w:t xml:space="preserve">6 </w:t>
      </w:r>
      <w:proofErr w:type="spellStart"/>
      <w:r w:rsidRPr="00053796">
        <w:rPr>
          <w:rFonts w:ascii="Book Antiqua" w:hAnsi="Book Antiqua"/>
          <w:b/>
        </w:rPr>
        <w:t>McCutchan</w:t>
      </w:r>
      <w:proofErr w:type="spellEnd"/>
      <w:r w:rsidRPr="00053796">
        <w:rPr>
          <w:rFonts w:ascii="Book Antiqua" w:hAnsi="Book Antiqua"/>
          <w:b/>
        </w:rPr>
        <w:t xml:space="preserve"> HJ</w:t>
      </w:r>
      <w:r w:rsidRPr="00053796">
        <w:rPr>
          <w:rFonts w:ascii="Book Antiqua" w:hAnsi="Book Antiqua"/>
        </w:rPr>
        <w:t xml:space="preserve">, Fisher RC. Synovial leukocytosis in infectious arthritis. </w:t>
      </w:r>
      <w:proofErr w:type="spellStart"/>
      <w:r w:rsidRPr="00053796">
        <w:rPr>
          <w:rFonts w:ascii="Book Antiqua" w:hAnsi="Book Antiqua"/>
          <w:i/>
        </w:rPr>
        <w:t>Clin</w:t>
      </w:r>
      <w:proofErr w:type="spellEnd"/>
      <w:r w:rsidRPr="00053796">
        <w:rPr>
          <w:rFonts w:ascii="Book Antiqua" w:hAnsi="Book Antiqua"/>
          <w:i/>
        </w:rPr>
        <w:t xml:space="preserve"> </w:t>
      </w:r>
      <w:proofErr w:type="spellStart"/>
      <w:r w:rsidRPr="00053796">
        <w:rPr>
          <w:rFonts w:ascii="Book Antiqua" w:hAnsi="Book Antiqua"/>
          <w:i/>
        </w:rPr>
        <w:t>Orthop</w:t>
      </w:r>
      <w:proofErr w:type="spellEnd"/>
      <w:r w:rsidRPr="00053796">
        <w:rPr>
          <w:rFonts w:ascii="Book Antiqua" w:hAnsi="Book Antiqua"/>
          <w:i/>
        </w:rPr>
        <w:t xml:space="preserve"> </w:t>
      </w:r>
      <w:proofErr w:type="spellStart"/>
      <w:r w:rsidRPr="00053796">
        <w:rPr>
          <w:rFonts w:ascii="Book Antiqua" w:hAnsi="Book Antiqua"/>
          <w:i/>
        </w:rPr>
        <w:t>Relat</w:t>
      </w:r>
      <w:proofErr w:type="spellEnd"/>
      <w:r w:rsidRPr="00053796">
        <w:rPr>
          <w:rFonts w:ascii="Book Antiqua" w:hAnsi="Book Antiqua"/>
          <w:i/>
        </w:rPr>
        <w:t xml:space="preserve"> Res</w:t>
      </w:r>
      <w:r w:rsidRPr="00053796">
        <w:rPr>
          <w:rFonts w:ascii="Book Antiqua" w:hAnsi="Book Antiqua"/>
        </w:rPr>
        <w:t xml:space="preserve"> 1990; 226-230 [PMID: 2379361 DOI: 10.1097/00003086-199008000-00037]</w:t>
      </w:r>
    </w:p>
    <w:p w14:paraId="58457669"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7 </w:t>
      </w:r>
      <w:r w:rsidRPr="00053796">
        <w:rPr>
          <w:rFonts w:ascii="Book Antiqua" w:hAnsi="Book Antiqua"/>
          <w:b/>
        </w:rPr>
        <w:t>Ross JJ</w:t>
      </w:r>
      <w:r w:rsidRPr="00053796">
        <w:rPr>
          <w:rFonts w:ascii="Book Antiqua" w:hAnsi="Book Antiqua"/>
        </w:rPr>
        <w:t xml:space="preserve">. Septic Arthritis of Native Joints. </w:t>
      </w:r>
      <w:r w:rsidRPr="00053796">
        <w:rPr>
          <w:rFonts w:ascii="Book Antiqua" w:hAnsi="Book Antiqua"/>
          <w:i/>
        </w:rPr>
        <w:t>Infect Dis Clin North Am</w:t>
      </w:r>
      <w:r w:rsidRPr="00053796">
        <w:rPr>
          <w:rFonts w:ascii="Book Antiqua" w:hAnsi="Book Antiqua"/>
        </w:rPr>
        <w:t xml:space="preserve"> 2017; </w:t>
      </w:r>
      <w:r w:rsidRPr="00053796">
        <w:rPr>
          <w:rFonts w:ascii="Book Antiqua" w:hAnsi="Book Antiqua"/>
          <w:b/>
        </w:rPr>
        <w:t>31</w:t>
      </w:r>
      <w:r w:rsidRPr="00053796">
        <w:rPr>
          <w:rFonts w:ascii="Book Antiqua" w:hAnsi="Book Antiqua"/>
        </w:rPr>
        <w:t>: 203-218 [PMID: 28366221 DOI: 10.1016/j.idc.2017.01.001]</w:t>
      </w:r>
    </w:p>
    <w:p w14:paraId="7BDC7A46"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8 </w:t>
      </w:r>
      <w:proofErr w:type="spellStart"/>
      <w:r w:rsidRPr="00053796">
        <w:rPr>
          <w:rFonts w:ascii="Book Antiqua" w:hAnsi="Book Antiqua"/>
          <w:b/>
        </w:rPr>
        <w:t>Chander</w:t>
      </w:r>
      <w:proofErr w:type="spellEnd"/>
      <w:r w:rsidRPr="00053796">
        <w:rPr>
          <w:rFonts w:ascii="Book Antiqua" w:hAnsi="Book Antiqua"/>
          <w:b/>
        </w:rPr>
        <w:t xml:space="preserve"> S</w:t>
      </w:r>
      <w:r w:rsidRPr="00053796">
        <w:rPr>
          <w:rFonts w:ascii="Book Antiqua" w:hAnsi="Book Antiqua"/>
        </w:rPr>
        <w:t xml:space="preserve">, Coakley G. What's New in the Management of Bacterial Septic Arthritis? </w:t>
      </w:r>
      <w:proofErr w:type="spellStart"/>
      <w:r w:rsidRPr="00053796">
        <w:rPr>
          <w:rFonts w:ascii="Book Antiqua" w:hAnsi="Book Antiqua"/>
          <w:i/>
        </w:rPr>
        <w:t>Curr</w:t>
      </w:r>
      <w:proofErr w:type="spellEnd"/>
      <w:r w:rsidRPr="00053796">
        <w:rPr>
          <w:rFonts w:ascii="Book Antiqua" w:hAnsi="Book Antiqua"/>
          <w:i/>
        </w:rPr>
        <w:t xml:space="preserve"> Infect Dis Rep</w:t>
      </w:r>
      <w:r w:rsidRPr="00053796">
        <w:rPr>
          <w:rFonts w:ascii="Book Antiqua" w:hAnsi="Book Antiqua"/>
        </w:rPr>
        <w:t xml:space="preserve"> 2011; </w:t>
      </w:r>
      <w:r w:rsidRPr="00053796">
        <w:rPr>
          <w:rFonts w:ascii="Book Antiqua" w:hAnsi="Book Antiqua"/>
          <w:b/>
        </w:rPr>
        <w:t>13</w:t>
      </w:r>
      <w:r w:rsidRPr="00053796">
        <w:rPr>
          <w:rFonts w:ascii="Book Antiqua" w:hAnsi="Book Antiqua"/>
        </w:rPr>
        <w:t>: 478-484 [PMID: 21785928 DOI: 10.1007/s11908-011-0201-0]</w:t>
      </w:r>
    </w:p>
    <w:p w14:paraId="544BD15B"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9 </w:t>
      </w:r>
      <w:proofErr w:type="spellStart"/>
      <w:r w:rsidRPr="00053796">
        <w:rPr>
          <w:rFonts w:ascii="Book Antiqua" w:hAnsi="Book Antiqua"/>
          <w:b/>
        </w:rPr>
        <w:t>Kaandorp</w:t>
      </w:r>
      <w:proofErr w:type="spellEnd"/>
      <w:r w:rsidRPr="00053796">
        <w:rPr>
          <w:rFonts w:ascii="Book Antiqua" w:hAnsi="Book Antiqua"/>
          <w:b/>
        </w:rPr>
        <w:t xml:space="preserve"> CJ</w:t>
      </w:r>
      <w:r w:rsidRPr="00053796">
        <w:rPr>
          <w:rFonts w:ascii="Book Antiqua" w:hAnsi="Book Antiqua"/>
        </w:rPr>
        <w:t xml:space="preserve">, Dinant HJ, van de </w:t>
      </w:r>
      <w:proofErr w:type="spellStart"/>
      <w:r w:rsidRPr="00053796">
        <w:rPr>
          <w:rFonts w:ascii="Book Antiqua" w:hAnsi="Book Antiqua"/>
        </w:rPr>
        <w:t>Laar</w:t>
      </w:r>
      <w:proofErr w:type="spellEnd"/>
      <w:r w:rsidRPr="00053796">
        <w:rPr>
          <w:rFonts w:ascii="Book Antiqua" w:hAnsi="Book Antiqua"/>
        </w:rPr>
        <w:t xml:space="preserve"> MA, </w:t>
      </w:r>
      <w:proofErr w:type="spellStart"/>
      <w:r w:rsidRPr="00053796">
        <w:rPr>
          <w:rFonts w:ascii="Book Antiqua" w:hAnsi="Book Antiqua"/>
        </w:rPr>
        <w:t>Moens</w:t>
      </w:r>
      <w:proofErr w:type="spellEnd"/>
      <w:r w:rsidRPr="00053796">
        <w:rPr>
          <w:rFonts w:ascii="Book Antiqua" w:hAnsi="Book Antiqua"/>
        </w:rPr>
        <w:t xml:space="preserve"> HJ, </w:t>
      </w:r>
      <w:proofErr w:type="spellStart"/>
      <w:r w:rsidRPr="00053796">
        <w:rPr>
          <w:rFonts w:ascii="Book Antiqua" w:hAnsi="Book Antiqua"/>
        </w:rPr>
        <w:t>Prins</w:t>
      </w:r>
      <w:proofErr w:type="spellEnd"/>
      <w:r w:rsidRPr="00053796">
        <w:rPr>
          <w:rFonts w:ascii="Book Antiqua" w:hAnsi="Book Antiqua"/>
        </w:rPr>
        <w:t xml:space="preserve"> AP, </w:t>
      </w:r>
      <w:proofErr w:type="spellStart"/>
      <w:r w:rsidRPr="00053796">
        <w:rPr>
          <w:rFonts w:ascii="Book Antiqua" w:hAnsi="Book Antiqua"/>
        </w:rPr>
        <w:t>Dijkmans</w:t>
      </w:r>
      <w:proofErr w:type="spellEnd"/>
      <w:r w:rsidRPr="00053796">
        <w:rPr>
          <w:rFonts w:ascii="Book Antiqua" w:hAnsi="Book Antiqua"/>
        </w:rPr>
        <w:t xml:space="preserve"> BA. Incidence and sources of native and prosthetic joint infection: a community based prospective survey. </w:t>
      </w:r>
      <w:r w:rsidRPr="00053796">
        <w:rPr>
          <w:rFonts w:ascii="Book Antiqua" w:hAnsi="Book Antiqua"/>
          <w:i/>
        </w:rPr>
        <w:t>Ann Rheum Dis</w:t>
      </w:r>
      <w:r w:rsidRPr="00053796">
        <w:rPr>
          <w:rFonts w:ascii="Book Antiqua" w:hAnsi="Book Antiqua"/>
        </w:rPr>
        <w:t xml:space="preserve"> 1997; </w:t>
      </w:r>
      <w:r w:rsidRPr="00053796">
        <w:rPr>
          <w:rFonts w:ascii="Book Antiqua" w:hAnsi="Book Antiqua"/>
          <w:b/>
        </w:rPr>
        <w:t>56</w:t>
      </w:r>
      <w:r w:rsidRPr="00053796">
        <w:rPr>
          <w:rFonts w:ascii="Book Antiqua" w:hAnsi="Book Antiqua"/>
        </w:rPr>
        <w:t>: 470-475 [PMID: 9306869 DOI: 10.1136/ard.56.8.470]</w:t>
      </w:r>
    </w:p>
    <w:p w14:paraId="7BAB68B2" w14:textId="5866016F" w:rsidR="005269FF" w:rsidRPr="00053796" w:rsidRDefault="005269FF" w:rsidP="00053796">
      <w:pPr>
        <w:spacing w:line="360" w:lineRule="auto"/>
        <w:jc w:val="both"/>
        <w:rPr>
          <w:rFonts w:ascii="Book Antiqua" w:hAnsi="Book Antiqua"/>
        </w:rPr>
      </w:pPr>
      <w:r w:rsidRPr="00053796">
        <w:rPr>
          <w:rFonts w:ascii="Book Antiqua" w:hAnsi="Book Antiqua"/>
        </w:rPr>
        <w:t xml:space="preserve">10 </w:t>
      </w:r>
      <w:r w:rsidRPr="00053796">
        <w:rPr>
          <w:rFonts w:ascii="Book Antiqua" w:hAnsi="Book Antiqua"/>
          <w:b/>
        </w:rPr>
        <w:t>Morgan DS</w:t>
      </w:r>
      <w:r w:rsidRPr="00053796">
        <w:rPr>
          <w:rFonts w:ascii="Book Antiqua" w:hAnsi="Book Antiqua"/>
        </w:rPr>
        <w:t xml:space="preserve">, Fisher D, </w:t>
      </w:r>
      <w:proofErr w:type="spellStart"/>
      <w:r w:rsidRPr="00053796">
        <w:rPr>
          <w:rFonts w:ascii="Book Antiqua" w:hAnsi="Book Antiqua"/>
        </w:rPr>
        <w:t>Merianos</w:t>
      </w:r>
      <w:proofErr w:type="spellEnd"/>
      <w:r w:rsidRPr="00053796">
        <w:rPr>
          <w:rFonts w:ascii="Book Antiqua" w:hAnsi="Book Antiqua"/>
        </w:rPr>
        <w:t xml:space="preserve"> A, Currie BJ. An 18 year</w:t>
      </w:r>
      <w:r w:rsidR="00E00627" w:rsidRPr="00053796">
        <w:rPr>
          <w:rFonts w:ascii="Book Antiqua" w:hAnsi="Book Antiqua"/>
        </w:rPr>
        <w:t>s</w:t>
      </w:r>
      <w:r w:rsidRPr="00053796">
        <w:rPr>
          <w:rFonts w:ascii="Book Antiqua" w:hAnsi="Book Antiqua"/>
        </w:rPr>
        <w:t xml:space="preserve"> clinical review of septic arthritis from tropical Australia. </w:t>
      </w:r>
      <w:r w:rsidRPr="00053796">
        <w:rPr>
          <w:rFonts w:ascii="Book Antiqua" w:hAnsi="Book Antiqua"/>
          <w:i/>
        </w:rPr>
        <w:t>Epidemiol Infect</w:t>
      </w:r>
      <w:r w:rsidRPr="00053796">
        <w:rPr>
          <w:rFonts w:ascii="Book Antiqua" w:hAnsi="Book Antiqua"/>
        </w:rPr>
        <w:t xml:space="preserve"> 1996; </w:t>
      </w:r>
      <w:r w:rsidRPr="00053796">
        <w:rPr>
          <w:rFonts w:ascii="Book Antiqua" w:hAnsi="Book Antiqua"/>
          <w:b/>
        </w:rPr>
        <w:t>117</w:t>
      </w:r>
      <w:r w:rsidRPr="00053796">
        <w:rPr>
          <w:rFonts w:ascii="Book Antiqua" w:hAnsi="Book Antiqua"/>
        </w:rPr>
        <w:t>: 423-428 [PMID: 8972665 DOI: 10.1017/S0950268800059070]</w:t>
      </w:r>
    </w:p>
    <w:p w14:paraId="79DC704B" w14:textId="77777777" w:rsidR="005269FF" w:rsidRPr="00053796" w:rsidRDefault="005269FF" w:rsidP="00053796">
      <w:pPr>
        <w:spacing w:line="360" w:lineRule="auto"/>
        <w:jc w:val="both"/>
        <w:rPr>
          <w:rFonts w:ascii="Book Antiqua" w:hAnsi="Book Antiqua"/>
        </w:rPr>
      </w:pPr>
      <w:r w:rsidRPr="00053796">
        <w:rPr>
          <w:rFonts w:ascii="Book Antiqua" w:hAnsi="Book Antiqua"/>
        </w:rPr>
        <w:lastRenderedPageBreak/>
        <w:t xml:space="preserve">11 </w:t>
      </w:r>
      <w:r w:rsidRPr="00053796">
        <w:rPr>
          <w:rFonts w:ascii="Book Antiqua" w:hAnsi="Book Antiqua"/>
          <w:b/>
        </w:rPr>
        <w:t>Weston VC</w:t>
      </w:r>
      <w:r w:rsidRPr="00053796">
        <w:rPr>
          <w:rFonts w:ascii="Book Antiqua" w:hAnsi="Book Antiqua"/>
        </w:rPr>
        <w:t xml:space="preserve">, Jones AC, Bradbury N, </w:t>
      </w:r>
      <w:proofErr w:type="spellStart"/>
      <w:r w:rsidRPr="00053796">
        <w:rPr>
          <w:rFonts w:ascii="Book Antiqua" w:hAnsi="Book Antiqua"/>
        </w:rPr>
        <w:t>Fawthrop</w:t>
      </w:r>
      <w:proofErr w:type="spellEnd"/>
      <w:r w:rsidRPr="00053796">
        <w:rPr>
          <w:rFonts w:ascii="Book Antiqua" w:hAnsi="Book Antiqua"/>
        </w:rPr>
        <w:t xml:space="preserve"> F, Doherty M. Clinical features and outcome of septic arthritis in a single UK Health District 1982-1991. </w:t>
      </w:r>
      <w:r w:rsidRPr="00053796">
        <w:rPr>
          <w:rFonts w:ascii="Book Antiqua" w:hAnsi="Book Antiqua"/>
          <w:i/>
        </w:rPr>
        <w:t>Ann Rheum Dis</w:t>
      </w:r>
      <w:r w:rsidRPr="00053796">
        <w:rPr>
          <w:rFonts w:ascii="Book Antiqua" w:hAnsi="Book Antiqua"/>
        </w:rPr>
        <w:t xml:space="preserve"> 1999; </w:t>
      </w:r>
      <w:r w:rsidRPr="00053796">
        <w:rPr>
          <w:rFonts w:ascii="Book Antiqua" w:hAnsi="Book Antiqua"/>
          <w:b/>
        </w:rPr>
        <w:t>58</w:t>
      </w:r>
      <w:r w:rsidRPr="00053796">
        <w:rPr>
          <w:rFonts w:ascii="Book Antiqua" w:hAnsi="Book Antiqua"/>
        </w:rPr>
        <w:t>: 214-219 [PMID: 10364899 DOI: 10.1136/ard.58.4.214]</w:t>
      </w:r>
    </w:p>
    <w:p w14:paraId="18CCE25D"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12 </w:t>
      </w:r>
      <w:proofErr w:type="spellStart"/>
      <w:r w:rsidRPr="00053796">
        <w:rPr>
          <w:rFonts w:ascii="Book Antiqua" w:hAnsi="Book Antiqua"/>
          <w:b/>
        </w:rPr>
        <w:t>Margaretten</w:t>
      </w:r>
      <w:proofErr w:type="spellEnd"/>
      <w:r w:rsidRPr="00053796">
        <w:rPr>
          <w:rFonts w:ascii="Book Antiqua" w:hAnsi="Book Antiqua"/>
          <w:b/>
        </w:rPr>
        <w:t xml:space="preserve"> ME</w:t>
      </w:r>
      <w:r w:rsidRPr="00053796">
        <w:rPr>
          <w:rFonts w:ascii="Book Antiqua" w:hAnsi="Book Antiqua"/>
        </w:rPr>
        <w:t xml:space="preserve">, </w:t>
      </w:r>
      <w:proofErr w:type="spellStart"/>
      <w:r w:rsidRPr="00053796">
        <w:rPr>
          <w:rFonts w:ascii="Book Antiqua" w:hAnsi="Book Antiqua"/>
        </w:rPr>
        <w:t>Kohlwes</w:t>
      </w:r>
      <w:proofErr w:type="spellEnd"/>
      <w:r w:rsidRPr="00053796">
        <w:rPr>
          <w:rFonts w:ascii="Book Antiqua" w:hAnsi="Book Antiqua"/>
        </w:rPr>
        <w:t xml:space="preserve"> J, Moore D, Bent S. Does this adult patient have septic arthritis? </w:t>
      </w:r>
      <w:r w:rsidRPr="00053796">
        <w:rPr>
          <w:rFonts w:ascii="Book Antiqua" w:hAnsi="Book Antiqua"/>
          <w:i/>
        </w:rPr>
        <w:t>JAMA</w:t>
      </w:r>
      <w:r w:rsidRPr="00053796">
        <w:rPr>
          <w:rFonts w:ascii="Book Antiqua" w:hAnsi="Book Antiqua"/>
        </w:rPr>
        <w:t xml:space="preserve"> 2007; </w:t>
      </w:r>
      <w:r w:rsidRPr="00053796">
        <w:rPr>
          <w:rFonts w:ascii="Book Antiqua" w:hAnsi="Book Antiqua"/>
          <w:b/>
        </w:rPr>
        <w:t>297</w:t>
      </w:r>
      <w:r w:rsidRPr="00053796">
        <w:rPr>
          <w:rFonts w:ascii="Book Antiqua" w:hAnsi="Book Antiqua"/>
        </w:rPr>
        <w:t>: 1478-1488 [PMID: 17405973 DOI: 10.1001/jama.297.13.1478]</w:t>
      </w:r>
    </w:p>
    <w:p w14:paraId="0714B9AB"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13 </w:t>
      </w:r>
      <w:r w:rsidRPr="00053796">
        <w:rPr>
          <w:rFonts w:ascii="Book Antiqua" w:hAnsi="Book Antiqua"/>
          <w:b/>
        </w:rPr>
        <w:t>Zhao J</w:t>
      </w:r>
      <w:r w:rsidRPr="00053796">
        <w:rPr>
          <w:rFonts w:ascii="Book Antiqua" w:hAnsi="Book Antiqua"/>
        </w:rPr>
        <w:t xml:space="preserve">, Zhang S, Zhang L, Dong X, Li J, Wang Y, Yao Y. Serum procalcitonin levels as a diagnostic marker for septic arthritis: A meta-analysis. </w:t>
      </w:r>
      <w:r w:rsidRPr="00053796">
        <w:rPr>
          <w:rFonts w:ascii="Book Antiqua" w:hAnsi="Book Antiqua"/>
          <w:i/>
        </w:rPr>
        <w:t xml:space="preserve">Am J </w:t>
      </w:r>
      <w:proofErr w:type="spellStart"/>
      <w:r w:rsidRPr="00053796">
        <w:rPr>
          <w:rFonts w:ascii="Book Antiqua" w:hAnsi="Book Antiqua"/>
          <w:i/>
        </w:rPr>
        <w:t>Emerg</w:t>
      </w:r>
      <w:proofErr w:type="spellEnd"/>
      <w:r w:rsidRPr="00053796">
        <w:rPr>
          <w:rFonts w:ascii="Book Antiqua" w:hAnsi="Book Antiqua"/>
          <w:i/>
        </w:rPr>
        <w:t xml:space="preserve"> Med</w:t>
      </w:r>
      <w:r w:rsidRPr="00053796">
        <w:rPr>
          <w:rFonts w:ascii="Book Antiqua" w:hAnsi="Book Antiqua"/>
        </w:rPr>
        <w:t xml:space="preserve"> 2017; </w:t>
      </w:r>
      <w:r w:rsidRPr="00053796">
        <w:rPr>
          <w:rFonts w:ascii="Book Antiqua" w:hAnsi="Book Antiqua"/>
          <w:b/>
        </w:rPr>
        <w:t>35</w:t>
      </w:r>
      <w:r w:rsidRPr="00053796">
        <w:rPr>
          <w:rFonts w:ascii="Book Antiqua" w:hAnsi="Book Antiqua"/>
        </w:rPr>
        <w:t>: 1166-1171 [PMID: 28623003 DOI: 10.1016/j.ajem.2017.06.014]</w:t>
      </w:r>
    </w:p>
    <w:p w14:paraId="41238B38"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14 </w:t>
      </w:r>
      <w:r w:rsidRPr="00053796">
        <w:rPr>
          <w:rFonts w:ascii="Book Antiqua" w:hAnsi="Book Antiqua"/>
          <w:b/>
        </w:rPr>
        <w:t>Maharajan K</w:t>
      </w:r>
      <w:r w:rsidRPr="00053796">
        <w:rPr>
          <w:rFonts w:ascii="Book Antiqua" w:hAnsi="Book Antiqua"/>
        </w:rPr>
        <w:t xml:space="preserve">, </w:t>
      </w:r>
      <w:proofErr w:type="spellStart"/>
      <w:r w:rsidRPr="00053796">
        <w:rPr>
          <w:rFonts w:ascii="Book Antiqua" w:hAnsi="Book Antiqua"/>
        </w:rPr>
        <w:t>Patro</w:t>
      </w:r>
      <w:proofErr w:type="spellEnd"/>
      <w:r w:rsidRPr="00053796">
        <w:rPr>
          <w:rFonts w:ascii="Book Antiqua" w:hAnsi="Book Antiqua"/>
        </w:rPr>
        <w:t xml:space="preserve"> DK, Menon J, Hariharan AP, </w:t>
      </w:r>
      <w:proofErr w:type="spellStart"/>
      <w:r w:rsidRPr="00053796">
        <w:rPr>
          <w:rFonts w:ascii="Book Antiqua" w:hAnsi="Book Antiqua"/>
        </w:rPr>
        <w:t>Parija</w:t>
      </w:r>
      <w:proofErr w:type="spellEnd"/>
      <w:r w:rsidRPr="00053796">
        <w:rPr>
          <w:rFonts w:ascii="Book Antiqua" w:hAnsi="Book Antiqua"/>
        </w:rPr>
        <w:t xml:space="preserve"> SC, </w:t>
      </w:r>
      <w:proofErr w:type="spellStart"/>
      <w:r w:rsidRPr="00053796">
        <w:rPr>
          <w:rFonts w:ascii="Book Antiqua" w:hAnsi="Book Antiqua"/>
        </w:rPr>
        <w:t>Poduval</w:t>
      </w:r>
      <w:proofErr w:type="spellEnd"/>
      <w:r w:rsidRPr="00053796">
        <w:rPr>
          <w:rFonts w:ascii="Book Antiqua" w:hAnsi="Book Antiqua"/>
        </w:rPr>
        <w:t xml:space="preserve"> M, Thimmaiah S. Serum Procalcitonin is a sensitive and specific marker in the diagnosis of septic arthritis and acute osteomyelitis. </w:t>
      </w:r>
      <w:r w:rsidRPr="00053796">
        <w:rPr>
          <w:rFonts w:ascii="Book Antiqua" w:hAnsi="Book Antiqua"/>
          <w:i/>
        </w:rPr>
        <w:t xml:space="preserve">J </w:t>
      </w:r>
      <w:proofErr w:type="spellStart"/>
      <w:r w:rsidRPr="00053796">
        <w:rPr>
          <w:rFonts w:ascii="Book Antiqua" w:hAnsi="Book Antiqua"/>
          <w:i/>
        </w:rPr>
        <w:t>Orthop</w:t>
      </w:r>
      <w:proofErr w:type="spellEnd"/>
      <w:r w:rsidRPr="00053796">
        <w:rPr>
          <w:rFonts w:ascii="Book Antiqua" w:hAnsi="Book Antiqua"/>
          <w:i/>
        </w:rPr>
        <w:t xml:space="preserve"> </w:t>
      </w:r>
      <w:proofErr w:type="spellStart"/>
      <w:r w:rsidRPr="00053796">
        <w:rPr>
          <w:rFonts w:ascii="Book Antiqua" w:hAnsi="Book Antiqua"/>
          <w:i/>
        </w:rPr>
        <w:t>Surg</w:t>
      </w:r>
      <w:proofErr w:type="spellEnd"/>
      <w:r w:rsidRPr="00053796">
        <w:rPr>
          <w:rFonts w:ascii="Book Antiqua" w:hAnsi="Book Antiqua"/>
          <w:i/>
        </w:rPr>
        <w:t xml:space="preserve"> Res</w:t>
      </w:r>
      <w:r w:rsidRPr="00053796">
        <w:rPr>
          <w:rFonts w:ascii="Book Antiqua" w:hAnsi="Book Antiqua"/>
        </w:rPr>
        <w:t xml:space="preserve"> 2013; </w:t>
      </w:r>
      <w:r w:rsidRPr="00053796">
        <w:rPr>
          <w:rFonts w:ascii="Book Antiqua" w:hAnsi="Book Antiqua"/>
          <w:b/>
        </w:rPr>
        <w:t>8</w:t>
      </w:r>
      <w:r w:rsidRPr="00053796">
        <w:rPr>
          <w:rFonts w:ascii="Book Antiqua" w:hAnsi="Book Antiqua"/>
        </w:rPr>
        <w:t>: 19 [PMID: 23826894 DOI: 10.1186/1749-799X-8-19]</w:t>
      </w:r>
    </w:p>
    <w:p w14:paraId="0BA0C2BB"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15 </w:t>
      </w:r>
      <w:proofErr w:type="spellStart"/>
      <w:r w:rsidRPr="00053796">
        <w:rPr>
          <w:rFonts w:ascii="Book Antiqua" w:hAnsi="Book Antiqua"/>
          <w:b/>
        </w:rPr>
        <w:t>Chouk</w:t>
      </w:r>
      <w:proofErr w:type="spellEnd"/>
      <w:r w:rsidRPr="00053796">
        <w:rPr>
          <w:rFonts w:ascii="Book Antiqua" w:hAnsi="Book Antiqua"/>
          <w:b/>
        </w:rPr>
        <w:t xml:space="preserve"> M</w:t>
      </w:r>
      <w:r w:rsidRPr="00053796">
        <w:rPr>
          <w:rFonts w:ascii="Book Antiqua" w:hAnsi="Book Antiqua"/>
        </w:rPr>
        <w:t xml:space="preserve">, Verhoeven F, </w:t>
      </w:r>
      <w:proofErr w:type="spellStart"/>
      <w:r w:rsidRPr="00053796">
        <w:rPr>
          <w:rFonts w:ascii="Book Antiqua" w:hAnsi="Book Antiqua"/>
        </w:rPr>
        <w:t>Sondag</w:t>
      </w:r>
      <w:proofErr w:type="spellEnd"/>
      <w:r w:rsidRPr="00053796">
        <w:rPr>
          <w:rFonts w:ascii="Book Antiqua" w:hAnsi="Book Antiqua"/>
        </w:rPr>
        <w:t xml:space="preserve"> M, Guillot X, </w:t>
      </w:r>
      <w:proofErr w:type="spellStart"/>
      <w:r w:rsidRPr="00053796">
        <w:rPr>
          <w:rFonts w:ascii="Book Antiqua" w:hAnsi="Book Antiqua"/>
        </w:rPr>
        <w:t>Prati</w:t>
      </w:r>
      <w:proofErr w:type="spellEnd"/>
      <w:r w:rsidRPr="00053796">
        <w:rPr>
          <w:rFonts w:ascii="Book Antiqua" w:hAnsi="Book Antiqua"/>
        </w:rPr>
        <w:t xml:space="preserve"> C, Wendling D. Value of serum procalcitonin for the diagnosis of bacterial septic arthritis in daily practice in rheumatology. </w:t>
      </w:r>
      <w:proofErr w:type="spellStart"/>
      <w:r w:rsidRPr="00053796">
        <w:rPr>
          <w:rFonts w:ascii="Book Antiqua" w:hAnsi="Book Antiqua"/>
          <w:i/>
        </w:rPr>
        <w:t>Clin</w:t>
      </w:r>
      <w:proofErr w:type="spellEnd"/>
      <w:r w:rsidRPr="00053796">
        <w:rPr>
          <w:rFonts w:ascii="Book Antiqua" w:hAnsi="Book Antiqua"/>
          <w:i/>
        </w:rPr>
        <w:t xml:space="preserve"> </w:t>
      </w:r>
      <w:proofErr w:type="spellStart"/>
      <w:r w:rsidRPr="00053796">
        <w:rPr>
          <w:rFonts w:ascii="Book Antiqua" w:hAnsi="Book Antiqua"/>
          <w:i/>
        </w:rPr>
        <w:t>Rheumatol</w:t>
      </w:r>
      <w:proofErr w:type="spellEnd"/>
      <w:r w:rsidRPr="00053796">
        <w:rPr>
          <w:rFonts w:ascii="Book Antiqua" w:hAnsi="Book Antiqua"/>
        </w:rPr>
        <w:t xml:space="preserve"> 2019; </w:t>
      </w:r>
      <w:r w:rsidRPr="00053796">
        <w:rPr>
          <w:rFonts w:ascii="Book Antiqua" w:hAnsi="Book Antiqua"/>
          <w:b/>
        </w:rPr>
        <w:t>38</w:t>
      </w:r>
      <w:r w:rsidRPr="00053796">
        <w:rPr>
          <w:rFonts w:ascii="Book Antiqua" w:hAnsi="Book Antiqua"/>
        </w:rPr>
        <w:t>: 2265-2273 [PMID: 30989408 DOI: 10.1007/s10067-019-04542-0]</w:t>
      </w:r>
    </w:p>
    <w:p w14:paraId="315B3C2D"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16 </w:t>
      </w:r>
      <w:r w:rsidRPr="00053796">
        <w:rPr>
          <w:rFonts w:ascii="Book Antiqua" w:hAnsi="Book Antiqua"/>
          <w:b/>
        </w:rPr>
        <w:t>Sweeney TE</w:t>
      </w:r>
      <w:r w:rsidRPr="00053796">
        <w:rPr>
          <w:rFonts w:ascii="Book Antiqua" w:hAnsi="Book Antiqua"/>
        </w:rPr>
        <w:t xml:space="preserve">, </w:t>
      </w:r>
      <w:proofErr w:type="spellStart"/>
      <w:r w:rsidRPr="00053796">
        <w:rPr>
          <w:rFonts w:ascii="Book Antiqua" w:hAnsi="Book Antiqua"/>
        </w:rPr>
        <w:t>Shidham</w:t>
      </w:r>
      <w:proofErr w:type="spellEnd"/>
      <w:r w:rsidRPr="00053796">
        <w:rPr>
          <w:rFonts w:ascii="Book Antiqua" w:hAnsi="Book Antiqua"/>
        </w:rPr>
        <w:t xml:space="preserve"> A, Wong HR, Khatri P. A comprehensive time-course-based multicohort analysis of sepsis and sterile inflammation reveals a robust diagnostic gene set. </w:t>
      </w:r>
      <w:r w:rsidRPr="00053796">
        <w:rPr>
          <w:rFonts w:ascii="Book Antiqua" w:hAnsi="Book Antiqua"/>
          <w:i/>
        </w:rPr>
        <w:t xml:space="preserve">Sci </w:t>
      </w:r>
      <w:proofErr w:type="spellStart"/>
      <w:r w:rsidRPr="00053796">
        <w:rPr>
          <w:rFonts w:ascii="Book Antiqua" w:hAnsi="Book Antiqua"/>
          <w:i/>
        </w:rPr>
        <w:t>Transl</w:t>
      </w:r>
      <w:proofErr w:type="spellEnd"/>
      <w:r w:rsidRPr="00053796">
        <w:rPr>
          <w:rFonts w:ascii="Book Antiqua" w:hAnsi="Book Antiqua"/>
          <w:i/>
        </w:rPr>
        <w:t xml:space="preserve"> Med</w:t>
      </w:r>
      <w:r w:rsidRPr="00053796">
        <w:rPr>
          <w:rFonts w:ascii="Book Antiqua" w:hAnsi="Book Antiqua"/>
        </w:rPr>
        <w:t xml:space="preserve"> 2015; </w:t>
      </w:r>
      <w:r w:rsidRPr="00053796">
        <w:rPr>
          <w:rFonts w:ascii="Book Antiqua" w:hAnsi="Book Antiqua"/>
          <w:b/>
        </w:rPr>
        <w:t>7</w:t>
      </w:r>
      <w:r w:rsidRPr="00053796">
        <w:rPr>
          <w:rFonts w:ascii="Book Antiqua" w:hAnsi="Book Antiqua"/>
        </w:rPr>
        <w:t>: 287ra71 [PMID: 25972003 DOI: 10.1126/scitranslmed.aaa5993]</w:t>
      </w:r>
    </w:p>
    <w:p w14:paraId="142065B0"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17 </w:t>
      </w:r>
      <w:r w:rsidRPr="00053796">
        <w:rPr>
          <w:rFonts w:ascii="Book Antiqua" w:hAnsi="Book Antiqua"/>
          <w:b/>
        </w:rPr>
        <w:t>Sweeney TE</w:t>
      </w:r>
      <w:r w:rsidRPr="00053796">
        <w:rPr>
          <w:rFonts w:ascii="Book Antiqua" w:hAnsi="Book Antiqua"/>
        </w:rPr>
        <w:t xml:space="preserve">, Khatri P. Benchmarking Sepsis Gene Expression Diagnostics Using Public Data. </w:t>
      </w:r>
      <w:proofErr w:type="spellStart"/>
      <w:r w:rsidRPr="00053796">
        <w:rPr>
          <w:rFonts w:ascii="Book Antiqua" w:hAnsi="Book Antiqua"/>
          <w:i/>
        </w:rPr>
        <w:t>Crit</w:t>
      </w:r>
      <w:proofErr w:type="spellEnd"/>
      <w:r w:rsidRPr="00053796">
        <w:rPr>
          <w:rFonts w:ascii="Book Antiqua" w:hAnsi="Book Antiqua"/>
          <w:i/>
        </w:rPr>
        <w:t xml:space="preserve"> Care Med</w:t>
      </w:r>
      <w:r w:rsidRPr="00053796">
        <w:rPr>
          <w:rFonts w:ascii="Book Antiqua" w:hAnsi="Book Antiqua"/>
        </w:rPr>
        <w:t xml:space="preserve"> 2017; </w:t>
      </w:r>
      <w:r w:rsidRPr="00053796">
        <w:rPr>
          <w:rFonts w:ascii="Book Antiqua" w:hAnsi="Book Antiqua"/>
          <w:b/>
        </w:rPr>
        <w:t>45</w:t>
      </w:r>
      <w:r w:rsidRPr="00053796">
        <w:rPr>
          <w:rFonts w:ascii="Book Antiqua" w:hAnsi="Book Antiqua"/>
        </w:rPr>
        <w:t>: 1-10 [PMID: 27681387 DOI: 10.1097/CCM.0000000000002021]</w:t>
      </w:r>
    </w:p>
    <w:p w14:paraId="39E9D486"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18 </w:t>
      </w:r>
      <w:r w:rsidRPr="00053796">
        <w:rPr>
          <w:rFonts w:ascii="Book Antiqua" w:hAnsi="Book Antiqua"/>
          <w:b/>
        </w:rPr>
        <w:t>Sweeney TE</w:t>
      </w:r>
      <w:r w:rsidRPr="00053796">
        <w:rPr>
          <w:rFonts w:ascii="Book Antiqua" w:hAnsi="Book Antiqua"/>
        </w:rPr>
        <w:t xml:space="preserve">, Khatri P. Comprehensive Validation of the FAIM3:PLAC8 Ratio in Time-matched Public Gene Expression Data. </w:t>
      </w:r>
      <w:r w:rsidRPr="00053796">
        <w:rPr>
          <w:rFonts w:ascii="Book Antiqua" w:hAnsi="Book Antiqua"/>
          <w:i/>
        </w:rPr>
        <w:t xml:space="preserve">Am J Respir </w:t>
      </w:r>
      <w:proofErr w:type="spellStart"/>
      <w:r w:rsidRPr="00053796">
        <w:rPr>
          <w:rFonts w:ascii="Book Antiqua" w:hAnsi="Book Antiqua"/>
          <w:i/>
        </w:rPr>
        <w:t>Crit</w:t>
      </w:r>
      <w:proofErr w:type="spellEnd"/>
      <w:r w:rsidRPr="00053796">
        <w:rPr>
          <w:rFonts w:ascii="Book Antiqua" w:hAnsi="Book Antiqua"/>
          <w:i/>
        </w:rPr>
        <w:t xml:space="preserve"> Care Med</w:t>
      </w:r>
      <w:r w:rsidRPr="00053796">
        <w:rPr>
          <w:rFonts w:ascii="Book Antiqua" w:hAnsi="Book Antiqua"/>
        </w:rPr>
        <w:t xml:space="preserve"> 2015; </w:t>
      </w:r>
      <w:r w:rsidRPr="00053796">
        <w:rPr>
          <w:rFonts w:ascii="Book Antiqua" w:hAnsi="Book Antiqua"/>
          <w:b/>
        </w:rPr>
        <w:t>192</w:t>
      </w:r>
      <w:r w:rsidRPr="00053796">
        <w:rPr>
          <w:rFonts w:ascii="Book Antiqua" w:hAnsi="Book Antiqua"/>
        </w:rPr>
        <w:t>: 1260-1261 [PMID: 26568247 DOI: 10.1164/rccm.201507-1321LE]</w:t>
      </w:r>
    </w:p>
    <w:p w14:paraId="5A8AEC60"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19 </w:t>
      </w:r>
      <w:proofErr w:type="spellStart"/>
      <w:r w:rsidRPr="00053796">
        <w:rPr>
          <w:rFonts w:ascii="Book Antiqua" w:hAnsi="Book Antiqua"/>
          <w:b/>
        </w:rPr>
        <w:t>Maslove</w:t>
      </w:r>
      <w:proofErr w:type="spellEnd"/>
      <w:r w:rsidRPr="00053796">
        <w:rPr>
          <w:rFonts w:ascii="Book Antiqua" w:hAnsi="Book Antiqua"/>
          <w:b/>
        </w:rPr>
        <w:t xml:space="preserve"> DM</w:t>
      </w:r>
      <w:r w:rsidRPr="00053796">
        <w:rPr>
          <w:rFonts w:ascii="Book Antiqua" w:hAnsi="Book Antiqua"/>
        </w:rPr>
        <w:t xml:space="preserve">, Shapira T, </w:t>
      </w:r>
      <w:proofErr w:type="spellStart"/>
      <w:r w:rsidRPr="00053796">
        <w:rPr>
          <w:rFonts w:ascii="Book Antiqua" w:hAnsi="Book Antiqua"/>
        </w:rPr>
        <w:t>Tyryshkin</w:t>
      </w:r>
      <w:proofErr w:type="spellEnd"/>
      <w:r w:rsidRPr="00053796">
        <w:rPr>
          <w:rFonts w:ascii="Book Antiqua" w:hAnsi="Book Antiqua"/>
        </w:rPr>
        <w:t xml:space="preserve"> K, </w:t>
      </w:r>
      <w:proofErr w:type="spellStart"/>
      <w:r w:rsidRPr="00053796">
        <w:rPr>
          <w:rFonts w:ascii="Book Antiqua" w:hAnsi="Book Antiqua"/>
        </w:rPr>
        <w:t>Veldhoen</w:t>
      </w:r>
      <w:proofErr w:type="spellEnd"/>
      <w:r w:rsidRPr="00053796">
        <w:rPr>
          <w:rFonts w:ascii="Book Antiqua" w:hAnsi="Book Antiqua"/>
        </w:rPr>
        <w:t xml:space="preserve"> RA, Marshall JC, </w:t>
      </w:r>
      <w:proofErr w:type="spellStart"/>
      <w:r w:rsidRPr="00053796">
        <w:rPr>
          <w:rFonts w:ascii="Book Antiqua" w:hAnsi="Book Antiqua"/>
        </w:rPr>
        <w:t>Muscedere</w:t>
      </w:r>
      <w:proofErr w:type="spellEnd"/>
      <w:r w:rsidRPr="00053796">
        <w:rPr>
          <w:rFonts w:ascii="Book Antiqua" w:hAnsi="Book Antiqua"/>
        </w:rPr>
        <w:t xml:space="preserve"> J. Validation of diagnostic gene sets to identify critically ill patients with sepsis. </w:t>
      </w:r>
      <w:r w:rsidRPr="00053796">
        <w:rPr>
          <w:rFonts w:ascii="Book Antiqua" w:hAnsi="Book Antiqua"/>
          <w:i/>
        </w:rPr>
        <w:t xml:space="preserve">J </w:t>
      </w:r>
      <w:proofErr w:type="spellStart"/>
      <w:r w:rsidRPr="00053796">
        <w:rPr>
          <w:rFonts w:ascii="Book Antiqua" w:hAnsi="Book Antiqua"/>
          <w:i/>
        </w:rPr>
        <w:t>Crit</w:t>
      </w:r>
      <w:proofErr w:type="spellEnd"/>
      <w:r w:rsidRPr="00053796">
        <w:rPr>
          <w:rFonts w:ascii="Book Antiqua" w:hAnsi="Book Antiqua"/>
          <w:i/>
        </w:rPr>
        <w:t xml:space="preserve"> Care</w:t>
      </w:r>
      <w:r w:rsidRPr="00053796">
        <w:rPr>
          <w:rFonts w:ascii="Book Antiqua" w:hAnsi="Book Antiqua"/>
        </w:rPr>
        <w:t xml:space="preserve"> 2019; </w:t>
      </w:r>
      <w:r w:rsidRPr="00053796">
        <w:rPr>
          <w:rFonts w:ascii="Book Antiqua" w:hAnsi="Book Antiqua"/>
          <w:b/>
        </w:rPr>
        <w:t>49</w:t>
      </w:r>
      <w:r w:rsidRPr="00053796">
        <w:rPr>
          <w:rFonts w:ascii="Book Antiqua" w:hAnsi="Book Antiqua"/>
        </w:rPr>
        <w:t>: 92-98 [PMID: 30408726 DOI: 10.1016/j.jcrc.2018.10.028]</w:t>
      </w:r>
    </w:p>
    <w:p w14:paraId="1E9AF498" w14:textId="3DC269F7" w:rsidR="005269FF" w:rsidRPr="00053796" w:rsidRDefault="005269FF" w:rsidP="00053796">
      <w:pPr>
        <w:spacing w:line="360" w:lineRule="auto"/>
        <w:jc w:val="both"/>
        <w:rPr>
          <w:rFonts w:ascii="Book Antiqua" w:hAnsi="Book Antiqua"/>
        </w:rPr>
      </w:pPr>
      <w:r w:rsidRPr="00053796">
        <w:rPr>
          <w:rFonts w:ascii="Book Antiqua" w:hAnsi="Book Antiqua"/>
        </w:rPr>
        <w:lastRenderedPageBreak/>
        <w:t xml:space="preserve">20 </w:t>
      </w:r>
      <w:r w:rsidRPr="00053796">
        <w:rPr>
          <w:rFonts w:ascii="Book Antiqua" w:hAnsi="Book Antiqua"/>
          <w:b/>
        </w:rPr>
        <w:t>Li SF</w:t>
      </w:r>
      <w:r w:rsidRPr="00053796">
        <w:rPr>
          <w:rFonts w:ascii="Book Antiqua" w:hAnsi="Book Antiqua"/>
        </w:rPr>
        <w:t xml:space="preserve">, Henderson J, Dickman E, </w:t>
      </w:r>
      <w:proofErr w:type="spellStart"/>
      <w:r w:rsidRPr="00053796">
        <w:rPr>
          <w:rFonts w:ascii="Book Antiqua" w:hAnsi="Book Antiqua"/>
        </w:rPr>
        <w:t>Darzynkiewicz</w:t>
      </w:r>
      <w:proofErr w:type="spellEnd"/>
      <w:r w:rsidRPr="00053796">
        <w:rPr>
          <w:rFonts w:ascii="Book Antiqua" w:hAnsi="Book Antiqua"/>
        </w:rPr>
        <w:t xml:space="preserve"> R. Laboratory tests in adults with monoarticular arthritis: can they rule out a septic joint? </w:t>
      </w:r>
      <w:proofErr w:type="spellStart"/>
      <w:r w:rsidRPr="00053796">
        <w:rPr>
          <w:rFonts w:ascii="Book Antiqua" w:hAnsi="Book Antiqua"/>
          <w:i/>
        </w:rPr>
        <w:t>Acad</w:t>
      </w:r>
      <w:proofErr w:type="spellEnd"/>
      <w:r w:rsidRPr="00053796">
        <w:rPr>
          <w:rFonts w:ascii="Book Antiqua" w:hAnsi="Book Antiqua"/>
          <w:i/>
        </w:rPr>
        <w:t xml:space="preserve"> </w:t>
      </w:r>
      <w:proofErr w:type="spellStart"/>
      <w:r w:rsidRPr="00053796">
        <w:rPr>
          <w:rFonts w:ascii="Book Antiqua" w:hAnsi="Book Antiqua"/>
          <w:i/>
        </w:rPr>
        <w:t>Emerg</w:t>
      </w:r>
      <w:proofErr w:type="spellEnd"/>
      <w:r w:rsidRPr="00053796">
        <w:rPr>
          <w:rFonts w:ascii="Book Antiqua" w:hAnsi="Book Antiqua"/>
          <w:i/>
        </w:rPr>
        <w:t xml:space="preserve"> Med</w:t>
      </w:r>
      <w:r w:rsidRPr="00053796">
        <w:rPr>
          <w:rFonts w:ascii="Book Antiqua" w:hAnsi="Book Antiqua"/>
        </w:rPr>
        <w:t xml:space="preserve"> 2004; </w:t>
      </w:r>
      <w:r w:rsidRPr="00053796">
        <w:rPr>
          <w:rFonts w:ascii="Book Antiqua" w:hAnsi="Book Antiqua"/>
          <w:b/>
        </w:rPr>
        <w:t>11</w:t>
      </w:r>
      <w:r w:rsidRPr="00053796">
        <w:rPr>
          <w:rFonts w:ascii="Book Antiqua" w:hAnsi="Book Antiqua"/>
        </w:rPr>
        <w:t>: 276-280 [PMID: 15001408 DOI: 10.1111/j.1553-2712.2004.</w:t>
      </w:r>
      <w:r w:rsidR="00E00627" w:rsidRPr="00053796">
        <w:rPr>
          <w:rFonts w:ascii="Book Antiqua" w:hAnsi="Book Antiqua"/>
        </w:rPr>
        <w:t xml:space="preserve"> </w:t>
      </w:r>
      <w:r w:rsidRPr="00053796">
        <w:rPr>
          <w:rFonts w:ascii="Book Antiqua" w:hAnsi="Book Antiqua"/>
        </w:rPr>
        <w:t>tb</w:t>
      </w:r>
      <w:r w:rsidR="00E00627" w:rsidRPr="00053796">
        <w:rPr>
          <w:rFonts w:ascii="Book Antiqua" w:hAnsi="Book Antiqua"/>
        </w:rPr>
        <w:t xml:space="preserve"> </w:t>
      </w:r>
      <w:r w:rsidRPr="00053796">
        <w:rPr>
          <w:rFonts w:ascii="Book Antiqua" w:hAnsi="Book Antiqua"/>
        </w:rPr>
        <w:t>02209.x]</w:t>
      </w:r>
    </w:p>
    <w:p w14:paraId="39A63D44"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21 </w:t>
      </w:r>
      <w:r w:rsidRPr="00053796">
        <w:rPr>
          <w:rFonts w:ascii="Book Antiqua" w:hAnsi="Book Antiqua"/>
          <w:b/>
        </w:rPr>
        <w:t>Al-</w:t>
      </w:r>
      <w:proofErr w:type="spellStart"/>
      <w:r w:rsidRPr="00053796">
        <w:rPr>
          <w:rFonts w:ascii="Book Antiqua" w:hAnsi="Book Antiqua"/>
          <w:b/>
        </w:rPr>
        <w:t>Ahaideb</w:t>
      </w:r>
      <w:proofErr w:type="spellEnd"/>
      <w:r w:rsidRPr="00053796">
        <w:rPr>
          <w:rFonts w:ascii="Book Antiqua" w:hAnsi="Book Antiqua"/>
          <w:b/>
        </w:rPr>
        <w:t xml:space="preserve"> A</w:t>
      </w:r>
      <w:r w:rsidRPr="00053796">
        <w:rPr>
          <w:rFonts w:ascii="Book Antiqua" w:hAnsi="Book Antiqua"/>
        </w:rPr>
        <w:t xml:space="preserve">. Septic arthritis in patients with rheumatoid arthritis. </w:t>
      </w:r>
      <w:r w:rsidRPr="00053796">
        <w:rPr>
          <w:rFonts w:ascii="Book Antiqua" w:hAnsi="Book Antiqua"/>
          <w:i/>
        </w:rPr>
        <w:t xml:space="preserve">J </w:t>
      </w:r>
      <w:proofErr w:type="spellStart"/>
      <w:r w:rsidRPr="00053796">
        <w:rPr>
          <w:rFonts w:ascii="Book Antiqua" w:hAnsi="Book Antiqua"/>
          <w:i/>
        </w:rPr>
        <w:t>Orthop</w:t>
      </w:r>
      <w:proofErr w:type="spellEnd"/>
      <w:r w:rsidRPr="00053796">
        <w:rPr>
          <w:rFonts w:ascii="Book Antiqua" w:hAnsi="Book Antiqua"/>
          <w:i/>
        </w:rPr>
        <w:t xml:space="preserve"> </w:t>
      </w:r>
      <w:proofErr w:type="spellStart"/>
      <w:r w:rsidRPr="00053796">
        <w:rPr>
          <w:rFonts w:ascii="Book Antiqua" w:hAnsi="Book Antiqua"/>
          <w:i/>
        </w:rPr>
        <w:t>Surg</w:t>
      </w:r>
      <w:proofErr w:type="spellEnd"/>
      <w:r w:rsidRPr="00053796">
        <w:rPr>
          <w:rFonts w:ascii="Book Antiqua" w:hAnsi="Book Antiqua"/>
          <w:i/>
        </w:rPr>
        <w:t xml:space="preserve"> Res</w:t>
      </w:r>
      <w:r w:rsidRPr="00053796">
        <w:rPr>
          <w:rFonts w:ascii="Book Antiqua" w:hAnsi="Book Antiqua"/>
        </w:rPr>
        <w:t xml:space="preserve"> 2008; </w:t>
      </w:r>
      <w:r w:rsidRPr="00053796">
        <w:rPr>
          <w:rFonts w:ascii="Book Antiqua" w:hAnsi="Book Antiqua"/>
          <w:b/>
        </w:rPr>
        <w:t>3</w:t>
      </w:r>
      <w:r w:rsidRPr="00053796">
        <w:rPr>
          <w:rFonts w:ascii="Book Antiqua" w:hAnsi="Book Antiqua"/>
        </w:rPr>
        <w:t>: 33 [PMID: 18662412 DOI: 10.1186/1749-799X-3-33]</w:t>
      </w:r>
    </w:p>
    <w:p w14:paraId="39892F92"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22 </w:t>
      </w:r>
      <w:r w:rsidRPr="00053796">
        <w:rPr>
          <w:rFonts w:ascii="Book Antiqua" w:hAnsi="Book Antiqua"/>
          <w:b/>
        </w:rPr>
        <w:t>Galloway JB</w:t>
      </w:r>
      <w:r w:rsidRPr="00053796">
        <w:rPr>
          <w:rFonts w:ascii="Book Antiqua" w:hAnsi="Book Antiqua"/>
        </w:rPr>
        <w:t xml:space="preserve">, </w:t>
      </w:r>
      <w:proofErr w:type="spellStart"/>
      <w:r w:rsidRPr="00053796">
        <w:rPr>
          <w:rFonts w:ascii="Book Antiqua" w:hAnsi="Book Antiqua"/>
        </w:rPr>
        <w:t>Hyrich</w:t>
      </w:r>
      <w:proofErr w:type="spellEnd"/>
      <w:r w:rsidRPr="00053796">
        <w:rPr>
          <w:rFonts w:ascii="Book Antiqua" w:hAnsi="Book Antiqua"/>
        </w:rPr>
        <w:t xml:space="preserve"> KL, Mercer LK, Dixon WG, </w:t>
      </w:r>
      <w:proofErr w:type="spellStart"/>
      <w:r w:rsidRPr="00053796">
        <w:rPr>
          <w:rFonts w:ascii="Book Antiqua" w:hAnsi="Book Antiqua"/>
        </w:rPr>
        <w:t>Ustianowski</w:t>
      </w:r>
      <w:proofErr w:type="spellEnd"/>
      <w:r w:rsidRPr="00053796">
        <w:rPr>
          <w:rFonts w:ascii="Book Antiqua" w:hAnsi="Book Antiqua"/>
        </w:rPr>
        <w:t xml:space="preserve"> AP, </w:t>
      </w:r>
      <w:proofErr w:type="spellStart"/>
      <w:r w:rsidRPr="00053796">
        <w:rPr>
          <w:rFonts w:ascii="Book Antiqua" w:hAnsi="Book Antiqua"/>
        </w:rPr>
        <w:t>Helbert</w:t>
      </w:r>
      <w:proofErr w:type="spellEnd"/>
      <w:r w:rsidRPr="00053796">
        <w:rPr>
          <w:rFonts w:ascii="Book Antiqua" w:hAnsi="Book Antiqua"/>
        </w:rPr>
        <w:t xml:space="preserve"> M, Watson KD, Lunt M, </w:t>
      </w:r>
      <w:proofErr w:type="spellStart"/>
      <w:r w:rsidRPr="00053796">
        <w:rPr>
          <w:rFonts w:ascii="Book Antiqua" w:hAnsi="Book Antiqua"/>
        </w:rPr>
        <w:t>Symmons</w:t>
      </w:r>
      <w:proofErr w:type="spellEnd"/>
      <w:r w:rsidRPr="00053796">
        <w:rPr>
          <w:rFonts w:ascii="Book Antiqua" w:hAnsi="Book Antiqua"/>
        </w:rPr>
        <w:t xml:space="preserve"> DP; BSR Biologics Register. Risk of septic arthritis in patients with rheumatoid arthritis and the effect of anti-TNF therapy: results from the British Society for Rheumatology Biologics Register. </w:t>
      </w:r>
      <w:r w:rsidRPr="00053796">
        <w:rPr>
          <w:rFonts w:ascii="Book Antiqua" w:hAnsi="Book Antiqua"/>
          <w:i/>
        </w:rPr>
        <w:t>Ann Rheum Dis</w:t>
      </w:r>
      <w:r w:rsidRPr="00053796">
        <w:rPr>
          <w:rFonts w:ascii="Book Antiqua" w:hAnsi="Book Antiqua"/>
        </w:rPr>
        <w:t xml:space="preserve"> 2011; </w:t>
      </w:r>
      <w:r w:rsidRPr="00053796">
        <w:rPr>
          <w:rFonts w:ascii="Book Antiqua" w:hAnsi="Book Antiqua"/>
          <w:b/>
        </w:rPr>
        <w:t>70</w:t>
      </w:r>
      <w:r w:rsidRPr="00053796">
        <w:rPr>
          <w:rFonts w:ascii="Book Antiqua" w:hAnsi="Book Antiqua"/>
        </w:rPr>
        <w:t>: 1810-1814 [PMID: 21784730 DOI: 10.1136/ard.2011.152769]</w:t>
      </w:r>
    </w:p>
    <w:p w14:paraId="5EF2D405"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23 </w:t>
      </w:r>
      <w:r w:rsidRPr="00053796">
        <w:rPr>
          <w:rFonts w:ascii="Book Antiqua" w:hAnsi="Book Antiqua"/>
          <w:b/>
        </w:rPr>
        <w:t>Nouri A</w:t>
      </w:r>
      <w:r w:rsidRPr="00053796">
        <w:rPr>
          <w:rFonts w:ascii="Book Antiqua" w:hAnsi="Book Antiqua"/>
        </w:rPr>
        <w:t xml:space="preserve">, Walmsley D, </w:t>
      </w:r>
      <w:proofErr w:type="spellStart"/>
      <w:r w:rsidRPr="00053796">
        <w:rPr>
          <w:rFonts w:ascii="Book Antiqua" w:hAnsi="Book Antiqua"/>
        </w:rPr>
        <w:t>Pruszczynski</w:t>
      </w:r>
      <w:proofErr w:type="spellEnd"/>
      <w:r w:rsidRPr="00053796">
        <w:rPr>
          <w:rFonts w:ascii="Book Antiqua" w:hAnsi="Book Antiqua"/>
        </w:rPr>
        <w:t xml:space="preserve"> B, </w:t>
      </w:r>
      <w:proofErr w:type="spellStart"/>
      <w:r w:rsidRPr="00053796">
        <w:rPr>
          <w:rFonts w:ascii="Book Antiqua" w:hAnsi="Book Antiqua"/>
        </w:rPr>
        <w:t>Synder</w:t>
      </w:r>
      <w:proofErr w:type="spellEnd"/>
      <w:r w:rsidRPr="00053796">
        <w:rPr>
          <w:rFonts w:ascii="Book Antiqua" w:hAnsi="Book Antiqua"/>
        </w:rPr>
        <w:t xml:space="preserve"> M. Transient synovitis of the hip: a comprehensive review. </w:t>
      </w:r>
      <w:r w:rsidRPr="00053796">
        <w:rPr>
          <w:rFonts w:ascii="Book Antiqua" w:hAnsi="Book Antiqua"/>
          <w:i/>
        </w:rPr>
        <w:t xml:space="preserve">J </w:t>
      </w:r>
      <w:proofErr w:type="spellStart"/>
      <w:r w:rsidRPr="00053796">
        <w:rPr>
          <w:rFonts w:ascii="Book Antiqua" w:hAnsi="Book Antiqua"/>
          <w:i/>
        </w:rPr>
        <w:t>Pediatr</w:t>
      </w:r>
      <w:proofErr w:type="spellEnd"/>
      <w:r w:rsidRPr="00053796">
        <w:rPr>
          <w:rFonts w:ascii="Book Antiqua" w:hAnsi="Book Antiqua"/>
          <w:i/>
        </w:rPr>
        <w:t xml:space="preserve"> </w:t>
      </w:r>
      <w:proofErr w:type="spellStart"/>
      <w:r w:rsidRPr="00053796">
        <w:rPr>
          <w:rFonts w:ascii="Book Antiqua" w:hAnsi="Book Antiqua"/>
          <w:i/>
        </w:rPr>
        <w:t>Orthop</w:t>
      </w:r>
      <w:proofErr w:type="spellEnd"/>
      <w:r w:rsidRPr="00053796">
        <w:rPr>
          <w:rFonts w:ascii="Book Antiqua" w:hAnsi="Book Antiqua"/>
          <w:i/>
        </w:rPr>
        <w:t xml:space="preserve"> B</w:t>
      </w:r>
      <w:r w:rsidRPr="00053796">
        <w:rPr>
          <w:rFonts w:ascii="Book Antiqua" w:hAnsi="Book Antiqua"/>
        </w:rPr>
        <w:t xml:space="preserve"> 2014; </w:t>
      </w:r>
      <w:r w:rsidRPr="00053796">
        <w:rPr>
          <w:rFonts w:ascii="Book Antiqua" w:hAnsi="Book Antiqua"/>
          <w:b/>
        </w:rPr>
        <w:t>23</w:t>
      </w:r>
      <w:r w:rsidRPr="00053796">
        <w:rPr>
          <w:rFonts w:ascii="Book Antiqua" w:hAnsi="Book Antiqua"/>
        </w:rPr>
        <w:t>: 32-36 [PMID: 23812087 DOI: 10.1097/BPB.0b013e328363b5a3]</w:t>
      </w:r>
    </w:p>
    <w:p w14:paraId="24BCB7CF"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24 </w:t>
      </w:r>
      <w:proofErr w:type="spellStart"/>
      <w:r w:rsidRPr="00053796">
        <w:rPr>
          <w:rFonts w:ascii="Book Antiqua" w:hAnsi="Book Antiqua"/>
          <w:b/>
        </w:rPr>
        <w:t>Kastrissianakis</w:t>
      </w:r>
      <w:proofErr w:type="spellEnd"/>
      <w:r w:rsidRPr="00053796">
        <w:rPr>
          <w:rFonts w:ascii="Book Antiqua" w:hAnsi="Book Antiqua"/>
          <w:b/>
        </w:rPr>
        <w:t xml:space="preserve"> K</w:t>
      </w:r>
      <w:r w:rsidRPr="00053796">
        <w:rPr>
          <w:rFonts w:ascii="Book Antiqua" w:hAnsi="Book Antiqua"/>
        </w:rPr>
        <w:t xml:space="preserve">, Beattie TF. Transient synovitis of the hip: more evidence for a viral </w:t>
      </w:r>
      <w:proofErr w:type="spellStart"/>
      <w:r w:rsidRPr="00053796">
        <w:rPr>
          <w:rFonts w:ascii="Book Antiqua" w:hAnsi="Book Antiqua"/>
        </w:rPr>
        <w:t>aetiology</w:t>
      </w:r>
      <w:proofErr w:type="spellEnd"/>
      <w:r w:rsidRPr="00053796">
        <w:rPr>
          <w:rFonts w:ascii="Book Antiqua" w:hAnsi="Book Antiqua"/>
        </w:rPr>
        <w:t xml:space="preserve">. </w:t>
      </w:r>
      <w:proofErr w:type="spellStart"/>
      <w:r w:rsidRPr="00053796">
        <w:rPr>
          <w:rFonts w:ascii="Book Antiqua" w:hAnsi="Book Antiqua"/>
          <w:i/>
        </w:rPr>
        <w:t>Eur</w:t>
      </w:r>
      <w:proofErr w:type="spellEnd"/>
      <w:r w:rsidRPr="00053796">
        <w:rPr>
          <w:rFonts w:ascii="Book Antiqua" w:hAnsi="Book Antiqua"/>
          <w:i/>
        </w:rPr>
        <w:t xml:space="preserve"> J </w:t>
      </w:r>
      <w:proofErr w:type="spellStart"/>
      <w:r w:rsidRPr="00053796">
        <w:rPr>
          <w:rFonts w:ascii="Book Antiqua" w:hAnsi="Book Antiqua"/>
          <w:i/>
        </w:rPr>
        <w:t>Emerg</w:t>
      </w:r>
      <w:proofErr w:type="spellEnd"/>
      <w:r w:rsidRPr="00053796">
        <w:rPr>
          <w:rFonts w:ascii="Book Antiqua" w:hAnsi="Book Antiqua"/>
          <w:i/>
        </w:rPr>
        <w:t xml:space="preserve"> Med</w:t>
      </w:r>
      <w:r w:rsidRPr="00053796">
        <w:rPr>
          <w:rFonts w:ascii="Book Antiqua" w:hAnsi="Book Antiqua"/>
        </w:rPr>
        <w:t xml:space="preserve"> 2010; </w:t>
      </w:r>
      <w:r w:rsidRPr="00053796">
        <w:rPr>
          <w:rFonts w:ascii="Book Antiqua" w:hAnsi="Book Antiqua"/>
          <w:b/>
        </w:rPr>
        <w:t>17</w:t>
      </w:r>
      <w:r w:rsidRPr="00053796">
        <w:rPr>
          <w:rFonts w:ascii="Book Antiqua" w:hAnsi="Book Antiqua"/>
        </w:rPr>
        <w:t>: 270-273 [PMID: 20523221 DOI: 10.1097/MEJ.0b013e32832b1664]</w:t>
      </w:r>
    </w:p>
    <w:p w14:paraId="76E43A91" w14:textId="339FA29C" w:rsidR="005269FF" w:rsidRPr="00053796" w:rsidRDefault="005269FF" w:rsidP="00053796">
      <w:pPr>
        <w:spacing w:line="360" w:lineRule="auto"/>
        <w:jc w:val="both"/>
        <w:rPr>
          <w:rFonts w:ascii="Book Antiqua" w:hAnsi="Book Antiqua"/>
        </w:rPr>
      </w:pPr>
      <w:r w:rsidRPr="00053796">
        <w:rPr>
          <w:rFonts w:ascii="Book Antiqua" w:hAnsi="Book Antiqua"/>
        </w:rPr>
        <w:t xml:space="preserve">25 </w:t>
      </w:r>
      <w:proofErr w:type="spellStart"/>
      <w:r w:rsidRPr="00053796">
        <w:rPr>
          <w:rFonts w:ascii="Book Antiqua" w:hAnsi="Book Antiqua"/>
          <w:b/>
        </w:rPr>
        <w:t>Spyridakis</w:t>
      </w:r>
      <w:proofErr w:type="spellEnd"/>
      <w:r w:rsidRPr="00053796">
        <w:rPr>
          <w:rFonts w:ascii="Book Antiqua" w:hAnsi="Book Antiqua"/>
          <w:b/>
        </w:rPr>
        <w:t xml:space="preserve"> E</w:t>
      </w:r>
      <w:r w:rsidRPr="00053796">
        <w:rPr>
          <w:rFonts w:ascii="Book Antiqua" w:hAnsi="Book Antiqua"/>
        </w:rPr>
        <w:t xml:space="preserve">, Gerber JS, </w:t>
      </w:r>
      <w:proofErr w:type="spellStart"/>
      <w:r w:rsidRPr="00053796">
        <w:rPr>
          <w:rFonts w:ascii="Book Antiqua" w:hAnsi="Book Antiqua"/>
        </w:rPr>
        <w:t>Schriver</w:t>
      </w:r>
      <w:proofErr w:type="spellEnd"/>
      <w:r w:rsidRPr="00053796">
        <w:rPr>
          <w:rFonts w:ascii="Book Antiqua" w:hAnsi="Book Antiqua"/>
        </w:rPr>
        <w:t xml:space="preserve"> E, </w:t>
      </w:r>
      <w:proofErr w:type="spellStart"/>
      <w:r w:rsidRPr="00053796">
        <w:rPr>
          <w:rFonts w:ascii="Book Antiqua" w:hAnsi="Book Antiqua"/>
        </w:rPr>
        <w:t>Grundmeier</w:t>
      </w:r>
      <w:proofErr w:type="spellEnd"/>
      <w:r w:rsidRPr="00053796">
        <w:rPr>
          <w:rFonts w:ascii="Book Antiqua" w:hAnsi="Book Antiqua"/>
        </w:rPr>
        <w:t xml:space="preserve"> RW, </w:t>
      </w:r>
      <w:proofErr w:type="spellStart"/>
      <w:r w:rsidRPr="00053796">
        <w:rPr>
          <w:rFonts w:ascii="Book Antiqua" w:hAnsi="Book Antiqua"/>
        </w:rPr>
        <w:t>Porsch</w:t>
      </w:r>
      <w:proofErr w:type="spellEnd"/>
      <w:r w:rsidRPr="00053796">
        <w:rPr>
          <w:rFonts w:ascii="Book Antiqua" w:hAnsi="Book Antiqua"/>
        </w:rPr>
        <w:t xml:space="preserve"> EA, St </w:t>
      </w:r>
      <w:proofErr w:type="spellStart"/>
      <w:r w:rsidRPr="00053796">
        <w:rPr>
          <w:rFonts w:ascii="Book Antiqua" w:hAnsi="Book Antiqua"/>
        </w:rPr>
        <w:t>Geme</w:t>
      </w:r>
      <w:proofErr w:type="spellEnd"/>
      <w:r w:rsidRPr="00053796">
        <w:rPr>
          <w:rFonts w:ascii="Book Antiqua" w:hAnsi="Book Antiqua"/>
        </w:rPr>
        <w:t xml:space="preserve"> JW 3rd, Downes KJ. Clinical Features and Outcomes of Children with Culture-Negative Septic Arthritis. </w:t>
      </w:r>
      <w:r w:rsidRPr="00053796">
        <w:rPr>
          <w:rFonts w:ascii="Book Antiqua" w:hAnsi="Book Antiqua"/>
          <w:i/>
        </w:rPr>
        <w:t>J Pediatric Infect Dis Soc</w:t>
      </w:r>
      <w:r w:rsidRPr="00053796">
        <w:rPr>
          <w:rFonts w:ascii="Book Antiqua" w:hAnsi="Book Antiqua"/>
        </w:rPr>
        <w:t xml:space="preserve"> 2018; [PMID: 29718310 DOI: 10.1093/</w:t>
      </w:r>
      <w:proofErr w:type="spellStart"/>
      <w:r w:rsidRPr="00053796">
        <w:rPr>
          <w:rFonts w:ascii="Book Antiqua" w:hAnsi="Book Antiqua"/>
        </w:rPr>
        <w:t>jpids</w:t>
      </w:r>
      <w:proofErr w:type="spellEnd"/>
      <w:r w:rsidRPr="00053796">
        <w:rPr>
          <w:rFonts w:ascii="Book Antiqua" w:hAnsi="Book Antiqua"/>
        </w:rPr>
        <w:t>/piy034]</w:t>
      </w:r>
    </w:p>
    <w:p w14:paraId="2CA7B99F"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26 </w:t>
      </w:r>
      <w:r w:rsidRPr="00053796">
        <w:rPr>
          <w:rFonts w:ascii="Book Antiqua" w:hAnsi="Book Antiqua"/>
          <w:b/>
        </w:rPr>
        <w:t>Ting NT</w:t>
      </w:r>
      <w:r w:rsidRPr="00053796">
        <w:rPr>
          <w:rFonts w:ascii="Book Antiqua" w:hAnsi="Book Antiqua"/>
        </w:rPr>
        <w:t xml:space="preserve">, Della Valle CJ. Diagnosis of Periprosthetic Joint Infection-An Algorithm-Based Approach. </w:t>
      </w:r>
      <w:r w:rsidRPr="00053796">
        <w:rPr>
          <w:rFonts w:ascii="Book Antiqua" w:hAnsi="Book Antiqua"/>
          <w:i/>
        </w:rPr>
        <w:t>J Arthroplasty</w:t>
      </w:r>
      <w:r w:rsidRPr="00053796">
        <w:rPr>
          <w:rFonts w:ascii="Book Antiqua" w:hAnsi="Book Antiqua"/>
        </w:rPr>
        <w:t xml:space="preserve"> 2017; </w:t>
      </w:r>
      <w:r w:rsidRPr="00053796">
        <w:rPr>
          <w:rFonts w:ascii="Book Antiqua" w:hAnsi="Book Antiqua"/>
          <w:b/>
        </w:rPr>
        <w:t>32</w:t>
      </w:r>
      <w:r w:rsidRPr="00053796">
        <w:rPr>
          <w:rFonts w:ascii="Book Antiqua" w:hAnsi="Book Antiqua"/>
        </w:rPr>
        <w:t>: 2047-2050 [PMID: 28343826 DOI: 10.1016/j.arth.2017.02.070]</w:t>
      </w:r>
    </w:p>
    <w:p w14:paraId="3988E6CC" w14:textId="6B0C2B03" w:rsidR="005269FF" w:rsidRPr="00053796" w:rsidRDefault="005269FF" w:rsidP="00053796">
      <w:pPr>
        <w:spacing w:line="360" w:lineRule="auto"/>
        <w:jc w:val="both"/>
        <w:rPr>
          <w:rFonts w:ascii="Book Antiqua" w:hAnsi="Book Antiqua"/>
        </w:rPr>
      </w:pPr>
      <w:r w:rsidRPr="00053796">
        <w:rPr>
          <w:rFonts w:ascii="Book Antiqua" w:hAnsi="Book Antiqua"/>
        </w:rPr>
        <w:t xml:space="preserve">27 </w:t>
      </w:r>
      <w:r w:rsidRPr="00053796">
        <w:rPr>
          <w:rFonts w:ascii="Book Antiqua" w:hAnsi="Book Antiqua"/>
          <w:b/>
        </w:rPr>
        <w:t>Mirza SZ</w:t>
      </w:r>
      <w:r w:rsidRPr="00053796">
        <w:rPr>
          <w:rFonts w:ascii="Book Antiqua" w:hAnsi="Book Antiqua"/>
        </w:rPr>
        <w:t xml:space="preserve">, Richardson SS, </w:t>
      </w:r>
      <w:proofErr w:type="spellStart"/>
      <w:r w:rsidRPr="00053796">
        <w:rPr>
          <w:rFonts w:ascii="Book Antiqua" w:hAnsi="Book Antiqua"/>
        </w:rPr>
        <w:t>Kahlenberg</w:t>
      </w:r>
      <w:proofErr w:type="spellEnd"/>
      <w:r w:rsidRPr="00053796">
        <w:rPr>
          <w:rFonts w:ascii="Book Antiqua" w:hAnsi="Book Antiqua"/>
        </w:rPr>
        <w:t xml:space="preserve"> CA, Blevins JL, </w:t>
      </w:r>
      <w:proofErr w:type="spellStart"/>
      <w:r w:rsidRPr="00053796">
        <w:rPr>
          <w:rFonts w:ascii="Book Antiqua" w:hAnsi="Book Antiqua"/>
        </w:rPr>
        <w:t>Lautenbach</w:t>
      </w:r>
      <w:proofErr w:type="spellEnd"/>
      <w:r w:rsidRPr="00053796">
        <w:rPr>
          <w:rFonts w:ascii="Book Antiqua" w:hAnsi="Book Antiqua"/>
        </w:rPr>
        <w:t xml:space="preserve"> C, </w:t>
      </w:r>
      <w:proofErr w:type="spellStart"/>
      <w:r w:rsidRPr="00053796">
        <w:rPr>
          <w:rFonts w:ascii="Book Antiqua" w:hAnsi="Book Antiqua"/>
        </w:rPr>
        <w:t>Demetres</w:t>
      </w:r>
      <w:proofErr w:type="spellEnd"/>
      <w:r w:rsidRPr="00053796">
        <w:rPr>
          <w:rFonts w:ascii="Book Antiqua" w:hAnsi="Book Antiqua"/>
        </w:rPr>
        <w:t xml:space="preserve"> M, Martin L, </w:t>
      </w:r>
      <w:proofErr w:type="spellStart"/>
      <w:r w:rsidRPr="00053796">
        <w:rPr>
          <w:rFonts w:ascii="Book Antiqua" w:hAnsi="Book Antiqua"/>
        </w:rPr>
        <w:t>Szymonifka</w:t>
      </w:r>
      <w:proofErr w:type="spellEnd"/>
      <w:r w:rsidRPr="00053796">
        <w:rPr>
          <w:rFonts w:ascii="Book Antiqua" w:hAnsi="Book Antiqua"/>
        </w:rPr>
        <w:t xml:space="preserve"> J, </w:t>
      </w:r>
      <w:proofErr w:type="spellStart"/>
      <w:r w:rsidRPr="00053796">
        <w:rPr>
          <w:rFonts w:ascii="Book Antiqua" w:hAnsi="Book Antiqua"/>
        </w:rPr>
        <w:t>Sculco</w:t>
      </w:r>
      <w:proofErr w:type="spellEnd"/>
      <w:r w:rsidRPr="00053796">
        <w:rPr>
          <w:rFonts w:ascii="Book Antiqua" w:hAnsi="Book Antiqua"/>
        </w:rPr>
        <w:t xml:space="preserve"> PK, Figgie MP, Goodman SM. Diagnosing Prosthetic Joint Infections in Patients </w:t>
      </w:r>
      <w:r w:rsidR="00E00627" w:rsidRPr="00053796">
        <w:rPr>
          <w:rFonts w:ascii="Book Antiqua" w:hAnsi="Book Antiqua"/>
        </w:rPr>
        <w:t xml:space="preserve">With </w:t>
      </w:r>
      <w:r w:rsidRPr="00053796">
        <w:rPr>
          <w:rFonts w:ascii="Book Antiqua" w:hAnsi="Book Antiqua"/>
        </w:rPr>
        <w:t xml:space="preserve">Inflammatory Arthritis: A Systematic Literature Review. </w:t>
      </w:r>
      <w:r w:rsidRPr="00053796">
        <w:rPr>
          <w:rFonts w:ascii="Book Antiqua" w:hAnsi="Book Antiqua"/>
          <w:i/>
        </w:rPr>
        <w:t>J Arthroplasty</w:t>
      </w:r>
      <w:r w:rsidRPr="00053796">
        <w:rPr>
          <w:rFonts w:ascii="Book Antiqua" w:hAnsi="Book Antiqua"/>
        </w:rPr>
        <w:t xml:space="preserve"> 2019; </w:t>
      </w:r>
      <w:r w:rsidRPr="00053796">
        <w:rPr>
          <w:rFonts w:ascii="Book Antiqua" w:hAnsi="Book Antiqua"/>
          <w:b/>
        </w:rPr>
        <w:t>34</w:t>
      </w:r>
      <w:r w:rsidRPr="00053796">
        <w:rPr>
          <w:rFonts w:ascii="Book Antiqua" w:hAnsi="Book Antiqua"/>
        </w:rPr>
        <w:t>: 1032-1036.e2 [PMID: 30846314 DOI: 10.1016/j.arth.2019.01.051]</w:t>
      </w:r>
    </w:p>
    <w:p w14:paraId="540AF860"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28 </w:t>
      </w:r>
      <w:r w:rsidRPr="00053796">
        <w:rPr>
          <w:rFonts w:ascii="Book Antiqua" w:hAnsi="Book Antiqua"/>
          <w:b/>
        </w:rPr>
        <w:t>Carpenter CR</w:t>
      </w:r>
      <w:r w:rsidRPr="00053796">
        <w:rPr>
          <w:rFonts w:ascii="Book Antiqua" w:hAnsi="Book Antiqua"/>
        </w:rPr>
        <w:t xml:space="preserve">, Schuur JD, Everett WW, Pines JM. Evidence-based diagnostics: adult septic arthritis. </w:t>
      </w:r>
      <w:proofErr w:type="spellStart"/>
      <w:r w:rsidRPr="00053796">
        <w:rPr>
          <w:rFonts w:ascii="Book Antiqua" w:hAnsi="Book Antiqua"/>
          <w:i/>
        </w:rPr>
        <w:t>Acad</w:t>
      </w:r>
      <w:proofErr w:type="spellEnd"/>
      <w:r w:rsidRPr="00053796">
        <w:rPr>
          <w:rFonts w:ascii="Book Antiqua" w:hAnsi="Book Antiqua"/>
          <w:i/>
        </w:rPr>
        <w:t xml:space="preserve"> </w:t>
      </w:r>
      <w:proofErr w:type="spellStart"/>
      <w:r w:rsidRPr="00053796">
        <w:rPr>
          <w:rFonts w:ascii="Book Antiqua" w:hAnsi="Book Antiqua"/>
          <w:i/>
        </w:rPr>
        <w:t>Emerg</w:t>
      </w:r>
      <w:proofErr w:type="spellEnd"/>
      <w:r w:rsidRPr="00053796">
        <w:rPr>
          <w:rFonts w:ascii="Book Antiqua" w:hAnsi="Book Antiqua"/>
          <w:i/>
        </w:rPr>
        <w:t xml:space="preserve"> Med</w:t>
      </w:r>
      <w:r w:rsidRPr="00053796">
        <w:rPr>
          <w:rFonts w:ascii="Book Antiqua" w:hAnsi="Book Antiqua"/>
        </w:rPr>
        <w:t xml:space="preserve"> 2011; </w:t>
      </w:r>
      <w:r w:rsidRPr="00053796">
        <w:rPr>
          <w:rFonts w:ascii="Book Antiqua" w:hAnsi="Book Antiqua"/>
          <w:b/>
        </w:rPr>
        <w:t>18</w:t>
      </w:r>
      <w:r w:rsidRPr="00053796">
        <w:rPr>
          <w:rFonts w:ascii="Book Antiqua" w:hAnsi="Book Antiqua"/>
        </w:rPr>
        <w:t>: 781-796 [PMID: 21843213 DOI: 10.1111/j.1553-2712.2011.01121.x]</w:t>
      </w:r>
    </w:p>
    <w:p w14:paraId="43E753AA" w14:textId="77777777" w:rsidR="005269FF" w:rsidRPr="00053796" w:rsidRDefault="005269FF" w:rsidP="00053796">
      <w:pPr>
        <w:spacing w:line="360" w:lineRule="auto"/>
        <w:jc w:val="both"/>
        <w:rPr>
          <w:rFonts w:ascii="Book Antiqua" w:hAnsi="Book Antiqua"/>
        </w:rPr>
      </w:pPr>
      <w:r w:rsidRPr="00053796">
        <w:rPr>
          <w:rFonts w:ascii="Book Antiqua" w:hAnsi="Book Antiqua"/>
        </w:rPr>
        <w:lastRenderedPageBreak/>
        <w:t xml:space="preserve">29 </w:t>
      </w:r>
      <w:proofErr w:type="spellStart"/>
      <w:r w:rsidRPr="00053796">
        <w:rPr>
          <w:rFonts w:ascii="Book Antiqua" w:hAnsi="Book Antiqua"/>
          <w:b/>
        </w:rPr>
        <w:t>Hindle</w:t>
      </w:r>
      <w:proofErr w:type="spellEnd"/>
      <w:r w:rsidRPr="00053796">
        <w:rPr>
          <w:rFonts w:ascii="Book Antiqua" w:hAnsi="Book Antiqua"/>
          <w:b/>
        </w:rPr>
        <w:t xml:space="preserve"> P</w:t>
      </w:r>
      <w:r w:rsidRPr="00053796">
        <w:rPr>
          <w:rFonts w:ascii="Book Antiqua" w:hAnsi="Book Antiqua"/>
        </w:rPr>
        <w:t xml:space="preserve">, Davidson E, </w:t>
      </w:r>
      <w:proofErr w:type="spellStart"/>
      <w:r w:rsidRPr="00053796">
        <w:rPr>
          <w:rFonts w:ascii="Book Antiqua" w:hAnsi="Book Antiqua"/>
        </w:rPr>
        <w:t>Biant</w:t>
      </w:r>
      <w:proofErr w:type="spellEnd"/>
      <w:r w:rsidRPr="00053796">
        <w:rPr>
          <w:rFonts w:ascii="Book Antiqua" w:hAnsi="Book Antiqua"/>
        </w:rPr>
        <w:t xml:space="preserve"> LC. Septic arthritis of the knee: the use and effect of antibiotics prior to diagnostic aspiration. </w:t>
      </w:r>
      <w:r w:rsidRPr="00053796">
        <w:rPr>
          <w:rFonts w:ascii="Book Antiqua" w:hAnsi="Book Antiqua"/>
          <w:i/>
        </w:rPr>
        <w:t xml:space="preserve">Ann R Coll </w:t>
      </w:r>
      <w:proofErr w:type="spellStart"/>
      <w:r w:rsidRPr="00053796">
        <w:rPr>
          <w:rFonts w:ascii="Book Antiqua" w:hAnsi="Book Antiqua"/>
          <w:i/>
        </w:rPr>
        <w:t>Surg</w:t>
      </w:r>
      <w:proofErr w:type="spellEnd"/>
      <w:r w:rsidRPr="00053796">
        <w:rPr>
          <w:rFonts w:ascii="Book Antiqua" w:hAnsi="Book Antiqua"/>
          <w:i/>
        </w:rPr>
        <w:t xml:space="preserve"> </w:t>
      </w:r>
      <w:proofErr w:type="spellStart"/>
      <w:r w:rsidRPr="00053796">
        <w:rPr>
          <w:rFonts w:ascii="Book Antiqua" w:hAnsi="Book Antiqua"/>
          <w:i/>
        </w:rPr>
        <w:t>Engl</w:t>
      </w:r>
      <w:proofErr w:type="spellEnd"/>
      <w:r w:rsidRPr="00053796">
        <w:rPr>
          <w:rFonts w:ascii="Book Antiqua" w:hAnsi="Book Antiqua"/>
        </w:rPr>
        <w:t xml:space="preserve"> 2012; </w:t>
      </w:r>
      <w:r w:rsidRPr="00053796">
        <w:rPr>
          <w:rFonts w:ascii="Book Antiqua" w:hAnsi="Book Antiqua"/>
          <w:b/>
        </w:rPr>
        <w:t>94</w:t>
      </w:r>
      <w:r w:rsidRPr="00053796">
        <w:rPr>
          <w:rFonts w:ascii="Book Antiqua" w:hAnsi="Book Antiqua"/>
        </w:rPr>
        <w:t>: 351-355 [PMID: 22943233 DOI: 10.1308/003588412X13171221591015]</w:t>
      </w:r>
    </w:p>
    <w:p w14:paraId="1C8183F7" w14:textId="77777777" w:rsidR="005269FF" w:rsidRPr="00053796" w:rsidRDefault="005269FF" w:rsidP="00053796">
      <w:pPr>
        <w:spacing w:line="360" w:lineRule="auto"/>
        <w:jc w:val="both"/>
        <w:rPr>
          <w:rFonts w:ascii="Book Antiqua" w:hAnsi="Book Antiqua"/>
        </w:rPr>
      </w:pPr>
      <w:r w:rsidRPr="00053796">
        <w:rPr>
          <w:rFonts w:ascii="Book Antiqua" w:hAnsi="Book Antiqua"/>
        </w:rPr>
        <w:t xml:space="preserve">30 </w:t>
      </w:r>
      <w:proofErr w:type="spellStart"/>
      <w:r w:rsidRPr="00053796">
        <w:rPr>
          <w:rFonts w:ascii="Book Antiqua" w:hAnsi="Book Antiqua"/>
          <w:b/>
        </w:rPr>
        <w:t>Shmerling</w:t>
      </w:r>
      <w:proofErr w:type="spellEnd"/>
      <w:r w:rsidRPr="00053796">
        <w:rPr>
          <w:rFonts w:ascii="Book Antiqua" w:hAnsi="Book Antiqua"/>
          <w:b/>
        </w:rPr>
        <w:t xml:space="preserve"> RH</w:t>
      </w:r>
      <w:r w:rsidRPr="00053796">
        <w:rPr>
          <w:rFonts w:ascii="Book Antiqua" w:hAnsi="Book Antiqua"/>
        </w:rPr>
        <w:t xml:space="preserve">, Delbanco TL, </w:t>
      </w:r>
      <w:proofErr w:type="spellStart"/>
      <w:r w:rsidRPr="00053796">
        <w:rPr>
          <w:rFonts w:ascii="Book Antiqua" w:hAnsi="Book Antiqua"/>
        </w:rPr>
        <w:t>Tosteson</w:t>
      </w:r>
      <w:proofErr w:type="spellEnd"/>
      <w:r w:rsidRPr="00053796">
        <w:rPr>
          <w:rFonts w:ascii="Book Antiqua" w:hAnsi="Book Antiqua"/>
        </w:rPr>
        <w:t xml:space="preserve"> AN, Trentham DE. Synovial fluid tests. What should be ordered? </w:t>
      </w:r>
      <w:r w:rsidRPr="00053796">
        <w:rPr>
          <w:rFonts w:ascii="Book Antiqua" w:hAnsi="Book Antiqua"/>
          <w:i/>
        </w:rPr>
        <w:t>JAMA</w:t>
      </w:r>
      <w:r w:rsidRPr="00053796">
        <w:rPr>
          <w:rFonts w:ascii="Book Antiqua" w:hAnsi="Book Antiqua"/>
        </w:rPr>
        <w:t xml:space="preserve"> 1990; </w:t>
      </w:r>
      <w:r w:rsidRPr="00053796">
        <w:rPr>
          <w:rFonts w:ascii="Book Antiqua" w:hAnsi="Book Antiqua"/>
          <w:b/>
        </w:rPr>
        <w:t>264</w:t>
      </w:r>
      <w:r w:rsidRPr="00053796">
        <w:rPr>
          <w:rFonts w:ascii="Book Antiqua" w:hAnsi="Book Antiqua"/>
        </w:rPr>
        <w:t>: 1009-1014 [PMID: 2198352 DOI: 10.1001/jama.264.8.1009]</w:t>
      </w:r>
    </w:p>
    <w:p w14:paraId="2FB06117" w14:textId="768E0C01" w:rsidR="005269FF" w:rsidRPr="00053796" w:rsidRDefault="005269FF" w:rsidP="00053796">
      <w:pPr>
        <w:spacing w:line="360" w:lineRule="auto"/>
        <w:jc w:val="both"/>
        <w:rPr>
          <w:rFonts w:ascii="Book Antiqua" w:hAnsi="Book Antiqua"/>
        </w:rPr>
      </w:pPr>
      <w:r w:rsidRPr="00053796">
        <w:rPr>
          <w:rFonts w:ascii="Book Antiqua" w:hAnsi="Book Antiqua"/>
        </w:rPr>
        <w:t xml:space="preserve">31 </w:t>
      </w:r>
      <w:proofErr w:type="spellStart"/>
      <w:r w:rsidRPr="00053796">
        <w:rPr>
          <w:rFonts w:ascii="Book Antiqua" w:hAnsi="Book Antiqua"/>
          <w:b/>
        </w:rPr>
        <w:t>Choe</w:t>
      </w:r>
      <w:proofErr w:type="spellEnd"/>
      <w:r w:rsidRPr="00053796">
        <w:rPr>
          <w:rFonts w:ascii="Book Antiqua" w:hAnsi="Book Antiqua"/>
          <w:b/>
        </w:rPr>
        <w:t xml:space="preserve"> H</w:t>
      </w:r>
      <w:r w:rsidRPr="00053796">
        <w:rPr>
          <w:rFonts w:ascii="Book Antiqua" w:hAnsi="Book Antiqua"/>
        </w:rPr>
        <w:t xml:space="preserve">, </w:t>
      </w:r>
      <w:proofErr w:type="spellStart"/>
      <w:r w:rsidRPr="00053796">
        <w:rPr>
          <w:rFonts w:ascii="Book Antiqua" w:hAnsi="Book Antiqua"/>
        </w:rPr>
        <w:t>Deirmengian</w:t>
      </w:r>
      <w:proofErr w:type="spellEnd"/>
      <w:r w:rsidRPr="00053796">
        <w:rPr>
          <w:rFonts w:ascii="Book Antiqua" w:hAnsi="Book Antiqua"/>
        </w:rPr>
        <w:t xml:space="preserve"> CA, Hickok NJ, Morrison TN, Tuan RS. Molecular diagnostics. </w:t>
      </w:r>
      <w:r w:rsidRPr="00053796">
        <w:rPr>
          <w:rFonts w:ascii="Book Antiqua" w:hAnsi="Book Antiqua"/>
          <w:i/>
        </w:rPr>
        <w:t xml:space="preserve">J Am </w:t>
      </w:r>
      <w:proofErr w:type="spellStart"/>
      <w:r w:rsidRPr="00053796">
        <w:rPr>
          <w:rFonts w:ascii="Book Antiqua" w:hAnsi="Book Antiqua"/>
          <w:i/>
        </w:rPr>
        <w:t>Acad</w:t>
      </w:r>
      <w:proofErr w:type="spellEnd"/>
      <w:r w:rsidRPr="00053796">
        <w:rPr>
          <w:rFonts w:ascii="Book Antiqua" w:hAnsi="Book Antiqua"/>
          <w:i/>
        </w:rPr>
        <w:t xml:space="preserve"> </w:t>
      </w:r>
      <w:proofErr w:type="spellStart"/>
      <w:r w:rsidRPr="00053796">
        <w:rPr>
          <w:rFonts w:ascii="Book Antiqua" w:hAnsi="Book Antiqua"/>
          <w:i/>
        </w:rPr>
        <w:t>Orthop</w:t>
      </w:r>
      <w:proofErr w:type="spellEnd"/>
      <w:r w:rsidRPr="00053796">
        <w:rPr>
          <w:rFonts w:ascii="Book Antiqua" w:hAnsi="Book Antiqua"/>
          <w:i/>
        </w:rPr>
        <w:t xml:space="preserve"> </w:t>
      </w:r>
      <w:proofErr w:type="spellStart"/>
      <w:r w:rsidRPr="00053796">
        <w:rPr>
          <w:rFonts w:ascii="Book Antiqua" w:hAnsi="Book Antiqua"/>
          <w:i/>
        </w:rPr>
        <w:t>Surg</w:t>
      </w:r>
      <w:proofErr w:type="spellEnd"/>
      <w:r w:rsidRPr="00053796">
        <w:rPr>
          <w:rFonts w:ascii="Book Antiqua" w:hAnsi="Book Antiqua"/>
        </w:rPr>
        <w:t xml:space="preserve"> 2015; </w:t>
      </w:r>
      <w:r w:rsidRPr="00053796">
        <w:rPr>
          <w:rFonts w:ascii="Book Antiqua" w:hAnsi="Book Antiqua"/>
          <w:b/>
        </w:rPr>
        <w:t xml:space="preserve">23 </w:t>
      </w:r>
      <w:r w:rsidRPr="006F0303">
        <w:rPr>
          <w:rFonts w:ascii="Book Antiqua" w:hAnsi="Book Antiqua"/>
          <w:bCs/>
        </w:rPr>
        <w:t>Suppl</w:t>
      </w:r>
      <w:r w:rsidRPr="00053796">
        <w:rPr>
          <w:rFonts w:ascii="Book Antiqua" w:hAnsi="Book Antiqua"/>
        </w:rPr>
        <w:t>: S26-S31 [PMID: 25808967 DOI: 10.5435/JAAOS-D-14-00409]</w:t>
      </w:r>
    </w:p>
    <w:p w14:paraId="426F6CC3" w14:textId="4CF1E9DC" w:rsidR="00E00627" w:rsidRPr="00053796" w:rsidRDefault="00E00627" w:rsidP="00053796">
      <w:pPr>
        <w:spacing w:line="360" w:lineRule="auto"/>
        <w:jc w:val="both"/>
        <w:rPr>
          <w:rFonts w:ascii="Book Antiqua" w:hAnsi="Book Antiqua"/>
        </w:rPr>
      </w:pPr>
    </w:p>
    <w:p w14:paraId="3E8FC98B" w14:textId="77777777" w:rsidR="00E00627" w:rsidRPr="00053796" w:rsidRDefault="00E00627" w:rsidP="00053796">
      <w:pPr>
        <w:snapToGrid w:val="0"/>
        <w:spacing w:line="360" w:lineRule="auto"/>
        <w:ind w:left="361" w:hangingChars="150" w:hanging="361"/>
        <w:jc w:val="both"/>
        <w:rPr>
          <w:rFonts w:ascii="Book Antiqua" w:hAnsi="Book Antiqua"/>
          <w:lang w:eastAsia="zh-CN"/>
        </w:rPr>
      </w:pPr>
      <w:bookmarkStart w:id="38" w:name="_Hlk17289862"/>
      <w:r w:rsidRPr="00053796">
        <w:rPr>
          <w:rFonts w:ascii="Book Antiqua" w:hAnsi="Book Antiqua"/>
          <w:b/>
          <w:bCs/>
        </w:rPr>
        <w:t xml:space="preserve">P-Reviewer: </w:t>
      </w:r>
      <w:proofErr w:type="spellStart"/>
      <w:r w:rsidRPr="00053796">
        <w:rPr>
          <w:rFonts w:ascii="Book Antiqua" w:hAnsi="Book Antiqua"/>
          <w:lang w:eastAsia="zh-CN"/>
        </w:rPr>
        <w:t>Sitkin</w:t>
      </w:r>
      <w:proofErr w:type="spellEnd"/>
      <w:r w:rsidRPr="00053796">
        <w:rPr>
          <w:rFonts w:ascii="Book Antiqua" w:hAnsi="Book Antiqua"/>
          <w:lang w:eastAsia="zh-CN"/>
        </w:rPr>
        <w:t xml:space="preserve"> S</w:t>
      </w:r>
      <w:r w:rsidRPr="00053796">
        <w:rPr>
          <w:rFonts w:ascii="Book Antiqua" w:hAnsi="Book Antiqua"/>
          <w:b/>
          <w:bCs/>
          <w:lang w:eastAsia="zh-CN"/>
        </w:rPr>
        <w:t xml:space="preserve">, </w:t>
      </w:r>
      <w:r w:rsidRPr="00053796">
        <w:rPr>
          <w:rFonts w:ascii="Book Antiqua" w:eastAsia="DengXian" w:hAnsi="Book Antiqua"/>
          <w:shd w:val="clear" w:color="auto" w:fill="FFFFFF"/>
          <w:lang w:eastAsia="zh-CN"/>
        </w:rPr>
        <w:t>Ueda</w:t>
      </w:r>
      <w:r w:rsidRPr="00053796">
        <w:rPr>
          <w:rFonts w:ascii="Book Antiqua" w:eastAsia="DengXian" w:hAnsi="Book Antiqua"/>
          <w:b/>
          <w:bCs/>
          <w:shd w:val="clear" w:color="auto" w:fill="FFFFFF"/>
          <w:lang w:eastAsia="zh-CN"/>
        </w:rPr>
        <w:t xml:space="preserve"> </w:t>
      </w:r>
      <w:r w:rsidRPr="00053796">
        <w:rPr>
          <w:rFonts w:ascii="Book Antiqua" w:eastAsia="DengXian" w:hAnsi="Book Antiqua"/>
          <w:shd w:val="clear" w:color="auto" w:fill="FFFFFF"/>
          <w:lang w:eastAsia="zh-CN"/>
        </w:rPr>
        <w:t xml:space="preserve">H, </w:t>
      </w:r>
      <w:r w:rsidRPr="00053796">
        <w:rPr>
          <w:rFonts w:ascii="Book Antiqua" w:hAnsi="Book Antiqua"/>
          <w:lang w:eastAsia="zh-CN"/>
        </w:rPr>
        <w:t xml:space="preserve">Yang MS </w:t>
      </w:r>
      <w:r w:rsidRPr="00053796">
        <w:rPr>
          <w:rFonts w:ascii="Book Antiqua" w:hAnsi="Book Antiqua"/>
          <w:b/>
          <w:bCs/>
        </w:rPr>
        <w:t>S-Editor:</w:t>
      </w:r>
      <w:r w:rsidRPr="00053796">
        <w:rPr>
          <w:rFonts w:ascii="Book Antiqua" w:hAnsi="Book Antiqua"/>
        </w:rPr>
        <w:t xml:space="preserve"> Zhang L </w:t>
      </w:r>
      <w:r w:rsidRPr="00053796">
        <w:rPr>
          <w:rFonts w:ascii="Book Antiqua" w:hAnsi="Book Antiqua"/>
          <w:b/>
          <w:bCs/>
        </w:rPr>
        <w:t>L-Editor:</w:t>
      </w:r>
      <w:r w:rsidRPr="00053796">
        <w:rPr>
          <w:rFonts w:ascii="Book Antiqua" w:hAnsi="Book Antiqua"/>
        </w:rPr>
        <w:t xml:space="preserve"> </w:t>
      </w:r>
      <w:r w:rsidRPr="00053796">
        <w:rPr>
          <w:rFonts w:ascii="Book Antiqua" w:hAnsi="Book Antiqua"/>
          <w:b/>
          <w:bCs/>
        </w:rPr>
        <w:t>E-Editor:</w:t>
      </w:r>
    </w:p>
    <w:p w14:paraId="2D33AF4A" w14:textId="77777777" w:rsidR="00E00627" w:rsidRPr="00053796" w:rsidRDefault="00E00627" w:rsidP="00053796">
      <w:pPr>
        <w:shd w:val="clear" w:color="auto" w:fill="FFFFFF"/>
        <w:snapToGrid w:val="0"/>
        <w:spacing w:line="360" w:lineRule="auto"/>
        <w:jc w:val="both"/>
        <w:rPr>
          <w:rFonts w:ascii="Book Antiqua" w:hAnsi="Book Antiqua" w:cs="Helvetica"/>
          <w:b/>
        </w:rPr>
      </w:pPr>
    </w:p>
    <w:p w14:paraId="32D882E6" w14:textId="77777777" w:rsidR="00E00627" w:rsidRPr="00053796" w:rsidRDefault="00E00627" w:rsidP="00053796">
      <w:pPr>
        <w:shd w:val="clear" w:color="auto" w:fill="FFFFFF"/>
        <w:snapToGrid w:val="0"/>
        <w:spacing w:line="360" w:lineRule="auto"/>
        <w:jc w:val="both"/>
        <w:rPr>
          <w:rFonts w:ascii="Book Antiqua" w:eastAsia="Microsoft YaHei" w:hAnsi="Book Antiqua" w:cs="SimSun"/>
        </w:rPr>
      </w:pPr>
      <w:r w:rsidRPr="00053796">
        <w:rPr>
          <w:rFonts w:ascii="Book Antiqua" w:hAnsi="Book Antiqua" w:cs="Helvetica"/>
          <w:b/>
        </w:rPr>
        <w:t xml:space="preserve">Specialty type: </w:t>
      </w:r>
      <w:r w:rsidRPr="00053796">
        <w:rPr>
          <w:rFonts w:ascii="Book Antiqua" w:eastAsia="Microsoft YaHei" w:hAnsi="Book Antiqua" w:cs="SimSun"/>
        </w:rPr>
        <w:t xml:space="preserve">Orthopedics </w:t>
      </w:r>
    </w:p>
    <w:p w14:paraId="3722834D" w14:textId="77777777" w:rsidR="00E00627" w:rsidRPr="00053796" w:rsidRDefault="00E00627" w:rsidP="00053796">
      <w:pPr>
        <w:shd w:val="clear" w:color="auto" w:fill="FFFFFF"/>
        <w:snapToGrid w:val="0"/>
        <w:spacing w:line="360" w:lineRule="auto"/>
        <w:jc w:val="both"/>
        <w:rPr>
          <w:rFonts w:ascii="Book Antiqua" w:hAnsi="Book Antiqua" w:cs="Helvetica"/>
        </w:rPr>
      </w:pPr>
      <w:r w:rsidRPr="00053796">
        <w:rPr>
          <w:rFonts w:ascii="Book Antiqua" w:hAnsi="Book Antiqua" w:cs="Helvetica"/>
          <w:b/>
        </w:rPr>
        <w:t xml:space="preserve">Country of origin: </w:t>
      </w:r>
      <w:r w:rsidRPr="00053796">
        <w:rPr>
          <w:rFonts w:ascii="Book Antiqua" w:hAnsi="Book Antiqua" w:cs="Helvetica"/>
        </w:rPr>
        <w:t>United States</w:t>
      </w:r>
    </w:p>
    <w:p w14:paraId="42140155" w14:textId="77777777" w:rsidR="00E00627" w:rsidRPr="00053796" w:rsidRDefault="00E00627" w:rsidP="00053796">
      <w:pPr>
        <w:shd w:val="clear" w:color="auto" w:fill="FFFFFF"/>
        <w:snapToGrid w:val="0"/>
        <w:spacing w:line="360" w:lineRule="auto"/>
        <w:jc w:val="both"/>
        <w:rPr>
          <w:rFonts w:ascii="Book Antiqua" w:hAnsi="Book Antiqua" w:cs="Helvetica"/>
          <w:b/>
        </w:rPr>
      </w:pPr>
      <w:r w:rsidRPr="00053796">
        <w:rPr>
          <w:rFonts w:ascii="Book Antiqua" w:hAnsi="Book Antiqua" w:cs="Helvetica"/>
          <w:b/>
        </w:rPr>
        <w:t>Peer-review report classification</w:t>
      </w:r>
    </w:p>
    <w:p w14:paraId="1483E3FC" w14:textId="77777777" w:rsidR="00E00627" w:rsidRPr="00053796" w:rsidRDefault="00E00627" w:rsidP="00053796">
      <w:pPr>
        <w:shd w:val="clear" w:color="auto" w:fill="FFFFFF"/>
        <w:snapToGrid w:val="0"/>
        <w:spacing w:line="360" w:lineRule="auto"/>
        <w:jc w:val="both"/>
        <w:rPr>
          <w:rFonts w:ascii="Book Antiqua" w:hAnsi="Book Antiqua" w:cs="Helvetica"/>
        </w:rPr>
      </w:pPr>
      <w:r w:rsidRPr="00053796">
        <w:rPr>
          <w:rFonts w:ascii="Book Antiqua" w:hAnsi="Book Antiqua" w:cs="Helvetica"/>
        </w:rPr>
        <w:t>Grade A (Excellent): 0</w:t>
      </w:r>
    </w:p>
    <w:p w14:paraId="22CE06AD" w14:textId="77777777" w:rsidR="00E00627" w:rsidRPr="00053796" w:rsidRDefault="00E00627" w:rsidP="00053796">
      <w:pPr>
        <w:shd w:val="clear" w:color="auto" w:fill="FFFFFF"/>
        <w:snapToGrid w:val="0"/>
        <w:spacing w:line="360" w:lineRule="auto"/>
        <w:jc w:val="both"/>
        <w:rPr>
          <w:rFonts w:ascii="Book Antiqua" w:hAnsi="Book Antiqua" w:cs="Helvetica"/>
        </w:rPr>
      </w:pPr>
      <w:r w:rsidRPr="00053796">
        <w:rPr>
          <w:rFonts w:ascii="Book Antiqua" w:hAnsi="Book Antiqua" w:cs="Helvetica"/>
        </w:rPr>
        <w:t>Grade B (Very good): B</w:t>
      </w:r>
    </w:p>
    <w:p w14:paraId="54E2E34D" w14:textId="77777777" w:rsidR="00E00627" w:rsidRPr="00053796" w:rsidRDefault="00E00627" w:rsidP="00053796">
      <w:pPr>
        <w:shd w:val="clear" w:color="auto" w:fill="FFFFFF"/>
        <w:snapToGrid w:val="0"/>
        <w:spacing w:line="360" w:lineRule="auto"/>
        <w:jc w:val="both"/>
        <w:rPr>
          <w:rFonts w:ascii="Book Antiqua" w:hAnsi="Book Antiqua" w:cs="Helvetica"/>
        </w:rPr>
      </w:pPr>
      <w:r w:rsidRPr="00053796">
        <w:rPr>
          <w:rFonts w:ascii="Book Antiqua" w:hAnsi="Book Antiqua" w:cs="Helvetica"/>
        </w:rPr>
        <w:t>Grade C (Good): C, C</w:t>
      </w:r>
    </w:p>
    <w:p w14:paraId="1F36F39E" w14:textId="77777777" w:rsidR="00E00627" w:rsidRPr="00053796" w:rsidRDefault="00E00627" w:rsidP="00053796">
      <w:pPr>
        <w:shd w:val="clear" w:color="auto" w:fill="FFFFFF"/>
        <w:snapToGrid w:val="0"/>
        <w:spacing w:line="360" w:lineRule="auto"/>
        <w:jc w:val="both"/>
        <w:rPr>
          <w:rFonts w:ascii="Book Antiqua" w:hAnsi="Book Antiqua" w:cs="Helvetica"/>
        </w:rPr>
      </w:pPr>
      <w:r w:rsidRPr="00053796">
        <w:rPr>
          <w:rFonts w:ascii="Book Antiqua" w:hAnsi="Book Antiqua" w:cs="Helvetica"/>
        </w:rPr>
        <w:t>Grade D (Fair): 0</w:t>
      </w:r>
    </w:p>
    <w:p w14:paraId="1A2CA46E" w14:textId="77777777" w:rsidR="00E00627" w:rsidRPr="00053796" w:rsidRDefault="00E00627" w:rsidP="00053796">
      <w:pPr>
        <w:shd w:val="clear" w:color="auto" w:fill="FFFFFF"/>
        <w:snapToGrid w:val="0"/>
        <w:spacing w:line="360" w:lineRule="auto"/>
        <w:jc w:val="both"/>
        <w:rPr>
          <w:rFonts w:ascii="Book Antiqua" w:hAnsi="Book Antiqua" w:cs="Helvetica"/>
        </w:rPr>
      </w:pPr>
      <w:r w:rsidRPr="00053796">
        <w:rPr>
          <w:rFonts w:ascii="Book Antiqua" w:hAnsi="Book Antiqua" w:cs="Helvetica"/>
        </w:rPr>
        <w:t>Grade E (Poor): 0</w:t>
      </w:r>
    </w:p>
    <w:bookmarkEnd w:id="38"/>
    <w:p w14:paraId="77A574F6" w14:textId="77777777" w:rsidR="00E00627" w:rsidRPr="00053796" w:rsidRDefault="00E00627" w:rsidP="00053796">
      <w:pPr>
        <w:spacing w:line="360" w:lineRule="auto"/>
        <w:jc w:val="both"/>
        <w:rPr>
          <w:rFonts w:ascii="Book Antiqua" w:hAnsi="Book Antiqua"/>
        </w:rPr>
      </w:pPr>
    </w:p>
    <w:p w14:paraId="28D5A3DB" w14:textId="77777777" w:rsidR="005269FF" w:rsidRPr="00053796" w:rsidRDefault="005269FF" w:rsidP="00053796">
      <w:pPr>
        <w:spacing w:line="360" w:lineRule="auto"/>
        <w:jc w:val="both"/>
        <w:rPr>
          <w:rFonts w:ascii="Book Antiqua" w:hAnsi="Book Antiqua"/>
          <w:b/>
          <w:caps/>
        </w:rPr>
      </w:pPr>
    </w:p>
    <w:p w14:paraId="01D87657" w14:textId="68885917" w:rsidR="00D23A0D" w:rsidRPr="00053796" w:rsidRDefault="001E3236" w:rsidP="00053796">
      <w:pPr>
        <w:pStyle w:val="NormalWeb"/>
        <w:shd w:val="clear" w:color="auto" w:fill="FFFFFF"/>
        <w:spacing w:before="0" w:beforeAutospacing="0" w:after="0" w:afterAutospacing="0" w:line="360" w:lineRule="auto"/>
        <w:mirrorIndents/>
        <w:jc w:val="both"/>
        <w:rPr>
          <w:rFonts w:ascii="Book Antiqua" w:hAnsi="Book Antiqua"/>
        </w:rPr>
      </w:pPr>
      <w:r w:rsidRPr="00053796">
        <w:rPr>
          <w:rFonts w:ascii="Book Antiqua" w:hAnsi="Book Antiqua"/>
          <w:b/>
        </w:rPr>
        <w:br w:type="page"/>
      </w:r>
      <w:r w:rsidR="00896316" w:rsidRPr="00053796">
        <w:rPr>
          <w:rFonts w:ascii="Book Antiqua" w:hAnsi="Book Antiqua"/>
          <w:b/>
        </w:rPr>
        <w:lastRenderedPageBreak/>
        <w:t>Table 1</w:t>
      </w:r>
      <w:r w:rsidR="006564E2" w:rsidRPr="00053796">
        <w:rPr>
          <w:rFonts w:ascii="Book Antiqua" w:hAnsi="Book Antiqua"/>
          <w:b/>
        </w:rPr>
        <w:t xml:space="preserve"> </w:t>
      </w:r>
      <w:r w:rsidR="00896316" w:rsidRPr="00053796">
        <w:rPr>
          <w:rFonts w:ascii="Book Antiqua" w:hAnsi="Book Antiqua"/>
          <w:b/>
        </w:rPr>
        <w:t xml:space="preserve">Patient </w:t>
      </w:r>
      <w:r w:rsidR="00D23A0D" w:rsidRPr="00053796">
        <w:rPr>
          <w:rFonts w:ascii="Book Antiqua" w:hAnsi="Book Antiqua"/>
          <w:b/>
        </w:rPr>
        <w:t xml:space="preserve">demographics </w:t>
      </w:r>
      <w:r w:rsidR="00896316" w:rsidRPr="00053796">
        <w:rPr>
          <w:rFonts w:ascii="Book Antiqua" w:hAnsi="Book Antiqua"/>
          <w:b/>
        </w:rPr>
        <w:t xml:space="preserve">and </w:t>
      </w:r>
      <w:r w:rsidR="00D23A0D" w:rsidRPr="00053796">
        <w:rPr>
          <w:rFonts w:ascii="Book Antiqua" w:hAnsi="Book Antiqua"/>
          <w:b/>
        </w:rPr>
        <w:t xml:space="preserve">laboratory </w:t>
      </w:r>
      <w:r w:rsidR="00896316" w:rsidRPr="00053796">
        <w:rPr>
          <w:rFonts w:ascii="Book Antiqua" w:hAnsi="Book Antiqua"/>
          <w:b/>
        </w:rPr>
        <w:t>results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DD5F67" w:rsidRPr="00053796" w14:paraId="1116EC09" w14:textId="77777777" w:rsidTr="001117D1">
        <w:tc>
          <w:tcPr>
            <w:tcW w:w="1870" w:type="dxa"/>
            <w:tcBorders>
              <w:top w:val="single" w:sz="4" w:space="0" w:color="auto"/>
              <w:bottom w:val="single" w:sz="4" w:space="0" w:color="auto"/>
            </w:tcBorders>
          </w:tcPr>
          <w:p w14:paraId="4CF7A247" w14:textId="77777777" w:rsidR="00D23A0D" w:rsidRPr="00053796" w:rsidRDefault="00D23A0D" w:rsidP="00053796">
            <w:pPr>
              <w:spacing w:line="360" w:lineRule="auto"/>
              <w:jc w:val="both"/>
              <w:rPr>
                <w:rFonts w:ascii="Book Antiqua" w:hAnsi="Book Antiqua"/>
              </w:rPr>
            </w:pPr>
          </w:p>
        </w:tc>
        <w:tc>
          <w:tcPr>
            <w:tcW w:w="1870" w:type="dxa"/>
            <w:tcBorders>
              <w:top w:val="single" w:sz="4" w:space="0" w:color="auto"/>
              <w:bottom w:val="single" w:sz="4" w:space="0" w:color="auto"/>
            </w:tcBorders>
          </w:tcPr>
          <w:p w14:paraId="53196199" w14:textId="48C28A00" w:rsidR="00D23A0D" w:rsidRPr="00053796" w:rsidRDefault="00D23A0D" w:rsidP="00053796">
            <w:pPr>
              <w:spacing w:line="360" w:lineRule="auto"/>
              <w:jc w:val="both"/>
              <w:rPr>
                <w:rFonts w:ascii="Book Antiqua" w:eastAsiaTheme="minorEastAsia" w:hAnsi="Book Antiqua"/>
                <w:b/>
                <w:bCs/>
                <w:lang w:eastAsia="zh-CN"/>
              </w:rPr>
            </w:pPr>
            <w:r w:rsidRPr="00053796">
              <w:rPr>
                <w:rFonts w:ascii="Book Antiqua" w:eastAsiaTheme="minorEastAsia" w:hAnsi="Book Antiqua"/>
                <w:b/>
                <w:bCs/>
                <w:lang w:eastAsia="zh-CN"/>
              </w:rPr>
              <w:t>Aseptic</w:t>
            </w:r>
          </w:p>
        </w:tc>
        <w:tc>
          <w:tcPr>
            <w:tcW w:w="1870" w:type="dxa"/>
            <w:tcBorders>
              <w:top w:val="single" w:sz="4" w:space="0" w:color="auto"/>
              <w:bottom w:val="single" w:sz="4" w:space="0" w:color="auto"/>
            </w:tcBorders>
          </w:tcPr>
          <w:p w14:paraId="0FC20254" w14:textId="52AF7B3B" w:rsidR="00D23A0D" w:rsidRPr="00053796" w:rsidRDefault="00D23A0D" w:rsidP="00053796">
            <w:pPr>
              <w:spacing w:line="360" w:lineRule="auto"/>
              <w:jc w:val="both"/>
              <w:rPr>
                <w:rFonts w:ascii="Book Antiqua" w:eastAsiaTheme="minorEastAsia" w:hAnsi="Book Antiqua"/>
                <w:b/>
                <w:bCs/>
                <w:lang w:eastAsia="zh-CN"/>
              </w:rPr>
            </w:pPr>
            <w:r w:rsidRPr="00053796">
              <w:rPr>
                <w:rFonts w:ascii="Book Antiqua" w:eastAsiaTheme="minorEastAsia" w:hAnsi="Book Antiqua"/>
                <w:b/>
                <w:bCs/>
                <w:lang w:eastAsia="zh-CN"/>
              </w:rPr>
              <w:t>Septic</w:t>
            </w:r>
          </w:p>
        </w:tc>
        <w:tc>
          <w:tcPr>
            <w:tcW w:w="1870" w:type="dxa"/>
            <w:tcBorders>
              <w:top w:val="single" w:sz="4" w:space="0" w:color="auto"/>
              <w:bottom w:val="single" w:sz="4" w:space="0" w:color="auto"/>
            </w:tcBorders>
          </w:tcPr>
          <w:p w14:paraId="20DFF888" w14:textId="4526F872" w:rsidR="00D23A0D" w:rsidRPr="00053796" w:rsidRDefault="00D23A0D" w:rsidP="00053796">
            <w:pPr>
              <w:spacing w:line="360" w:lineRule="auto"/>
              <w:jc w:val="both"/>
              <w:rPr>
                <w:rFonts w:ascii="Book Antiqua" w:eastAsiaTheme="minorEastAsia" w:hAnsi="Book Antiqua"/>
                <w:b/>
                <w:bCs/>
                <w:lang w:eastAsia="zh-CN"/>
              </w:rPr>
            </w:pPr>
            <w:r w:rsidRPr="00053796">
              <w:rPr>
                <w:rFonts w:ascii="Book Antiqua" w:eastAsiaTheme="minorEastAsia" w:hAnsi="Book Antiqua"/>
                <w:b/>
                <w:bCs/>
                <w:i/>
                <w:iCs/>
                <w:caps/>
                <w:lang w:eastAsia="zh-CN"/>
              </w:rPr>
              <w:t>p</w:t>
            </w:r>
            <w:r w:rsidR="006F0303">
              <w:rPr>
                <w:rFonts w:ascii="Book Antiqua" w:eastAsiaTheme="minorEastAsia" w:hAnsi="Book Antiqua"/>
                <w:b/>
                <w:bCs/>
                <w:i/>
                <w:iCs/>
                <w:caps/>
                <w:lang w:eastAsia="zh-CN"/>
              </w:rPr>
              <w:t xml:space="preserve"> </w:t>
            </w:r>
            <w:r w:rsidRPr="00053796">
              <w:rPr>
                <w:rFonts w:ascii="Book Antiqua" w:eastAsiaTheme="minorEastAsia" w:hAnsi="Book Antiqua"/>
                <w:b/>
                <w:bCs/>
                <w:lang w:eastAsia="zh-CN"/>
              </w:rPr>
              <w:t>value</w:t>
            </w:r>
          </w:p>
        </w:tc>
        <w:tc>
          <w:tcPr>
            <w:tcW w:w="1870" w:type="dxa"/>
            <w:tcBorders>
              <w:top w:val="single" w:sz="4" w:space="0" w:color="auto"/>
              <w:bottom w:val="single" w:sz="4" w:space="0" w:color="auto"/>
            </w:tcBorders>
          </w:tcPr>
          <w:p w14:paraId="4B4E2CBB" w14:textId="3A0494F8" w:rsidR="00D23A0D" w:rsidRPr="00053796" w:rsidRDefault="00D23A0D" w:rsidP="00053796">
            <w:pPr>
              <w:spacing w:line="360" w:lineRule="auto"/>
              <w:jc w:val="both"/>
              <w:rPr>
                <w:rFonts w:ascii="Book Antiqua" w:eastAsiaTheme="minorEastAsia" w:hAnsi="Book Antiqua"/>
                <w:b/>
                <w:bCs/>
                <w:lang w:eastAsia="zh-CN"/>
              </w:rPr>
            </w:pPr>
            <w:r w:rsidRPr="00053796">
              <w:rPr>
                <w:rFonts w:ascii="Book Antiqua" w:eastAsiaTheme="minorEastAsia" w:hAnsi="Book Antiqua"/>
                <w:b/>
                <w:bCs/>
                <w:lang w:eastAsia="zh-CN"/>
              </w:rPr>
              <w:t>Number missing date</w:t>
            </w:r>
          </w:p>
        </w:tc>
      </w:tr>
      <w:tr w:rsidR="00DD5F67" w:rsidRPr="00053796" w14:paraId="225AA9FE" w14:textId="77777777" w:rsidTr="001117D1">
        <w:tc>
          <w:tcPr>
            <w:tcW w:w="1870" w:type="dxa"/>
            <w:tcBorders>
              <w:top w:val="single" w:sz="4" w:space="0" w:color="auto"/>
            </w:tcBorders>
          </w:tcPr>
          <w:p w14:paraId="3769D08A" w14:textId="468E1CD8" w:rsidR="00D23A0D" w:rsidRPr="00053796" w:rsidRDefault="00D23A0D"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Number of patients</w:t>
            </w:r>
          </w:p>
        </w:tc>
        <w:tc>
          <w:tcPr>
            <w:tcW w:w="1870" w:type="dxa"/>
            <w:tcBorders>
              <w:top w:val="single" w:sz="4" w:space="0" w:color="auto"/>
            </w:tcBorders>
          </w:tcPr>
          <w:p w14:paraId="71720B9B" w14:textId="4D93CA99" w:rsidR="00D23A0D" w:rsidRPr="00053796" w:rsidRDefault="00D23A0D"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10</w:t>
            </w:r>
          </w:p>
        </w:tc>
        <w:tc>
          <w:tcPr>
            <w:tcW w:w="1870" w:type="dxa"/>
            <w:tcBorders>
              <w:top w:val="single" w:sz="4" w:space="0" w:color="auto"/>
            </w:tcBorders>
          </w:tcPr>
          <w:p w14:paraId="3F343278" w14:textId="02112311" w:rsidR="00D23A0D" w:rsidRPr="00053796" w:rsidRDefault="00D23A0D"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10</w:t>
            </w:r>
          </w:p>
        </w:tc>
        <w:tc>
          <w:tcPr>
            <w:tcW w:w="1870" w:type="dxa"/>
            <w:tcBorders>
              <w:top w:val="single" w:sz="4" w:space="0" w:color="auto"/>
            </w:tcBorders>
          </w:tcPr>
          <w:p w14:paraId="5080F47E" w14:textId="77777777" w:rsidR="00D23A0D" w:rsidRPr="00053796" w:rsidRDefault="00D23A0D" w:rsidP="00053796">
            <w:pPr>
              <w:spacing w:line="360" w:lineRule="auto"/>
              <w:jc w:val="both"/>
              <w:rPr>
                <w:rFonts w:ascii="Book Antiqua" w:hAnsi="Book Antiqua"/>
              </w:rPr>
            </w:pPr>
          </w:p>
        </w:tc>
        <w:tc>
          <w:tcPr>
            <w:tcW w:w="1870" w:type="dxa"/>
            <w:tcBorders>
              <w:top w:val="single" w:sz="4" w:space="0" w:color="auto"/>
            </w:tcBorders>
          </w:tcPr>
          <w:p w14:paraId="7E3069E0" w14:textId="77777777" w:rsidR="00D23A0D" w:rsidRPr="00053796" w:rsidRDefault="00D23A0D" w:rsidP="00053796">
            <w:pPr>
              <w:spacing w:line="360" w:lineRule="auto"/>
              <w:jc w:val="both"/>
              <w:rPr>
                <w:rFonts w:ascii="Book Antiqua" w:hAnsi="Book Antiqua"/>
              </w:rPr>
            </w:pPr>
          </w:p>
        </w:tc>
      </w:tr>
      <w:tr w:rsidR="00DD5F67" w:rsidRPr="00053796" w14:paraId="2F1DEC43" w14:textId="77777777" w:rsidTr="001117D1">
        <w:tc>
          <w:tcPr>
            <w:tcW w:w="1870" w:type="dxa"/>
          </w:tcPr>
          <w:p w14:paraId="344F87FE" w14:textId="51EA1CDB"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Age (</w:t>
            </w:r>
            <w:proofErr w:type="spellStart"/>
            <w:r w:rsidRPr="00053796">
              <w:rPr>
                <w:rFonts w:ascii="Book Antiqua" w:eastAsiaTheme="minorEastAsia" w:hAnsi="Book Antiqua"/>
                <w:lang w:eastAsia="zh-CN"/>
              </w:rPr>
              <w:t>y</w:t>
            </w:r>
            <w:r w:rsidR="00E66501">
              <w:rPr>
                <w:rFonts w:ascii="Book Antiqua" w:eastAsiaTheme="minorEastAsia" w:hAnsi="Book Antiqua"/>
                <w:lang w:eastAsia="zh-CN"/>
              </w:rPr>
              <w:t>r</w:t>
            </w:r>
            <w:proofErr w:type="spellEnd"/>
            <w:r w:rsidRPr="00053796">
              <w:rPr>
                <w:rFonts w:ascii="Book Antiqua" w:eastAsiaTheme="minorEastAsia" w:hAnsi="Book Antiqua"/>
                <w:lang w:eastAsia="zh-CN"/>
              </w:rPr>
              <w:t>) +/- SD</w:t>
            </w:r>
          </w:p>
        </w:tc>
        <w:tc>
          <w:tcPr>
            <w:tcW w:w="1870" w:type="dxa"/>
            <w:vAlign w:val="center"/>
          </w:tcPr>
          <w:p w14:paraId="6A20D8DD" w14:textId="5570BAD6"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hAnsi="Book Antiqua"/>
              </w:rPr>
              <w:t>54.8 +/- 20.0</w:t>
            </w:r>
          </w:p>
        </w:tc>
        <w:tc>
          <w:tcPr>
            <w:tcW w:w="1870" w:type="dxa"/>
            <w:vAlign w:val="center"/>
          </w:tcPr>
          <w:p w14:paraId="092C7BF7" w14:textId="1FE50622"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hAnsi="Book Antiqua"/>
              </w:rPr>
              <w:t>54.6 +/- 12.1</w:t>
            </w:r>
          </w:p>
        </w:tc>
        <w:tc>
          <w:tcPr>
            <w:tcW w:w="1870" w:type="dxa"/>
            <w:vAlign w:val="center"/>
          </w:tcPr>
          <w:p w14:paraId="0A9C78DE" w14:textId="0AD0A3B5" w:rsidR="001117D1" w:rsidRPr="00053796" w:rsidRDefault="001117D1" w:rsidP="00053796">
            <w:pPr>
              <w:spacing w:line="360" w:lineRule="auto"/>
              <w:jc w:val="both"/>
              <w:rPr>
                <w:rFonts w:ascii="Book Antiqua" w:hAnsi="Book Antiqua"/>
              </w:rPr>
            </w:pPr>
            <w:r w:rsidRPr="00053796">
              <w:rPr>
                <w:rFonts w:ascii="Book Antiqua" w:hAnsi="Book Antiqua"/>
              </w:rPr>
              <w:t>0.98</w:t>
            </w:r>
          </w:p>
        </w:tc>
        <w:tc>
          <w:tcPr>
            <w:tcW w:w="1870" w:type="dxa"/>
            <w:vAlign w:val="center"/>
          </w:tcPr>
          <w:p w14:paraId="2FD590BA" w14:textId="698CEC85" w:rsidR="001117D1" w:rsidRPr="00053796" w:rsidRDefault="001117D1" w:rsidP="00053796">
            <w:pPr>
              <w:spacing w:line="360" w:lineRule="auto"/>
              <w:jc w:val="both"/>
              <w:rPr>
                <w:rFonts w:ascii="Book Antiqua" w:hAnsi="Book Antiqua"/>
              </w:rPr>
            </w:pPr>
            <w:r w:rsidRPr="00053796">
              <w:rPr>
                <w:rFonts w:ascii="Book Antiqua" w:hAnsi="Book Antiqua"/>
              </w:rPr>
              <w:t>0</w:t>
            </w:r>
          </w:p>
        </w:tc>
      </w:tr>
      <w:tr w:rsidR="00DD5F67" w:rsidRPr="00053796" w14:paraId="213E74AA" w14:textId="77777777" w:rsidTr="001117D1">
        <w:tc>
          <w:tcPr>
            <w:tcW w:w="1870" w:type="dxa"/>
          </w:tcPr>
          <w:p w14:paraId="5286D64B" w14:textId="44DEFB84"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Sex (male)</w:t>
            </w:r>
          </w:p>
        </w:tc>
        <w:tc>
          <w:tcPr>
            <w:tcW w:w="1870" w:type="dxa"/>
            <w:vAlign w:val="center"/>
          </w:tcPr>
          <w:p w14:paraId="19D7CECB" w14:textId="60BC84C6"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hAnsi="Book Antiqua"/>
              </w:rPr>
              <w:t>7</w:t>
            </w:r>
          </w:p>
        </w:tc>
        <w:tc>
          <w:tcPr>
            <w:tcW w:w="1870" w:type="dxa"/>
            <w:vAlign w:val="center"/>
          </w:tcPr>
          <w:p w14:paraId="07250988" w14:textId="30291CD2"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hAnsi="Book Antiqua"/>
              </w:rPr>
              <w:t>7</w:t>
            </w:r>
          </w:p>
        </w:tc>
        <w:tc>
          <w:tcPr>
            <w:tcW w:w="1870" w:type="dxa"/>
            <w:vAlign w:val="center"/>
          </w:tcPr>
          <w:p w14:paraId="32EB5A55" w14:textId="01251C5E" w:rsidR="001117D1" w:rsidRPr="00053796" w:rsidRDefault="001117D1" w:rsidP="00053796">
            <w:pPr>
              <w:spacing w:line="360" w:lineRule="auto"/>
              <w:jc w:val="both"/>
              <w:rPr>
                <w:rFonts w:ascii="Book Antiqua" w:hAnsi="Book Antiqua"/>
              </w:rPr>
            </w:pPr>
            <w:r w:rsidRPr="00053796">
              <w:rPr>
                <w:rFonts w:ascii="Book Antiqua" w:hAnsi="Book Antiqua"/>
              </w:rPr>
              <w:t>0.99</w:t>
            </w:r>
          </w:p>
        </w:tc>
        <w:tc>
          <w:tcPr>
            <w:tcW w:w="1870" w:type="dxa"/>
            <w:vAlign w:val="center"/>
          </w:tcPr>
          <w:p w14:paraId="09F54400" w14:textId="5E5A8B59" w:rsidR="001117D1" w:rsidRPr="00053796" w:rsidRDefault="001117D1" w:rsidP="00053796">
            <w:pPr>
              <w:spacing w:line="360" w:lineRule="auto"/>
              <w:jc w:val="both"/>
              <w:rPr>
                <w:rFonts w:ascii="Book Antiqua" w:hAnsi="Book Antiqua"/>
              </w:rPr>
            </w:pPr>
            <w:r w:rsidRPr="00053796">
              <w:rPr>
                <w:rFonts w:ascii="Book Antiqua" w:hAnsi="Book Antiqua"/>
              </w:rPr>
              <w:t>0</w:t>
            </w:r>
          </w:p>
        </w:tc>
      </w:tr>
      <w:tr w:rsidR="00DD5F67" w:rsidRPr="00053796" w14:paraId="08568657" w14:textId="77777777" w:rsidTr="001117D1">
        <w:tc>
          <w:tcPr>
            <w:tcW w:w="1870" w:type="dxa"/>
          </w:tcPr>
          <w:p w14:paraId="76FC8BB1" w14:textId="3963CE52"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Serum WBC (k cells/mm</w:t>
            </w:r>
            <w:r w:rsidRPr="00E66501">
              <w:rPr>
                <w:rFonts w:ascii="Book Antiqua" w:eastAsiaTheme="minorEastAsia" w:hAnsi="Book Antiqua"/>
                <w:vertAlign w:val="superscript"/>
                <w:lang w:eastAsia="zh-CN"/>
              </w:rPr>
              <w:t>3</w:t>
            </w:r>
            <w:r w:rsidRPr="00053796">
              <w:rPr>
                <w:rFonts w:ascii="Book Antiqua" w:eastAsiaTheme="minorEastAsia" w:hAnsi="Book Antiqua"/>
                <w:lang w:eastAsia="zh-CN"/>
              </w:rPr>
              <w:t>)</w:t>
            </w:r>
          </w:p>
        </w:tc>
        <w:tc>
          <w:tcPr>
            <w:tcW w:w="1870" w:type="dxa"/>
            <w:vAlign w:val="center"/>
          </w:tcPr>
          <w:p w14:paraId="51880727" w14:textId="3B3E8263"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hAnsi="Book Antiqua"/>
              </w:rPr>
              <w:t>11.7 +/- 4.0</w:t>
            </w:r>
          </w:p>
        </w:tc>
        <w:tc>
          <w:tcPr>
            <w:tcW w:w="1870" w:type="dxa"/>
            <w:vAlign w:val="center"/>
          </w:tcPr>
          <w:p w14:paraId="6A8734C3" w14:textId="34436F4B"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hAnsi="Book Antiqua"/>
              </w:rPr>
              <w:t>13.4 +/- 8.2</w:t>
            </w:r>
          </w:p>
        </w:tc>
        <w:tc>
          <w:tcPr>
            <w:tcW w:w="1870" w:type="dxa"/>
            <w:vAlign w:val="center"/>
          </w:tcPr>
          <w:p w14:paraId="6000159F" w14:textId="07BDEBD0" w:rsidR="001117D1" w:rsidRPr="00053796" w:rsidRDefault="001117D1" w:rsidP="00053796">
            <w:pPr>
              <w:spacing w:line="360" w:lineRule="auto"/>
              <w:jc w:val="both"/>
              <w:rPr>
                <w:rFonts w:ascii="Book Antiqua" w:hAnsi="Book Antiqua"/>
              </w:rPr>
            </w:pPr>
            <w:r w:rsidRPr="00053796">
              <w:rPr>
                <w:rFonts w:ascii="Book Antiqua" w:hAnsi="Book Antiqua"/>
              </w:rPr>
              <w:t>0.57</w:t>
            </w:r>
          </w:p>
        </w:tc>
        <w:tc>
          <w:tcPr>
            <w:tcW w:w="1870" w:type="dxa"/>
            <w:vAlign w:val="center"/>
          </w:tcPr>
          <w:p w14:paraId="7E4A6D78" w14:textId="52A0B7C9" w:rsidR="001117D1" w:rsidRPr="00053796" w:rsidRDefault="001117D1" w:rsidP="00053796">
            <w:pPr>
              <w:spacing w:line="360" w:lineRule="auto"/>
              <w:jc w:val="both"/>
              <w:rPr>
                <w:rFonts w:ascii="Book Antiqua" w:hAnsi="Book Antiqua"/>
              </w:rPr>
            </w:pPr>
            <w:r w:rsidRPr="00053796">
              <w:rPr>
                <w:rFonts w:ascii="Book Antiqua" w:hAnsi="Book Antiqua"/>
              </w:rPr>
              <w:t>1</w:t>
            </w:r>
          </w:p>
        </w:tc>
      </w:tr>
      <w:tr w:rsidR="00DD5F67" w:rsidRPr="00053796" w14:paraId="7FE998A6" w14:textId="77777777" w:rsidTr="001117D1">
        <w:tc>
          <w:tcPr>
            <w:tcW w:w="1870" w:type="dxa"/>
          </w:tcPr>
          <w:p w14:paraId="7A6C60E3" w14:textId="48635817"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Serum ESR (mm/</w:t>
            </w:r>
            <w:proofErr w:type="spellStart"/>
            <w:r w:rsidRPr="00053796">
              <w:rPr>
                <w:rFonts w:ascii="Book Antiqua" w:eastAsiaTheme="minorEastAsia" w:hAnsi="Book Antiqua"/>
                <w:lang w:eastAsia="zh-CN"/>
              </w:rPr>
              <w:t>hr</w:t>
            </w:r>
            <w:proofErr w:type="spellEnd"/>
            <w:r w:rsidRPr="00053796">
              <w:rPr>
                <w:rFonts w:ascii="Book Antiqua" w:eastAsiaTheme="minorEastAsia" w:hAnsi="Book Antiqua"/>
                <w:lang w:eastAsia="zh-CN"/>
              </w:rPr>
              <w:t>)</w:t>
            </w:r>
          </w:p>
        </w:tc>
        <w:tc>
          <w:tcPr>
            <w:tcW w:w="1870" w:type="dxa"/>
            <w:vAlign w:val="center"/>
          </w:tcPr>
          <w:p w14:paraId="2ACDE7E4" w14:textId="681CDD5D"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hAnsi="Book Antiqua"/>
              </w:rPr>
              <w:t>58.4 +/- 35.2</w:t>
            </w:r>
          </w:p>
        </w:tc>
        <w:tc>
          <w:tcPr>
            <w:tcW w:w="1870" w:type="dxa"/>
            <w:vAlign w:val="center"/>
          </w:tcPr>
          <w:p w14:paraId="3845E062" w14:textId="1A116345"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hAnsi="Book Antiqua"/>
              </w:rPr>
              <w:t>80.4 +/- 50.7</w:t>
            </w:r>
          </w:p>
        </w:tc>
        <w:tc>
          <w:tcPr>
            <w:tcW w:w="1870" w:type="dxa"/>
            <w:vAlign w:val="center"/>
          </w:tcPr>
          <w:p w14:paraId="6BBDDF2C" w14:textId="1C0C3DBE" w:rsidR="001117D1" w:rsidRPr="00053796" w:rsidRDefault="001117D1" w:rsidP="00053796">
            <w:pPr>
              <w:spacing w:line="360" w:lineRule="auto"/>
              <w:jc w:val="both"/>
              <w:rPr>
                <w:rFonts w:ascii="Book Antiqua" w:hAnsi="Book Antiqua"/>
              </w:rPr>
            </w:pPr>
            <w:r w:rsidRPr="00053796">
              <w:rPr>
                <w:rFonts w:ascii="Book Antiqua" w:hAnsi="Book Antiqua"/>
              </w:rPr>
              <w:t>0.33</w:t>
            </w:r>
          </w:p>
        </w:tc>
        <w:tc>
          <w:tcPr>
            <w:tcW w:w="1870" w:type="dxa"/>
            <w:vAlign w:val="center"/>
          </w:tcPr>
          <w:p w14:paraId="6E279770" w14:textId="7AB78DC8" w:rsidR="001117D1" w:rsidRPr="00053796" w:rsidRDefault="001117D1" w:rsidP="00053796">
            <w:pPr>
              <w:spacing w:line="360" w:lineRule="auto"/>
              <w:jc w:val="both"/>
              <w:rPr>
                <w:rFonts w:ascii="Book Antiqua" w:hAnsi="Book Antiqua"/>
              </w:rPr>
            </w:pPr>
            <w:r w:rsidRPr="00053796">
              <w:rPr>
                <w:rFonts w:ascii="Book Antiqua" w:hAnsi="Book Antiqua"/>
              </w:rPr>
              <w:t>4</w:t>
            </w:r>
          </w:p>
        </w:tc>
      </w:tr>
      <w:tr w:rsidR="00DD5F67" w:rsidRPr="00053796" w14:paraId="76A42B79" w14:textId="77777777" w:rsidTr="001117D1">
        <w:tc>
          <w:tcPr>
            <w:tcW w:w="1870" w:type="dxa"/>
          </w:tcPr>
          <w:p w14:paraId="2B1CDB49" w14:textId="43A0685E"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Serum CRP (mg/dL)</w:t>
            </w:r>
          </w:p>
        </w:tc>
        <w:tc>
          <w:tcPr>
            <w:tcW w:w="1870" w:type="dxa"/>
            <w:vAlign w:val="center"/>
          </w:tcPr>
          <w:p w14:paraId="0D153B3E" w14:textId="44C80795" w:rsidR="001117D1" w:rsidRPr="00053796" w:rsidRDefault="001117D1" w:rsidP="00053796">
            <w:pPr>
              <w:spacing w:line="360" w:lineRule="auto"/>
              <w:jc w:val="both"/>
              <w:rPr>
                <w:rFonts w:ascii="Book Antiqua" w:hAnsi="Book Antiqua"/>
              </w:rPr>
            </w:pPr>
            <w:r w:rsidRPr="00053796">
              <w:rPr>
                <w:rFonts w:ascii="Book Antiqua" w:hAnsi="Book Antiqua"/>
              </w:rPr>
              <w:t>16.1 +/- 10.1</w:t>
            </w:r>
          </w:p>
        </w:tc>
        <w:tc>
          <w:tcPr>
            <w:tcW w:w="1870" w:type="dxa"/>
            <w:vAlign w:val="center"/>
          </w:tcPr>
          <w:p w14:paraId="028E6416" w14:textId="6EE3C8BB" w:rsidR="001117D1" w:rsidRPr="00053796" w:rsidRDefault="001117D1" w:rsidP="00053796">
            <w:pPr>
              <w:spacing w:line="360" w:lineRule="auto"/>
              <w:jc w:val="both"/>
              <w:rPr>
                <w:rFonts w:ascii="Book Antiqua" w:hAnsi="Book Antiqua"/>
              </w:rPr>
            </w:pPr>
            <w:r w:rsidRPr="00053796">
              <w:rPr>
                <w:rFonts w:ascii="Book Antiqua" w:hAnsi="Book Antiqua"/>
              </w:rPr>
              <w:t>19.6 +/- 12.8</w:t>
            </w:r>
          </w:p>
        </w:tc>
        <w:tc>
          <w:tcPr>
            <w:tcW w:w="1870" w:type="dxa"/>
            <w:vAlign w:val="center"/>
          </w:tcPr>
          <w:p w14:paraId="2BA25A10" w14:textId="1010C04D" w:rsidR="001117D1" w:rsidRPr="00053796" w:rsidRDefault="001117D1" w:rsidP="00053796">
            <w:pPr>
              <w:spacing w:line="360" w:lineRule="auto"/>
              <w:jc w:val="both"/>
              <w:rPr>
                <w:rFonts w:ascii="Book Antiqua" w:hAnsi="Book Antiqua"/>
              </w:rPr>
            </w:pPr>
            <w:r w:rsidRPr="00053796">
              <w:rPr>
                <w:rFonts w:ascii="Book Antiqua" w:hAnsi="Book Antiqua"/>
              </w:rPr>
              <w:t>0.53</w:t>
            </w:r>
          </w:p>
        </w:tc>
        <w:tc>
          <w:tcPr>
            <w:tcW w:w="1870" w:type="dxa"/>
            <w:vAlign w:val="center"/>
          </w:tcPr>
          <w:p w14:paraId="0E65E8E4" w14:textId="0E4C519D" w:rsidR="001117D1" w:rsidRPr="00053796" w:rsidRDefault="001117D1" w:rsidP="00053796">
            <w:pPr>
              <w:spacing w:line="360" w:lineRule="auto"/>
              <w:jc w:val="both"/>
              <w:rPr>
                <w:rFonts w:ascii="Book Antiqua" w:hAnsi="Book Antiqua"/>
              </w:rPr>
            </w:pPr>
            <w:r w:rsidRPr="00053796">
              <w:rPr>
                <w:rFonts w:ascii="Book Antiqua" w:hAnsi="Book Antiqua"/>
              </w:rPr>
              <w:t>2</w:t>
            </w:r>
          </w:p>
        </w:tc>
      </w:tr>
      <w:tr w:rsidR="00DD5F67" w:rsidRPr="00053796" w14:paraId="64E03C14" w14:textId="77777777" w:rsidTr="001117D1">
        <w:tc>
          <w:tcPr>
            <w:tcW w:w="1870" w:type="dxa"/>
          </w:tcPr>
          <w:p w14:paraId="1324A716" w14:textId="1EB990E0"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Synovial WBC (k cells/mm</w:t>
            </w:r>
            <w:r w:rsidRPr="00E66501">
              <w:rPr>
                <w:rFonts w:ascii="Book Antiqua" w:eastAsiaTheme="minorEastAsia" w:hAnsi="Book Antiqua"/>
                <w:vertAlign w:val="superscript"/>
                <w:lang w:eastAsia="zh-CN"/>
              </w:rPr>
              <w:t>3</w:t>
            </w:r>
            <w:r w:rsidRPr="00053796">
              <w:rPr>
                <w:rFonts w:ascii="Book Antiqua" w:eastAsiaTheme="minorEastAsia" w:hAnsi="Book Antiqua"/>
                <w:lang w:eastAsia="zh-CN"/>
              </w:rPr>
              <w:t>)</w:t>
            </w:r>
          </w:p>
        </w:tc>
        <w:tc>
          <w:tcPr>
            <w:tcW w:w="1870" w:type="dxa"/>
            <w:vAlign w:val="center"/>
          </w:tcPr>
          <w:p w14:paraId="002AC0A7" w14:textId="48D7B0F3" w:rsidR="001117D1" w:rsidRPr="00053796" w:rsidRDefault="001117D1" w:rsidP="00053796">
            <w:pPr>
              <w:spacing w:line="360" w:lineRule="auto"/>
              <w:jc w:val="both"/>
              <w:rPr>
                <w:rFonts w:ascii="Book Antiqua" w:hAnsi="Book Antiqua"/>
              </w:rPr>
            </w:pPr>
            <w:r w:rsidRPr="00053796">
              <w:rPr>
                <w:rFonts w:ascii="Book Antiqua" w:hAnsi="Book Antiqua"/>
              </w:rPr>
              <w:t>39.8 +/- 62.8</w:t>
            </w:r>
          </w:p>
        </w:tc>
        <w:tc>
          <w:tcPr>
            <w:tcW w:w="1870" w:type="dxa"/>
            <w:vAlign w:val="center"/>
          </w:tcPr>
          <w:p w14:paraId="032D68FD" w14:textId="33989350" w:rsidR="001117D1" w:rsidRPr="00053796" w:rsidRDefault="001117D1" w:rsidP="00053796">
            <w:pPr>
              <w:spacing w:line="360" w:lineRule="auto"/>
              <w:jc w:val="both"/>
              <w:rPr>
                <w:rFonts w:ascii="Book Antiqua" w:hAnsi="Book Antiqua"/>
              </w:rPr>
            </w:pPr>
            <w:r w:rsidRPr="00053796">
              <w:rPr>
                <w:rFonts w:ascii="Book Antiqua" w:hAnsi="Book Antiqua"/>
              </w:rPr>
              <w:t>42.8 +/- 46.5</w:t>
            </w:r>
          </w:p>
        </w:tc>
        <w:tc>
          <w:tcPr>
            <w:tcW w:w="1870" w:type="dxa"/>
            <w:vAlign w:val="center"/>
          </w:tcPr>
          <w:p w14:paraId="00216CBC" w14:textId="6DADF79A" w:rsidR="001117D1" w:rsidRPr="00053796" w:rsidRDefault="001117D1" w:rsidP="00053796">
            <w:pPr>
              <w:spacing w:line="360" w:lineRule="auto"/>
              <w:jc w:val="both"/>
              <w:rPr>
                <w:rFonts w:ascii="Book Antiqua" w:hAnsi="Book Antiqua"/>
              </w:rPr>
            </w:pPr>
            <w:r w:rsidRPr="00053796">
              <w:rPr>
                <w:rFonts w:ascii="Book Antiqua" w:hAnsi="Book Antiqua"/>
              </w:rPr>
              <w:t>0.91</w:t>
            </w:r>
          </w:p>
        </w:tc>
        <w:tc>
          <w:tcPr>
            <w:tcW w:w="1870" w:type="dxa"/>
            <w:vAlign w:val="center"/>
          </w:tcPr>
          <w:p w14:paraId="1D551A57" w14:textId="20E3BE24" w:rsidR="001117D1" w:rsidRPr="00053796" w:rsidRDefault="001117D1" w:rsidP="00053796">
            <w:pPr>
              <w:spacing w:line="360" w:lineRule="auto"/>
              <w:jc w:val="both"/>
              <w:rPr>
                <w:rFonts w:ascii="Book Antiqua" w:hAnsi="Book Antiqua"/>
              </w:rPr>
            </w:pPr>
            <w:r w:rsidRPr="00053796">
              <w:rPr>
                <w:rFonts w:ascii="Book Antiqua" w:hAnsi="Book Antiqua"/>
              </w:rPr>
              <w:t>1</w:t>
            </w:r>
          </w:p>
        </w:tc>
      </w:tr>
      <w:tr w:rsidR="00DD5F67" w:rsidRPr="00053796" w14:paraId="75F91067" w14:textId="77777777" w:rsidTr="001117D1">
        <w:tc>
          <w:tcPr>
            <w:tcW w:w="1870" w:type="dxa"/>
          </w:tcPr>
          <w:p w14:paraId="5BEFB82C" w14:textId="08C76BF9"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Synovial % PMN</w:t>
            </w:r>
            <w:r w:rsidR="005269FF" w:rsidRPr="00053796">
              <w:rPr>
                <w:rFonts w:ascii="Book Antiqua" w:eastAsiaTheme="minorEastAsia" w:hAnsi="Book Antiqua"/>
                <w:lang w:eastAsia="zh-CN"/>
              </w:rPr>
              <w:t>s</w:t>
            </w:r>
          </w:p>
        </w:tc>
        <w:tc>
          <w:tcPr>
            <w:tcW w:w="1870" w:type="dxa"/>
            <w:vAlign w:val="center"/>
          </w:tcPr>
          <w:p w14:paraId="16795BF5" w14:textId="15AC419B" w:rsidR="001117D1" w:rsidRPr="00053796" w:rsidRDefault="001117D1" w:rsidP="00053796">
            <w:pPr>
              <w:spacing w:line="360" w:lineRule="auto"/>
              <w:jc w:val="both"/>
              <w:rPr>
                <w:rFonts w:ascii="Book Antiqua" w:hAnsi="Book Antiqua"/>
              </w:rPr>
            </w:pPr>
            <w:r w:rsidRPr="00053796">
              <w:rPr>
                <w:rFonts w:ascii="Book Antiqua" w:hAnsi="Book Antiqua"/>
              </w:rPr>
              <w:t>84.8 +/- 13.7</w:t>
            </w:r>
          </w:p>
        </w:tc>
        <w:tc>
          <w:tcPr>
            <w:tcW w:w="1870" w:type="dxa"/>
            <w:vAlign w:val="center"/>
          </w:tcPr>
          <w:p w14:paraId="48C99607" w14:textId="7F5834C2" w:rsidR="001117D1" w:rsidRPr="00053796" w:rsidRDefault="001117D1" w:rsidP="00053796">
            <w:pPr>
              <w:spacing w:line="360" w:lineRule="auto"/>
              <w:jc w:val="both"/>
              <w:rPr>
                <w:rFonts w:ascii="Book Antiqua" w:hAnsi="Book Antiqua"/>
              </w:rPr>
            </w:pPr>
            <w:r w:rsidRPr="00053796">
              <w:rPr>
                <w:rFonts w:ascii="Book Antiqua" w:hAnsi="Book Antiqua"/>
              </w:rPr>
              <w:t>80.6 +/- 30.2</w:t>
            </w:r>
          </w:p>
        </w:tc>
        <w:tc>
          <w:tcPr>
            <w:tcW w:w="1870" w:type="dxa"/>
            <w:vAlign w:val="center"/>
          </w:tcPr>
          <w:p w14:paraId="788D6414" w14:textId="4600C089" w:rsidR="001117D1" w:rsidRPr="00053796" w:rsidRDefault="001117D1" w:rsidP="00053796">
            <w:pPr>
              <w:spacing w:line="360" w:lineRule="auto"/>
              <w:jc w:val="both"/>
              <w:rPr>
                <w:rFonts w:ascii="Book Antiqua" w:hAnsi="Book Antiqua"/>
              </w:rPr>
            </w:pPr>
            <w:r w:rsidRPr="00053796">
              <w:rPr>
                <w:rFonts w:ascii="Book Antiqua" w:hAnsi="Book Antiqua"/>
              </w:rPr>
              <w:t>0.73</w:t>
            </w:r>
          </w:p>
        </w:tc>
        <w:tc>
          <w:tcPr>
            <w:tcW w:w="1870" w:type="dxa"/>
            <w:vAlign w:val="center"/>
          </w:tcPr>
          <w:p w14:paraId="634555CA" w14:textId="5C023734" w:rsidR="001117D1" w:rsidRPr="00053796" w:rsidRDefault="001117D1" w:rsidP="00053796">
            <w:pPr>
              <w:spacing w:line="360" w:lineRule="auto"/>
              <w:jc w:val="both"/>
              <w:rPr>
                <w:rFonts w:ascii="Book Antiqua" w:hAnsi="Book Antiqua"/>
              </w:rPr>
            </w:pPr>
            <w:r w:rsidRPr="00053796">
              <w:rPr>
                <w:rFonts w:ascii="Book Antiqua" w:hAnsi="Book Antiqua"/>
              </w:rPr>
              <w:t>2</w:t>
            </w:r>
          </w:p>
        </w:tc>
      </w:tr>
      <w:tr w:rsidR="00DD5F67" w:rsidRPr="00053796" w14:paraId="74FF7E1D" w14:textId="77777777" w:rsidTr="001117D1">
        <w:tc>
          <w:tcPr>
            <w:tcW w:w="1870" w:type="dxa"/>
          </w:tcPr>
          <w:p w14:paraId="6EF74071" w14:textId="257E669D" w:rsidR="001117D1" w:rsidRPr="00053796" w:rsidRDefault="001117D1" w:rsidP="00053796">
            <w:pPr>
              <w:spacing w:line="360" w:lineRule="auto"/>
              <w:jc w:val="both"/>
              <w:rPr>
                <w:rFonts w:ascii="Book Antiqua" w:eastAsiaTheme="minorEastAsia" w:hAnsi="Book Antiqua"/>
                <w:lang w:eastAsia="zh-CN"/>
              </w:rPr>
            </w:pPr>
            <w:r w:rsidRPr="00053796">
              <w:rPr>
                <w:rFonts w:ascii="Book Antiqua" w:eastAsiaTheme="minorEastAsia" w:hAnsi="Book Antiqua"/>
                <w:lang w:eastAsia="zh-CN"/>
              </w:rPr>
              <w:t xml:space="preserve">Sepsis </w:t>
            </w:r>
            <w:proofErr w:type="spellStart"/>
            <w:r w:rsidRPr="00053796">
              <w:rPr>
                <w:rFonts w:ascii="Book Antiqua" w:eastAsiaTheme="minorEastAsia" w:hAnsi="Book Antiqua"/>
                <w:lang w:eastAsia="zh-CN"/>
              </w:rPr>
              <w:t>MetaScore</w:t>
            </w:r>
            <w:proofErr w:type="spellEnd"/>
          </w:p>
        </w:tc>
        <w:tc>
          <w:tcPr>
            <w:tcW w:w="1870" w:type="dxa"/>
            <w:vAlign w:val="center"/>
          </w:tcPr>
          <w:p w14:paraId="1E70272A" w14:textId="0C5D9D4C" w:rsidR="001117D1" w:rsidRPr="00053796" w:rsidRDefault="001117D1" w:rsidP="00053796">
            <w:pPr>
              <w:spacing w:line="360" w:lineRule="auto"/>
              <w:jc w:val="both"/>
              <w:rPr>
                <w:rFonts w:ascii="Book Antiqua" w:hAnsi="Book Antiqua"/>
              </w:rPr>
            </w:pPr>
            <w:r w:rsidRPr="00053796">
              <w:rPr>
                <w:rFonts w:ascii="Book Antiqua" w:hAnsi="Book Antiqua"/>
              </w:rPr>
              <w:t>-0.33 +/- 0.63</w:t>
            </w:r>
          </w:p>
        </w:tc>
        <w:tc>
          <w:tcPr>
            <w:tcW w:w="1870" w:type="dxa"/>
            <w:vAlign w:val="center"/>
          </w:tcPr>
          <w:p w14:paraId="4F9B3054" w14:textId="75ECE85D" w:rsidR="001117D1" w:rsidRPr="00053796" w:rsidRDefault="001117D1" w:rsidP="00053796">
            <w:pPr>
              <w:spacing w:line="360" w:lineRule="auto"/>
              <w:jc w:val="both"/>
              <w:rPr>
                <w:rFonts w:ascii="Book Antiqua" w:hAnsi="Book Antiqua"/>
              </w:rPr>
            </w:pPr>
            <w:r w:rsidRPr="00053796">
              <w:rPr>
                <w:rFonts w:ascii="Book Antiqua" w:hAnsi="Book Antiqua"/>
              </w:rPr>
              <w:t>1.1 +/- 1.3</w:t>
            </w:r>
          </w:p>
        </w:tc>
        <w:tc>
          <w:tcPr>
            <w:tcW w:w="1870" w:type="dxa"/>
            <w:vAlign w:val="center"/>
          </w:tcPr>
          <w:p w14:paraId="0F99D797" w14:textId="329ABB71" w:rsidR="001117D1" w:rsidRPr="00053796" w:rsidRDefault="001117D1" w:rsidP="00053796">
            <w:pPr>
              <w:spacing w:line="360" w:lineRule="auto"/>
              <w:jc w:val="both"/>
              <w:rPr>
                <w:rFonts w:ascii="Book Antiqua" w:hAnsi="Book Antiqua"/>
              </w:rPr>
            </w:pPr>
            <w:r w:rsidRPr="00053796">
              <w:rPr>
                <w:rFonts w:ascii="Book Antiqua" w:hAnsi="Book Antiqua"/>
                <w:i/>
                <w:iCs/>
              </w:rPr>
              <w:t>P</w:t>
            </w:r>
            <w:r w:rsidRPr="00053796">
              <w:rPr>
                <w:rFonts w:ascii="Book Antiqua" w:hAnsi="Book Antiqua"/>
              </w:rPr>
              <w:t xml:space="preserve"> = 0.008</w:t>
            </w:r>
          </w:p>
        </w:tc>
        <w:tc>
          <w:tcPr>
            <w:tcW w:w="1870" w:type="dxa"/>
            <w:vAlign w:val="center"/>
          </w:tcPr>
          <w:p w14:paraId="1BF083DD" w14:textId="5C0CB4B5" w:rsidR="001117D1" w:rsidRPr="00053796" w:rsidRDefault="001117D1" w:rsidP="00053796">
            <w:pPr>
              <w:spacing w:line="360" w:lineRule="auto"/>
              <w:jc w:val="both"/>
              <w:rPr>
                <w:rFonts w:ascii="Book Antiqua" w:hAnsi="Book Antiqua"/>
              </w:rPr>
            </w:pPr>
            <w:r w:rsidRPr="00053796">
              <w:rPr>
                <w:rFonts w:ascii="Book Antiqua" w:hAnsi="Book Antiqua"/>
              </w:rPr>
              <w:t>0</w:t>
            </w:r>
          </w:p>
        </w:tc>
      </w:tr>
    </w:tbl>
    <w:p w14:paraId="623766AC" w14:textId="1C542693" w:rsidR="001117D1" w:rsidRDefault="001117D1" w:rsidP="00053796">
      <w:pPr>
        <w:spacing w:line="360" w:lineRule="auto"/>
        <w:jc w:val="both"/>
        <w:rPr>
          <w:rFonts w:ascii="Book Antiqua" w:hAnsi="Book Antiqua"/>
        </w:rPr>
      </w:pPr>
      <w:r w:rsidRPr="00053796">
        <w:rPr>
          <w:rFonts w:ascii="Book Antiqua" w:eastAsiaTheme="minorEastAsia" w:hAnsi="Book Antiqua"/>
          <w:lang w:eastAsia="zh-CN"/>
        </w:rPr>
        <w:t xml:space="preserve">WBC: </w:t>
      </w:r>
      <w:r w:rsidRPr="00053796">
        <w:rPr>
          <w:rFonts w:ascii="Book Antiqua" w:hAnsi="Book Antiqua"/>
        </w:rPr>
        <w:t xml:space="preserve">White blood cell; ESR: Erythrocyte sedimentation rate; CRP: C-reactive protein; </w:t>
      </w:r>
      <w:r w:rsidRPr="00053796">
        <w:rPr>
          <w:rFonts w:ascii="Book Antiqua" w:eastAsiaTheme="minorEastAsia" w:hAnsi="Book Antiqua"/>
          <w:lang w:eastAsia="zh-CN"/>
        </w:rPr>
        <w:t>PMN</w:t>
      </w:r>
      <w:r w:rsidR="005269FF" w:rsidRPr="00053796">
        <w:rPr>
          <w:rFonts w:ascii="Book Antiqua" w:eastAsiaTheme="minorEastAsia" w:hAnsi="Book Antiqua"/>
          <w:lang w:eastAsia="zh-CN"/>
        </w:rPr>
        <w:t>s</w:t>
      </w:r>
      <w:r w:rsidRPr="00053796">
        <w:rPr>
          <w:rFonts w:ascii="Book Antiqua" w:eastAsiaTheme="minorEastAsia" w:hAnsi="Book Antiqua"/>
          <w:lang w:eastAsia="zh-CN"/>
        </w:rPr>
        <w:t xml:space="preserve">: </w:t>
      </w:r>
      <w:r w:rsidRPr="00053796">
        <w:rPr>
          <w:rFonts w:ascii="Book Antiqua" w:hAnsi="Book Antiqua"/>
        </w:rPr>
        <w:t>Polymorphonuclear cells.</w:t>
      </w:r>
    </w:p>
    <w:p w14:paraId="63588594" w14:textId="56097719" w:rsidR="00E66501" w:rsidRDefault="00E66501">
      <w:pPr>
        <w:rPr>
          <w:rFonts w:ascii="Book Antiqua" w:hAnsi="Book Antiqua"/>
        </w:rPr>
      </w:pPr>
      <w:r>
        <w:rPr>
          <w:rFonts w:ascii="Book Antiqua" w:hAnsi="Book Antiqua"/>
        </w:rPr>
        <w:br w:type="page"/>
      </w:r>
    </w:p>
    <w:p w14:paraId="3E2CE713" w14:textId="77777777" w:rsidR="00E66501" w:rsidRPr="00053796" w:rsidRDefault="00E66501" w:rsidP="00E66501">
      <w:pPr>
        <w:spacing w:line="360" w:lineRule="auto"/>
        <w:jc w:val="both"/>
        <w:rPr>
          <w:rFonts w:ascii="Book Antiqua" w:hAnsi="Book Antiqua"/>
          <w:b/>
        </w:rPr>
      </w:pPr>
      <w:r w:rsidRPr="00053796">
        <w:rPr>
          <w:rFonts w:ascii="Book Antiqua" w:hAnsi="Book Antiqua"/>
          <w:b/>
        </w:rPr>
        <w:lastRenderedPageBreak/>
        <w:t>Table 2 Multivariate logistic regression analysis for the prediction of infection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984"/>
        <w:gridCol w:w="1560"/>
        <w:gridCol w:w="1701"/>
        <w:gridCol w:w="1558"/>
      </w:tblGrid>
      <w:tr w:rsidR="00E66501" w:rsidRPr="00053796" w14:paraId="3B429D9F" w14:textId="77777777" w:rsidTr="001A24AC">
        <w:tc>
          <w:tcPr>
            <w:tcW w:w="2547" w:type="dxa"/>
            <w:tcBorders>
              <w:top w:val="single" w:sz="4" w:space="0" w:color="auto"/>
              <w:bottom w:val="single" w:sz="4" w:space="0" w:color="auto"/>
            </w:tcBorders>
          </w:tcPr>
          <w:p w14:paraId="5BA99127" w14:textId="77777777" w:rsidR="00E66501" w:rsidRPr="00053796" w:rsidRDefault="00E66501" w:rsidP="001A24AC">
            <w:pPr>
              <w:spacing w:line="360" w:lineRule="auto"/>
              <w:jc w:val="both"/>
              <w:rPr>
                <w:rFonts w:ascii="Book Antiqua" w:hAnsi="Book Antiqua"/>
                <w:b/>
              </w:rPr>
            </w:pPr>
          </w:p>
        </w:tc>
        <w:tc>
          <w:tcPr>
            <w:tcW w:w="1984" w:type="dxa"/>
            <w:tcBorders>
              <w:top w:val="single" w:sz="4" w:space="0" w:color="auto"/>
              <w:bottom w:val="single" w:sz="4" w:space="0" w:color="auto"/>
            </w:tcBorders>
          </w:tcPr>
          <w:p w14:paraId="1332696D" w14:textId="77777777" w:rsidR="00E66501" w:rsidRPr="00053796" w:rsidRDefault="00E66501" w:rsidP="001A24AC">
            <w:pPr>
              <w:spacing w:line="360" w:lineRule="auto"/>
              <w:jc w:val="both"/>
              <w:rPr>
                <w:rFonts w:ascii="Book Antiqua" w:hAnsi="Book Antiqua"/>
                <w:b/>
              </w:rPr>
            </w:pPr>
            <w:r w:rsidRPr="00053796">
              <w:rPr>
                <w:rFonts w:ascii="Book Antiqua" w:hAnsi="Book Antiqua"/>
                <w:b/>
              </w:rPr>
              <w:t>Effect estimate</w:t>
            </w:r>
          </w:p>
        </w:tc>
        <w:tc>
          <w:tcPr>
            <w:tcW w:w="1560" w:type="dxa"/>
            <w:tcBorders>
              <w:top w:val="single" w:sz="4" w:space="0" w:color="auto"/>
              <w:bottom w:val="single" w:sz="4" w:space="0" w:color="auto"/>
            </w:tcBorders>
          </w:tcPr>
          <w:p w14:paraId="10032F6D" w14:textId="77777777" w:rsidR="00E66501" w:rsidRPr="00053796" w:rsidRDefault="00E66501" w:rsidP="001A24AC">
            <w:pPr>
              <w:spacing w:line="360" w:lineRule="auto"/>
              <w:jc w:val="both"/>
              <w:rPr>
                <w:rFonts w:ascii="Book Antiqua" w:hAnsi="Book Antiqua"/>
                <w:b/>
              </w:rPr>
            </w:pPr>
            <w:r w:rsidRPr="00053796">
              <w:rPr>
                <w:rFonts w:ascii="Book Antiqua" w:hAnsi="Book Antiqua"/>
                <w:b/>
              </w:rPr>
              <w:t>Std. Error</w:t>
            </w:r>
          </w:p>
        </w:tc>
        <w:tc>
          <w:tcPr>
            <w:tcW w:w="1701" w:type="dxa"/>
            <w:tcBorders>
              <w:top w:val="single" w:sz="4" w:space="0" w:color="auto"/>
              <w:bottom w:val="single" w:sz="4" w:space="0" w:color="auto"/>
            </w:tcBorders>
          </w:tcPr>
          <w:p w14:paraId="653F1E3F" w14:textId="77777777" w:rsidR="00E66501" w:rsidRPr="00053796" w:rsidRDefault="00E66501" w:rsidP="001A24AC">
            <w:pPr>
              <w:spacing w:line="360" w:lineRule="auto"/>
              <w:jc w:val="both"/>
              <w:rPr>
                <w:rFonts w:ascii="Book Antiqua" w:hAnsi="Book Antiqua"/>
                <w:b/>
              </w:rPr>
            </w:pPr>
            <w:r w:rsidRPr="00053796">
              <w:rPr>
                <w:rFonts w:ascii="Book Antiqua" w:hAnsi="Book Antiqua"/>
                <w:b/>
                <w:i/>
                <w:iCs/>
              </w:rPr>
              <w:t>t</w:t>
            </w:r>
            <w:r w:rsidRPr="00053796">
              <w:rPr>
                <w:rFonts w:ascii="Book Antiqua" w:hAnsi="Book Antiqua"/>
                <w:b/>
              </w:rPr>
              <w:t xml:space="preserve"> value</w:t>
            </w:r>
          </w:p>
        </w:tc>
        <w:tc>
          <w:tcPr>
            <w:tcW w:w="1558" w:type="dxa"/>
            <w:tcBorders>
              <w:top w:val="single" w:sz="4" w:space="0" w:color="auto"/>
              <w:bottom w:val="single" w:sz="4" w:space="0" w:color="auto"/>
            </w:tcBorders>
          </w:tcPr>
          <w:p w14:paraId="417832D3" w14:textId="77777777" w:rsidR="00E66501" w:rsidRPr="00053796" w:rsidRDefault="00E66501" w:rsidP="001A24AC">
            <w:pPr>
              <w:spacing w:line="360" w:lineRule="auto"/>
              <w:jc w:val="both"/>
              <w:rPr>
                <w:rFonts w:ascii="Book Antiqua" w:hAnsi="Book Antiqua"/>
                <w:b/>
              </w:rPr>
            </w:pPr>
            <w:r w:rsidRPr="00053796">
              <w:rPr>
                <w:rFonts w:ascii="Book Antiqua" w:hAnsi="Book Antiqua"/>
                <w:b/>
                <w:i/>
                <w:iCs/>
              </w:rPr>
              <w:t>P</w:t>
            </w:r>
            <w:r w:rsidRPr="00053796">
              <w:rPr>
                <w:rFonts w:ascii="Book Antiqua" w:hAnsi="Book Antiqua"/>
                <w:b/>
              </w:rPr>
              <w:t xml:space="preserve"> value</w:t>
            </w:r>
          </w:p>
        </w:tc>
      </w:tr>
      <w:tr w:rsidR="00E66501" w:rsidRPr="00053796" w14:paraId="2C8C7C83" w14:textId="77777777" w:rsidTr="001A24AC">
        <w:tc>
          <w:tcPr>
            <w:tcW w:w="2547" w:type="dxa"/>
            <w:tcBorders>
              <w:top w:val="single" w:sz="4" w:space="0" w:color="auto"/>
            </w:tcBorders>
          </w:tcPr>
          <w:p w14:paraId="05A5B5DB" w14:textId="77777777" w:rsidR="00E66501" w:rsidRPr="00053796" w:rsidRDefault="00E66501" w:rsidP="001A24AC">
            <w:pPr>
              <w:spacing w:line="360" w:lineRule="auto"/>
              <w:jc w:val="both"/>
              <w:rPr>
                <w:rFonts w:ascii="Book Antiqua" w:hAnsi="Book Antiqua"/>
                <w:bCs/>
              </w:rPr>
            </w:pPr>
            <w:r w:rsidRPr="00053796">
              <w:rPr>
                <w:rFonts w:ascii="Book Antiqua" w:hAnsi="Book Antiqua"/>
                <w:bCs/>
              </w:rPr>
              <w:t>Intercept</w:t>
            </w:r>
          </w:p>
        </w:tc>
        <w:tc>
          <w:tcPr>
            <w:tcW w:w="1984" w:type="dxa"/>
            <w:tcBorders>
              <w:top w:val="single" w:sz="4" w:space="0" w:color="auto"/>
            </w:tcBorders>
            <w:vAlign w:val="center"/>
          </w:tcPr>
          <w:p w14:paraId="413E44E9"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0.833</w:t>
            </w:r>
          </w:p>
        </w:tc>
        <w:tc>
          <w:tcPr>
            <w:tcW w:w="1560" w:type="dxa"/>
            <w:tcBorders>
              <w:top w:val="single" w:sz="4" w:space="0" w:color="auto"/>
            </w:tcBorders>
            <w:vAlign w:val="center"/>
          </w:tcPr>
          <w:p w14:paraId="0CE67AE2"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0.577</w:t>
            </w:r>
          </w:p>
        </w:tc>
        <w:tc>
          <w:tcPr>
            <w:tcW w:w="1701" w:type="dxa"/>
            <w:tcBorders>
              <w:top w:val="single" w:sz="4" w:space="0" w:color="auto"/>
            </w:tcBorders>
            <w:vAlign w:val="center"/>
          </w:tcPr>
          <w:p w14:paraId="0104FA96"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1.443</w:t>
            </w:r>
          </w:p>
        </w:tc>
        <w:tc>
          <w:tcPr>
            <w:tcW w:w="1558" w:type="dxa"/>
            <w:tcBorders>
              <w:top w:val="single" w:sz="4" w:space="0" w:color="auto"/>
            </w:tcBorders>
            <w:vAlign w:val="center"/>
          </w:tcPr>
          <w:p w14:paraId="370DEEBC"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0.199</w:t>
            </w:r>
          </w:p>
        </w:tc>
      </w:tr>
      <w:tr w:rsidR="00E66501" w:rsidRPr="00053796" w14:paraId="15A9290E" w14:textId="77777777" w:rsidTr="001A24AC">
        <w:tc>
          <w:tcPr>
            <w:tcW w:w="2547" w:type="dxa"/>
          </w:tcPr>
          <w:p w14:paraId="24918735"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CRP</w:t>
            </w:r>
          </w:p>
        </w:tc>
        <w:tc>
          <w:tcPr>
            <w:tcW w:w="1984" w:type="dxa"/>
            <w:vAlign w:val="center"/>
          </w:tcPr>
          <w:p w14:paraId="7DFCB904"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-0.022</w:t>
            </w:r>
          </w:p>
        </w:tc>
        <w:tc>
          <w:tcPr>
            <w:tcW w:w="1560" w:type="dxa"/>
            <w:vAlign w:val="center"/>
          </w:tcPr>
          <w:p w14:paraId="6352DA91"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0.015</w:t>
            </w:r>
          </w:p>
        </w:tc>
        <w:tc>
          <w:tcPr>
            <w:tcW w:w="1701" w:type="dxa"/>
            <w:vAlign w:val="center"/>
          </w:tcPr>
          <w:p w14:paraId="7C97E049"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-1.488</w:t>
            </w:r>
          </w:p>
        </w:tc>
        <w:tc>
          <w:tcPr>
            <w:tcW w:w="1558" w:type="dxa"/>
            <w:vAlign w:val="center"/>
          </w:tcPr>
          <w:p w14:paraId="69845B22"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0.187</w:t>
            </w:r>
          </w:p>
        </w:tc>
      </w:tr>
      <w:tr w:rsidR="00E66501" w:rsidRPr="00053796" w14:paraId="0BE32827" w14:textId="77777777" w:rsidTr="001A24AC">
        <w:tc>
          <w:tcPr>
            <w:tcW w:w="2547" w:type="dxa"/>
          </w:tcPr>
          <w:p w14:paraId="1598C1AD"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ESR</w:t>
            </w:r>
          </w:p>
        </w:tc>
        <w:tc>
          <w:tcPr>
            <w:tcW w:w="1984" w:type="dxa"/>
            <w:vAlign w:val="center"/>
          </w:tcPr>
          <w:p w14:paraId="204AB72E"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-0.001</w:t>
            </w:r>
          </w:p>
        </w:tc>
        <w:tc>
          <w:tcPr>
            <w:tcW w:w="1560" w:type="dxa"/>
            <w:vAlign w:val="center"/>
          </w:tcPr>
          <w:p w14:paraId="6D62356D"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0.004</w:t>
            </w:r>
          </w:p>
        </w:tc>
        <w:tc>
          <w:tcPr>
            <w:tcW w:w="1701" w:type="dxa"/>
            <w:vAlign w:val="center"/>
          </w:tcPr>
          <w:p w14:paraId="6BA88F01"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-0.213</w:t>
            </w:r>
          </w:p>
        </w:tc>
        <w:tc>
          <w:tcPr>
            <w:tcW w:w="1558" w:type="dxa"/>
            <w:vAlign w:val="center"/>
          </w:tcPr>
          <w:p w14:paraId="3C8315AB"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0.839</w:t>
            </w:r>
          </w:p>
        </w:tc>
      </w:tr>
      <w:tr w:rsidR="00E66501" w:rsidRPr="00053796" w14:paraId="02FAA575" w14:textId="77777777" w:rsidTr="001A24AC">
        <w:tc>
          <w:tcPr>
            <w:tcW w:w="2547" w:type="dxa"/>
          </w:tcPr>
          <w:p w14:paraId="24880A48"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WBC</w:t>
            </w:r>
          </w:p>
        </w:tc>
        <w:tc>
          <w:tcPr>
            <w:tcW w:w="1984" w:type="dxa"/>
            <w:vAlign w:val="center"/>
          </w:tcPr>
          <w:p w14:paraId="11FF22C8"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-0.001</w:t>
            </w:r>
          </w:p>
        </w:tc>
        <w:tc>
          <w:tcPr>
            <w:tcW w:w="1560" w:type="dxa"/>
            <w:vAlign w:val="center"/>
          </w:tcPr>
          <w:p w14:paraId="03E61619"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0.024</w:t>
            </w:r>
          </w:p>
        </w:tc>
        <w:tc>
          <w:tcPr>
            <w:tcW w:w="1701" w:type="dxa"/>
            <w:vAlign w:val="center"/>
          </w:tcPr>
          <w:p w14:paraId="2CEA5C7A"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-0.043</w:t>
            </w:r>
          </w:p>
        </w:tc>
        <w:tc>
          <w:tcPr>
            <w:tcW w:w="1558" w:type="dxa"/>
            <w:vAlign w:val="center"/>
          </w:tcPr>
          <w:p w14:paraId="35EA9248"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0.967</w:t>
            </w:r>
          </w:p>
        </w:tc>
      </w:tr>
      <w:tr w:rsidR="00E66501" w:rsidRPr="00053796" w14:paraId="50B53CAE" w14:textId="77777777" w:rsidTr="001A24AC">
        <w:tc>
          <w:tcPr>
            <w:tcW w:w="2547" w:type="dxa"/>
          </w:tcPr>
          <w:p w14:paraId="64AA300D" w14:textId="77777777" w:rsidR="00E66501" w:rsidRPr="00053796" w:rsidRDefault="00E66501" w:rsidP="001A24AC">
            <w:pPr>
              <w:spacing w:line="360" w:lineRule="auto"/>
              <w:jc w:val="both"/>
              <w:rPr>
                <w:rFonts w:ascii="Book Antiqua" w:hAnsi="Book Antiqua"/>
              </w:rPr>
            </w:pPr>
            <w:r w:rsidRPr="00053796">
              <w:rPr>
                <w:rFonts w:ascii="Book Antiqua" w:hAnsi="Book Antiqua"/>
              </w:rPr>
              <w:t>synovial WBC</w:t>
            </w:r>
          </w:p>
        </w:tc>
        <w:tc>
          <w:tcPr>
            <w:tcW w:w="1984" w:type="dxa"/>
            <w:vAlign w:val="center"/>
          </w:tcPr>
          <w:p w14:paraId="7002458E"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0.000</w:t>
            </w:r>
          </w:p>
        </w:tc>
        <w:tc>
          <w:tcPr>
            <w:tcW w:w="1560" w:type="dxa"/>
            <w:vAlign w:val="center"/>
          </w:tcPr>
          <w:p w14:paraId="22333978"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0.000</w:t>
            </w:r>
          </w:p>
        </w:tc>
        <w:tc>
          <w:tcPr>
            <w:tcW w:w="1701" w:type="dxa"/>
            <w:vAlign w:val="center"/>
          </w:tcPr>
          <w:p w14:paraId="22308531"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0.438</w:t>
            </w:r>
          </w:p>
        </w:tc>
        <w:tc>
          <w:tcPr>
            <w:tcW w:w="1558" w:type="dxa"/>
            <w:vAlign w:val="center"/>
          </w:tcPr>
          <w:p w14:paraId="3A725F0D"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0.677</w:t>
            </w:r>
          </w:p>
        </w:tc>
      </w:tr>
      <w:tr w:rsidR="00E66501" w:rsidRPr="00053796" w14:paraId="4B8FA662" w14:textId="77777777" w:rsidTr="001A24AC">
        <w:tc>
          <w:tcPr>
            <w:tcW w:w="2547" w:type="dxa"/>
          </w:tcPr>
          <w:p w14:paraId="53E5B993" w14:textId="77777777" w:rsidR="00E66501" w:rsidRPr="00053796" w:rsidRDefault="00E66501" w:rsidP="001A24AC">
            <w:pPr>
              <w:spacing w:line="360" w:lineRule="auto"/>
              <w:jc w:val="both"/>
              <w:rPr>
                <w:rFonts w:ascii="Book Antiqua" w:hAnsi="Book Antiqua"/>
              </w:rPr>
            </w:pPr>
            <w:r w:rsidRPr="00053796">
              <w:rPr>
                <w:rFonts w:ascii="Book Antiqua" w:hAnsi="Book Antiqua"/>
              </w:rPr>
              <w:t>synovial % PMN</w:t>
            </w:r>
          </w:p>
        </w:tc>
        <w:tc>
          <w:tcPr>
            <w:tcW w:w="1984" w:type="dxa"/>
            <w:vAlign w:val="center"/>
          </w:tcPr>
          <w:p w14:paraId="2F0D187E"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-0.001</w:t>
            </w:r>
          </w:p>
        </w:tc>
        <w:tc>
          <w:tcPr>
            <w:tcW w:w="1560" w:type="dxa"/>
            <w:vAlign w:val="center"/>
          </w:tcPr>
          <w:p w14:paraId="24715651"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0.007</w:t>
            </w:r>
          </w:p>
        </w:tc>
        <w:tc>
          <w:tcPr>
            <w:tcW w:w="1701" w:type="dxa"/>
            <w:vAlign w:val="center"/>
          </w:tcPr>
          <w:p w14:paraId="2B093246"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-0.149</w:t>
            </w:r>
          </w:p>
        </w:tc>
        <w:tc>
          <w:tcPr>
            <w:tcW w:w="1558" w:type="dxa"/>
            <w:vAlign w:val="center"/>
          </w:tcPr>
          <w:p w14:paraId="1ADA80E6" w14:textId="77777777" w:rsidR="00E66501" w:rsidRPr="00053796" w:rsidRDefault="00E66501" w:rsidP="001A24AC">
            <w:pPr>
              <w:spacing w:line="360" w:lineRule="auto"/>
              <w:jc w:val="both"/>
              <w:rPr>
                <w:rFonts w:ascii="Book Antiqua" w:hAnsi="Book Antiqua"/>
                <w:b/>
              </w:rPr>
            </w:pPr>
            <w:r w:rsidRPr="00053796">
              <w:rPr>
                <w:rFonts w:ascii="Book Antiqua" w:hAnsi="Book Antiqua"/>
              </w:rPr>
              <w:t>0.887</w:t>
            </w:r>
          </w:p>
        </w:tc>
      </w:tr>
      <w:tr w:rsidR="00E66501" w:rsidRPr="00053796" w14:paraId="33F2B274" w14:textId="77777777" w:rsidTr="001A24AC">
        <w:tc>
          <w:tcPr>
            <w:tcW w:w="2547" w:type="dxa"/>
          </w:tcPr>
          <w:p w14:paraId="60EEEB98" w14:textId="77777777" w:rsidR="00E66501" w:rsidRPr="00053796" w:rsidRDefault="00E66501" w:rsidP="001A24AC">
            <w:pPr>
              <w:spacing w:line="360" w:lineRule="auto"/>
              <w:jc w:val="both"/>
              <w:rPr>
                <w:rFonts w:ascii="Book Antiqua" w:hAnsi="Book Antiqua"/>
              </w:rPr>
            </w:pPr>
            <w:r w:rsidRPr="00053796">
              <w:rPr>
                <w:rFonts w:ascii="Book Antiqua" w:hAnsi="Book Antiqua"/>
              </w:rPr>
              <w:t xml:space="preserve">Sepsis </w:t>
            </w:r>
            <w:proofErr w:type="spellStart"/>
            <w:r w:rsidRPr="00053796">
              <w:rPr>
                <w:rFonts w:ascii="Book Antiqua" w:hAnsi="Book Antiqua"/>
              </w:rPr>
              <w:t>metascore</w:t>
            </w:r>
            <w:proofErr w:type="spellEnd"/>
          </w:p>
        </w:tc>
        <w:tc>
          <w:tcPr>
            <w:tcW w:w="1984" w:type="dxa"/>
            <w:vAlign w:val="center"/>
          </w:tcPr>
          <w:p w14:paraId="48D118EF" w14:textId="77777777" w:rsidR="00E66501" w:rsidRPr="00053796" w:rsidRDefault="00E66501" w:rsidP="001A24AC">
            <w:pPr>
              <w:spacing w:line="360" w:lineRule="auto"/>
              <w:jc w:val="both"/>
              <w:rPr>
                <w:rFonts w:ascii="Book Antiqua" w:hAnsi="Book Antiqua"/>
              </w:rPr>
            </w:pPr>
            <w:r w:rsidRPr="00053796">
              <w:rPr>
                <w:rFonts w:ascii="Book Antiqua" w:hAnsi="Book Antiqua"/>
              </w:rPr>
              <w:t>0.595</w:t>
            </w:r>
          </w:p>
        </w:tc>
        <w:tc>
          <w:tcPr>
            <w:tcW w:w="1560" w:type="dxa"/>
            <w:vAlign w:val="center"/>
          </w:tcPr>
          <w:p w14:paraId="18B66630" w14:textId="77777777" w:rsidR="00E66501" w:rsidRPr="00053796" w:rsidRDefault="00E66501" w:rsidP="001A24AC">
            <w:pPr>
              <w:spacing w:line="360" w:lineRule="auto"/>
              <w:jc w:val="both"/>
              <w:rPr>
                <w:rFonts w:ascii="Book Antiqua" w:hAnsi="Book Antiqua"/>
              </w:rPr>
            </w:pPr>
            <w:r w:rsidRPr="00053796">
              <w:rPr>
                <w:rFonts w:ascii="Book Antiqua" w:hAnsi="Book Antiqua"/>
              </w:rPr>
              <w:t>0.210</w:t>
            </w:r>
          </w:p>
        </w:tc>
        <w:tc>
          <w:tcPr>
            <w:tcW w:w="1701" w:type="dxa"/>
            <w:vAlign w:val="center"/>
          </w:tcPr>
          <w:p w14:paraId="287AFF5A" w14:textId="77777777" w:rsidR="00E66501" w:rsidRPr="00053796" w:rsidRDefault="00E66501" w:rsidP="001A24AC">
            <w:pPr>
              <w:spacing w:line="360" w:lineRule="auto"/>
              <w:jc w:val="both"/>
              <w:rPr>
                <w:rFonts w:ascii="Book Antiqua" w:hAnsi="Book Antiqua"/>
              </w:rPr>
            </w:pPr>
            <w:r w:rsidRPr="00053796">
              <w:rPr>
                <w:rFonts w:ascii="Book Antiqua" w:hAnsi="Book Antiqua"/>
              </w:rPr>
              <w:t>2.831</w:t>
            </w:r>
          </w:p>
        </w:tc>
        <w:tc>
          <w:tcPr>
            <w:tcW w:w="1558" w:type="dxa"/>
            <w:vAlign w:val="center"/>
          </w:tcPr>
          <w:p w14:paraId="11A2F737" w14:textId="77777777" w:rsidR="00E66501" w:rsidRPr="00053796" w:rsidRDefault="00E66501" w:rsidP="001A24AC">
            <w:pPr>
              <w:spacing w:line="360" w:lineRule="auto"/>
              <w:jc w:val="both"/>
              <w:rPr>
                <w:rFonts w:ascii="Book Antiqua" w:hAnsi="Book Antiqua"/>
              </w:rPr>
            </w:pPr>
            <w:r w:rsidRPr="00053796">
              <w:rPr>
                <w:rFonts w:ascii="Book Antiqua" w:hAnsi="Book Antiqua"/>
              </w:rPr>
              <w:t>0.030</w:t>
            </w:r>
          </w:p>
        </w:tc>
      </w:tr>
      <w:tr w:rsidR="00E66501" w:rsidRPr="00053796" w14:paraId="32FC6CFE" w14:textId="77777777" w:rsidTr="001A24AC">
        <w:tc>
          <w:tcPr>
            <w:tcW w:w="9350" w:type="dxa"/>
            <w:gridSpan w:val="5"/>
          </w:tcPr>
          <w:p w14:paraId="00B4CBD5" w14:textId="77777777" w:rsidR="00E66501" w:rsidRPr="00053796" w:rsidRDefault="00E66501" w:rsidP="001A24AC">
            <w:pPr>
              <w:spacing w:line="360" w:lineRule="auto"/>
              <w:jc w:val="both"/>
              <w:rPr>
                <w:rFonts w:ascii="Book Antiqua" w:hAnsi="Book Antiqua"/>
                <w:bCs/>
              </w:rPr>
            </w:pPr>
            <w:r w:rsidRPr="00053796">
              <w:rPr>
                <w:rFonts w:ascii="Book Antiqua" w:hAnsi="Book Antiqua"/>
                <w:bCs/>
              </w:rPr>
              <w:t>Residual standard error: 0.4478 on 6 degrees of freedom</w:t>
            </w:r>
          </w:p>
        </w:tc>
      </w:tr>
      <w:tr w:rsidR="00E66501" w:rsidRPr="00053796" w14:paraId="39DFADFC" w14:textId="77777777" w:rsidTr="001A24AC">
        <w:tc>
          <w:tcPr>
            <w:tcW w:w="6091" w:type="dxa"/>
            <w:gridSpan w:val="3"/>
          </w:tcPr>
          <w:p w14:paraId="18EE121C" w14:textId="77777777" w:rsidR="00E66501" w:rsidRPr="00053796" w:rsidRDefault="00E66501" w:rsidP="001A24AC">
            <w:pPr>
              <w:spacing w:line="360" w:lineRule="auto"/>
              <w:jc w:val="both"/>
              <w:rPr>
                <w:rFonts w:ascii="Book Antiqua" w:hAnsi="Book Antiqua"/>
                <w:bCs/>
              </w:rPr>
            </w:pPr>
            <w:r w:rsidRPr="00053796">
              <w:rPr>
                <w:rFonts w:ascii="Book Antiqua" w:hAnsi="Book Antiqua"/>
                <w:bCs/>
              </w:rPr>
              <w:t>Multiple R-squared: 0.6275</w:t>
            </w:r>
          </w:p>
        </w:tc>
        <w:tc>
          <w:tcPr>
            <w:tcW w:w="3259" w:type="dxa"/>
            <w:gridSpan w:val="2"/>
          </w:tcPr>
          <w:p w14:paraId="0039863E" w14:textId="77777777" w:rsidR="00E66501" w:rsidRPr="00053796" w:rsidRDefault="00E66501" w:rsidP="001A24AC">
            <w:pPr>
              <w:spacing w:line="360" w:lineRule="auto"/>
              <w:jc w:val="both"/>
              <w:rPr>
                <w:rFonts w:ascii="Book Antiqua" w:hAnsi="Book Antiqua"/>
                <w:bCs/>
              </w:rPr>
            </w:pPr>
            <w:r w:rsidRPr="00053796">
              <w:rPr>
                <w:rFonts w:ascii="Book Antiqua" w:hAnsi="Book Antiqua"/>
                <w:bCs/>
              </w:rPr>
              <w:t>Adjusted R-squared: 0.2551</w:t>
            </w:r>
          </w:p>
        </w:tc>
      </w:tr>
      <w:tr w:rsidR="00E66501" w:rsidRPr="00053796" w14:paraId="26B89D54" w14:textId="77777777" w:rsidTr="001A24AC">
        <w:tc>
          <w:tcPr>
            <w:tcW w:w="9350" w:type="dxa"/>
            <w:gridSpan w:val="5"/>
          </w:tcPr>
          <w:p w14:paraId="55227A3F" w14:textId="77777777" w:rsidR="00E66501" w:rsidRPr="00053796" w:rsidRDefault="00E66501" w:rsidP="001A24AC">
            <w:pPr>
              <w:spacing w:line="360" w:lineRule="auto"/>
              <w:jc w:val="both"/>
              <w:rPr>
                <w:rFonts w:ascii="Book Antiqua" w:hAnsi="Book Antiqua"/>
                <w:bCs/>
              </w:rPr>
            </w:pPr>
            <w:r w:rsidRPr="00053796">
              <w:rPr>
                <w:rFonts w:ascii="Book Antiqua" w:hAnsi="Book Antiqua"/>
                <w:bCs/>
              </w:rPr>
              <w:t>F-statistic: 1.685</w:t>
            </w:r>
          </w:p>
        </w:tc>
      </w:tr>
    </w:tbl>
    <w:p w14:paraId="13785C36" w14:textId="77777777" w:rsidR="00E66501" w:rsidRPr="00053796" w:rsidRDefault="00E66501" w:rsidP="00E66501">
      <w:pPr>
        <w:spacing w:line="360" w:lineRule="auto"/>
        <w:jc w:val="both"/>
        <w:rPr>
          <w:rFonts w:ascii="Book Antiqua" w:hAnsi="Book Antiqua"/>
        </w:rPr>
      </w:pPr>
      <w:r w:rsidRPr="00053796">
        <w:rPr>
          <w:rFonts w:ascii="Book Antiqua" w:eastAsiaTheme="minorEastAsia" w:hAnsi="Book Antiqua"/>
          <w:lang w:eastAsia="zh-CN"/>
        </w:rPr>
        <w:t xml:space="preserve">WBC: </w:t>
      </w:r>
      <w:r w:rsidRPr="00053796">
        <w:rPr>
          <w:rFonts w:ascii="Book Antiqua" w:hAnsi="Book Antiqua"/>
        </w:rPr>
        <w:t xml:space="preserve">White blood cell; ESR: Erythrocyte sedimentation rate; CRP: C-reactive protein; </w:t>
      </w:r>
      <w:r w:rsidRPr="00053796">
        <w:rPr>
          <w:rFonts w:ascii="Book Antiqua" w:eastAsiaTheme="minorEastAsia" w:hAnsi="Book Antiqua"/>
          <w:lang w:eastAsia="zh-CN"/>
        </w:rPr>
        <w:t xml:space="preserve">PMN: </w:t>
      </w:r>
      <w:r w:rsidRPr="00053796">
        <w:rPr>
          <w:rFonts w:ascii="Book Antiqua" w:hAnsi="Book Antiqua"/>
        </w:rPr>
        <w:t>Polymorphonuclear cells.</w:t>
      </w:r>
    </w:p>
    <w:p w14:paraId="442AEF58" w14:textId="77777777" w:rsidR="00E66501" w:rsidRPr="00053796" w:rsidRDefault="00E66501" w:rsidP="00053796">
      <w:pPr>
        <w:spacing w:line="360" w:lineRule="auto"/>
        <w:jc w:val="both"/>
        <w:rPr>
          <w:rFonts w:ascii="Book Antiqua" w:hAnsi="Book Antiqua"/>
        </w:rPr>
      </w:pPr>
    </w:p>
    <w:p w14:paraId="78781316" w14:textId="337D59C8" w:rsidR="006E427E" w:rsidRPr="00053796" w:rsidRDefault="007714E3" w:rsidP="00053796">
      <w:pPr>
        <w:spacing w:line="360" w:lineRule="auto"/>
        <w:mirrorIndents/>
        <w:jc w:val="both"/>
        <w:rPr>
          <w:rFonts w:ascii="Book Antiqua" w:hAnsi="Book Antiqua"/>
          <w:b/>
        </w:rPr>
      </w:pPr>
      <w:r w:rsidRPr="00053796">
        <w:rPr>
          <w:rFonts w:ascii="Book Antiqua" w:hAnsi="Book Antiqua"/>
          <w:b/>
          <w:noProof/>
        </w:rPr>
        <w:lastRenderedPageBreak/>
        <w:drawing>
          <wp:inline distT="0" distB="0" distL="0" distR="0" wp14:anchorId="6AEA10DD" wp14:editId="55CB52FC">
            <wp:extent cx="6369269" cy="407061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_ROC curvese septic arthrit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1698" cy="4072168"/>
                    </a:xfrm>
                    <a:prstGeom prst="rect">
                      <a:avLst/>
                    </a:prstGeom>
                  </pic:spPr>
                </pic:pic>
              </a:graphicData>
            </a:graphic>
          </wp:inline>
        </w:drawing>
      </w:r>
    </w:p>
    <w:p w14:paraId="50A9EFF3" w14:textId="70B535EE" w:rsidR="00E66501" w:rsidRPr="00053796" w:rsidRDefault="00555330" w:rsidP="00E66501">
      <w:pPr>
        <w:spacing w:line="360" w:lineRule="auto"/>
        <w:jc w:val="both"/>
        <w:rPr>
          <w:rFonts w:ascii="Book Antiqua" w:hAnsi="Book Antiqua"/>
        </w:rPr>
      </w:pPr>
      <w:r w:rsidRPr="00053796">
        <w:rPr>
          <w:rFonts w:ascii="Book Antiqua" w:hAnsi="Book Antiqua"/>
          <w:b/>
        </w:rPr>
        <w:t>Fig</w:t>
      </w:r>
      <w:r w:rsidR="00D23A0D" w:rsidRPr="00053796">
        <w:rPr>
          <w:rFonts w:ascii="Book Antiqua" w:eastAsiaTheme="minorEastAsia" w:hAnsi="Book Antiqua"/>
          <w:b/>
          <w:lang w:eastAsia="zh-CN"/>
        </w:rPr>
        <w:t>u</w:t>
      </w:r>
      <w:r w:rsidR="00D23A0D" w:rsidRPr="00053796">
        <w:rPr>
          <w:rFonts w:ascii="Book Antiqua" w:hAnsi="Book Antiqua"/>
          <w:b/>
        </w:rPr>
        <w:t>re</w:t>
      </w:r>
      <w:r w:rsidRPr="00053796">
        <w:rPr>
          <w:rFonts w:ascii="Book Antiqua" w:hAnsi="Book Antiqua"/>
          <w:b/>
        </w:rPr>
        <w:t xml:space="preserve"> 1 ROC curves for separating infectious from non-infectious joint infections.</w:t>
      </w:r>
      <w:r w:rsidRPr="00053796">
        <w:rPr>
          <w:rFonts w:ascii="Book Antiqua" w:hAnsi="Book Antiqua"/>
        </w:rPr>
        <w:t xml:space="preserve"> A</w:t>
      </w:r>
      <w:r w:rsidR="00D23A0D" w:rsidRPr="00053796">
        <w:rPr>
          <w:rFonts w:ascii="Book Antiqua" w:hAnsi="Book Antiqua"/>
        </w:rPr>
        <w:t xml:space="preserve">: </w:t>
      </w:r>
      <w:r w:rsidRPr="00053796">
        <w:rPr>
          <w:rFonts w:ascii="Book Antiqua" w:hAnsi="Book Antiqua"/>
        </w:rPr>
        <w:t xml:space="preserve">Sepsis </w:t>
      </w:r>
      <w:proofErr w:type="spellStart"/>
      <w:r w:rsidRPr="00053796">
        <w:rPr>
          <w:rFonts w:ascii="Book Antiqua" w:hAnsi="Book Antiqua"/>
        </w:rPr>
        <w:t>Metascore</w:t>
      </w:r>
      <w:proofErr w:type="spellEnd"/>
      <w:r w:rsidRPr="00053796">
        <w:rPr>
          <w:rFonts w:ascii="Book Antiqua" w:hAnsi="Book Antiqua"/>
        </w:rPr>
        <w:t xml:space="preserve"> </w:t>
      </w:r>
      <w:r w:rsidR="00D23A0D" w:rsidRPr="00053796">
        <w:rPr>
          <w:rFonts w:ascii="Book Antiqua" w:hAnsi="Book Antiqua"/>
        </w:rPr>
        <w:t>area under the ROC</w:t>
      </w:r>
      <w:r w:rsidRPr="00053796">
        <w:rPr>
          <w:rFonts w:ascii="Book Antiqua" w:hAnsi="Book Antiqua"/>
        </w:rPr>
        <w:t xml:space="preserve"> = 0.87</w:t>
      </w:r>
      <w:r w:rsidR="00D23A0D" w:rsidRPr="00053796">
        <w:rPr>
          <w:rFonts w:ascii="Book Antiqua" w:hAnsi="Book Antiqua"/>
        </w:rPr>
        <w:t>;</w:t>
      </w:r>
      <w:r w:rsidRPr="00053796">
        <w:rPr>
          <w:rFonts w:ascii="Book Antiqua" w:hAnsi="Book Antiqua"/>
        </w:rPr>
        <w:t xml:space="preserve"> B: </w:t>
      </w:r>
      <w:r w:rsidR="00D23A0D" w:rsidRPr="00053796">
        <w:rPr>
          <w:rFonts w:ascii="Book Antiqua" w:hAnsi="Book Antiqua"/>
        </w:rPr>
        <w:t>Erythrocyte sedimentation rate</w:t>
      </w:r>
      <w:r w:rsidRPr="00053796">
        <w:rPr>
          <w:rFonts w:ascii="Book Antiqua" w:hAnsi="Book Antiqua"/>
        </w:rPr>
        <w:t xml:space="preserve"> </w:t>
      </w:r>
      <w:r w:rsidR="00D23A0D" w:rsidRPr="00053796">
        <w:rPr>
          <w:rFonts w:ascii="Book Antiqua" w:hAnsi="Book Antiqua"/>
        </w:rPr>
        <w:t xml:space="preserve">area under the ROC </w:t>
      </w:r>
      <w:r w:rsidRPr="00053796">
        <w:rPr>
          <w:rFonts w:ascii="Book Antiqua" w:hAnsi="Book Antiqua"/>
        </w:rPr>
        <w:t>=</w:t>
      </w:r>
      <w:r w:rsidR="00D23A0D" w:rsidRPr="00053796">
        <w:rPr>
          <w:rFonts w:ascii="Book Antiqua" w:hAnsi="Book Antiqua"/>
        </w:rPr>
        <w:t xml:space="preserve"> </w:t>
      </w:r>
      <w:r w:rsidRPr="00053796">
        <w:rPr>
          <w:rFonts w:ascii="Book Antiqua" w:hAnsi="Book Antiqua"/>
        </w:rPr>
        <w:t>0.58</w:t>
      </w:r>
      <w:r w:rsidR="00D23A0D" w:rsidRPr="00053796">
        <w:rPr>
          <w:rFonts w:ascii="Book Antiqua" w:hAnsi="Book Antiqua"/>
        </w:rPr>
        <w:t>;</w:t>
      </w:r>
      <w:r w:rsidRPr="00053796">
        <w:rPr>
          <w:rFonts w:ascii="Book Antiqua" w:hAnsi="Book Antiqua"/>
        </w:rPr>
        <w:t xml:space="preserve"> C: </w:t>
      </w:r>
      <w:r w:rsidR="00D23A0D" w:rsidRPr="00053796">
        <w:rPr>
          <w:rFonts w:ascii="Book Antiqua" w:hAnsi="Book Antiqua"/>
        </w:rPr>
        <w:t>C-reactive protein</w:t>
      </w:r>
      <w:r w:rsidRPr="00053796">
        <w:rPr>
          <w:rFonts w:ascii="Book Antiqua" w:hAnsi="Book Antiqua"/>
        </w:rPr>
        <w:t xml:space="preserve"> </w:t>
      </w:r>
      <w:r w:rsidR="00D23A0D" w:rsidRPr="00053796">
        <w:rPr>
          <w:rFonts w:ascii="Book Antiqua" w:hAnsi="Book Antiqua"/>
        </w:rPr>
        <w:t xml:space="preserve">area under the ROC </w:t>
      </w:r>
      <w:r w:rsidRPr="00053796">
        <w:rPr>
          <w:rFonts w:ascii="Book Antiqua" w:hAnsi="Book Antiqua"/>
        </w:rPr>
        <w:t>=</w:t>
      </w:r>
      <w:r w:rsidR="00D23A0D" w:rsidRPr="00053796">
        <w:rPr>
          <w:rFonts w:ascii="Book Antiqua" w:hAnsi="Book Antiqua"/>
        </w:rPr>
        <w:t xml:space="preserve"> </w:t>
      </w:r>
      <w:r w:rsidRPr="00053796">
        <w:rPr>
          <w:rFonts w:ascii="Book Antiqua" w:hAnsi="Book Antiqua"/>
        </w:rPr>
        <w:t>0.6</w:t>
      </w:r>
      <w:r w:rsidR="00D23A0D" w:rsidRPr="00053796">
        <w:rPr>
          <w:rFonts w:ascii="Book Antiqua" w:hAnsi="Book Antiqua"/>
        </w:rPr>
        <w:t>;</w:t>
      </w:r>
      <w:r w:rsidRPr="00053796">
        <w:rPr>
          <w:rFonts w:ascii="Book Antiqua" w:hAnsi="Book Antiqua"/>
        </w:rPr>
        <w:t xml:space="preserve"> D: </w:t>
      </w:r>
      <w:r w:rsidR="00D23A0D" w:rsidRPr="00053796">
        <w:rPr>
          <w:rFonts w:ascii="Book Antiqua" w:hAnsi="Book Antiqua"/>
        </w:rPr>
        <w:t>White blood cell</w:t>
      </w:r>
      <w:r w:rsidRPr="00053796">
        <w:rPr>
          <w:rFonts w:ascii="Book Antiqua" w:hAnsi="Book Antiqua"/>
        </w:rPr>
        <w:t xml:space="preserve"> </w:t>
      </w:r>
      <w:r w:rsidR="00D23A0D" w:rsidRPr="00053796">
        <w:rPr>
          <w:rFonts w:ascii="Book Antiqua" w:hAnsi="Book Antiqua"/>
        </w:rPr>
        <w:t xml:space="preserve">area under the ROC </w:t>
      </w:r>
      <w:r w:rsidRPr="00053796">
        <w:rPr>
          <w:rFonts w:ascii="Book Antiqua" w:hAnsi="Book Antiqua"/>
        </w:rPr>
        <w:t>=</w:t>
      </w:r>
      <w:r w:rsidR="00D23A0D" w:rsidRPr="00053796">
        <w:rPr>
          <w:rFonts w:ascii="Book Antiqua" w:hAnsi="Book Antiqua"/>
        </w:rPr>
        <w:t xml:space="preserve"> </w:t>
      </w:r>
      <w:r w:rsidRPr="00053796">
        <w:rPr>
          <w:rFonts w:ascii="Book Antiqua" w:hAnsi="Book Antiqua"/>
        </w:rPr>
        <w:t>0.59</w:t>
      </w:r>
      <w:r w:rsidR="00D23A0D" w:rsidRPr="00053796">
        <w:rPr>
          <w:rFonts w:ascii="Book Antiqua" w:hAnsi="Book Antiqua"/>
        </w:rPr>
        <w:t>;</w:t>
      </w:r>
      <w:r w:rsidRPr="00053796">
        <w:rPr>
          <w:rFonts w:ascii="Book Antiqua" w:hAnsi="Book Antiqua"/>
        </w:rPr>
        <w:t xml:space="preserve"> E. Synovial cell </w:t>
      </w:r>
      <w:r w:rsidR="00D23A0D" w:rsidRPr="00053796">
        <w:rPr>
          <w:rFonts w:ascii="Book Antiqua" w:hAnsi="Book Antiqua"/>
        </w:rPr>
        <w:t xml:space="preserve">area under the ROC </w:t>
      </w:r>
      <w:r w:rsidRPr="00053796">
        <w:rPr>
          <w:rFonts w:ascii="Book Antiqua" w:hAnsi="Book Antiqua"/>
        </w:rPr>
        <w:t>= 0.54</w:t>
      </w:r>
      <w:r w:rsidR="00D23A0D" w:rsidRPr="00053796">
        <w:rPr>
          <w:rFonts w:ascii="Book Antiqua" w:hAnsi="Book Antiqua"/>
        </w:rPr>
        <w:t>;</w:t>
      </w:r>
      <w:r w:rsidRPr="00053796">
        <w:rPr>
          <w:rFonts w:ascii="Book Antiqua" w:hAnsi="Book Antiqua"/>
        </w:rPr>
        <w:t xml:space="preserve"> F</w:t>
      </w:r>
      <w:r w:rsidR="00D23A0D" w:rsidRPr="00053796">
        <w:rPr>
          <w:rFonts w:ascii="Book Antiqua" w:hAnsi="Book Antiqua"/>
        </w:rPr>
        <w:t>:</w:t>
      </w:r>
      <w:r w:rsidRPr="00053796">
        <w:rPr>
          <w:rFonts w:ascii="Book Antiqua" w:hAnsi="Book Antiqua"/>
        </w:rPr>
        <w:t xml:space="preserve"> Synovial </w:t>
      </w:r>
      <w:r w:rsidR="00597567" w:rsidRPr="00053796">
        <w:rPr>
          <w:rFonts w:ascii="Book Antiqua" w:hAnsi="Book Antiqua"/>
        </w:rPr>
        <w:t xml:space="preserve">polymorphonuclear cells </w:t>
      </w:r>
      <w:r w:rsidRPr="00053796">
        <w:rPr>
          <w:rFonts w:ascii="Book Antiqua" w:hAnsi="Book Antiqua"/>
        </w:rPr>
        <w:t xml:space="preserve">% </w:t>
      </w:r>
      <w:r w:rsidR="00D23A0D" w:rsidRPr="00053796">
        <w:rPr>
          <w:rFonts w:ascii="Book Antiqua" w:hAnsi="Book Antiqua"/>
        </w:rPr>
        <w:t xml:space="preserve">area under the ROC </w:t>
      </w:r>
      <w:r w:rsidRPr="00053796">
        <w:rPr>
          <w:rFonts w:ascii="Book Antiqua" w:hAnsi="Book Antiqua"/>
        </w:rPr>
        <w:t>=</w:t>
      </w:r>
      <w:r w:rsidR="00D23A0D" w:rsidRPr="00053796">
        <w:rPr>
          <w:rFonts w:ascii="Book Antiqua" w:hAnsi="Book Antiqua"/>
        </w:rPr>
        <w:t xml:space="preserve"> </w:t>
      </w:r>
      <w:r w:rsidRPr="00053796">
        <w:rPr>
          <w:rFonts w:ascii="Book Antiqua" w:hAnsi="Book Antiqua"/>
        </w:rPr>
        <w:t>0.51</w:t>
      </w:r>
      <w:r w:rsidR="00D23A0D" w:rsidRPr="00053796">
        <w:rPr>
          <w:rFonts w:ascii="Book Antiqua" w:hAnsi="Book Antiqua"/>
        </w:rPr>
        <w:t>.</w:t>
      </w:r>
      <w:r w:rsidR="00E66501">
        <w:rPr>
          <w:rFonts w:ascii="Book Antiqua" w:hAnsi="Book Antiqua"/>
        </w:rPr>
        <w:t xml:space="preserve"> </w:t>
      </w:r>
      <w:r w:rsidR="00E66501" w:rsidRPr="00053796">
        <w:rPr>
          <w:rFonts w:ascii="Book Antiqua" w:eastAsiaTheme="minorEastAsia" w:hAnsi="Book Antiqua"/>
          <w:lang w:eastAsia="zh-CN"/>
        </w:rPr>
        <w:t xml:space="preserve">WBC: </w:t>
      </w:r>
      <w:r w:rsidR="00E66501" w:rsidRPr="00053796">
        <w:rPr>
          <w:rFonts w:ascii="Book Antiqua" w:hAnsi="Book Antiqua"/>
        </w:rPr>
        <w:t>White blood cell; ESR: Erythrocyte sedimentation rate; CRP: C-reactive protein;</w:t>
      </w:r>
      <w:r w:rsidR="00E66501">
        <w:rPr>
          <w:rFonts w:ascii="Book Antiqua" w:hAnsi="Book Antiqua"/>
        </w:rPr>
        <w:t xml:space="preserve"> SMS:</w:t>
      </w:r>
      <w:r w:rsidR="00E66501" w:rsidRPr="00E66501">
        <w:rPr>
          <w:rFonts w:ascii="Book Antiqua" w:hAnsi="Book Antiqua"/>
        </w:rPr>
        <w:t xml:space="preserve"> </w:t>
      </w:r>
      <w:r w:rsidR="00E66501" w:rsidRPr="00053796">
        <w:rPr>
          <w:rFonts w:ascii="Book Antiqua" w:hAnsi="Book Antiqua"/>
        </w:rPr>
        <w:t xml:space="preserve">Sepsis </w:t>
      </w:r>
      <w:proofErr w:type="spellStart"/>
      <w:r w:rsidR="00E66501" w:rsidRPr="00053796">
        <w:rPr>
          <w:rFonts w:ascii="Book Antiqua" w:hAnsi="Book Antiqua"/>
        </w:rPr>
        <w:t>MetaScore</w:t>
      </w:r>
      <w:proofErr w:type="spellEnd"/>
      <w:r w:rsidR="00E66501" w:rsidRPr="00053796">
        <w:rPr>
          <w:rFonts w:ascii="Book Antiqua" w:hAnsi="Book Antiqua"/>
        </w:rPr>
        <w:t>.</w:t>
      </w:r>
    </w:p>
    <w:p w14:paraId="5E4F58EC" w14:textId="22671851" w:rsidR="00555330" w:rsidRPr="00053796" w:rsidRDefault="00555330" w:rsidP="00053796">
      <w:pPr>
        <w:spacing w:line="360" w:lineRule="auto"/>
        <w:mirrorIndents/>
        <w:jc w:val="both"/>
        <w:rPr>
          <w:rFonts w:ascii="Book Antiqua" w:hAnsi="Book Antiqua"/>
        </w:rPr>
      </w:pPr>
    </w:p>
    <w:p w14:paraId="0DD9BE33" w14:textId="34DDA9CA" w:rsidR="00D23A0D" w:rsidRPr="00053796" w:rsidRDefault="00D23A0D" w:rsidP="00053796">
      <w:pPr>
        <w:spacing w:line="360" w:lineRule="auto"/>
        <w:jc w:val="both"/>
        <w:rPr>
          <w:rFonts w:ascii="Book Antiqua" w:hAnsi="Book Antiqua"/>
        </w:rPr>
      </w:pPr>
      <w:r w:rsidRPr="00053796">
        <w:rPr>
          <w:rFonts w:ascii="Book Antiqua" w:hAnsi="Book Antiqua"/>
        </w:rPr>
        <w:br w:type="page"/>
      </w:r>
    </w:p>
    <w:p w14:paraId="2C07C575" w14:textId="1D61D381" w:rsidR="005269FF" w:rsidRPr="00053796" w:rsidRDefault="005269FF" w:rsidP="00053796">
      <w:pPr>
        <w:spacing w:line="360" w:lineRule="auto"/>
        <w:jc w:val="both"/>
        <w:rPr>
          <w:rFonts w:ascii="Book Antiqua" w:hAnsi="Book Antiqua"/>
          <w:b/>
        </w:rPr>
      </w:pPr>
    </w:p>
    <w:p w14:paraId="62570897" w14:textId="77777777" w:rsidR="001117D1" w:rsidRPr="00053796" w:rsidRDefault="001117D1" w:rsidP="00053796">
      <w:pPr>
        <w:spacing w:line="360" w:lineRule="auto"/>
        <w:jc w:val="both"/>
        <w:rPr>
          <w:rFonts w:ascii="Book Antiqua" w:hAnsi="Book Antiqua"/>
          <w:b/>
        </w:rPr>
      </w:pPr>
    </w:p>
    <w:p w14:paraId="15814482" w14:textId="7DCDB1D2" w:rsidR="00734A40" w:rsidRPr="00053796" w:rsidRDefault="00734A40" w:rsidP="00053796">
      <w:pPr>
        <w:spacing w:line="360" w:lineRule="auto"/>
        <w:jc w:val="both"/>
        <w:rPr>
          <w:rFonts w:ascii="Book Antiqua" w:hAnsi="Book Antiqua"/>
          <w:b/>
        </w:rPr>
      </w:pPr>
      <w:r w:rsidRPr="00053796">
        <w:rPr>
          <w:rFonts w:ascii="Book Antiqua" w:hAnsi="Book Antiqua"/>
          <w:b/>
          <w:noProof/>
        </w:rPr>
        <w:drawing>
          <wp:inline distT="0" distB="0" distL="0" distR="0" wp14:anchorId="572BB1A2" wp14:editId="014BC96D">
            <wp:extent cx="2616200" cy="261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2.tiff"/>
                    <pic:cNvPicPr/>
                  </pic:nvPicPr>
                  <pic:blipFill>
                    <a:blip r:embed="rId9">
                      <a:extLst>
                        <a:ext uri="{28A0092B-C50C-407E-A947-70E740481C1C}">
                          <a14:useLocalDpi xmlns:a14="http://schemas.microsoft.com/office/drawing/2010/main" val="0"/>
                        </a:ext>
                      </a:extLst>
                    </a:blip>
                    <a:stretch>
                      <a:fillRect/>
                    </a:stretch>
                  </pic:blipFill>
                  <pic:spPr>
                    <a:xfrm>
                      <a:off x="0" y="0"/>
                      <a:ext cx="2616200" cy="2616200"/>
                    </a:xfrm>
                    <a:prstGeom prst="rect">
                      <a:avLst/>
                    </a:prstGeom>
                  </pic:spPr>
                </pic:pic>
              </a:graphicData>
            </a:graphic>
          </wp:inline>
        </w:drawing>
      </w:r>
    </w:p>
    <w:p w14:paraId="4BD6269B" w14:textId="0D500A7A" w:rsidR="00407467" w:rsidRPr="00D6731B" w:rsidRDefault="00555330" w:rsidP="00053796">
      <w:pPr>
        <w:spacing w:line="360" w:lineRule="auto"/>
        <w:jc w:val="both"/>
        <w:rPr>
          <w:rFonts w:ascii="Book Antiqua" w:hAnsi="Book Antiqua"/>
        </w:rPr>
      </w:pPr>
      <w:r w:rsidRPr="00053796">
        <w:rPr>
          <w:rFonts w:ascii="Book Antiqua" w:hAnsi="Book Antiqua"/>
          <w:b/>
        </w:rPr>
        <w:t>Figure 2</w:t>
      </w:r>
      <w:r w:rsidRPr="00053796">
        <w:rPr>
          <w:rFonts w:ascii="Book Antiqua" w:hAnsi="Book Antiqua"/>
        </w:rPr>
        <w:t xml:space="preserve"> </w:t>
      </w:r>
      <w:r w:rsidRPr="00053796">
        <w:rPr>
          <w:rFonts w:ascii="Book Antiqua" w:hAnsi="Book Antiqua"/>
          <w:b/>
          <w:bCs/>
        </w:rPr>
        <w:t xml:space="preserve">Scatter plot with </w:t>
      </w:r>
      <w:r w:rsidR="005269FF" w:rsidRPr="00053796">
        <w:rPr>
          <w:rFonts w:ascii="Book Antiqua" w:hAnsi="Book Antiqua"/>
          <w:b/>
          <w:bCs/>
        </w:rPr>
        <w:t xml:space="preserve">Sepsis </w:t>
      </w:r>
      <w:proofErr w:type="spellStart"/>
      <w:r w:rsidR="005269FF" w:rsidRPr="00053796">
        <w:rPr>
          <w:rFonts w:ascii="Book Antiqua" w:hAnsi="Book Antiqua"/>
          <w:b/>
          <w:bCs/>
        </w:rPr>
        <w:t>MetaScore</w:t>
      </w:r>
      <w:proofErr w:type="spellEnd"/>
      <w:r w:rsidRPr="00053796">
        <w:rPr>
          <w:rFonts w:ascii="Book Antiqua" w:hAnsi="Book Antiqua"/>
          <w:b/>
          <w:bCs/>
        </w:rPr>
        <w:t xml:space="preserve"> on the Y-axis grouped by aseptic (black dots) and septic joints (red dots). </w:t>
      </w:r>
      <w:r w:rsidRPr="00053796">
        <w:rPr>
          <w:rFonts w:ascii="Book Antiqua" w:hAnsi="Book Antiqua"/>
        </w:rPr>
        <w:t xml:space="preserve">Note the open circle in the aseptic group is the patient who had a concurrent systemic bacterial infection </w:t>
      </w:r>
      <w:r w:rsidR="00734A40" w:rsidRPr="00053796">
        <w:rPr>
          <w:rFonts w:ascii="Book Antiqua" w:hAnsi="Book Antiqua"/>
        </w:rPr>
        <w:t xml:space="preserve">with </w:t>
      </w:r>
      <w:r w:rsidRPr="00053796">
        <w:rPr>
          <w:rFonts w:ascii="Book Antiqua" w:hAnsi="Book Antiqua"/>
        </w:rPr>
        <w:t>a negative joint aspiration. The two open circles in the septic group</w:t>
      </w:r>
      <w:r w:rsidR="00734A40" w:rsidRPr="00053796">
        <w:rPr>
          <w:rFonts w:ascii="Book Antiqua" w:hAnsi="Book Antiqua"/>
        </w:rPr>
        <w:t xml:space="preserve">, </w:t>
      </w:r>
      <w:r w:rsidRPr="00053796">
        <w:rPr>
          <w:rFonts w:ascii="Book Antiqua" w:hAnsi="Book Antiqua"/>
        </w:rPr>
        <w:t xml:space="preserve">were given antibiotics at least 12 h prior to </w:t>
      </w:r>
      <w:r w:rsidR="002E3ECC" w:rsidRPr="002E3ECC">
        <w:rPr>
          <w:rFonts w:ascii="Book Antiqua" w:hAnsi="Book Antiqua"/>
        </w:rPr>
        <w:t>Sepsis MetaScore</w:t>
      </w:r>
      <w:r w:rsidRPr="00053796">
        <w:rPr>
          <w:rFonts w:ascii="Book Antiqua" w:hAnsi="Book Antiqua"/>
        </w:rPr>
        <w:t xml:space="preserve"> blood draw.</w:t>
      </w:r>
    </w:p>
    <w:sectPr w:rsidR="00407467" w:rsidRPr="00D6731B" w:rsidSect="000B65F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0FC90" w14:textId="77777777" w:rsidR="001B373E" w:rsidRDefault="001B373E" w:rsidP="00371158">
      <w:r>
        <w:separator/>
      </w:r>
    </w:p>
  </w:endnote>
  <w:endnote w:type="continuationSeparator" w:id="0">
    <w:p w14:paraId="6EAAB3A6" w14:textId="77777777" w:rsidR="001B373E" w:rsidRDefault="001B373E" w:rsidP="00371158">
      <w:r>
        <w:continuationSeparator/>
      </w:r>
    </w:p>
  </w:endnote>
  <w:endnote w:type="continuationNotice" w:id="1">
    <w:p w14:paraId="0DE5DCD6" w14:textId="77777777" w:rsidR="001B373E" w:rsidRDefault="001B3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2EFF" w:usb1="D000785B"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5496844"/>
      <w:docPartObj>
        <w:docPartGallery w:val="Page Numbers (Bottom of Page)"/>
        <w:docPartUnique/>
      </w:docPartObj>
    </w:sdtPr>
    <w:sdtEndPr>
      <w:rPr>
        <w:rStyle w:val="PageNumber"/>
      </w:rPr>
    </w:sdtEndPr>
    <w:sdtContent>
      <w:p w14:paraId="29702C35" w14:textId="77777777" w:rsidR="00E54A99" w:rsidRDefault="00E54A99" w:rsidP="0004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5CA6E0" w14:textId="77777777" w:rsidR="00E54A99" w:rsidRDefault="00E54A99" w:rsidP="00371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5952781"/>
      <w:docPartObj>
        <w:docPartGallery w:val="Page Numbers (Bottom of Page)"/>
        <w:docPartUnique/>
      </w:docPartObj>
    </w:sdtPr>
    <w:sdtEndPr>
      <w:rPr>
        <w:rStyle w:val="PageNumber"/>
      </w:rPr>
    </w:sdtEndPr>
    <w:sdtContent>
      <w:p w14:paraId="6D4BB9BB" w14:textId="77777777" w:rsidR="00E54A99" w:rsidRDefault="00E54A99" w:rsidP="00046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2127E2" w14:textId="77777777" w:rsidR="00E54A99" w:rsidRDefault="00E54A99" w:rsidP="003711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50689" w14:textId="77777777" w:rsidR="001B373E" w:rsidRDefault="001B373E" w:rsidP="00371158">
      <w:r>
        <w:separator/>
      </w:r>
    </w:p>
  </w:footnote>
  <w:footnote w:type="continuationSeparator" w:id="0">
    <w:p w14:paraId="14BD00F7" w14:textId="77777777" w:rsidR="001B373E" w:rsidRDefault="001B373E" w:rsidP="00371158">
      <w:r>
        <w:continuationSeparator/>
      </w:r>
    </w:p>
  </w:footnote>
  <w:footnote w:type="continuationNotice" w:id="1">
    <w:p w14:paraId="31A17C2C" w14:textId="77777777" w:rsidR="001B373E" w:rsidRDefault="001B37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15676"/>
    <w:multiLevelType w:val="hybridMultilevel"/>
    <w:tmpl w:val="D3DE7BE4"/>
    <w:lvl w:ilvl="0" w:tplc="4F747382">
      <w:start w:val="1"/>
      <w:numFmt w:val="decimal"/>
      <w:lvlText w:val="%1."/>
      <w:lvlJc w:val="left"/>
      <w:pPr>
        <w:ind w:left="540" w:hanging="360"/>
      </w:pPr>
      <w:rPr>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F66A9"/>
    <w:multiLevelType w:val="hybridMultilevel"/>
    <w:tmpl w:val="2EA0FF28"/>
    <w:lvl w:ilvl="0" w:tplc="9E86052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8A768B"/>
    <w:multiLevelType w:val="hybridMultilevel"/>
    <w:tmpl w:val="D1F07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ED"/>
    <w:rsid w:val="0000256E"/>
    <w:rsid w:val="000129F8"/>
    <w:rsid w:val="00013F63"/>
    <w:rsid w:val="00014E88"/>
    <w:rsid w:val="000369F7"/>
    <w:rsid w:val="00037AE5"/>
    <w:rsid w:val="0004481C"/>
    <w:rsid w:val="00046C86"/>
    <w:rsid w:val="00053796"/>
    <w:rsid w:val="000553ED"/>
    <w:rsid w:val="00055D21"/>
    <w:rsid w:val="00061301"/>
    <w:rsid w:val="000662C1"/>
    <w:rsid w:val="00076377"/>
    <w:rsid w:val="000769FA"/>
    <w:rsid w:val="00076C36"/>
    <w:rsid w:val="000A216F"/>
    <w:rsid w:val="000A582A"/>
    <w:rsid w:val="000B65FD"/>
    <w:rsid w:val="000C2DC8"/>
    <w:rsid w:val="000C5384"/>
    <w:rsid w:val="000C6579"/>
    <w:rsid w:val="000E4E45"/>
    <w:rsid w:val="000F1C00"/>
    <w:rsid w:val="001117D1"/>
    <w:rsid w:val="00117E89"/>
    <w:rsid w:val="00127B80"/>
    <w:rsid w:val="001338CA"/>
    <w:rsid w:val="00134D10"/>
    <w:rsid w:val="001627BA"/>
    <w:rsid w:val="00162979"/>
    <w:rsid w:val="00182940"/>
    <w:rsid w:val="0019144C"/>
    <w:rsid w:val="00191B9D"/>
    <w:rsid w:val="001A15C2"/>
    <w:rsid w:val="001B0260"/>
    <w:rsid w:val="001B373E"/>
    <w:rsid w:val="001B727C"/>
    <w:rsid w:val="001C4DFC"/>
    <w:rsid w:val="001D268B"/>
    <w:rsid w:val="001D77CA"/>
    <w:rsid w:val="001E159B"/>
    <w:rsid w:val="001E199B"/>
    <w:rsid w:val="001E3236"/>
    <w:rsid w:val="001E3696"/>
    <w:rsid w:val="001E494B"/>
    <w:rsid w:val="001E6F23"/>
    <w:rsid w:val="001F026A"/>
    <w:rsid w:val="001F2D66"/>
    <w:rsid w:val="00203185"/>
    <w:rsid w:val="00205429"/>
    <w:rsid w:val="00207EC2"/>
    <w:rsid w:val="00211163"/>
    <w:rsid w:val="00212B56"/>
    <w:rsid w:val="002207BF"/>
    <w:rsid w:val="00230240"/>
    <w:rsid w:val="002430E6"/>
    <w:rsid w:val="00243F73"/>
    <w:rsid w:val="00246F5F"/>
    <w:rsid w:val="00257624"/>
    <w:rsid w:val="00270E77"/>
    <w:rsid w:val="00272349"/>
    <w:rsid w:val="002A0E2D"/>
    <w:rsid w:val="002D203C"/>
    <w:rsid w:val="002D2DB3"/>
    <w:rsid w:val="002E12F9"/>
    <w:rsid w:val="002E26FA"/>
    <w:rsid w:val="002E3ECC"/>
    <w:rsid w:val="002F3E0E"/>
    <w:rsid w:val="00311F82"/>
    <w:rsid w:val="00314CFA"/>
    <w:rsid w:val="00317D09"/>
    <w:rsid w:val="003200EE"/>
    <w:rsid w:val="003262CD"/>
    <w:rsid w:val="00326B9C"/>
    <w:rsid w:val="00326F83"/>
    <w:rsid w:val="0032718A"/>
    <w:rsid w:val="0033218B"/>
    <w:rsid w:val="00335C9F"/>
    <w:rsid w:val="003432C9"/>
    <w:rsid w:val="00344471"/>
    <w:rsid w:val="00346D00"/>
    <w:rsid w:val="00354538"/>
    <w:rsid w:val="00364E33"/>
    <w:rsid w:val="00371158"/>
    <w:rsid w:val="003A4F83"/>
    <w:rsid w:val="003B03E8"/>
    <w:rsid w:val="003B3BD7"/>
    <w:rsid w:val="003B5345"/>
    <w:rsid w:val="003B7DA8"/>
    <w:rsid w:val="003C0ADC"/>
    <w:rsid w:val="003C2EB2"/>
    <w:rsid w:val="003C7FFE"/>
    <w:rsid w:val="003D36B4"/>
    <w:rsid w:val="003E446A"/>
    <w:rsid w:val="003F5D1A"/>
    <w:rsid w:val="00400138"/>
    <w:rsid w:val="00404FFD"/>
    <w:rsid w:val="00407467"/>
    <w:rsid w:val="004137B6"/>
    <w:rsid w:val="004165CF"/>
    <w:rsid w:val="0041759A"/>
    <w:rsid w:val="00417605"/>
    <w:rsid w:val="00427F05"/>
    <w:rsid w:val="00434DBB"/>
    <w:rsid w:val="004357E8"/>
    <w:rsid w:val="0043714E"/>
    <w:rsid w:val="00443BD7"/>
    <w:rsid w:val="004446A6"/>
    <w:rsid w:val="00450A8B"/>
    <w:rsid w:val="00456B4B"/>
    <w:rsid w:val="00461950"/>
    <w:rsid w:val="00466350"/>
    <w:rsid w:val="004669BF"/>
    <w:rsid w:val="00470501"/>
    <w:rsid w:val="00475F68"/>
    <w:rsid w:val="004811D2"/>
    <w:rsid w:val="0049117B"/>
    <w:rsid w:val="004941D3"/>
    <w:rsid w:val="004A2944"/>
    <w:rsid w:val="004A3F56"/>
    <w:rsid w:val="004B1F22"/>
    <w:rsid w:val="004B3BD7"/>
    <w:rsid w:val="004B6E36"/>
    <w:rsid w:val="004C7DBA"/>
    <w:rsid w:val="004D2444"/>
    <w:rsid w:val="004D344F"/>
    <w:rsid w:val="004D43A9"/>
    <w:rsid w:val="004D568E"/>
    <w:rsid w:val="004D6358"/>
    <w:rsid w:val="004D7F5A"/>
    <w:rsid w:val="004E2747"/>
    <w:rsid w:val="004E30DC"/>
    <w:rsid w:val="004E40A5"/>
    <w:rsid w:val="004E4DDA"/>
    <w:rsid w:val="004E6974"/>
    <w:rsid w:val="00502D49"/>
    <w:rsid w:val="00522E14"/>
    <w:rsid w:val="00523D49"/>
    <w:rsid w:val="005269FF"/>
    <w:rsid w:val="005376EF"/>
    <w:rsid w:val="005431DA"/>
    <w:rsid w:val="005445E9"/>
    <w:rsid w:val="005451D6"/>
    <w:rsid w:val="00555330"/>
    <w:rsid w:val="00567D94"/>
    <w:rsid w:val="00572980"/>
    <w:rsid w:val="00573FE1"/>
    <w:rsid w:val="00582EA7"/>
    <w:rsid w:val="00583B27"/>
    <w:rsid w:val="005842F7"/>
    <w:rsid w:val="005855E6"/>
    <w:rsid w:val="005942B9"/>
    <w:rsid w:val="005952AD"/>
    <w:rsid w:val="005966A0"/>
    <w:rsid w:val="00597567"/>
    <w:rsid w:val="005A1044"/>
    <w:rsid w:val="005A3A75"/>
    <w:rsid w:val="005A43D2"/>
    <w:rsid w:val="005A7333"/>
    <w:rsid w:val="005B5429"/>
    <w:rsid w:val="005C1A61"/>
    <w:rsid w:val="005C37DC"/>
    <w:rsid w:val="005C6E12"/>
    <w:rsid w:val="005D615C"/>
    <w:rsid w:val="005E0CC2"/>
    <w:rsid w:val="005E1F4A"/>
    <w:rsid w:val="005E3326"/>
    <w:rsid w:val="005E451A"/>
    <w:rsid w:val="005E6E10"/>
    <w:rsid w:val="005E7CB5"/>
    <w:rsid w:val="005F4CAF"/>
    <w:rsid w:val="00602C86"/>
    <w:rsid w:val="006034DF"/>
    <w:rsid w:val="00605088"/>
    <w:rsid w:val="00610286"/>
    <w:rsid w:val="0062238B"/>
    <w:rsid w:val="00622A73"/>
    <w:rsid w:val="0063146A"/>
    <w:rsid w:val="00632181"/>
    <w:rsid w:val="00640DAD"/>
    <w:rsid w:val="0064122E"/>
    <w:rsid w:val="00647BAD"/>
    <w:rsid w:val="00647DE5"/>
    <w:rsid w:val="00651B46"/>
    <w:rsid w:val="00652481"/>
    <w:rsid w:val="006564E2"/>
    <w:rsid w:val="006571BF"/>
    <w:rsid w:val="0067711E"/>
    <w:rsid w:val="006812E0"/>
    <w:rsid w:val="0068202B"/>
    <w:rsid w:val="0068211F"/>
    <w:rsid w:val="00694090"/>
    <w:rsid w:val="006A1132"/>
    <w:rsid w:val="006B2047"/>
    <w:rsid w:val="006B661F"/>
    <w:rsid w:val="006C7130"/>
    <w:rsid w:val="006C7763"/>
    <w:rsid w:val="006D6271"/>
    <w:rsid w:val="006D7AC6"/>
    <w:rsid w:val="006E04DE"/>
    <w:rsid w:val="006E2658"/>
    <w:rsid w:val="006E3A37"/>
    <w:rsid w:val="006E427E"/>
    <w:rsid w:val="006E4AD9"/>
    <w:rsid w:val="006F0303"/>
    <w:rsid w:val="006F0F2D"/>
    <w:rsid w:val="006F50EC"/>
    <w:rsid w:val="0070079B"/>
    <w:rsid w:val="00702E7F"/>
    <w:rsid w:val="007249B3"/>
    <w:rsid w:val="00727AC2"/>
    <w:rsid w:val="00734A40"/>
    <w:rsid w:val="00740A8B"/>
    <w:rsid w:val="007419D6"/>
    <w:rsid w:val="00743134"/>
    <w:rsid w:val="007452D1"/>
    <w:rsid w:val="00746F52"/>
    <w:rsid w:val="00752D78"/>
    <w:rsid w:val="007535B0"/>
    <w:rsid w:val="007706DD"/>
    <w:rsid w:val="007714E3"/>
    <w:rsid w:val="00774B64"/>
    <w:rsid w:val="007770C7"/>
    <w:rsid w:val="007772C9"/>
    <w:rsid w:val="007814A4"/>
    <w:rsid w:val="00787518"/>
    <w:rsid w:val="007A56F2"/>
    <w:rsid w:val="007B78DA"/>
    <w:rsid w:val="007C4039"/>
    <w:rsid w:val="007C69DD"/>
    <w:rsid w:val="007C6BBB"/>
    <w:rsid w:val="007D387D"/>
    <w:rsid w:val="007E01D7"/>
    <w:rsid w:val="007E1895"/>
    <w:rsid w:val="007E20E1"/>
    <w:rsid w:val="00804CA5"/>
    <w:rsid w:val="00806D28"/>
    <w:rsid w:val="00811CE5"/>
    <w:rsid w:val="008126DF"/>
    <w:rsid w:val="00813229"/>
    <w:rsid w:val="008158A5"/>
    <w:rsid w:val="008171BB"/>
    <w:rsid w:val="00822920"/>
    <w:rsid w:val="008231F1"/>
    <w:rsid w:val="00834724"/>
    <w:rsid w:val="008361FB"/>
    <w:rsid w:val="00837026"/>
    <w:rsid w:val="00843704"/>
    <w:rsid w:val="00851CD9"/>
    <w:rsid w:val="00851DF5"/>
    <w:rsid w:val="0085312E"/>
    <w:rsid w:val="0087705A"/>
    <w:rsid w:val="00877E30"/>
    <w:rsid w:val="0088333D"/>
    <w:rsid w:val="0088597E"/>
    <w:rsid w:val="0088797C"/>
    <w:rsid w:val="00896316"/>
    <w:rsid w:val="00896EB2"/>
    <w:rsid w:val="008A1FD3"/>
    <w:rsid w:val="008A2B4D"/>
    <w:rsid w:val="008A3DE3"/>
    <w:rsid w:val="008A5E9E"/>
    <w:rsid w:val="008B05D7"/>
    <w:rsid w:val="008B0EAD"/>
    <w:rsid w:val="008B1288"/>
    <w:rsid w:val="008B186A"/>
    <w:rsid w:val="008C1542"/>
    <w:rsid w:val="008D0779"/>
    <w:rsid w:val="008D1403"/>
    <w:rsid w:val="008D4A74"/>
    <w:rsid w:val="008E326E"/>
    <w:rsid w:val="008F1790"/>
    <w:rsid w:val="008F1B07"/>
    <w:rsid w:val="00904CDA"/>
    <w:rsid w:val="00904D8A"/>
    <w:rsid w:val="0091129E"/>
    <w:rsid w:val="00912CFD"/>
    <w:rsid w:val="00922728"/>
    <w:rsid w:val="009330E6"/>
    <w:rsid w:val="00950ACC"/>
    <w:rsid w:val="00954112"/>
    <w:rsid w:val="0095447F"/>
    <w:rsid w:val="00956C82"/>
    <w:rsid w:val="009632FA"/>
    <w:rsid w:val="00967BFB"/>
    <w:rsid w:val="00980416"/>
    <w:rsid w:val="00982CF8"/>
    <w:rsid w:val="00984351"/>
    <w:rsid w:val="0098525F"/>
    <w:rsid w:val="009859DC"/>
    <w:rsid w:val="00987B6A"/>
    <w:rsid w:val="00987D22"/>
    <w:rsid w:val="009A4080"/>
    <w:rsid w:val="009B1699"/>
    <w:rsid w:val="009B5AA1"/>
    <w:rsid w:val="009B63AE"/>
    <w:rsid w:val="009D174E"/>
    <w:rsid w:val="009D6448"/>
    <w:rsid w:val="009E1266"/>
    <w:rsid w:val="009E2921"/>
    <w:rsid w:val="009F20D0"/>
    <w:rsid w:val="00A10EFB"/>
    <w:rsid w:val="00A1405E"/>
    <w:rsid w:val="00A1661A"/>
    <w:rsid w:val="00A17C80"/>
    <w:rsid w:val="00A209B8"/>
    <w:rsid w:val="00A2329C"/>
    <w:rsid w:val="00A31964"/>
    <w:rsid w:val="00A33FAA"/>
    <w:rsid w:val="00A43A08"/>
    <w:rsid w:val="00A4467F"/>
    <w:rsid w:val="00A4757B"/>
    <w:rsid w:val="00A5677C"/>
    <w:rsid w:val="00A64D00"/>
    <w:rsid w:val="00A67E1A"/>
    <w:rsid w:val="00A67E77"/>
    <w:rsid w:val="00A75239"/>
    <w:rsid w:val="00A808B6"/>
    <w:rsid w:val="00A818D9"/>
    <w:rsid w:val="00AA06CD"/>
    <w:rsid w:val="00AA2C7A"/>
    <w:rsid w:val="00AA3234"/>
    <w:rsid w:val="00AA4614"/>
    <w:rsid w:val="00AA4BA4"/>
    <w:rsid w:val="00AB77A7"/>
    <w:rsid w:val="00AC130A"/>
    <w:rsid w:val="00AC56FE"/>
    <w:rsid w:val="00AD1A78"/>
    <w:rsid w:val="00AD1F17"/>
    <w:rsid w:val="00AD392D"/>
    <w:rsid w:val="00AF2E1B"/>
    <w:rsid w:val="00AF6556"/>
    <w:rsid w:val="00B00EC3"/>
    <w:rsid w:val="00B01947"/>
    <w:rsid w:val="00B03B52"/>
    <w:rsid w:val="00B05308"/>
    <w:rsid w:val="00B06FD9"/>
    <w:rsid w:val="00B2090E"/>
    <w:rsid w:val="00B20A46"/>
    <w:rsid w:val="00B23AC7"/>
    <w:rsid w:val="00B2590A"/>
    <w:rsid w:val="00B25B1C"/>
    <w:rsid w:val="00B30E91"/>
    <w:rsid w:val="00B31155"/>
    <w:rsid w:val="00B33251"/>
    <w:rsid w:val="00B36185"/>
    <w:rsid w:val="00B4568C"/>
    <w:rsid w:val="00B461D1"/>
    <w:rsid w:val="00B528DB"/>
    <w:rsid w:val="00B55E07"/>
    <w:rsid w:val="00B6025D"/>
    <w:rsid w:val="00B62A58"/>
    <w:rsid w:val="00B62D06"/>
    <w:rsid w:val="00B631AB"/>
    <w:rsid w:val="00B64C56"/>
    <w:rsid w:val="00B67898"/>
    <w:rsid w:val="00B72C4E"/>
    <w:rsid w:val="00B736F7"/>
    <w:rsid w:val="00B73705"/>
    <w:rsid w:val="00B73D43"/>
    <w:rsid w:val="00B74E58"/>
    <w:rsid w:val="00B84435"/>
    <w:rsid w:val="00B90B47"/>
    <w:rsid w:val="00B90BAC"/>
    <w:rsid w:val="00B93BD3"/>
    <w:rsid w:val="00B94149"/>
    <w:rsid w:val="00B954B9"/>
    <w:rsid w:val="00BB03CF"/>
    <w:rsid w:val="00BB46AA"/>
    <w:rsid w:val="00BB7498"/>
    <w:rsid w:val="00BC192B"/>
    <w:rsid w:val="00BC29BA"/>
    <w:rsid w:val="00BC2A2B"/>
    <w:rsid w:val="00BC4FCB"/>
    <w:rsid w:val="00BD2D85"/>
    <w:rsid w:val="00BE160D"/>
    <w:rsid w:val="00BE2308"/>
    <w:rsid w:val="00BE45DF"/>
    <w:rsid w:val="00BE4888"/>
    <w:rsid w:val="00BE74C6"/>
    <w:rsid w:val="00BF0E45"/>
    <w:rsid w:val="00BF54B6"/>
    <w:rsid w:val="00C01E10"/>
    <w:rsid w:val="00C12127"/>
    <w:rsid w:val="00C14095"/>
    <w:rsid w:val="00C1618F"/>
    <w:rsid w:val="00C177C4"/>
    <w:rsid w:val="00C22D61"/>
    <w:rsid w:val="00C30544"/>
    <w:rsid w:val="00C334D0"/>
    <w:rsid w:val="00C42C26"/>
    <w:rsid w:val="00C42DCA"/>
    <w:rsid w:val="00C433D7"/>
    <w:rsid w:val="00C437A9"/>
    <w:rsid w:val="00C65BFD"/>
    <w:rsid w:val="00C77752"/>
    <w:rsid w:val="00C90AFB"/>
    <w:rsid w:val="00CA1B21"/>
    <w:rsid w:val="00CA2759"/>
    <w:rsid w:val="00CA6A3E"/>
    <w:rsid w:val="00CB2F8F"/>
    <w:rsid w:val="00CB5A81"/>
    <w:rsid w:val="00CB7A24"/>
    <w:rsid w:val="00CC5388"/>
    <w:rsid w:val="00CC5E78"/>
    <w:rsid w:val="00CE747F"/>
    <w:rsid w:val="00D0771A"/>
    <w:rsid w:val="00D152BB"/>
    <w:rsid w:val="00D176F2"/>
    <w:rsid w:val="00D23A0D"/>
    <w:rsid w:val="00D26675"/>
    <w:rsid w:val="00D27AE1"/>
    <w:rsid w:val="00D32A73"/>
    <w:rsid w:val="00D3352C"/>
    <w:rsid w:val="00D4146A"/>
    <w:rsid w:val="00D42BEA"/>
    <w:rsid w:val="00D65835"/>
    <w:rsid w:val="00D6731B"/>
    <w:rsid w:val="00D73926"/>
    <w:rsid w:val="00D77E0B"/>
    <w:rsid w:val="00D87688"/>
    <w:rsid w:val="00D93449"/>
    <w:rsid w:val="00DC41C8"/>
    <w:rsid w:val="00DD34AB"/>
    <w:rsid w:val="00DD5F67"/>
    <w:rsid w:val="00DF66AE"/>
    <w:rsid w:val="00DF74C8"/>
    <w:rsid w:val="00E00627"/>
    <w:rsid w:val="00E14195"/>
    <w:rsid w:val="00E155A5"/>
    <w:rsid w:val="00E211BB"/>
    <w:rsid w:val="00E2287F"/>
    <w:rsid w:val="00E46621"/>
    <w:rsid w:val="00E466AF"/>
    <w:rsid w:val="00E466D6"/>
    <w:rsid w:val="00E54A99"/>
    <w:rsid w:val="00E556DC"/>
    <w:rsid w:val="00E625AC"/>
    <w:rsid w:val="00E63E5E"/>
    <w:rsid w:val="00E66501"/>
    <w:rsid w:val="00E74E1A"/>
    <w:rsid w:val="00E75456"/>
    <w:rsid w:val="00E86E42"/>
    <w:rsid w:val="00E9724F"/>
    <w:rsid w:val="00EA1462"/>
    <w:rsid w:val="00EA3640"/>
    <w:rsid w:val="00EA6996"/>
    <w:rsid w:val="00EA6D37"/>
    <w:rsid w:val="00EB18F7"/>
    <w:rsid w:val="00EC03D5"/>
    <w:rsid w:val="00EC278B"/>
    <w:rsid w:val="00ED0FA7"/>
    <w:rsid w:val="00ED1C2E"/>
    <w:rsid w:val="00EF41F1"/>
    <w:rsid w:val="00EF5984"/>
    <w:rsid w:val="00F02AD5"/>
    <w:rsid w:val="00F02AFA"/>
    <w:rsid w:val="00F057AD"/>
    <w:rsid w:val="00F07AA2"/>
    <w:rsid w:val="00F123D4"/>
    <w:rsid w:val="00F144FE"/>
    <w:rsid w:val="00F23B73"/>
    <w:rsid w:val="00F25CDD"/>
    <w:rsid w:val="00F25D93"/>
    <w:rsid w:val="00F25F45"/>
    <w:rsid w:val="00F309E6"/>
    <w:rsid w:val="00F317C8"/>
    <w:rsid w:val="00F40439"/>
    <w:rsid w:val="00F448CF"/>
    <w:rsid w:val="00F46C71"/>
    <w:rsid w:val="00F53580"/>
    <w:rsid w:val="00F54A64"/>
    <w:rsid w:val="00F557D6"/>
    <w:rsid w:val="00F570AD"/>
    <w:rsid w:val="00F5774F"/>
    <w:rsid w:val="00F61FA9"/>
    <w:rsid w:val="00F64E1A"/>
    <w:rsid w:val="00F7765A"/>
    <w:rsid w:val="00F82517"/>
    <w:rsid w:val="00F82CC6"/>
    <w:rsid w:val="00F93CB6"/>
    <w:rsid w:val="00F94705"/>
    <w:rsid w:val="00F9644C"/>
    <w:rsid w:val="00FA1247"/>
    <w:rsid w:val="00FB06DB"/>
    <w:rsid w:val="00FB39AE"/>
    <w:rsid w:val="00FB4A8D"/>
    <w:rsid w:val="00FB66B9"/>
    <w:rsid w:val="00FC08A5"/>
    <w:rsid w:val="00FC3AF3"/>
    <w:rsid w:val="00FC58C8"/>
    <w:rsid w:val="00FC6716"/>
    <w:rsid w:val="00FC692F"/>
    <w:rsid w:val="00FD0330"/>
    <w:rsid w:val="00FD69D8"/>
    <w:rsid w:val="00FD7908"/>
    <w:rsid w:val="00FE2013"/>
    <w:rsid w:val="00FE2D93"/>
    <w:rsid w:val="00FF1A8B"/>
    <w:rsid w:val="00FF1EF1"/>
    <w:rsid w:val="00FF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115D8"/>
  <w15:chartTrackingRefBased/>
  <w15:docId w15:val="{58FAEB3E-C111-EA46-88D9-FC1A6587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4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4FFD"/>
    <w:rPr>
      <w:sz w:val="22"/>
      <w:szCs w:val="22"/>
    </w:rPr>
  </w:style>
  <w:style w:type="character" w:customStyle="1" w:styleId="NoSpacingChar">
    <w:name w:val="No Spacing Char"/>
    <w:basedOn w:val="DefaultParagraphFont"/>
    <w:link w:val="NoSpacing"/>
    <w:uiPriority w:val="1"/>
    <w:rsid w:val="00404FFD"/>
    <w:rPr>
      <w:sz w:val="22"/>
      <w:szCs w:val="22"/>
    </w:rPr>
  </w:style>
  <w:style w:type="paragraph" w:styleId="Footer">
    <w:name w:val="footer"/>
    <w:basedOn w:val="Normal"/>
    <w:link w:val="FooterChar"/>
    <w:uiPriority w:val="99"/>
    <w:unhideWhenUsed/>
    <w:rsid w:val="0037115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71158"/>
  </w:style>
  <w:style w:type="character" w:styleId="PageNumber">
    <w:name w:val="page number"/>
    <w:basedOn w:val="DefaultParagraphFont"/>
    <w:uiPriority w:val="99"/>
    <w:semiHidden/>
    <w:unhideWhenUsed/>
    <w:rsid w:val="00371158"/>
  </w:style>
  <w:style w:type="character" w:styleId="Hyperlink">
    <w:name w:val="Hyperlink"/>
    <w:basedOn w:val="DefaultParagraphFont"/>
    <w:uiPriority w:val="99"/>
    <w:unhideWhenUsed/>
    <w:rsid w:val="00BC192B"/>
    <w:rPr>
      <w:color w:val="0563C1" w:themeColor="hyperlink"/>
      <w:u w:val="single"/>
    </w:rPr>
  </w:style>
  <w:style w:type="paragraph" w:styleId="ListParagraph">
    <w:name w:val="List Paragraph"/>
    <w:basedOn w:val="Normal"/>
    <w:uiPriority w:val="34"/>
    <w:qFormat/>
    <w:rsid w:val="00BC192B"/>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unhideWhenUsed/>
    <w:qFormat/>
    <w:rsid w:val="00BC192B"/>
    <w:rPr>
      <w:sz w:val="16"/>
      <w:szCs w:val="16"/>
    </w:rPr>
  </w:style>
  <w:style w:type="paragraph" w:styleId="CommentText">
    <w:name w:val="annotation text"/>
    <w:basedOn w:val="Normal"/>
    <w:link w:val="CommentTextChar"/>
    <w:uiPriority w:val="99"/>
    <w:unhideWhenUsed/>
    <w:qFormat/>
    <w:rsid w:val="00BC192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C192B"/>
    <w:rPr>
      <w:sz w:val="20"/>
      <w:szCs w:val="20"/>
    </w:rPr>
  </w:style>
  <w:style w:type="paragraph" w:styleId="CommentSubject">
    <w:name w:val="annotation subject"/>
    <w:basedOn w:val="CommentText"/>
    <w:next w:val="CommentText"/>
    <w:link w:val="CommentSubjectChar"/>
    <w:uiPriority w:val="99"/>
    <w:semiHidden/>
    <w:unhideWhenUsed/>
    <w:rsid w:val="00BC192B"/>
    <w:rPr>
      <w:b/>
      <w:bCs/>
    </w:rPr>
  </w:style>
  <w:style w:type="character" w:customStyle="1" w:styleId="CommentSubjectChar">
    <w:name w:val="Comment Subject Char"/>
    <w:basedOn w:val="CommentTextChar"/>
    <w:link w:val="CommentSubject"/>
    <w:uiPriority w:val="99"/>
    <w:semiHidden/>
    <w:rsid w:val="00BC192B"/>
    <w:rPr>
      <w:b/>
      <w:bCs/>
      <w:sz w:val="20"/>
      <w:szCs w:val="20"/>
    </w:rPr>
  </w:style>
  <w:style w:type="paragraph" w:styleId="BalloonText">
    <w:name w:val="Balloon Text"/>
    <w:basedOn w:val="Normal"/>
    <w:link w:val="BalloonTextChar"/>
    <w:uiPriority w:val="99"/>
    <w:semiHidden/>
    <w:unhideWhenUsed/>
    <w:rsid w:val="00BC192B"/>
    <w:rPr>
      <w:rFonts w:eastAsiaTheme="minorHAnsi"/>
      <w:sz w:val="18"/>
      <w:szCs w:val="18"/>
    </w:rPr>
  </w:style>
  <w:style w:type="character" w:customStyle="1" w:styleId="BalloonTextChar">
    <w:name w:val="Balloon Text Char"/>
    <w:basedOn w:val="DefaultParagraphFont"/>
    <w:link w:val="BalloonText"/>
    <w:uiPriority w:val="99"/>
    <w:semiHidden/>
    <w:rsid w:val="00BC192B"/>
    <w:rPr>
      <w:rFonts w:ascii="Times New Roman" w:hAnsi="Times New Roman" w:cs="Times New Roman"/>
      <w:sz w:val="18"/>
      <w:szCs w:val="18"/>
    </w:rPr>
  </w:style>
  <w:style w:type="paragraph" w:styleId="NormalWeb">
    <w:name w:val="Normal (Web)"/>
    <w:basedOn w:val="Normal"/>
    <w:uiPriority w:val="99"/>
    <w:unhideWhenUsed/>
    <w:rsid w:val="00182940"/>
    <w:pPr>
      <w:spacing w:before="100" w:beforeAutospacing="1" w:after="100" w:afterAutospacing="1"/>
    </w:pPr>
  </w:style>
  <w:style w:type="paragraph" w:styleId="Bibliography">
    <w:name w:val="Bibliography"/>
    <w:basedOn w:val="Normal"/>
    <w:next w:val="Normal"/>
    <w:uiPriority w:val="37"/>
    <w:unhideWhenUsed/>
    <w:rsid w:val="00162979"/>
    <w:pPr>
      <w:tabs>
        <w:tab w:val="left" w:pos="500"/>
      </w:tabs>
      <w:spacing w:after="240"/>
      <w:ind w:left="504" w:hanging="504"/>
    </w:pPr>
    <w:rPr>
      <w:rFonts w:asciiTheme="minorHAnsi" w:eastAsiaTheme="minorHAnsi" w:hAnsiTheme="minorHAnsi" w:cstheme="minorBidi"/>
    </w:rPr>
  </w:style>
  <w:style w:type="table" w:styleId="TableGrid">
    <w:name w:val="Table Grid"/>
    <w:basedOn w:val="TableNormal"/>
    <w:uiPriority w:val="39"/>
    <w:rsid w:val="005D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BD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43BD7"/>
  </w:style>
  <w:style w:type="character" w:styleId="UnresolvedMention">
    <w:name w:val="Unresolved Mention"/>
    <w:basedOn w:val="DefaultParagraphFont"/>
    <w:uiPriority w:val="99"/>
    <w:semiHidden/>
    <w:unhideWhenUsed/>
    <w:rsid w:val="00BF54B6"/>
    <w:rPr>
      <w:color w:val="605E5C"/>
      <w:shd w:val="clear" w:color="auto" w:fill="E1DFDD"/>
    </w:rPr>
  </w:style>
  <w:style w:type="character" w:customStyle="1" w:styleId="contentline-90">
    <w:name w:val="contentline-90"/>
    <w:basedOn w:val="DefaultParagraphFont"/>
    <w:rsid w:val="006E2658"/>
  </w:style>
  <w:style w:type="paragraph" w:styleId="Revision">
    <w:name w:val="Revision"/>
    <w:hidden/>
    <w:uiPriority w:val="99"/>
    <w:semiHidden/>
    <w:rsid w:val="004B6E36"/>
  </w:style>
  <w:style w:type="character" w:customStyle="1" w:styleId="UnresolvedMention1">
    <w:name w:val="Unresolved Mention1"/>
    <w:basedOn w:val="DefaultParagraphFont"/>
    <w:uiPriority w:val="99"/>
    <w:semiHidden/>
    <w:unhideWhenUsed/>
    <w:rsid w:val="00A808B6"/>
    <w:rPr>
      <w:color w:val="605E5C"/>
      <w:shd w:val="clear" w:color="auto" w:fill="E1DFDD"/>
    </w:rPr>
  </w:style>
  <w:style w:type="table" w:styleId="GridTable1Light">
    <w:name w:val="Grid Table 1 Light"/>
    <w:basedOn w:val="TableNormal"/>
    <w:uiPriority w:val="46"/>
    <w:rsid w:val="00E466A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68211F"/>
  </w:style>
  <w:style w:type="paragraph" w:customStyle="1" w:styleId="1">
    <w:name w:val="正文1"/>
    <w:uiPriority w:val="99"/>
    <w:rsid w:val="00E74E1A"/>
    <w:pPr>
      <w:spacing w:line="276" w:lineRule="auto"/>
    </w:pPr>
    <w:rPr>
      <w:rFonts w:ascii="Arial" w:eastAsia="SimSun" w:hAnsi="Arial" w:cs="Arial"/>
      <w:color w:val="000000"/>
      <w:sz w:val="22"/>
      <w:szCs w:val="20"/>
      <w:lang w:val="pl-PL" w:eastAsia="pl-PL"/>
    </w:rPr>
  </w:style>
  <w:style w:type="character" w:customStyle="1" w:styleId="10">
    <w:name w:val="批注文字 字符1"/>
    <w:basedOn w:val="DefaultParagraphFont"/>
    <w:uiPriority w:val="99"/>
    <w:qFormat/>
    <w:rsid w:val="00FA1247"/>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3202">
      <w:bodyDiv w:val="1"/>
      <w:marLeft w:val="0"/>
      <w:marRight w:val="0"/>
      <w:marTop w:val="0"/>
      <w:marBottom w:val="0"/>
      <w:divBdr>
        <w:top w:val="none" w:sz="0" w:space="0" w:color="auto"/>
        <w:left w:val="none" w:sz="0" w:space="0" w:color="auto"/>
        <w:bottom w:val="none" w:sz="0" w:space="0" w:color="auto"/>
        <w:right w:val="none" w:sz="0" w:space="0" w:color="auto"/>
      </w:divBdr>
    </w:div>
    <w:div w:id="297733383">
      <w:bodyDiv w:val="1"/>
      <w:marLeft w:val="0"/>
      <w:marRight w:val="0"/>
      <w:marTop w:val="0"/>
      <w:marBottom w:val="0"/>
      <w:divBdr>
        <w:top w:val="none" w:sz="0" w:space="0" w:color="auto"/>
        <w:left w:val="none" w:sz="0" w:space="0" w:color="auto"/>
        <w:bottom w:val="none" w:sz="0" w:space="0" w:color="auto"/>
        <w:right w:val="none" w:sz="0" w:space="0" w:color="auto"/>
      </w:divBdr>
    </w:div>
    <w:div w:id="420761784">
      <w:bodyDiv w:val="1"/>
      <w:marLeft w:val="0"/>
      <w:marRight w:val="0"/>
      <w:marTop w:val="0"/>
      <w:marBottom w:val="0"/>
      <w:divBdr>
        <w:top w:val="none" w:sz="0" w:space="0" w:color="auto"/>
        <w:left w:val="none" w:sz="0" w:space="0" w:color="auto"/>
        <w:bottom w:val="none" w:sz="0" w:space="0" w:color="auto"/>
        <w:right w:val="none" w:sz="0" w:space="0" w:color="auto"/>
      </w:divBdr>
    </w:div>
    <w:div w:id="496967288">
      <w:bodyDiv w:val="1"/>
      <w:marLeft w:val="0"/>
      <w:marRight w:val="0"/>
      <w:marTop w:val="0"/>
      <w:marBottom w:val="0"/>
      <w:divBdr>
        <w:top w:val="none" w:sz="0" w:space="0" w:color="auto"/>
        <w:left w:val="none" w:sz="0" w:space="0" w:color="auto"/>
        <w:bottom w:val="none" w:sz="0" w:space="0" w:color="auto"/>
        <w:right w:val="none" w:sz="0" w:space="0" w:color="auto"/>
      </w:divBdr>
    </w:div>
    <w:div w:id="514416492">
      <w:bodyDiv w:val="1"/>
      <w:marLeft w:val="0"/>
      <w:marRight w:val="0"/>
      <w:marTop w:val="0"/>
      <w:marBottom w:val="0"/>
      <w:divBdr>
        <w:top w:val="none" w:sz="0" w:space="0" w:color="auto"/>
        <w:left w:val="none" w:sz="0" w:space="0" w:color="auto"/>
        <w:bottom w:val="none" w:sz="0" w:space="0" w:color="auto"/>
        <w:right w:val="none" w:sz="0" w:space="0" w:color="auto"/>
      </w:divBdr>
    </w:div>
    <w:div w:id="563949586">
      <w:bodyDiv w:val="1"/>
      <w:marLeft w:val="0"/>
      <w:marRight w:val="0"/>
      <w:marTop w:val="0"/>
      <w:marBottom w:val="0"/>
      <w:divBdr>
        <w:top w:val="none" w:sz="0" w:space="0" w:color="auto"/>
        <w:left w:val="none" w:sz="0" w:space="0" w:color="auto"/>
        <w:bottom w:val="none" w:sz="0" w:space="0" w:color="auto"/>
        <w:right w:val="none" w:sz="0" w:space="0" w:color="auto"/>
      </w:divBdr>
    </w:div>
    <w:div w:id="610670343">
      <w:bodyDiv w:val="1"/>
      <w:marLeft w:val="0"/>
      <w:marRight w:val="0"/>
      <w:marTop w:val="0"/>
      <w:marBottom w:val="0"/>
      <w:divBdr>
        <w:top w:val="none" w:sz="0" w:space="0" w:color="auto"/>
        <w:left w:val="none" w:sz="0" w:space="0" w:color="auto"/>
        <w:bottom w:val="none" w:sz="0" w:space="0" w:color="auto"/>
        <w:right w:val="none" w:sz="0" w:space="0" w:color="auto"/>
      </w:divBdr>
    </w:div>
    <w:div w:id="851258076">
      <w:bodyDiv w:val="1"/>
      <w:marLeft w:val="0"/>
      <w:marRight w:val="0"/>
      <w:marTop w:val="0"/>
      <w:marBottom w:val="0"/>
      <w:divBdr>
        <w:top w:val="none" w:sz="0" w:space="0" w:color="auto"/>
        <w:left w:val="none" w:sz="0" w:space="0" w:color="auto"/>
        <w:bottom w:val="none" w:sz="0" w:space="0" w:color="auto"/>
        <w:right w:val="none" w:sz="0" w:space="0" w:color="auto"/>
      </w:divBdr>
    </w:div>
    <w:div w:id="927233991">
      <w:bodyDiv w:val="1"/>
      <w:marLeft w:val="0"/>
      <w:marRight w:val="0"/>
      <w:marTop w:val="0"/>
      <w:marBottom w:val="0"/>
      <w:divBdr>
        <w:top w:val="none" w:sz="0" w:space="0" w:color="auto"/>
        <w:left w:val="none" w:sz="0" w:space="0" w:color="auto"/>
        <w:bottom w:val="none" w:sz="0" w:space="0" w:color="auto"/>
        <w:right w:val="none" w:sz="0" w:space="0" w:color="auto"/>
      </w:divBdr>
    </w:div>
    <w:div w:id="1060977822">
      <w:bodyDiv w:val="1"/>
      <w:marLeft w:val="0"/>
      <w:marRight w:val="0"/>
      <w:marTop w:val="0"/>
      <w:marBottom w:val="0"/>
      <w:divBdr>
        <w:top w:val="none" w:sz="0" w:space="0" w:color="auto"/>
        <w:left w:val="none" w:sz="0" w:space="0" w:color="auto"/>
        <w:bottom w:val="none" w:sz="0" w:space="0" w:color="auto"/>
        <w:right w:val="none" w:sz="0" w:space="0" w:color="auto"/>
      </w:divBdr>
    </w:div>
    <w:div w:id="1105418539">
      <w:bodyDiv w:val="1"/>
      <w:marLeft w:val="0"/>
      <w:marRight w:val="0"/>
      <w:marTop w:val="0"/>
      <w:marBottom w:val="0"/>
      <w:divBdr>
        <w:top w:val="none" w:sz="0" w:space="0" w:color="auto"/>
        <w:left w:val="none" w:sz="0" w:space="0" w:color="auto"/>
        <w:bottom w:val="none" w:sz="0" w:space="0" w:color="auto"/>
        <w:right w:val="none" w:sz="0" w:space="0" w:color="auto"/>
      </w:divBdr>
    </w:div>
    <w:div w:id="1129283113">
      <w:bodyDiv w:val="1"/>
      <w:marLeft w:val="0"/>
      <w:marRight w:val="0"/>
      <w:marTop w:val="0"/>
      <w:marBottom w:val="0"/>
      <w:divBdr>
        <w:top w:val="none" w:sz="0" w:space="0" w:color="auto"/>
        <w:left w:val="none" w:sz="0" w:space="0" w:color="auto"/>
        <w:bottom w:val="none" w:sz="0" w:space="0" w:color="auto"/>
        <w:right w:val="none" w:sz="0" w:space="0" w:color="auto"/>
      </w:divBdr>
    </w:div>
    <w:div w:id="1240213535">
      <w:bodyDiv w:val="1"/>
      <w:marLeft w:val="0"/>
      <w:marRight w:val="0"/>
      <w:marTop w:val="0"/>
      <w:marBottom w:val="0"/>
      <w:divBdr>
        <w:top w:val="none" w:sz="0" w:space="0" w:color="auto"/>
        <w:left w:val="none" w:sz="0" w:space="0" w:color="auto"/>
        <w:bottom w:val="none" w:sz="0" w:space="0" w:color="auto"/>
        <w:right w:val="none" w:sz="0" w:space="0" w:color="auto"/>
      </w:divBdr>
    </w:div>
    <w:div w:id="1437209046">
      <w:bodyDiv w:val="1"/>
      <w:marLeft w:val="0"/>
      <w:marRight w:val="0"/>
      <w:marTop w:val="0"/>
      <w:marBottom w:val="0"/>
      <w:divBdr>
        <w:top w:val="none" w:sz="0" w:space="0" w:color="auto"/>
        <w:left w:val="none" w:sz="0" w:space="0" w:color="auto"/>
        <w:bottom w:val="none" w:sz="0" w:space="0" w:color="auto"/>
        <w:right w:val="none" w:sz="0" w:space="0" w:color="auto"/>
      </w:divBdr>
    </w:div>
    <w:div w:id="1609893244">
      <w:bodyDiv w:val="1"/>
      <w:marLeft w:val="0"/>
      <w:marRight w:val="0"/>
      <w:marTop w:val="0"/>
      <w:marBottom w:val="0"/>
      <w:divBdr>
        <w:top w:val="none" w:sz="0" w:space="0" w:color="auto"/>
        <w:left w:val="none" w:sz="0" w:space="0" w:color="auto"/>
        <w:bottom w:val="none" w:sz="0" w:space="0" w:color="auto"/>
        <w:right w:val="none" w:sz="0" w:space="0" w:color="auto"/>
      </w:divBdr>
    </w:div>
    <w:div w:id="1709185732">
      <w:bodyDiv w:val="1"/>
      <w:marLeft w:val="0"/>
      <w:marRight w:val="0"/>
      <w:marTop w:val="0"/>
      <w:marBottom w:val="0"/>
      <w:divBdr>
        <w:top w:val="none" w:sz="0" w:space="0" w:color="auto"/>
        <w:left w:val="none" w:sz="0" w:space="0" w:color="auto"/>
        <w:bottom w:val="none" w:sz="0" w:space="0" w:color="auto"/>
        <w:right w:val="none" w:sz="0" w:space="0" w:color="auto"/>
      </w:divBdr>
    </w:div>
    <w:div w:id="1827503294">
      <w:bodyDiv w:val="1"/>
      <w:marLeft w:val="0"/>
      <w:marRight w:val="0"/>
      <w:marTop w:val="0"/>
      <w:marBottom w:val="0"/>
      <w:divBdr>
        <w:top w:val="none" w:sz="0" w:space="0" w:color="auto"/>
        <w:left w:val="none" w:sz="0" w:space="0" w:color="auto"/>
        <w:bottom w:val="none" w:sz="0" w:space="0" w:color="auto"/>
        <w:right w:val="none" w:sz="0" w:space="0" w:color="auto"/>
      </w:divBdr>
      <w:divsChild>
        <w:div w:id="722217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638048">
              <w:marLeft w:val="0"/>
              <w:marRight w:val="0"/>
              <w:marTop w:val="0"/>
              <w:marBottom w:val="0"/>
              <w:divBdr>
                <w:top w:val="none" w:sz="0" w:space="0" w:color="auto"/>
                <w:left w:val="none" w:sz="0" w:space="0" w:color="auto"/>
                <w:bottom w:val="none" w:sz="0" w:space="0" w:color="auto"/>
                <w:right w:val="none" w:sz="0" w:space="0" w:color="auto"/>
              </w:divBdr>
              <w:divsChild>
                <w:div w:id="864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19957">
      <w:bodyDiv w:val="1"/>
      <w:marLeft w:val="0"/>
      <w:marRight w:val="0"/>
      <w:marTop w:val="0"/>
      <w:marBottom w:val="0"/>
      <w:divBdr>
        <w:top w:val="none" w:sz="0" w:space="0" w:color="auto"/>
        <w:left w:val="none" w:sz="0" w:space="0" w:color="auto"/>
        <w:bottom w:val="none" w:sz="0" w:space="0" w:color="auto"/>
        <w:right w:val="none" w:sz="0" w:space="0" w:color="auto"/>
      </w:divBdr>
    </w:div>
    <w:div w:id="2120761473">
      <w:bodyDiv w:val="1"/>
      <w:marLeft w:val="0"/>
      <w:marRight w:val="0"/>
      <w:marTop w:val="0"/>
      <w:marBottom w:val="0"/>
      <w:divBdr>
        <w:top w:val="none" w:sz="0" w:space="0" w:color="auto"/>
        <w:left w:val="none" w:sz="0" w:space="0" w:color="auto"/>
        <w:bottom w:val="none" w:sz="0" w:space="0" w:color="auto"/>
        <w:right w:val="none" w:sz="0" w:space="0" w:color="auto"/>
      </w:divBdr>
    </w:div>
    <w:div w:id="2137747911">
      <w:bodyDiv w:val="1"/>
      <w:marLeft w:val="0"/>
      <w:marRight w:val="0"/>
      <w:marTop w:val="0"/>
      <w:marBottom w:val="0"/>
      <w:divBdr>
        <w:top w:val="none" w:sz="0" w:space="0" w:color="auto"/>
        <w:left w:val="none" w:sz="0" w:space="0" w:color="auto"/>
        <w:bottom w:val="none" w:sz="0" w:space="0" w:color="auto"/>
        <w:right w:val="none" w:sz="0" w:space="0" w:color="auto"/>
      </w:divBdr>
    </w:div>
    <w:div w:id="21385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A15AD-AEA3-2442-B520-4243779D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8880</Words>
  <Characters>50621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 Ma</cp:lastModifiedBy>
  <cp:revision>2</cp:revision>
  <cp:lastPrinted>2019-08-08T19:10:00Z</cp:lastPrinted>
  <dcterms:created xsi:type="dcterms:W3CDTF">2019-10-18T22:23:00Z</dcterms:created>
  <dcterms:modified xsi:type="dcterms:W3CDTF">2019-10-18T22:23:00Z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id="Of3DgolG"/&gt;&lt;style id="http://www.zotero.org/styles/vancouver" locale="en-US" hasBibliography="1" bibliographyStyleHasBeenSet="1"/&gt;&lt;prefs&gt;&lt;pref name="fieldType" value="Field"/&gt;&lt;/prefs&gt;&lt;/data&gt;</vt:lpwstr>
  </property>
  <property fmtid="{D5CDD505-2E9C-101B-9397-08002B2CF9AE}" pid="3" name="ZOTERO_PREF_2">
    <vt:lpwstr/>
  </property>
</Properties>
</file>