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C4BB4" w14:textId="77777777" w:rsidR="00CE099A" w:rsidRPr="00556FBB" w:rsidRDefault="00CE099A" w:rsidP="00556FBB">
      <w:pPr>
        <w:pStyle w:val="1"/>
        <w:snapToGrid w:val="0"/>
        <w:spacing w:line="360" w:lineRule="auto"/>
        <w:jc w:val="both"/>
        <w:rPr>
          <w:rFonts w:ascii="Book Antiqua" w:hAnsi="Book Antiqua" w:cs="Times New Roman"/>
          <w:bCs/>
          <w:i/>
          <w:color w:val="auto"/>
          <w:sz w:val="24"/>
          <w:szCs w:val="24"/>
          <w:lang w:val="en-US" w:eastAsia="zh-CN"/>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556FBB">
        <w:rPr>
          <w:rFonts w:ascii="Book Antiqua" w:hAnsi="Book Antiqua" w:cs="Times New Roman"/>
          <w:b/>
          <w:color w:val="auto"/>
          <w:sz w:val="24"/>
          <w:szCs w:val="24"/>
          <w:highlight w:val="white"/>
          <w:lang w:val="en-US" w:eastAsia="zh-CN"/>
        </w:rPr>
        <w:t xml:space="preserve">Name of </w:t>
      </w:r>
      <w:r w:rsidRPr="00556FBB">
        <w:rPr>
          <w:rFonts w:ascii="Book Antiqua" w:hAnsi="Book Antiqua" w:cs="Times New Roman"/>
          <w:b/>
          <w:caps/>
          <w:color w:val="auto"/>
          <w:sz w:val="24"/>
          <w:szCs w:val="24"/>
          <w:highlight w:val="white"/>
          <w:lang w:val="en-US" w:eastAsia="zh-CN"/>
        </w:rPr>
        <w:t>j</w:t>
      </w:r>
      <w:r w:rsidRPr="00556FBB">
        <w:rPr>
          <w:rFonts w:ascii="Book Antiqua" w:hAnsi="Book Antiqua" w:cs="Times New Roman"/>
          <w:b/>
          <w:color w:val="auto"/>
          <w:sz w:val="24"/>
          <w:szCs w:val="24"/>
          <w:highlight w:val="white"/>
          <w:lang w:val="en-US" w:eastAsia="zh-CN"/>
        </w:rPr>
        <w:t xml:space="preserve">ournal: </w:t>
      </w:r>
      <w:bookmarkStart w:id="12" w:name="OLE_LINK719"/>
      <w:bookmarkStart w:id="13" w:name="OLE_LINK718"/>
      <w:r w:rsidRPr="00556FBB">
        <w:rPr>
          <w:rFonts w:ascii="Book Antiqua" w:hAnsi="Book Antiqua" w:cs="Times New Roman"/>
          <w:bCs/>
          <w:i/>
          <w:color w:val="auto"/>
          <w:sz w:val="24"/>
          <w:szCs w:val="24"/>
          <w:highlight w:val="white"/>
          <w:lang w:val="en-US" w:eastAsia="zh-CN"/>
        </w:rPr>
        <w:t>World Journal of Gastroenterology</w:t>
      </w:r>
      <w:bookmarkEnd w:id="12"/>
      <w:bookmarkEnd w:id="13"/>
    </w:p>
    <w:p w14:paraId="2F70F05D" w14:textId="12DDAB15" w:rsidR="00CE099A" w:rsidRPr="00556FBB" w:rsidRDefault="00CE099A" w:rsidP="00556FBB">
      <w:pPr>
        <w:pStyle w:val="1"/>
        <w:snapToGrid w:val="0"/>
        <w:spacing w:line="360" w:lineRule="auto"/>
        <w:jc w:val="both"/>
        <w:rPr>
          <w:rFonts w:ascii="Book Antiqua" w:hAnsi="Book Antiqua" w:cs="Times New Roman"/>
          <w:b/>
          <w:color w:val="auto"/>
          <w:sz w:val="24"/>
          <w:szCs w:val="24"/>
          <w:highlight w:val="white"/>
          <w:lang w:val="en-US" w:eastAsia="zh-CN"/>
        </w:rPr>
      </w:pPr>
      <w:r w:rsidRPr="00556FBB">
        <w:rPr>
          <w:rFonts w:ascii="Book Antiqua" w:hAnsi="Book Antiqua"/>
          <w:b/>
          <w:color w:val="auto"/>
          <w:sz w:val="24"/>
          <w:szCs w:val="24"/>
          <w:lang w:eastAsia="zh-CN"/>
        </w:rPr>
        <w:t>Manuscript NO:</w:t>
      </w:r>
      <w:bookmarkEnd w:id="0"/>
      <w:bookmarkEnd w:id="1"/>
      <w:bookmarkEnd w:id="2"/>
      <w:bookmarkEnd w:id="3"/>
      <w:bookmarkEnd w:id="4"/>
      <w:r w:rsidRPr="00556FBB">
        <w:rPr>
          <w:rFonts w:ascii="Book Antiqua" w:hAnsi="Book Antiqua"/>
          <w:b/>
          <w:color w:val="auto"/>
          <w:sz w:val="24"/>
          <w:szCs w:val="24"/>
          <w:lang w:eastAsia="zh-CN"/>
        </w:rPr>
        <w:t xml:space="preserve"> </w:t>
      </w:r>
      <w:bookmarkEnd w:id="5"/>
      <w:bookmarkEnd w:id="6"/>
      <w:r w:rsidRPr="00556FBB">
        <w:rPr>
          <w:rFonts w:ascii="Book Antiqua" w:hAnsi="Book Antiqua"/>
          <w:bCs/>
          <w:color w:val="auto"/>
          <w:sz w:val="24"/>
          <w:szCs w:val="24"/>
          <w:lang w:eastAsia="zh-CN"/>
        </w:rPr>
        <w:t>52502</w:t>
      </w:r>
    </w:p>
    <w:p w14:paraId="1AC1ED90" w14:textId="58B17A31" w:rsidR="00CE099A" w:rsidRPr="00556FBB" w:rsidRDefault="00CE099A" w:rsidP="00556FBB">
      <w:pPr>
        <w:spacing w:after="0" w:line="360" w:lineRule="auto"/>
        <w:jc w:val="both"/>
        <w:rPr>
          <w:rFonts w:ascii="Book Antiqua" w:hAnsi="Book Antiqua" w:cs="Times New Roman"/>
          <w:sz w:val="24"/>
          <w:szCs w:val="24"/>
        </w:rPr>
      </w:pPr>
      <w:bookmarkStart w:id="14" w:name="OLE_LINK3"/>
      <w:bookmarkStart w:id="15" w:name="OLE_LINK4"/>
      <w:bookmarkEnd w:id="7"/>
      <w:bookmarkEnd w:id="8"/>
      <w:bookmarkEnd w:id="9"/>
      <w:bookmarkEnd w:id="10"/>
      <w:bookmarkEnd w:id="11"/>
      <w:r w:rsidRPr="00556FBB">
        <w:rPr>
          <w:rFonts w:ascii="Book Antiqua" w:hAnsi="Book Antiqua"/>
          <w:b/>
          <w:sz w:val="24"/>
          <w:szCs w:val="24"/>
          <w:shd w:val="clear" w:color="auto" w:fill="FFFFFF"/>
        </w:rPr>
        <w:t>Manuscript Type</w:t>
      </w:r>
      <w:r w:rsidRPr="00556FBB">
        <w:rPr>
          <w:rFonts w:ascii="Book Antiqua" w:hAnsi="Book Antiqua"/>
          <w:b/>
          <w:sz w:val="24"/>
          <w:szCs w:val="24"/>
        </w:rPr>
        <w:t>:</w:t>
      </w:r>
      <w:bookmarkEnd w:id="14"/>
      <w:bookmarkEnd w:id="15"/>
      <w:r w:rsidRPr="00556FBB">
        <w:rPr>
          <w:rFonts w:ascii="Book Antiqua" w:hAnsi="Book Antiqua" w:cs="Times New Roman"/>
          <w:sz w:val="24"/>
          <w:szCs w:val="24"/>
        </w:rPr>
        <w:t xml:space="preserve"> </w:t>
      </w:r>
      <w:r w:rsidRPr="00556FBB">
        <w:rPr>
          <w:rFonts w:ascii="Book Antiqua" w:hAnsi="Book Antiqua" w:cs="Times New Roman"/>
          <w:sz w:val="24"/>
          <w:szCs w:val="24"/>
          <w:lang w:eastAsia="zh-CN"/>
        </w:rPr>
        <w:t>MINI</w:t>
      </w:r>
      <w:r w:rsidRPr="00556FBB">
        <w:rPr>
          <w:rFonts w:ascii="Book Antiqua" w:hAnsi="Book Antiqua" w:cs="Times New Roman"/>
          <w:sz w:val="24"/>
          <w:szCs w:val="24"/>
        </w:rPr>
        <w:t>REVIEW</w:t>
      </w:r>
      <w:r w:rsidRPr="00556FBB">
        <w:rPr>
          <w:rFonts w:ascii="Book Antiqua" w:hAnsi="Book Antiqua" w:cs="Times New Roman"/>
          <w:sz w:val="24"/>
          <w:szCs w:val="24"/>
          <w:lang w:eastAsia="zh-CN"/>
        </w:rPr>
        <w:t>S</w:t>
      </w:r>
    </w:p>
    <w:p w14:paraId="1CC3759F" w14:textId="77777777" w:rsidR="00CE099A" w:rsidRPr="00556FBB" w:rsidRDefault="00CE099A" w:rsidP="00556FBB">
      <w:pPr>
        <w:spacing w:after="0" w:line="360" w:lineRule="auto"/>
        <w:jc w:val="both"/>
        <w:rPr>
          <w:rFonts w:ascii="Book Antiqua" w:hAnsi="Book Antiqua" w:cs="Times New Roman"/>
          <w:b/>
          <w:sz w:val="24"/>
          <w:szCs w:val="24"/>
        </w:rPr>
      </w:pPr>
    </w:p>
    <w:p w14:paraId="726D7B87" w14:textId="572E095F" w:rsidR="00CE099A" w:rsidRPr="00556FBB" w:rsidRDefault="00CE099A" w:rsidP="00556FBB">
      <w:pPr>
        <w:spacing w:after="0" w:line="360" w:lineRule="auto"/>
        <w:contextualSpacing/>
        <w:jc w:val="both"/>
        <w:rPr>
          <w:rFonts w:ascii="Book Antiqua" w:hAnsi="Book Antiqua" w:cs="Times New Roman"/>
          <w:b/>
          <w:sz w:val="24"/>
          <w:szCs w:val="24"/>
        </w:rPr>
      </w:pPr>
      <w:bookmarkStart w:id="16" w:name="OLE_LINK26"/>
      <w:r w:rsidRPr="00556FBB">
        <w:rPr>
          <w:rFonts w:ascii="Book Antiqua" w:hAnsi="Book Antiqua" w:cs="Times New Roman"/>
          <w:b/>
          <w:sz w:val="24"/>
          <w:szCs w:val="24"/>
        </w:rPr>
        <w:t>Image guided percutaneous gastrostomy catheter placement: How we do it safely and efficiently</w:t>
      </w:r>
    </w:p>
    <w:bookmarkEnd w:id="16"/>
    <w:p w14:paraId="1C2A7009" w14:textId="5567B498" w:rsidR="00CE099A" w:rsidRPr="00556FBB" w:rsidRDefault="00CE099A" w:rsidP="00556FBB">
      <w:pPr>
        <w:spacing w:after="0" w:line="360" w:lineRule="auto"/>
        <w:contextualSpacing/>
        <w:jc w:val="both"/>
        <w:rPr>
          <w:rFonts w:ascii="Book Antiqua" w:hAnsi="Book Antiqua" w:cs="Times New Roman"/>
          <w:b/>
          <w:sz w:val="24"/>
          <w:szCs w:val="24"/>
        </w:rPr>
      </w:pPr>
    </w:p>
    <w:p w14:paraId="1A0F8E17" w14:textId="2E85AF90" w:rsidR="00D91C9C" w:rsidRPr="00556FBB" w:rsidRDefault="00D91C9C" w:rsidP="00556FBB">
      <w:pPr>
        <w:spacing w:after="0" w:line="360" w:lineRule="auto"/>
        <w:contextualSpacing/>
        <w:jc w:val="both"/>
        <w:rPr>
          <w:rFonts w:ascii="Book Antiqua" w:hAnsi="Book Antiqua" w:cs="Times New Roman"/>
          <w:sz w:val="24"/>
          <w:szCs w:val="24"/>
        </w:rPr>
      </w:pPr>
      <w:proofErr w:type="spellStart"/>
      <w:r w:rsidRPr="00556FBB">
        <w:rPr>
          <w:rFonts w:ascii="Book Antiqua" w:hAnsi="Book Antiqua" w:cs="Times New Roman"/>
          <w:sz w:val="24"/>
          <w:szCs w:val="24"/>
        </w:rPr>
        <w:t>Partovi</w:t>
      </w:r>
      <w:proofErr w:type="spellEnd"/>
      <w:r w:rsidRPr="00556FBB">
        <w:rPr>
          <w:rFonts w:ascii="Book Antiqua" w:hAnsi="Book Antiqua" w:cs="Times New Roman"/>
          <w:sz w:val="24"/>
          <w:szCs w:val="24"/>
        </w:rPr>
        <w:t xml:space="preserve"> S </w:t>
      </w:r>
      <w:r w:rsidRPr="00556FBB">
        <w:rPr>
          <w:rFonts w:ascii="Book Antiqua" w:hAnsi="Book Antiqua" w:cs="Times New Roman"/>
          <w:i/>
          <w:iCs/>
          <w:sz w:val="24"/>
          <w:szCs w:val="24"/>
        </w:rPr>
        <w:t>et al</w:t>
      </w:r>
      <w:r w:rsidRPr="00556FBB">
        <w:rPr>
          <w:rFonts w:ascii="Book Antiqua" w:hAnsi="Book Antiqua" w:cs="Times New Roman"/>
          <w:sz w:val="24"/>
          <w:szCs w:val="24"/>
        </w:rPr>
        <w:t xml:space="preserve">. </w:t>
      </w:r>
      <w:bookmarkStart w:id="17" w:name="OLE_LINK28"/>
      <w:bookmarkStart w:id="18" w:name="OLE_LINK27"/>
      <w:r w:rsidRPr="00556FBB">
        <w:rPr>
          <w:rFonts w:ascii="Book Antiqua" w:hAnsi="Book Antiqua" w:cs="Times New Roman"/>
          <w:sz w:val="24"/>
          <w:szCs w:val="24"/>
        </w:rPr>
        <w:t xml:space="preserve">PIRG: </w:t>
      </w:r>
      <w:r w:rsidR="000F41B6" w:rsidRPr="00556FBB">
        <w:rPr>
          <w:rFonts w:ascii="Book Antiqua" w:hAnsi="Book Antiqua" w:cs="Times New Roman"/>
          <w:sz w:val="24"/>
          <w:szCs w:val="24"/>
        </w:rPr>
        <w:t xml:space="preserve">How </w:t>
      </w:r>
      <w:r w:rsidRPr="00556FBB">
        <w:rPr>
          <w:rFonts w:ascii="Book Antiqua" w:hAnsi="Book Antiqua" w:cs="Times New Roman"/>
          <w:sz w:val="24"/>
          <w:szCs w:val="24"/>
        </w:rPr>
        <w:t>we do it</w:t>
      </w:r>
      <w:bookmarkEnd w:id="17"/>
    </w:p>
    <w:bookmarkEnd w:id="18"/>
    <w:p w14:paraId="2EC95033" w14:textId="7C168ED0" w:rsidR="00D91C9C" w:rsidRPr="00556FBB" w:rsidRDefault="00D91C9C" w:rsidP="00556FBB">
      <w:pPr>
        <w:spacing w:after="0" w:line="360" w:lineRule="auto"/>
        <w:contextualSpacing/>
        <w:jc w:val="both"/>
        <w:rPr>
          <w:rFonts w:ascii="Book Antiqua" w:hAnsi="Book Antiqua" w:cs="Times New Roman"/>
          <w:sz w:val="24"/>
          <w:szCs w:val="24"/>
        </w:rPr>
      </w:pPr>
    </w:p>
    <w:p w14:paraId="0871BD0C" w14:textId="280C7A58" w:rsidR="00D91C9C" w:rsidRPr="00556FBB" w:rsidRDefault="00D91C9C" w:rsidP="00556FBB">
      <w:pPr>
        <w:spacing w:after="0" w:line="360" w:lineRule="auto"/>
        <w:contextualSpacing/>
        <w:jc w:val="both"/>
        <w:rPr>
          <w:rFonts w:ascii="Book Antiqua" w:hAnsi="Book Antiqua" w:cs="Times New Roman"/>
          <w:sz w:val="24"/>
          <w:szCs w:val="24"/>
        </w:rPr>
      </w:pPr>
      <w:proofErr w:type="spellStart"/>
      <w:r w:rsidRPr="00556FBB">
        <w:rPr>
          <w:rFonts w:ascii="Book Antiqua" w:hAnsi="Book Antiqua" w:cs="Times New Roman"/>
          <w:sz w:val="24"/>
          <w:szCs w:val="24"/>
        </w:rPr>
        <w:t>Sasan</w:t>
      </w:r>
      <w:proofErr w:type="spellEnd"/>
      <w:r w:rsidRPr="00556FBB">
        <w:rPr>
          <w:rFonts w:ascii="Book Antiqua" w:hAnsi="Book Antiqua" w:cs="Times New Roman"/>
          <w:sz w:val="24"/>
          <w:szCs w:val="24"/>
        </w:rPr>
        <w:t xml:space="preserve"> </w:t>
      </w:r>
      <w:proofErr w:type="spellStart"/>
      <w:r w:rsidRPr="00556FBB">
        <w:rPr>
          <w:rFonts w:ascii="Book Antiqua" w:hAnsi="Book Antiqua" w:cs="Times New Roman"/>
          <w:sz w:val="24"/>
          <w:szCs w:val="24"/>
        </w:rPr>
        <w:t>Partovi</w:t>
      </w:r>
      <w:proofErr w:type="spellEnd"/>
      <w:r w:rsidRPr="00556FBB">
        <w:rPr>
          <w:rFonts w:ascii="Book Antiqua" w:hAnsi="Book Antiqua" w:cs="Times New Roman"/>
          <w:sz w:val="24"/>
          <w:szCs w:val="24"/>
        </w:rPr>
        <w:t>, Xin Li, Eunice Moon, Dustin Thompson</w:t>
      </w:r>
    </w:p>
    <w:p w14:paraId="06881B2A" w14:textId="61CACD96" w:rsidR="00D91C9C" w:rsidRPr="00556FBB" w:rsidRDefault="00D91C9C" w:rsidP="00556FBB">
      <w:pPr>
        <w:spacing w:after="0" w:line="360" w:lineRule="auto"/>
        <w:contextualSpacing/>
        <w:jc w:val="both"/>
        <w:rPr>
          <w:rFonts w:ascii="Book Antiqua" w:hAnsi="Book Antiqua" w:cs="Times New Roman"/>
          <w:b/>
          <w:sz w:val="24"/>
          <w:szCs w:val="24"/>
        </w:rPr>
      </w:pPr>
    </w:p>
    <w:p w14:paraId="3FE08799" w14:textId="21562C17" w:rsidR="00CE099A" w:rsidRPr="00556FBB" w:rsidRDefault="00D91C9C" w:rsidP="00556FBB">
      <w:pPr>
        <w:spacing w:after="0" w:line="360" w:lineRule="auto"/>
        <w:contextualSpacing/>
        <w:jc w:val="both"/>
        <w:rPr>
          <w:rFonts w:ascii="Book Antiqua" w:hAnsi="Book Antiqua" w:cs="Times New Roman"/>
          <w:sz w:val="24"/>
          <w:szCs w:val="24"/>
        </w:rPr>
      </w:pPr>
      <w:proofErr w:type="spellStart"/>
      <w:r w:rsidRPr="00556FBB">
        <w:rPr>
          <w:rFonts w:ascii="Book Antiqua" w:hAnsi="Book Antiqua" w:cs="Times New Roman"/>
          <w:b/>
          <w:bCs/>
          <w:sz w:val="24"/>
          <w:szCs w:val="24"/>
        </w:rPr>
        <w:t>Sasan</w:t>
      </w:r>
      <w:proofErr w:type="spellEnd"/>
      <w:r w:rsidRPr="00556FBB">
        <w:rPr>
          <w:rFonts w:ascii="Book Antiqua" w:hAnsi="Book Antiqua" w:cs="Times New Roman"/>
          <w:b/>
          <w:bCs/>
          <w:sz w:val="24"/>
          <w:szCs w:val="24"/>
        </w:rPr>
        <w:t xml:space="preserve"> </w:t>
      </w:r>
      <w:proofErr w:type="spellStart"/>
      <w:r w:rsidRPr="00556FBB">
        <w:rPr>
          <w:rFonts w:ascii="Book Antiqua" w:hAnsi="Book Antiqua" w:cs="Times New Roman"/>
          <w:b/>
          <w:bCs/>
          <w:sz w:val="24"/>
          <w:szCs w:val="24"/>
        </w:rPr>
        <w:t>Partovi</w:t>
      </w:r>
      <w:proofErr w:type="spellEnd"/>
      <w:r w:rsidRPr="00556FBB">
        <w:rPr>
          <w:rFonts w:ascii="Book Antiqua" w:hAnsi="Book Antiqua" w:cs="Times New Roman"/>
          <w:b/>
          <w:bCs/>
          <w:sz w:val="24"/>
          <w:szCs w:val="24"/>
        </w:rPr>
        <w:t xml:space="preserve">, Xin Li, Eunice Moon, </w:t>
      </w:r>
      <w:r w:rsidR="00CE099A" w:rsidRPr="00556FBB">
        <w:rPr>
          <w:rFonts w:ascii="Book Antiqua" w:hAnsi="Book Antiqua" w:cs="Times New Roman"/>
          <w:b/>
          <w:bCs/>
          <w:sz w:val="24"/>
          <w:szCs w:val="24"/>
        </w:rPr>
        <w:t>Dustin Thompson,</w:t>
      </w:r>
      <w:r w:rsidR="00CE099A" w:rsidRPr="00556FBB">
        <w:rPr>
          <w:rFonts w:ascii="Book Antiqua" w:hAnsi="Book Antiqua" w:cs="Times New Roman"/>
          <w:sz w:val="24"/>
          <w:szCs w:val="24"/>
        </w:rPr>
        <w:t xml:space="preserve"> Section of Interventional Radiology, Imaging Institute, Cleveland Clinic Foundation, Cleveland, O</w:t>
      </w:r>
      <w:r w:rsidRPr="00556FBB">
        <w:rPr>
          <w:rFonts w:ascii="Book Antiqua" w:hAnsi="Book Antiqua" w:cs="Times New Roman"/>
          <w:sz w:val="24"/>
          <w:szCs w:val="24"/>
        </w:rPr>
        <w:t>H</w:t>
      </w:r>
      <w:r w:rsidR="00CE099A" w:rsidRPr="00556FBB">
        <w:rPr>
          <w:rFonts w:ascii="Book Antiqua" w:hAnsi="Book Antiqua" w:cs="Times New Roman"/>
          <w:sz w:val="24"/>
          <w:szCs w:val="24"/>
        </w:rPr>
        <w:t xml:space="preserve"> 44195, </w:t>
      </w:r>
      <w:r w:rsidRPr="00556FBB">
        <w:rPr>
          <w:rFonts w:ascii="Book Antiqua" w:hAnsi="Book Antiqua" w:cs="Times New Roman"/>
          <w:sz w:val="24"/>
          <w:szCs w:val="24"/>
        </w:rPr>
        <w:t>United States</w:t>
      </w:r>
    </w:p>
    <w:p w14:paraId="23BEC263" w14:textId="77777777" w:rsidR="00CE099A" w:rsidRPr="00556FBB" w:rsidRDefault="00CE099A" w:rsidP="00556FBB">
      <w:pPr>
        <w:spacing w:after="0" w:line="360" w:lineRule="auto"/>
        <w:contextualSpacing/>
        <w:jc w:val="both"/>
        <w:rPr>
          <w:rFonts w:ascii="Book Antiqua" w:hAnsi="Book Antiqua" w:cs="Times New Roman"/>
          <w:sz w:val="24"/>
          <w:szCs w:val="24"/>
          <w:vertAlign w:val="superscript"/>
        </w:rPr>
      </w:pPr>
    </w:p>
    <w:p w14:paraId="0C740357" w14:textId="3591F9E1" w:rsidR="00D91C9C" w:rsidRPr="00556FBB" w:rsidRDefault="00D91C9C" w:rsidP="00556FBB">
      <w:pPr>
        <w:spacing w:after="0" w:line="360" w:lineRule="auto"/>
        <w:contextualSpacing/>
        <w:jc w:val="both"/>
        <w:rPr>
          <w:rFonts w:ascii="Book Antiqua" w:hAnsi="Book Antiqua" w:cs="Times New Roman"/>
          <w:sz w:val="24"/>
          <w:szCs w:val="24"/>
        </w:rPr>
      </w:pPr>
      <w:r w:rsidRPr="00556FBB">
        <w:rPr>
          <w:rFonts w:ascii="Book Antiqua" w:hAnsi="Book Antiqua" w:cs="Arial"/>
          <w:b/>
          <w:sz w:val="24"/>
          <w:szCs w:val="24"/>
        </w:rPr>
        <w:t>Author contributions:</w:t>
      </w:r>
      <w:r w:rsidRPr="00556FBB">
        <w:rPr>
          <w:rFonts w:ascii="Book Antiqua" w:hAnsi="Book Antiqua" w:cs="Times New Roman"/>
          <w:sz w:val="24"/>
          <w:szCs w:val="24"/>
        </w:rPr>
        <w:t xml:space="preserve"> Li X and </w:t>
      </w:r>
      <w:proofErr w:type="spellStart"/>
      <w:r w:rsidRPr="00556FBB">
        <w:rPr>
          <w:rFonts w:ascii="Book Antiqua" w:hAnsi="Book Antiqua" w:cs="Times New Roman"/>
          <w:sz w:val="24"/>
          <w:szCs w:val="24"/>
        </w:rPr>
        <w:t>Partovi</w:t>
      </w:r>
      <w:proofErr w:type="spellEnd"/>
      <w:r w:rsidRPr="00556FBB">
        <w:rPr>
          <w:rFonts w:ascii="Book Antiqua" w:hAnsi="Book Antiqua" w:cs="Times New Roman"/>
          <w:sz w:val="24"/>
          <w:szCs w:val="24"/>
        </w:rPr>
        <w:t xml:space="preserve"> S contributed equally to this work</w:t>
      </w:r>
      <w:r w:rsidR="00205E09">
        <w:rPr>
          <w:rFonts w:ascii="Book Antiqua" w:hAnsi="Book Antiqua" w:cs="Times New Roman"/>
          <w:sz w:val="24"/>
          <w:szCs w:val="24"/>
        </w:rPr>
        <w:t>;</w:t>
      </w:r>
      <w:r w:rsidRPr="00556FBB">
        <w:rPr>
          <w:rFonts w:ascii="Book Antiqua" w:hAnsi="Book Antiqua" w:cs="Times New Roman"/>
          <w:sz w:val="24"/>
          <w:szCs w:val="24"/>
        </w:rPr>
        <w:t xml:space="preserve"> The initial drafting was done by Li X and </w:t>
      </w:r>
      <w:proofErr w:type="spellStart"/>
      <w:r w:rsidRPr="00556FBB">
        <w:rPr>
          <w:rFonts w:ascii="Book Antiqua" w:hAnsi="Book Antiqua" w:cs="Times New Roman"/>
          <w:sz w:val="24"/>
          <w:szCs w:val="24"/>
        </w:rPr>
        <w:t>Partovi</w:t>
      </w:r>
      <w:proofErr w:type="spellEnd"/>
      <w:r w:rsidRPr="00556FBB">
        <w:rPr>
          <w:rFonts w:ascii="Book Antiqua" w:hAnsi="Book Antiqua" w:cs="Times New Roman"/>
          <w:sz w:val="24"/>
          <w:szCs w:val="24"/>
        </w:rPr>
        <w:t xml:space="preserve"> S equally</w:t>
      </w:r>
      <w:r w:rsidR="00205E09">
        <w:rPr>
          <w:rFonts w:ascii="Book Antiqua" w:hAnsi="Book Antiqua" w:cs="Times New Roman"/>
          <w:sz w:val="24"/>
          <w:szCs w:val="24"/>
        </w:rPr>
        <w:t>;</w:t>
      </w:r>
      <w:r w:rsidRPr="00556FBB">
        <w:rPr>
          <w:rFonts w:ascii="Book Antiqua" w:hAnsi="Book Antiqua" w:cs="Times New Roman"/>
          <w:sz w:val="24"/>
          <w:szCs w:val="24"/>
        </w:rPr>
        <w:t xml:space="preserve"> Moon E and Thompson D contributed heavily during the initial drafting and final editing of the paper</w:t>
      </w:r>
      <w:r w:rsidR="00205E09">
        <w:rPr>
          <w:rFonts w:ascii="Book Antiqua" w:hAnsi="Book Antiqua" w:cs="Times New Roman"/>
          <w:sz w:val="24"/>
          <w:szCs w:val="24"/>
        </w:rPr>
        <w:t>;</w:t>
      </w:r>
      <w:r w:rsidRPr="00556FBB">
        <w:rPr>
          <w:rFonts w:ascii="Book Antiqua" w:hAnsi="Book Antiqua" w:cs="Times New Roman"/>
          <w:sz w:val="24"/>
          <w:szCs w:val="24"/>
        </w:rPr>
        <w:t xml:space="preserve"> Moon E and Thompson D also provided necessary technical expertise to the topic. </w:t>
      </w:r>
    </w:p>
    <w:p w14:paraId="5A84AC51" w14:textId="59B0DE7F" w:rsidR="00CE099A" w:rsidRPr="00556FBB" w:rsidRDefault="00CE099A" w:rsidP="00556FBB">
      <w:pPr>
        <w:spacing w:after="0" w:line="360" w:lineRule="auto"/>
        <w:contextualSpacing/>
        <w:jc w:val="both"/>
        <w:rPr>
          <w:rFonts w:ascii="Book Antiqua" w:hAnsi="Book Antiqua" w:cs="Arial"/>
          <w:b/>
          <w:sz w:val="24"/>
          <w:szCs w:val="24"/>
        </w:rPr>
      </w:pPr>
    </w:p>
    <w:p w14:paraId="69B9AE6C" w14:textId="0E8DD72F" w:rsidR="00D91C9C" w:rsidRPr="00556FBB" w:rsidRDefault="00D91C9C" w:rsidP="00556FB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cs="Times New Roman"/>
          <w:sz w:val="24"/>
          <w:szCs w:val="24"/>
        </w:rPr>
      </w:pPr>
      <w:r w:rsidRPr="00556FBB">
        <w:rPr>
          <w:rFonts w:ascii="Book Antiqua" w:hAnsi="Book Antiqua" w:cs="Arial"/>
          <w:b/>
          <w:sz w:val="24"/>
          <w:szCs w:val="24"/>
        </w:rPr>
        <w:t xml:space="preserve">Corresponding author: </w:t>
      </w:r>
      <w:proofErr w:type="spellStart"/>
      <w:r w:rsidRPr="00205E09">
        <w:rPr>
          <w:rFonts w:ascii="Book Antiqua" w:hAnsi="Book Antiqua" w:cs="Times New Roman"/>
          <w:b/>
          <w:bCs/>
          <w:sz w:val="24"/>
          <w:szCs w:val="24"/>
        </w:rPr>
        <w:t>Sasan</w:t>
      </w:r>
      <w:proofErr w:type="spellEnd"/>
      <w:r w:rsidRPr="00205E09">
        <w:rPr>
          <w:rFonts w:ascii="Book Antiqua" w:hAnsi="Book Antiqua" w:cs="Times New Roman"/>
          <w:b/>
          <w:bCs/>
          <w:sz w:val="24"/>
          <w:szCs w:val="24"/>
        </w:rPr>
        <w:t xml:space="preserve"> </w:t>
      </w:r>
      <w:proofErr w:type="spellStart"/>
      <w:r w:rsidRPr="00205E09">
        <w:rPr>
          <w:rFonts w:ascii="Book Antiqua" w:hAnsi="Book Antiqua" w:cs="Times New Roman"/>
          <w:b/>
          <w:bCs/>
          <w:sz w:val="24"/>
          <w:szCs w:val="24"/>
        </w:rPr>
        <w:t>Partovi</w:t>
      </w:r>
      <w:proofErr w:type="spellEnd"/>
      <w:r w:rsidRPr="00205E09">
        <w:rPr>
          <w:rFonts w:ascii="Book Antiqua" w:hAnsi="Book Antiqua" w:cs="Times New Roman"/>
          <w:b/>
          <w:bCs/>
          <w:sz w:val="24"/>
          <w:szCs w:val="24"/>
        </w:rPr>
        <w:t xml:space="preserve">, MD, </w:t>
      </w:r>
      <w:r w:rsidR="00B84EFD" w:rsidRPr="00B84EFD">
        <w:rPr>
          <w:rFonts w:ascii="Book Antiqua" w:hAnsi="Book Antiqua" w:cs="Times New Roman"/>
          <w:b/>
          <w:bCs/>
          <w:sz w:val="24"/>
          <w:szCs w:val="24"/>
        </w:rPr>
        <w:t xml:space="preserve">Doctor, </w:t>
      </w:r>
      <w:r w:rsidRPr="00556FBB">
        <w:rPr>
          <w:rFonts w:ascii="Book Antiqua" w:hAnsi="Book Antiqua" w:cs="Times New Roman"/>
          <w:sz w:val="24"/>
          <w:szCs w:val="24"/>
        </w:rPr>
        <w:t>Section of Interventional Radiology, Imaging Institute, Cleveland Clinic Foundation, 9500 Euclid Avenue, Cleveland, OH 44195, United States</w:t>
      </w:r>
      <w:r w:rsidRPr="00556FBB">
        <w:rPr>
          <w:rFonts w:ascii="Book Antiqua" w:hAnsi="Book Antiqua" w:cs="Times New Roman"/>
          <w:sz w:val="24"/>
          <w:szCs w:val="24"/>
          <w:lang w:eastAsia="zh-CN"/>
        </w:rPr>
        <w:t xml:space="preserve">. </w:t>
      </w:r>
      <w:r w:rsidRPr="00556FBB">
        <w:rPr>
          <w:rFonts w:ascii="Book Antiqua" w:hAnsi="Book Antiqua" w:cs="Times New Roman"/>
          <w:sz w:val="24"/>
          <w:szCs w:val="24"/>
          <w:shd w:val="clear" w:color="auto" w:fill="FFFFFF"/>
        </w:rPr>
        <w:t>partovs@ccf.org</w:t>
      </w:r>
    </w:p>
    <w:p w14:paraId="146E3897" w14:textId="77777777" w:rsidR="00CE099A" w:rsidRPr="00556FBB" w:rsidRDefault="00CE099A" w:rsidP="00556FBB">
      <w:pPr>
        <w:autoSpaceDE w:val="0"/>
        <w:autoSpaceDN w:val="0"/>
        <w:adjustRightInd w:val="0"/>
        <w:spacing w:after="0" w:line="360" w:lineRule="auto"/>
        <w:jc w:val="both"/>
        <w:rPr>
          <w:rFonts w:ascii="Book Antiqua" w:hAnsi="Book Antiqua" w:cs="Times New Roman"/>
          <w:sz w:val="24"/>
          <w:szCs w:val="24"/>
        </w:rPr>
      </w:pPr>
    </w:p>
    <w:p w14:paraId="666A6474" w14:textId="0B56F45F" w:rsidR="00D91C9C" w:rsidRPr="00556FBB" w:rsidRDefault="00D91C9C" w:rsidP="00556FBB">
      <w:pPr>
        <w:spacing w:after="0" w:line="360" w:lineRule="auto"/>
        <w:jc w:val="both"/>
        <w:rPr>
          <w:rFonts w:ascii="Book Antiqua" w:eastAsia="宋体" w:hAnsi="Book Antiqua"/>
          <w:sz w:val="24"/>
          <w:szCs w:val="24"/>
          <w:lang w:eastAsia="zh-CN"/>
        </w:rPr>
      </w:pPr>
      <w:r w:rsidRPr="00556FBB">
        <w:rPr>
          <w:rFonts w:ascii="Book Antiqua" w:hAnsi="Book Antiqua"/>
          <w:b/>
          <w:sz w:val="24"/>
          <w:szCs w:val="24"/>
        </w:rPr>
        <w:t xml:space="preserve">Received: </w:t>
      </w:r>
      <w:r w:rsidRPr="00556FBB">
        <w:rPr>
          <w:rFonts w:ascii="Book Antiqua" w:eastAsia="宋体" w:hAnsi="Book Antiqua"/>
          <w:sz w:val="24"/>
          <w:szCs w:val="24"/>
          <w:lang w:eastAsia="zh-CN"/>
        </w:rPr>
        <w:t>November 14, 2019</w:t>
      </w:r>
    </w:p>
    <w:p w14:paraId="1A9C91B5" w14:textId="185808AA" w:rsidR="00D91C9C" w:rsidRPr="00556FBB" w:rsidRDefault="00D91C9C" w:rsidP="00556FBB">
      <w:pPr>
        <w:spacing w:after="0" w:line="360" w:lineRule="auto"/>
        <w:jc w:val="both"/>
        <w:rPr>
          <w:rFonts w:ascii="Book Antiqua" w:hAnsi="Book Antiqua"/>
          <w:b/>
          <w:sz w:val="24"/>
          <w:szCs w:val="24"/>
        </w:rPr>
      </w:pPr>
      <w:r w:rsidRPr="00556FBB">
        <w:rPr>
          <w:rFonts w:ascii="Book Antiqua" w:hAnsi="Book Antiqua"/>
          <w:b/>
          <w:sz w:val="24"/>
          <w:szCs w:val="24"/>
        </w:rPr>
        <w:t xml:space="preserve">Revised: </w:t>
      </w:r>
      <w:r w:rsidRPr="00556FBB">
        <w:rPr>
          <w:rFonts w:ascii="Book Antiqua" w:hAnsi="Book Antiqua"/>
          <w:sz w:val="24"/>
          <w:szCs w:val="24"/>
        </w:rPr>
        <w:t>January 7, 2020</w:t>
      </w:r>
    </w:p>
    <w:p w14:paraId="038E7EE3" w14:textId="10F8A2CC" w:rsidR="00D91C9C" w:rsidRPr="00556FBB" w:rsidRDefault="00D91C9C" w:rsidP="00556FBB">
      <w:pPr>
        <w:spacing w:after="0" w:line="360" w:lineRule="auto"/>
        <w:jc w:val="both"/>
        <w:rPr>
          <w:rFonts w:ascii="Book Antiqua" w:hAnsi="Book Antiqua"/>
          <w:b/>
          <w:sz w:val="24"/>
          <w:szCs w:val="24"/>
        </w:rPr>
      </w:pPr>
      <w:r w:rsidRPr="00556FBB">
        <w:rPr>
          <w:rFonts w:ascii="Book Antiqua" w:hAnsi="Book Antiqua"/>
          <w:b/>
          <w:sz w:val="24"/>
          <w:szCs w:val="24"/>
        </w:rPr>
        <w:t>Accepted:</w:t>
      </w:r>
      <w:r w:rsidR="0074415A" w:rsidRPr="0074415A">
        <w:t xml:space="preserve"> </w:t>
      </w:r>
      <w:r w:rsidR="0074415A" w:rsidRPr="0074415A">
        <w:rPr>
          <w:rFonts w:ascii="Book Antiqua" w:hAnsi="Book Antiqua"/>
          <w:bCs/>
          <w:sz w:val="24"/>
          <w:szCs w:val="24"/>
        </w:rPr>
        <w:t>January 11, 2020</w:t>
      </w:r>
      <w:r w:rsidRPr="0074415A">
        <w:rPr>
          <w:rFonts w:ascii="Book Antiqua" w:hAnsi="Book Antiqua"/>
          <w:bCs/>
          <w:sz w:val="24"/>
          <w:szCs w:val="24"/>
        </w:rPr>
        <w:t xml:space="preserve"> </w:t>
      </w:r>
    </w:p>
    <w:p w14:paraId="0CA66B70" w14:textId="77777777" w:rsidR="00D91C9C" w:rsidRPr="00556FBB" w:rsidRDefault="00D91C9C" w:rsidP="00556FBB">
      <w:pPr>
        <w:spacing w:after="0" w:line="360" w:lineRule="auto"/>
        <w:jc w:val="both"/>
        <w:rPr>
          <w:rFonts w:ascii="Book Antiqua" w:eastAsia="宋体" w:hAnsi="Book Antiqua"/>
          <w:sz w:val="24"/>
          <w:szCs w:val="24"/>
          <w:lang w:eastAsia="zh-CN"/>
        </w:rPr>
      </w:pPr>
      <w:r w:rsidRPr="00556FBB">
        <w:rPr>
          <w:rFonts w:ascii="Book Antiqua" w:hAnsi="Book Antiqua"/>
          <w:b/>
          <w:sz w:val="24"/>
          <w:szCs w:val="24"/>
        </w:rPr>
        <w:t>Published online:</w:t>
      </w:r>
    </w:p>
    <w:p w14:paraId="48C6E83F" w14:textId="77777777" w:rsidR="00D91C9C" w:rsidRPr="00556FBB" w:rsidRDefault="00D91C9C" w:rsidP="00556FBB">
      <w:pPr>
        <w:spacing w:after="0" w:line="360" w:lineRule="auto"/>
        <w:jc w:val="both"/>
        <w:rPr>
          <w:rFonts w:ascii="Book Antiqua" w:hAnsi="Book Antiqua" w:cs="Times New Roman"/>
          <w:b/>
          <w:sz w:val="24"/>
          <w:szCs w:val="24"/>
          <w:shd w:val="clear" w:color="auto" w:fill="FFFFFF"/>
        </w:rPr>
      </w:pPr>
      <w:r w:rsidRPr="00556FBB">
        <w:rPr>
          <w:rFonts w:ascii="Book Antiqua" w:hAnsi="Book Antiqua" w:cs="Times New Roman"/>
          <w:b/>
          <w:sz w:val="24"/>
          <w:szCs w:val="24"/>
          <w:shd w:val="clear" w:color="auto" w:fill="FFFFFF"/>
        </w:rPr>
        <w:br w:type="page"/>
      </w:r>
    </w:p>
    <w:p w14:paraId="44230CD3" w14:textId="6E623638" w:rsidR="00CE099A" w:rsidRPr="00556FBB" w:rsidRDefault="00CE099A" w:rsidP="00556FBB">
      <w:pPr>
        <w:spacing w:after="0" w:line="360" w:lineRule="auto"/>
        <w:contextualSpacing/>
        <w:jc w:val="both"/>
        <w:rPr>
          <w:rFonts w:ascii="Book Antiqua" w:hAnsi="Book Antiqua" w:cs="Times New Roman"/>
          <w:b/>
          <w:sz w:val="24"/>
          <w:szCs w:val="24"/>
          <w:shd w:val="clear" w:color="auto" w:fill="FFFFFF"/>
        </w:rPr>
      </w:pPr>
      <w:r w:rsidRPr="00556FBB">
        <w:rPr>
          <w:rFonts w:ascii="Book Antiqua" w:hAnsi="Book Antiqua" w:cs="Times New Roman"/>
          <w:b/>
          <w:sz w:val="24"/>
          <w:szCs w:val="24"/>
          <w:shd w:val="clear" w:color="auto" w:fill="FFFFFF"/>
        </w:rPr>
        <w:lastRenderedPageBreak/>
        <w:t xml:space="preserve">Abstract </w:t>
      </w:r>
    </w:p>
    <w:p w14:paraId="0FAFCB21" w14:textId="039D30A2" w:rsidR="00CE099A" w:rsidRPr="00556FBB" w:rsidRDefault="00CE099A" w:rsidP="00556FBB">
      <w:pPr>
        <w:spacing w:after="0" w:line="360" w:lineRule="auto"/>
        <w:contextualSpacing/>
        <w:jc w:val="both"/>
        <w:rPr>
          <w:rFonts w:ascii="Book Antiqua" w:hAnsi="Book Antiqua" w:cs="Times New Roman"/>
          <w:sz w:val="24"/>
          <w:szCs w:val="24"/>
          <w:shd w:val="clear" w:color="auto" w:fill="FFFFFF"/>
        </w:rPr>
      </w:pPr>
      <w:r w:rsidRPr="00556FBB">
        <w:rPr>
          <w:rFonts w:ascii="Book Antiqua" w:hAnsi="Book Antiqua" w:cs="Times New Roman"/>
          <w:sz w:val="24"/>
          <w:szCs w:val="24"/>
          <w:shd w:val="clear" w:color="auto" w:fill="FFFFFF"/>
        </w:rPr>
        <w:t>Gastrostomy tube is an effective and safe long-term feeding access that is well-tolerated by patients. The typical placement routes include surgical, endoscopic and interventional radiologic placement. In particular, percutaneous interventional radiologic gastrostomy (PIRG) has increasingly become the preferred method of choice in many practices. Although many PIRG techniques have been developed since the 1980s, there is still a paucity of evidence supporting the choice of a most-optimal PIRG technique. Hence, there is a large variation in institutional approach to PIRG.</w:t>
      </w:r>
      <w:r w:rsidR="00D91C9C" w:rsidRPr="00556FBB">
        <w:rPr>
          <w:rFonts w:ascii="Book Antiqua" w:hAnsi="Book Antiqua" w:cs="Times New Roman"/>
          <w:sz w:val="24"/>
          <w:szCs w:val="24"/>
          <w:shd w:val="clear" w:color="auto" w:fill="FFFFFF"/>
        </w:rPr>
        <w:t xml:space="preserve"> </w:t>
      </w:r>
      <w:r w:rsidRPr="00556FBB">
        <w:rPr>
          <w:rFonts w:ascii="Book Antiqua" w:hAnsi="Book Antiqua" w:cs="Times New Roman"/>
          <w:sz w:val="24"/>
          <w:szCs w:val="24"/>
          <w:shd w:val="clear" w:color="auto" w:fill="FFFFFF"/>
        </w:rPr>
        <w:t>We are a large, quaternary academic institution with an extensive experience in PIRG. Therefore, we aim to present the “push” PIRG technique utilized in our institution, to review the current literature, to discuss the optimal choice of PIRG technique and to generate further interests in comparison studies.</w:t>
      </w:r>
    </w:p>
    <w:p w14:paraId="4BBC34D3" w14:textId="0E436124" w:rsidR="00D91C9C" w:rsidRPr="00556FBB" w:rsidRDefault="00D91C9C" w:rsidP="00556FBB">
      <w:pPr>
        <w:spacing w:after="0" w:line="360" w:lineRule="auto"/>
        <w:contextualSpacing/>
        <w:jc w:val="both"/>
        <w:rPr>
          <w:rFonts w:ascii="Book Antiqua" w:hAnsi="Book Antiqua" w:cs="Times New Roman"/>
          <w:sz w:val="24"/>
          <w:szCs w:val="24"/>
          <w:shd w:val="clear" w:color="auto" w:fill="FFFFFF"/>
        </w:rPr>
      </w:pPr>
    </w:p>
    <w:p w14:paraId="2E15E6A2" w14:textId="0CFC6081" w:rsidR="00D91C9C" w:rsidRPr="00556FBB" w:rsidRDefault="00D91C9C"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b/>
          <w:bCs/>
          <w:sz w:val="24"/>
          <w:szCs w:val="24"/>
        </w:rPr>
        <w:t xml:space="preserve">Key words: </w:t>
      </w:r>
      <w:r w:rsidRPr="00556FBB">
        <w:rPr>
          <w:rFonts w:ascii="Book Antiqua" w:hAnsi="Book Antiqua" w:cs="Times New Roman"/>
          <w:sz w:val="24"/>
          <w:szCs w:val="24"/>
          <w:shd w:val="clear" w:color="auto" w:fill="FFFFFF"/>
        </w:rPr>
        <w:t>Percutaneous interventional radiologic gastrostomy</w:t>
      </w:r>
      <w:r w:rsidRPr="00556FBB">
        <w:rPr>
          <w:rFonts w:ascii="Book Antiqua" w:hAnsi="Book Antiqua" w:cs="Times New Roman"/>
          <w:sz w:val="24"/>
          <w:szCs w:val="24"/>
        </w:rPr>
        <w:t>; Institutional approach; Push technique</w:t>
      </w:r>
    </w:p>
    <w:p w14:paraId="193DAC98" w14:textId="77777777" w:rsidR="00D91C9C" w:rsidRPr="00556FBB" w:rsidRDefault="00D91C9C" w:rsidP="00556FBB">
      <w:pPr>
        <w:spacing w:after="0" w:line="360" w:lineRule="auto"/>
        <w:contextualSpacing/>
        <w:jc w:val="both"/>
        <w:rPr>
          <w:rFonts w:ascii="Book Antiqua" w:hAnsi="Book Antiqua" w:cs="Times New Roman"/>
          <w:sz w:val="24"/>
          <w:szCs w:val="24"/>
        </w:rPr>
      </w:pPr>
    </w:p>
    <w:p w14:paraId="62EF26CA" w14:textId="40BF9AE1" w:rsidR="00D91C9C" w:rsidRPr="00556FBB" w:rsidRDefault="00D91C9C" w:rsidP="00556FBB">
      <w:pPr>
        <w:adjustRightInd w:val="0"/>
        <w:snapToGrid w:val="0"/>
        <w:spacing w:after="0" w:line="360" w:lineRule="auto"/>
        <w:jc w:val="both"/>
        <w:rPr>
          <w:rFonts w:ascii="Book Antiqua" w:hAnsi="Book Antiqua"/>
          <w:sz w:val="24"/>
          <w:szCs w:val="24"/>
        </w:rPr>
      </w:pPr>
      <w:proofErr w:type="spellStart"/>
      <w:r w:rsidRPr="00556FBB">
        <w:rPr>
          <w:rFonts w:ascii="Book Antiqua" w:hAnsi="Book Antiqua" w:cs="Times New Roman"/>
          <w:sz w:val="24"/>
          <w:szCs w:val="24"/>
        </w:rPr>
        <w:t>Partovi</w:t>
      </w:r>
      <w:proofErr w:type="spellEnd"/>
      <w:r w:rsidRPr="00556FBB">
        <w:rPr>
          <w:rFonts w:ascii="Book Antiqua" w:hAnsi="Book Antiqua" w:cs="Times New Roman"/>
          <w:sz w:val="24"/>
          <w:szCs w:val="24"/>
        </w:rPr>
        <w:t xml:space="preserve"> S, Li X, Moon E, Thompson D. Image guided percutaneous gastrostomy catheter placement: How we do it safely and efficiently. </w:t>
      </w:r>
      <w:bookmarkStart w:id="19" w:name="OLE_LINK1105"/>
      <w:bookmarkStart w:id="20" w:name="OLE_LINK1107"/>
      <w:r w:rsidRPr="00556FBB">
        <w:rPr>
          <w:rFonts w:ascii="Book Antiqua" w:hAnsi="Book Antiqua"/>
          <w:i/>
          <w:color w:val="000000" w:themeColor="text1"/>
          <w:sz w:val="24"/>
          <w:szCs w:val="24"/>
        </w:rPr>
        <w:t xml:space="preserve">World J Gastroenterol </w:t>
      </w:r>
      <w:r w:rsidRPr="00556FBB">
        <w:rPr>
          <w:rFonts w:ascii="Book Antiqua" w:hAnsi="Book Antiqua"/>
          <w:color w:val="000000" w:themeColor="text1"/>
          <w:sz w:val="24"/>
          <w:szCs w:val="24"/>
        </w:rPr>
        <w:t>2020; In press</w:t>
      </w:r>
      <w:bookmarkEnd w:id="19"/>
      <w:bookmarkEnd w:id="20"/>
    </w:p>
    <w:p w14:paraId="4350C662" w14:textId="0BAFF0AC" w:rsidR="00D91C9C" w:rsidRPr="00556FBB" w:rsidRDefault="00D91C9C" w:rsidP="00556FBB">
      <w:pPr>
        <w:spacing w:after="0" w:line="360" w:lineRule="auto"/>
        <w:contextualSpacing/>
        <w:jc w:val="both"/>
        <w:rPr>
          <w:rFonts w:ascii="Book Antiqua" w:hAnsi="Book Antiqua" w:cs="Times New Roman"/>
          <w:sz w:val="24"/>
          <w:szCs w:val="24"/>
        </w:rPr>
      </w:pPr>
    </w:p>
    <w:p w14:paraId="6C96CDE8" w14:textId="08A1D303" w:rsidR="00D91C9C" w:rsidRPr="00556FBB" w:rsidRDefault="00D91C9C" w:rsidP="00556FBB">
      <w:pPr>
        <w:spacing w:after="0" w:line="360" w:lineRule="auto"/>
        <w:contextualSpacing/>
        <w:jc w:val="both"/>
        <w:rPr>
          <w:rFonts w:ascii="Book Antiqua" w:hAnsi="Book Antiqua" w:cs="Times New Roman"/>
          <w:sz w:val="24"/>
          <w:szCs w:val="24"/>
        </w:rPr>
      </w:pPr>
      <w:r w:rsidRPr="00556FBB">
        <w:rPr>
          <w:rFonts w:ascii="Book Antiqua" w:hAnsi="Book Antiqua"/>
          <w:b/>
          <w:bCs/>
          <w:sz w:val="24"/>
          <w:szCs w:val="24"/>
        </w:rPr>
        <w:t>Core tip</w:t>
      </w:r>
      <w:r w:rsidRPr="00556FBB">
        <w:rPr>
          <w:rFonts w:ascii="Book Antiqua" w:hAnsi="Book Antiqua"/>
          <w:sz w:val="24"/>
          <w:szCs w:val="24"/>
        </w:rPr>
        <w:t>:</w:t>
      </w:r>
      <w:r w:rsidR="0092771E">
        <w:rPr>
          <w:rFonts w:ascii="Book Antiqua" w:hAnsi="Book Antiqua"/>
          <w:sz w:val="24"/>
          <w:szCs w:val="24"/>
        </w:rPr>
        <w:t xml:space="preserve"> </w:t>
      </w:r>
      <w:r w:rsidRPr="00556FBB">
        <w:rPr>
          <w:rFonts w:ascii="Book Antiqua" w:hAnsi="Book Antiqua" w:cs="Times New Roman"/>
          <w:sz w:val="24"/>
          <w:szCs w:val="24"/>
          <w:shd w:val="clear" w:color="auto" w:fill="FFFFFF"/>
        </w:rPr>
        <w:t>Percutaneous interventional radiologic gastrostomy has become a popular choice for gastrostomy placement. However, there hasn't been an established most-optimal percutaneous interventional radiologic gastrostomy method. Therefore, we would like to present what we believe is the best approach and hope to spark readers' interests in pursuing further direct comparison studies.</w:t>
      </w:r>
    </w:p>
    <w:p w14:paraId="7D3D5812" w14:textId="77777777" w:rsidR="00D91C9C" w:rsidRPr="00556FBB" w:rsidRDefault="00D91C9C" w:rsidP="00556FBB">
      <w:pPr>
        <w:spacing w:after="0" w:line="360" w:lineRule="auto"/>
        <w:jc w:val="both"/>
        <w:rPr>
          <w:rFonts w:ascii="Book Antiqua" w:hAnsi="Book Antiqua" w:cs="Times New Roman"/>
          <w:sz w:val="24"/>
          <w:szCs w:val="24"/>
        </w:rPr>
      </w:pPr>
      <w:r w:rsidRPr="00556FBB">
        <w:rPr>
          <w:rFonts w:ascii="Book Antiqua" w:hAnsi="Book Antiqua" w:cs="Times New Roman"/>
          <w:sz w:val="24"/>
          <w:szCs w:val="24"/>
        </w:rPr>
        <w:br w:type="page"/>
      </w:r>
    </w:p>
    <w:p w14:paraId="54DF3F5B" w14:textId="08D02AC7" w:rsidR="0000474E" w:rsidRPr="00556FBB" w:rsidRDefault="00D91C9C" w:rsidP="00556FBB">
      <w:pPr>
        <w:spacing w:after="0" w:line="360" w:lineRule="auto"/>
        <w:contextualSpacing/>
        <w:jc w:val="both"/>
        <w:rPr>
          <w:rFonts w:ascii="Book Antiqua" w:hAnsi="Book Antiqua" w:cs="Times New Roman"/>
          <w:b/>
          <w:sz w:val="24"/>
          <w:szCs w:val="24"/>
          <w:u w:val="single"/>
        </w:rPr>
      </w:pPr>
      <w:r w:rsidRPr="00556FBB">
        <w:rPr>
          <w:rFonts w:ascii="Book Antiqua" w:hAnsi="Book Antiqua" w:cs="Times New Roman"/>
          <w:b/>
          <w:sz w:val="24"/>
          <w:szCs w:val="24"/>
          <w:u w:val="single"/>
        </w:rPr>
        <w:lastRenderedPageBreak/>
        <w:t xml:space="preserve">INTRODUCTION </w:t>
      </w:r>
    </w:p>
    <w:p w14:paraId="138E5D81" w14:textId="3505CB4B" w:rsidR="0000474E" w:rsidRPr="00556FBB" w:rsidRDefault="0000474E"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sz w:val="24"/>
          <w:szCs w:val="24"/>
        </w:rPr>
        <w:t>Gastrostomy catheters provide alternative feeding access for patients who cannot tolerate oral intake. Common feeding indications include head and neck tumors, complex postsurgical head and neck reconstructions, esophageal tumors, esophageal motility disorders and neurological disorders leading to dysphagia with a high risk of aspiration (</w:t>
      </w:r>
      <w:r w:rsidRPr="00556FBB">
        <w:rPr>
          <w:rFonts w:ascii="Book Antiqua" w:hAnsi="Book Antiqua" w:cs="Times New Roman"/>
          <w:i/>
          <w:iCs/>
          <w:sz w:val="24"/>
          <w:szCs w:val="24"/>
        </w:rPr>
        <w:t>e.g.</w:t>
      </w:r>
      <w:r w:rsidR="00D91C9C" w:rsidRPr="00556FBB">
        <w:rPr>
          <w:rFonts w:ascii="Book Antiqua" w:hAnsi="Book Antiqua" w:cs="Times New Roman"/>
          <w:sz w:val="24"/>
          <w:szCs w:val="24"/>
        </w:rPr>
        <w:t>,</w:t>
      </w:r>
      <w:r w:rsidRPr="00556FBB">
        <w:rPr>
          <w:rFonts w:ascii="Book Antiqua" w:hAnsi="Book Antiqua" w:cs="Times New Roman"/>
          <w:sz w:val="24"/>
          <w:szCs w:val="24"/>
        </w:rPr>
        <w:t xml:space="preserve"> amyotrophic lateral sclerosis, multiple sclerosis, stroke with residual impairment)</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Ho","given":"SGF","non-dropping-particle":"","parse-names":false,"suffix":""},{"dropping-particle":"","family":"Marchinkow","given":"LO","non-dropping-particle":"","parse-names":false,"suffix":""},{"dropping-particle":"","family":"Legiehn","given":"GM","non-dropping-particle":"","parse-names":false,"suffix":""},{"dropping-particle":"","family":"Munk","given":"PL","non-dropping-particle":"","parse-names":false,"suffix":""},{"dropping-particle":"","family":"Lee","given":"MJ","non-dropping-particle":"","parse-names":false,"suffix":""}],"container-title":"Clinical Radiology","id":"ITEM-1","issued":{"date-parts":[["2001"]]},"page":"902-910","title":"Radiological Percutaneous Gastrostomy","type":"article-journal","volume":"11"},"uris":["http://www.mendeley.com/documents/?uuid=ea006970-6c06-4098-a76c-9806f96c606e"]}],"mendeley":{"formattedCitation":"&lt;sup&gt;[1]&lt;/sup&gt;","plainTextFormattedCitation":"[1]","previouslyFormattedCitation":"&lt;sup&gt;1&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[1]</w:t>
      </w:r>
      <w:r w:rsidRPr="00556FBB">
        <w:rPr>
          <w:rFonts w:ascii="Book Antiqua" w:hAnsi="Book Antiqua" w:cs="Times New Roman"/>
          <w:sz w:val="24"/>
          <w:szCs w:val="24"/>
        </w:rPr>
        <w:fldChar w:fldCharType="end"/>
      </w:r>
      <w:r w:rsidRPr="00556FBB">
        <w:rPr>
          <w:rFonts w:ascii="Book Antiqua" w:hAnsi="Book Antiqua" w:cs="Times New Roman"/>
          <w:sz w:val="24"/>
          <w:szCs w:val="24"/>
        </w:rPr>
        <w:t>. Other conditions that may warrant gastrostomy catheters include severe gastroparesis and small bowel obstruction. For these indications, gastrostomy catheters are used to provide gastric decompression and palliation.</w:t>
      </w:r>
    </w:p>
    <w:p w14:paraId="57A5D05D" w14:textId="4328C5C6"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Gastrostomy catheters can be placed in a variety of ways. The three primary modalities include surgical, endoscopic and interventional radiologic placement. Each technique may be preferred under specific circumstances and is based on local expertise. There is ongoing debate with regard to the most optimal modality</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{"citationItems":[{"id":"ITEM-1","itemData":{"DOI":"10.1148/radiology.197.3.7480742","ISSN":"0033-8419","abstract":"PURPOSE: To evaluate the effectiveness and safety of radiologic, percutaneous endoscopic (PEG), and surgical gastrostomy. MATERIALS AND METHODS: This project involved 5,752 patients (837 patients underwent radiologic gastrotomy; 4,194, PEG; and 721, surgical gastrostomy). Seventy-two (47 male, 25 female; age range, 12-94 years) underwent gastrostomy within 1 year in this series (radiologic gastrostomy, n = 33; PEG, n = 35; surgical gastrostomy, n = 4). A meta-analysis of 5,680 additional cases from literature published from 1980 to the present was also performed. RESULTS: Rates of successful tube placement were higher for radiologic gastrostomy than for PEG in our series and in the meta-analysis (99.2% vs 95.7%, P &lt; .001). Major complications occurred less frequently after radiologic gastrostomy in our series and in the meta-analysis (5.9% vs 9.4% for PEG and 19.9% for surgery, P &lt; .001). Thirty-day procedure-related mortality rates were highest for surgery (2.5% vs 0.3% for radiologic gastrostomy and 0.53% for PEG, P &lt; .001). CONCLUSION: Radiologic gastrostomy is associated with a higher success rate than is PEG and less morbidity than either PEG or surgery","author":[{"dropping-particle":"","family":"Wollman","given":"B","non-dropping-particle":"","parse-names":false,"suffix":""},{"dropping-particle":"","family":"D'Agostino","given":"H B","non-dropping-particle":"","parse-names":false,"suffix":""},{"dropping-particle":"","family":"Walus-Wigle","given":"J R","non-dropping-particle":"","parse-names":false,"suffix":""},{"dropping-particle":"","family":"Easter","given":"D W","non-dropping-particle":"","parse-names":false,"suffix":""},{"dropping-particle":"","family":"Beale","given":"A","non-dropping-particle":"","parse-names":false,"suffix":""}],"container-title":"Radiology","id":"ITEM-1","issued":{"date-parts":[["2014"]]},"title":"Radiologic, endoscopic, and surgical gastrostomy: an institutional evaluation and meta-analysis of the literature.","type":"article-journal"},"uris":["http://www.mendeley.com/documents/?uuid=29278ca3-6450-44c5-8d32-6f9d0396adad"]}],"mendeley":{"formattedCitation":"&lt;sup&gt;[2]&lt;/sup&gt;","plainTextFormattedCitation":"[2]","previouslyFormattedCitation":"&lt;sup&gt;2&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D91C9C"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{"citationItems":[{"id":"ITEM-1","itemData":{"DOI":"10.1017/S0022215106000661","ISSN":"00222151","abstract":"A gastrostomy feeding tube has become the most acceptable method for long-term feeding support in patients with head and neck cancer. The aim of this study was to compare the complications of percutaneous endoscopically inserted gastrostomy (PEG) tubes, radiologically inserted gastrostomy (RIG) tubes and surgically inserted gastrostomy (open/laparoscopic) (SUR) tubes in head and neck cancer patients and also to compare the mortality rates of these patients. Seventy-eight head and neck cancer patients underwent gastrostomy tube insertion (40 PEG, 28 RIG and 10 SUR) during the period February 2002 to February 2005. There were no significant demographic differences between the three groups. Thirty-six patients (46 per cent) developed complications, 32 minor and four major. All three groups were similar in their rate of minor complications, with the dislodgement and blockage rate being lowest in the PEG group (p &gt; 0.05). The mortality rate was 4 per cent within 30 days of gastrostomy tube insertion. There were no deaths in the PEG group, two deaths in the RIG group and one in the SUR group. The PEG tube was considered superior to the RIG and SUR gastrostomy tubes, had fewer complications and was safer. Thus, PEG tube insertion is our first choice for head and neck cancer patients.","author":[{"dropping-particle":"","family":"Rustom","given":"I. K.","non-dropping-particle":"","parse-names":false,"suffix":""},{"dropping-particle":"","family":"Jebreel","given":"A.","non-dropping-particle":"","parse-names":false,"suffix":""},{"dropping-particle":"","family":"Tayyab","given":"M.","non-dropping-particle":"","parse-names":false,"suffix":""},{"dropping-particle":"","family":"England","given":"R. J.A.","non-dropping-particle":"","parse-names":false,"suffix":""},{"dropping-particle":"","family":"Stafford","given":"N. D.","non-dropping-particle":"","parse-names":false,"suffix":""}],"container-title":"Journal of Laryngology and Otology","id":"ITEM-1","issued":{"date-parts":[["2006"]]},"page":"463-466","title":"Percutaneous endoscopic, radiological and surgical gastrostomy tubes: A comparison study in head and neck cancer patients","type":"article-journal","volume":"120"},"uris":["http://www.mendeley.com/documents/?uuid=bdc89e8f-d980-46d7-b887-6d5bd147ca6a","http://www.mendeley.com/documents/?uuid=a77e3abd-ce03-408c-9e5c-624f9bb765f0"]}],"mendeley":{"formattedCitation":"&lt;sup&gt;[3]&lt;/sup&gt;","plainTextFormattedCitation":"[3]","previouslyFormattedCitation":"&lt;sup&gt;3&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3]</w:t>
      </w:r>
      <w:r w:rsidRPr="00556FBB">
        <w:rPr>
          <w:rFonts w:ascii="Book Antiqua" w:hAnsi="Book Antiqua" w:cs="Times New Roman"/>
          <w:sz w:val="24"/>
          <w:szCs w:val="24"/>
        </w:rPr>
        <w:fldChar w:fldCharType="end"/>
      </w:r>
      <w:r w:rsidRPr="00556FBB">
        <w:rPr>
          <w:rFonts w:ascii="Book Antiqua" w:hAnsi="Book Antiqua" w:cs="Times New Roman"/>
          <w:sz w:val="24"/>
          <w:szCs w:val="24"/>
        </w:rPr>
        <w:t>. Invasive surgical gastrostomy was first described in the 1800s and has a 100% technical success rate</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{"citationItems":[{"id":"ITEM-1","itemData":{"DOI":"10.1055/s-2004-860876","ISSN":"07399529","abstract":"Gastrostomy allows enteral nutrition to continue in patients who are unable to meet their caloric requirements orally. Though the indications for gastrostomy placement are varied, dysphagia secondary to a neurological condition is the most common. These catheters were initially placed surgically, but percutaneous endoscopic placement is now the routine in most centers. Interventional radiologists have been performing this procedure under fluoroscopic guidance for several years with encouraging results. Percutaneous radiological gastrostomy is reported to have a success rate comparable to that of the endoscopic method, with lower morbidity and mortality rates. A further benefit is that it may be performed in patients for whom the endoscopic method would be difficult or dangerous, such as those with head and neck malignancies. One of the main factors currently limiting the use of this procedure is the shortage of interventional radiology facilities and specialists.This article describes a technique for routine percutaneous radiological gastrostomy catheter placement and procedural variations for difficult cases. Indications and contraindications will be discussed, as will complication rates and how these compare with the traditional methods of gastrostomy tube placement.","author":[{"dropping-particle":"","family":"Lyon","given":"Stuart M.","non-dropping-particle":"","parse-names":false,"suffix":""},{"dropping-particle":"","family":"Pascoe","given":"Diane M.","non-dropping-particle":"","parse-names":false,"suffix":""}],"container-title":"Seminars in Interventional Radiology","id":"ITEM-1","issued":{"date-parts":[["2004"]]},"title":"Percutaneous gastrostomy and gastrojejunostomy","type":"article"},"uris":["http://www.mendeley.com/documents/?uuid=1fbe3045-1618-4d7b-a875-6bb0ed69425a"]}],"mendeley":{"formattedCitation":"&lt;sup&gt;[4]&lt;/sup&gt;","plainTextFormattedCitation":"[4]","previouslyFormattedCitation":"&lt;sup&gt;4&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[4]</w:t>
      </w:r>
      <w:r w:rsidRPr="00556FBB">
        <w:rPr>
          <w:rFonts w:ascii="Book Antiqua" w:hAnsi="Book Antiqua" w:cs="Times New Roman"/>
          <w:sz w:val="24"/>
          <w:szCs w:val="24"/>
        </w:rPr>
        <w:fldChar w:fldCharType="end"/>
      </w:r>
      <w:r w:rsidRPr="00556FBB">
        <w:rPr>
          <w:rFonts w:ascii="Book Antiqua" w:hAnsi="Book Antiqua" w:cs="Times New Roman"/>
          <w:sz w:val="24"/>
          <w:szCs w:val="24"/>
        </w:rPr>
        <w:t>. It is typically pursued through a left sagittal incision followed by a direct cut-down to the gastric body for access. A minimally invasive alternative is percutaneous endoscopic gastrostomy (PEG) which requires moderate conscious sedation and local anesthetics. Thereby, it minimizes the risk of cardiopulmonary compromise that is associated with general anesthesia. In comparison to surgical gastrostomy, PEG is much quicker and is performed in the endoscopy suites. Thus, the endoscopic approach negates the need for an expensive operating room. Further, in comparison to surgical gastrostomy, PEG has been reported to have decreased overall morbidity and mortality</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{"citationItems":[{"id":"ITEM-1","itemData":{"DOI":"10.1148/radiology.197.3.7480742","ISSN":"0033-8419","abstract":"PURPOSE: To evaluate the effectiveness and safety of radiologic, percutaneous endoscopic (PEG), and surgical gastrostomy. MATERIALS AND METHODS: This project involved 5,752 patients (837 patients underwent radiologic gastrotomy; 4,194, PEG; and 721, surgical gastrostomy). Seventy-two (47 male, 25 female; age range, 12-94 years) underwent gastrostomy within 1 year in this series (radiologic gastrostomy, n = 33; PEG, n = 35; surgical gastrostomy, n = 4). A meta-analysis of 5,680 additional cases from literature published from 1980 to the present was also performed. RESULTS: Rates of successful tube placement were higher for radiologic gastrostomy than for PEG in our series and in the meta-analysis (99.2% vs 95.7%, P &lt; .001). Major complications occurred less frequently after radiologic gastrostomy in our series and in the meta-analysis (5.9% vs 9.4% for PEG and 19.9% for surgery, P &lt; .001). Thirty-day procedure-related mortality rates were highest for surgery (2.5% vs 0.3% for radiologic gastrostomy and 0.53% for PEG, P &lt; .001). CONCLUSION: Radiologic gastrostomy is associated with a higher success rate than is PEG and less morbidity than either PEG or surgery","author":[{"dropping-particle":"","family":"Wollman","given":"B","non-dropping-particle":"","parse-names":false,"suffix":""},{"dropping-particle":"","family":"D'Agostino","given":"H B","non-dropping-particle":"","parse-names":false,"suffix":""},{"dropping-particle":"","family":"Walus-Wigle","given":"J R","non-dropping-particle":"","parse-names":false,"suffix":""},{"dropping-particle":"","family":"Easter","given":"D W","non-dropping-particle":"","parse-names":false,"suffix":""},{"dropping-particle":"","family":"Beale","given":"A","non-dropping-particle":"","parse-names":false,"suffix":""}],"container-title":"Radiology","id":"ITEM-1","issued":{"date-parts":[["2014"]]},"title":"Radiologic, endoscopic, and surgical gastrostomy: an institutional evaluation and meta-analysis of the literature.","type":"article-journal"},"uris":["http://www.mendeley.com/documents/?uuid=29278ca3-6450-44c5-8d32-6f9d0396adad"]}],"mendeley":{"formattedCitation":"&lt;sup&gt;[2]&lt;/sup&gt;","plainTextFormattedCitation":"[2]","previouslyFormattedCitation":"&lt;sup&gt;2&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Pr="00556FBB">
        <w:rPr>
          <w:rFonts w:ascii="Book Antiqua" w:hAnsi="Book Antiqua" w:cs="Times New Roman"/>
          <w:sz w:val="24"/>
          <w:szCs w:val="24"/>
        </w:rPr>
        <w:fldChar w:fldCharType="end"/>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Miller","given":"RE","non-dropping-particle":"","parse-names":false,"suffix":""},{"dropping-particle":"","family":"Kummer","given":"BA","non-dropping-particle":"","parse-names":false,"suffix":""},{"dropping-particle":"","family":"Tiszenkel","given":"HI","non-dropping-particle":"","parse-names":false,"suffix":""},{"dropping-particle":"","family":"Kotler","given":"DP","non-dropping-particle":"","parse-names":false,"suffix":""}],"container-title":"Annals of Surgery","id":"ITEM-1","issue":"5","issued":{"date-parts":[["1986"]]},"page":"543-545","title":"Percutaneous endoscopic gastrostomy. Procedure of choice.","type":"article-journal","volume":"204"},"uris":["http://www.mendeley.com/documents/?uuid=8aa48cb4-b0c8-4093-b6f4-529b23cdaacf","http://www.mendeley.com/documents/?uuid=d82d8e52-5509-4dd3-8985-ab95470c08b4"]}],"mendeley":{"formattedCitation":"&lt;sup&gt;[5]&lt;/sup&gt;","plainTextFormattedCitation":"[5]","previouslyFormattedCitation":"&lt;sup&gt;5&lt;/sup&gt;"},"properties":{"noteIndex":0},"schema":"https://github.com/citation-style-language/schema/raw/master/csl-citation.json"}</w:instrText>
      </w:r>
      <w:r w:rsidRPr="00556FBB">
        <w:rPr>
          <w:rFonts w:ascii="Book Antiqua" w:hAnsi="Book Antiqua" w:cs="Times New Roman"/>
          <w:sz w:val="24"/>
          <w:szCs w:val="24"/>
        </w:rPr>
        <w:fldChar w:fldCharType="separate"/>
      </w:r>
      <w:r w:rsidR="00D91C9C" w:rsidRPr="00556FBB">
        <w:rPr>
          <w:rFonts w:ascii="Book Antiqua" w:hAnsi="Book Antiqua" w:cs="Times New Roman"/>
          <w:noProof/>
          <w:sz w:val="24"/>
          <w:szCs w:val="24"/>
          <w:vertAlign w:val="superscript"/>
        </w:rPr>
        <w:t>,</w:t>
      </w:r>
      <w:r w:rsidR="0031455F" w:rsidRPr="00556FBB">
        <w:rPr>
          <w:rFonts w:ascii="Book Antiqua" w:hAnsi="Book Antiqua" w:cs="Times New Roman"/>
          <w:noProof/>
          <w:sz w:val="24"/>
          <w:szCs w:val="24"/>
          <w:vertAlign w:val="superscript"/>
        </w:rPr>
        <w:t>5]</w:t>
      </w:r>
      <w:r w:rsidRPr="00556FBB">
        <w:rPr>
          <w:rFonts w:ascii="Book Antiqua" w:hAnsi="Book Antiqua" w:cs="Times New Roman"/>
          <w:sz w:val="24"/>
          <w:szCs w:val="24"/>
        </w:rPr>
        <w:fldChar w:fldCharType="end"/>
      </w:r>
      <w:r w:rsidRPr="00556FBB">
        <w:rPr>
          <w:rFonts w:ascii="Book Antiqua" w:hAnsi="Book Antiqua" w:cs="Times New Roman"/>
          <w:sz w:val="24"/>
          <w:szCs w:val="24"/>
        </w:rPr>
        <w:t>. However, there have been reports documenting inadvertent tumor metastasis to gastrostomy placement sites</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{"citationItems":[{"id":"ITEM-1","itemData":{"DOI":"10.1016/j.gie.2005.06.041","ISSN":"00165107","abstract":"Background: Abdominal wall metastasis after PEG tube placement has been reported in patients with head and neck cancer. The incidence of this occurrence is unknown. Objective: Evaluation of the incidence of abdominal wall metastasis as a complication of PEG tube placement in patients with head and neck cancer. Design: Retrospective chart review. Setting: H. Lee Moffitt Cancer Center and Research Institute, Nutritional Support Services. Subjects: Head and neck cancer patients requiring nutritional support with PEG tube placement. Results: Of the 304 patients with head and neck cancer, 218 had active disease with a viable tumor in the oropharynx or hypopharynx at the time of PEG placement. Two of these patients, both with active disease (0.92%), developed a PEG site metastasis. Conclusion: There is a small but definite risk for tumor implantation in the gastrostomy site when using the pull technique in patients with active head and neck cancer. Careful assessment of the oropharynx and hypopharynx before PEG tube placement and the use of alternative techniques for enteral access in patients with untreated or residual malignancy are recommended to minimize this risk. Use of other percutaneous techniques that do not involve traversing the hypopharynx with the catheter may help to prevent tumor translocation. When head and neck cancers metastasize to the gastrostomy site, patient survival appears limited even with extensive resection. Copyright © 2005 by the American Society for Gastrointestinal Endoscopy.","author":[{"dropping-particle":"","family":"Cruz","given":"Irma","non-dropping-particle":"","parse-names":false,"suffix":""},{"dropping-particle":"","family":"Mamel","given":"Jay J.","non-dropping-particle":"","parse-names":false,"suffix":""},{"dropping-particle":"","family":"Brady","given":"Patrick G.","non-dropping-particle":"","parse-names":false,"suffix":""},{"dropping-particle":"","family":"Cass-Garcia","given":"Meg","non-dropping-particle":"","parse-names":false,"suffix":""}],"container-title":"Gastrointestinal Endoscopy","id":"ITEM-1","issued":{"date-parts":[["2005"]]},"title":"Incidence of abdominal wall metastasis complicating PEG tube placement in untreated head and neck cancer","type":"article-journal"},"uris":["http://www.mendeley.com/documents/?uuid=20ea760e-4d61-4bc2-a2f8-fb19d760b719"]}],"mendeley":{"formattedCitation":"&lt;sup&gt;[6]&lt;/sup&gt;","plainTextFormattedCitation":"[6]","previouslyFormattedCitation":"&lt;sup&gt;6&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[6]</w:t>
      </w:r>
      <w:r w:rsidRPr="00556FBB">
        <w:rPr>
          <w:rFonts w:ascii="Book Antiqua" w:hAnsi="Book Antiqua" w:cs="Times New Roman"/>
          <w:sz w:val="24"/>
          <w:szCs w:val="24"/>
        </w:rPr>
        <w:fldChar w:fldCharType="end"/>
      </w:r>
      <w:r w:rsidRPr="00556FBB">
        <w:rPr>
          <w:rFonts w:ascii="Book Antiqua" w:hAnsi="Book Antiqua" w:cs="Times New Roman"/>
          <w:sz w:val="24"/>
          <w:szCs w:val="24"/>
        </w:rPr>
        <w:t>. This phenomenon can be a result of tumor seeding from passing the rigid endoscope through malignancy located along the advancement path. With the advent of image guided techniques, percutaneous interventional radiological gastrostomy (PIRG) has become an evolving and attractive alternative. It circumvents</w:t>
      </w:r>
      <w:r w:rsidR="00BD2F58" w:rsidRPr="00556FBB">
        <w:rPr>
          <w:rFonts w:ascii="Book Antiqua" w:hAnsi="Book Antiqua" w:cs="Times New Roman"/>
          <w:sz w:val="24"/>
          <w:szCs w:val="24"/>
        </w:rPr>
        <w:t xml:space="preserve"> some</w:t>
      </w:r>
      <w:r w:rsidRPr="00556FBB">
        <w:rPr>
          <w:rFonts w:ascii="Book Antiqua" w:hAnsi="Book Antiqua" w:cs="Times New Roman"/>
          <w:sz w:val="24"/>
          <w:szCs w:val="24"/>
        </w:rPr>
        <w:t xml:space="preserve"> limitations of surgical and PEG approaches, such as tumor seeding, potential disruption of the postsurgical head and neck reconstruction zone or complications associated with </w:t>
      </w:r>
      <w:r w:rsidRPr="00556FBB">
        <w:rPr>
          <w:rFonts w:ascii="Book Antiqua" w:hAnsi="Book Antiqua" w:cs="Times New Roman"/>
          <w:sz w:val="24"/>
          <w:szCs w:val="24"/>
        </w:rPr>
        <w:lastRenderedPageBreak/>
        <w:t>invasive surgeries. In addition, PIRG can identify and assess for the location of surrounding structures using image guidance and colon</w:t>
      </w:r>
      <w:r w:rsidR="00BD2F58" w:rsidRPr="00556FBB">
        <w:rPr>
          <w:rFonts w:ascii="Book Antiqua" w:hAnsi="Book Antiqua" w:cs="Times New Roman"/>
          <w:sz w:val="24"/>
          <w:szCs w:val="24"/>
        </w:rPr>
        <w:t>ic</w:t>
      </w:r>
      <w:r w:rsidRPr="00556FBB">
        <w:rPr>
          <w:rFonts w:ascii="Book Antiqua" w:hAnsi="Book Antiqua" w:cs="Times New Roman"/>
          <w:sz w:val="24"/>
          <w:szCs w:val="24"/>
        </w:rPr>
        <w:t xml:space="preserve"> opacification. The use of these techniques decreases the risk of accidental organ injury and ultimately increases patient safety.</w:t>
      </w:r>
      <w:r w:rsidR="00BD2F58" w:rsidRPr="00556FBB">
        <w:rPr>
          <w:rFonts w:ascii="Book Antiqua" w:hAnsi="Book Antiqua" w:cs="Times New Roman"/>
          <w:sz w:val="24"/>
          <w:szCs w:val="24"/>
        </w:rPr>
        <w:t xml:space="preserve"> On the other side, in comparison to PEG, PIRG required a dedicated fluoroscopy suite, which may not be readily available at all institutions. </w:t>
      </w:r>
      <w:r w:rsidR="00FC23D9" w:rsidRPr="00556FBB">
        <w:rPr>
          <w:rFonts w:ascii="Book Antiqua" w:hAnsi="Book Antiqua" w:cs="Times New Roman"/>
          <w:sz w:val="24"/>
          <w:szCs w:val="24"/>
        </w:rPr>
        <w:t xml:space="preserve">Further, </w:t>
      </w:r>
      <w:r w:rsidR="00445F42" w:rsidRPr="00556FBB">
        <w:rPr>
          <w:rFonts w:ascii="Book Antiqua" w:hAnsi="Book Antiqua" w:cs="Times New Roman"/>
          <w:sz w:val="24"/>
          <w:szCs w:val="24"/>
        </w:rPr>
        <w:t>institutional expertise in either PIRG or PEG may dictate the preference for either techniques due to complication rates and duration of the procedure.</w:t>
      </w:r>
    </w:p>
    <w:p w14:paraId="0F3769F6" w14:textId="66377DAC"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Similar to PEG, PIRG can also be performed in either a “pull” or “push” technique</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{"citationItems":[{"id":"ITEM-1","itemData":{"author":[{"dropping-particle":"","family":"Szymski","given":"George X.","non-dropping-particle":"","parse-names":false,"suffix":""},{"dropping-particle":"","family":"Albazzaz","given":"Alexandra N.","non-dropping-particle":"","parse-names":false,"suffix":""},{"dropping-particle":"","family":"Funaki","given":"Brian","non-dropping-particle":"","parse-names":false,"suffix":""},{"dropping-particle":"","family":"ROsenblum","given":"Jordan D.","non-dropping-particle":"","parse-names":false,"suffix":""},{"dropping-particle":"","family":"Hackworth","given":"Craig A.","non-dropping-particle":"","parse-names":false,"suffix":""},{"dropping-particle":"","family":"Zernich","given":"Brian W.","non-dropping-particle":"","parse-names":false,"suffix":""},{"dropping-particle":"","family":"Leef","given":"Jeffrey A.","non-dropping-particle":"","parse-names":false,"suffix":""}],"container-title":"Radiology","id":"ITEM-1","issued":{"date-parts":[["1997"]]},"page":"669-673","title":"Radiologically Guided Placement of Pull-type Gastrostomy Tubes","type":"article-journal","volume":"205"},"uris":["http://www.mendeley.com/documents/?uuid=d48dfbbf-e97a-4f9b-b02c-575f7727827e"]}],"mendeley":{"formattedCitation":"&lt;sup&gt;[7]&lt;/sup&gt;","plainTextFormattedCitation":"[7]","previouslyFormattedCitation":"&lt;sup&gt;7&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[7</w:t>
      </w:r>
      <w:r w:rsidRPr="00556FBB">
        <w:rPr>
          <w:rFonts w:ascii="Book Antiqua" w:hAnsi="Book Antiqua" w:cs="Times New Roman"/>
          <w:sz w:val="24"/>
          <w:szCs w:val="24"/>
        </w:rPr>
        <w:fldChar w:fldCharType="end"/>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{"citationItems":[{"id":"ITEM-1","itemData":{"author":[{"dropping-particle":"","family":"Preshaw","given":"RM","non-dropping-particle":"","parse-names":false,"suffix":""}],"container-title":"Surg Gynecol Obstet","id":"ITEM-1","issued":{"date-parts":[["1981"]]},"page":"658-660","title":"A Percutaneous Method for Inserting a Feeding Gastrostomy Tube","type":"article-journal","volume":"152"},"uris":["http://www.mendeley.com/documents/?uuid=3d37e8af-4bf8-4764-bcb5-8be54a3c9ed2"]}],"mendeley":{"formattedCitation":"&lt;sup&gt;[8]&lt;/sup&gt;","plainTextFormattedCitation":"[8]","previouslyFormattedCitation":"&lt;sup&gt;8&lt;/sup&gt;"},"properties":{"noteIndex":0},"schema":"https://github.com/citation-style-language/schema/raw/master/csl-citation.json"}</w:instrText>
      </w:r>
      <w:r w:rsidRPr="00556FBB">
        <w:rPr>
          <w:rFonts w:ascii="Book Antiqua" w:hAnsi="Book Antiqua" w:cs="Times New Roman"/>
          <w:sz w:val="24"/>
          <w:szCs w:val="24"/>
        </w:rPr>
        <w:fldChar w:fldCharType="separate"/>
      </w:r>
      <w:r w:rsidR="00D91C9C" w:rsidRPr="00556FBB">
        <w:rPr>
          <w:rFonts w:ascii="Book Antiqua" w:hAnsi="Book Antiqua" w:cs="Times New Roman"/>
          <w:noProof/>
          <w:sz w:val="24"/>
          <w:szCs w:val="24"/>
          <w:vertAlign w:val="superscript"/>
        </w:rPr>
        <w:t>,</w:t>
      </w:r>
      <w:r w:rsidR="0031455F" w:rsidRPr="00556FBB">
        <w:rPr>
          <w:rFonts w:ascii="Book Antiqua" w:hAnsi="Book Antiqua" w:cs="Times New Roman"/>
          <w:noProof/>
          <w:sz w:val="24"/>
          <w:szCs w:val="24"/>
          <w:vertAlign w:val="superscript"/>
        </w:rPr>
        <w:t>8]</w:t>
      </w:r>
      <w:r w:rsidRPr="00556FBB">
        <w:rPr>
          <w:rFonts w:ascii="Book Antiqua" w:hAnsi="Book Antiqua" w:cs="Times New Roman"/>
          <w:sz w:val="24"/>
          <w:szCs w:val="24"/>
        </w:rPr>
        <w:fldChar w:fldCharType="end"/>
      </w:r>
      <w:r w:rsidRPr="00556FBB">
        <w:rPr>
          <w:rFonts w:ascii="Book Antiqua" w:hAnsi="Book Antiqua" w:cs="Times New Roman"/>
          <w:sz w:val="24"/>
          <w:szCs w:val="24"/>
        </w:rPr>
        <w:t>. The “pull” PIRG technique is performed by advancing a needle into the air-insufflated stomach. A catheter is then advanced through the esophagus into the oral cavity via a retrograde approach. A guidewire is advanced through the catheter gaining through-and-through access. The gastrostomy catheter is fastened to the guidewire, and pulled antegrade through the mouth, esophagus, and abdominal wall. It is typically secured to the anterior abdominal wall utilizing a mushroom-retaining method. In our institution, we prefer the “push” PIRG technique. The purpose of this article is to present our institutional approach to “push” PIRG technique and the perioperative care of this patient population in a stepwise fashion.</w:t>
      </w:r>
    </w:p>
    <w:p w14:paraId="5BE8C49A" w14:textId="77777777" w:rsidR="0000474E" w:rsidRPr="00556FBB" w:rsidRDefault="0000474E" w:rsidP="00556FBB">
      <w:pPr>
        <w:spacing w:after="0" w:line="360" w:lineRule="auto"/>
        <w:ind w:firstLine="720"/>
        <w:contextualSpacing/>
        <w:jc w:val="both"/>
        <w:rPr>
          <w:rFonts w:ascii="Book Antiqua" w:hAnsi="Book Antiqua" w:cs="Times New Roman"/>
          <w:sz w:val="24"/>
          <w:szCs w:val="24"/>
        </w:rPr>
      </w:pPr>
    </w:p>
    <w:p w14:paraId="0BCB37AB" w14:textId="313415E2" w:rsidR="0000474E" w:rsidRPr="00556FBB" w:rsidRDefault="00D91C9C" w:rsidP="00556FBB">
      <w:pPr>
        <w:spacing w:after="0" w:line="360" w:lineRule="auto"/>
        <w:contextualSpacing/>
        <w:jc w:val="both"/>
        <w:rPr>
          <w:rFonts w:ascii="Book Antiqua" w:hAnsi="Book Antiqua" w:cs="Times New Roman"/>
          <w:b/>
          <w:sz w:val="24"/>
          <w:szCs w:val="24"/>
          <w:u w:val="single"/>
        </w:rPr>
      </w:pPr>
      <w:r w:rsidRPr="00556FBB">
        <w:rPr>
          <w:rFonts w:ascii="Book Antiqua" w:hAnsi="Book Antiqua" w:cs="Times New Roman"/>
          <w:b/>
          <w:sz w:val="24"/>
          <w:szCs w:val="24"/>
          <w:u w:val="single"/>
        </w:rPr>
        <w:t>PROCEDURE</w:t>
      </w:r>
    </w:p>
    <w:p w14:paraId="0E2347EE" w14:textId="0728DCC9" w:rsidR="0000474E" w:rsidRPr="00556FBB" w:rsidRDefault="0000474E" w:rsidP="00556FBB">
      <w:pPr>
        <w:spacing w:after="0" w:line="360" w:lineRule="auto"/>
        <w:contextualSpacing/>
        <w:jc w:val="both"/>
        <w:rPr>
          <w:rStyle w:val="fontstyle01"/>
          <w:rFonts w:ascii="Book Antiqua" w:hAnsi="Book Antiqua"/>
          <w:color w:val="auto"/>
          <w:sz w:val="24"/>
          <w:szCs w:val="24"/>
        </w:rPr>
      </w:pPr>
      <w:r w:rsidRPr="00556FBB">
        <w:rPr>
          <w:rStyle w:val="fontstyle01"/>
          <w:rFonts w:ascii="Book Antiqua" w:hAnsi="Book Antiqua" w:cs="Times New Roman"/>
          <w:color w:val="auto"/>
          <w:sz w:val="24"/>
          <w:szCs w:val="24"/>
        </w:rPr>
        <w:t xml:space="preserve">Prior to the procedure, a thorough pre-procedural assessment should be completed. If available, a recent </w:t>
      </w:r>
      <w:r w:rsidR="00D91C9C" w:rsidRPr="00556FBB">
        <w:rPr>
          <w:rStyle w:val="fontstyle01"/>
          <w:rFonts w:ascii="Book Antiqua" w:hAnsi="Book Antiqua" w:cs="Times New Roman"/>
          <w:color w:val="auto"/>
          <w:sz w:val="24"/>
          <w:szCs w:val="24"/>
        </w:rPr>
        <w:t>computed tomography (</w:t>
      </w:r>
      <w:r w:rsidRPr="00556FBB">
        <w:rPr>
          <w:rStyle w:val="fontstyle01"/>
          <w:rFonts w:ascii="Book Antiqua" w:hAnsi="Book Antiqua" w:cs="Times New Roman"/>
          <w:color w:val="auto"/>
          <w:sz w:val="24"/>
          <w:szCs w:val="24"/>
        </w:rPr>
        <w:t>CT</w:t>
      </w:r>
      <w:r w:rsidR="00D91C9C" w:rsidRPr="00556FBB">
        <w:rPr>
          <w:rStyle w:val="fontstyle01"/>
          <w:rFonts w:ascii="Book Antiqua" w:hAnsi="Book Antiqua" w:cs="Times New Roman"/>
          <w:color w:val="auto"/>
          <w:sz w:val="24"/>
          <w:szCs w:val="24"/>
        </w:rPr>
        <w:t>)</w:t>
      </w:r>
      <w:r w:rsidRPr="00556FBB">
        <w:rPr>
          <w:rStyle w:val="fontstyle01"/>
          <w:rFonts w:ascii="Book Antiqua" w:hAnsi="Book Antiqua" w:cs="Times New Roman"/>
          <w:color w:val="auto"/>
          <w:sz w:val="24"/>
          <w:szCs w:val="24"/>
        </w:rPr>
        <w:t xml:space="preserve"> within the last two to four months should be reviewed to assess the gastric anatomy and the suitability of gastrostomy catheter placement. While evaluating the anatomy, it should be considered that after air insufflation, the anatomy can change markedly such that a previously inaccessible gastric body may become accessible. Therefore, if a prior CT is not available, it is not advisable to repeat the scan before the procedure. Instead a cone-beam CT can be performed after gastric insufflation to assess the anatomy as well as the chance of obtaining percutaneous access. Pre-procedure complete blood count and coagulation labs should be checked. Based on our institutional guidelines, platelets should be above 50 </w:t>
      </w:r>
      <w:r w:rsidR="00D91C9C" w:rsidRPr="00556FBB">
        <w:rPr>
          <w:rStyle w:val="fontstyle01"/>
          <w:rFonts w:ascii="Book Antiqua" w:eastAsia="宋体" w:hAnsi="Book Antiqua" w:cs="Times New Roman"/>
          <w:color w:val="auto"/>
          <w:sz w:val="24"/>
          <w:szCs w:val="24"/>
        </w:rPr>
        <w:t>×</w:t>
      </w:r>
      <w:r w:rsidRPr="00556FBB">
        <w:rPr>
          <w:rStyle w:val="fontstyle01"/>
          <w:rFonts w:ascii="Book Antiqua" w:hAnsi="Book Antiqua" w:cs="Times New Roman"/>
          <w:color w:val="auto"/>
          <w:sz w:val="24"/>
          <w:szCs w:val="24"/>
        </w:rPr>
        <w:t xml:space="preserve"> 10</w:t>
      </w:r>
      <w:r w:rsidRPr="00556FBB">
        <w:rPr>
          <w:rStyle w:val="fontstyle01"/>
          <w:rFonts w:ascii="Book Antiqua" w:hAnsi="Book Antiqua" w:cs="Times New Roman"/>
          <w:color w:val="auto"/>
          <w:sz w:val="24"/>
          <w:szCs w:val="24"/>
          <w:vertAlign w:val="superscript"/>
        </w:rPr>
        <w:t>9</w:t>
      </w:r>
      <w:r w:rsidRPr="00556FBB">
        <w:rPr>
          <w:rStyle w:val="fontstyle01"/>
          <w:rFonts w:ascii="Book Antiqua" w:hAnsi="Book Antiqua" w:cs="Times New Roman"/>
          <w:color w:val="auto"/>
          <w:sz w:val="24"/>
          <w:szCs w:val="24"/>
        </w:rPr>
        <w:t xml:space="preserve">/L and </w:t>
      </w:r>
      <w:r w:rsidR="00E3489C" w:rsidRPr="00556FBB">
        <w:rPr>
          <w:rStyle w:val="fontstyle01"/>
          <w:rFonts w:ascii="Book Antiqua" w:hAnsi="Book Antiqua" w:cs="Times New Roman"/>
          <w:color w:val="auto"/>
          <w:sz w:val="24"/>
          <w:szCs w:val="24"/>
        </w:rPr>
        <w:lastRenderedPageBreak/>
        <w:t xml:space="preserve">international normalized ratio </w:t>
      </w:r>
      <w:r w:rsidRPr="00556FBB">
        <w:rPr>
          <w:rStyle w:val="fontstyle01"/>
          <w:rFonts w:ascii="Book Antiqua" w:hAnsi="Book Antiqua" w:cs="Times New Roman"/>
          <w:color w:val="auto"/>
          <w:sz w:val="24"/>
          <w:szCs w:val="24"/>
        </w:rPr>
        <w:t>should be lower than 1.5. Other contraindications include uncorrectable coagulopathy, massive hepatosplenomegaly or anteriorly overlying colon preventing a safe access to the stomach, peritonitis, and bowel ischemia. Due to the risk of bleeding, access through omental implants should be avoided. Cone beam CT or available prior CT imaging is helpful to determine a safe direct access to the gastric body without intervening omental implants. If ascites is seen between the stomach and abdominal wall, a paracentesis should be performed at the day of procedure.</w:t>
      </w:r>
    </w:p>
    <w:p w14:paraId="7A8B40C3" w14:textId="45AABF05" w:rsidR="0000474E" w:rsidRPr="00556FBB" w:rsidRDefault="0000474E" w:rsidP="00556FBB">
      <w:pPr>
        <w:spacing w:after="0" w:line="360" w:lineRule="auto"/>
        <w:ind w:firstLineChars="100" w:firstLine="240"/>
        <w:contextualSpacing/>
        <w:jc w:val="both"/>
        <w:rPr>
          <w:rStyle w:val="fontstyle01"/>
          <w:rFonts w:ascii="Book Antiqua" w:hAnsi="Book Antiqua" w:cs="Times New Roman"/>
          <w:color w:val="auto"/>
          <w:sz w:val="24"/>
          <w:szCs w:val="24"/>
        </w:rPr>
      </w:pPr>
      <w:r w:rsidRPr="00556FBB">
        <w:rPr>
          <w:rStyle w:val="fontstyle01"/>
          <w:rFonts w:ascii="Book Antiqua" w:hAnsi="Book Antiqua" w:cs="Times New Roman"/>
          <w:color w:val="auto"/>
          <w:sz w:val="24"/>
          <w:szCs w:val="24"/>
        </w:rPr>
        <w:t>In the vast majority of cases, gastrostomy catheter placement can be pursued using moderate conscious sedation with intravenous fentanyl and midazolam administration. If the patient is unable to cooperate or is agitated during the procedure, general anesthesia may be considered.</w:t>
      </w:r>
    </w:p>
    <w:p w14:paraId="4B4067BC" w14:textId="511A69D4" w:rsidR="0000474E" w:rsidRPr="00556FBB" w:rsidRDefault="0000474E" w:rsidP="00556FBB">
      <w:pPr>
        <w:spacing w:after="0" w:line="360" w:lineRule="auto"/>
        <w:ind w:firstLineChars="100" w:firstLine="240"/>
        <w:contextualSpacing/>
        <w:jc w:val="both"/>
        <w:rPr>
          <w:rFonts w:ascii="Book Antiqua" w:hAnsi="Book Antiqua"/>
          <w:sz w:val="24"/>
          <w:szCs w:val="24"/>
        </w:rPr>
      </w:pPr>
      <w:r w:rsidRPr="00556FBB">
        <w:rPr>
          <w:rStyle w:val="fontstyle01"/>
          <w:rFonts w:ascii="Book Antiqua" w:hAnsi="Book Antiqua" w:cs="Times New Roman"/>
          <w:color w:val="auto"/>
          <w:sz w:val="24"/>
          <w:szCs w:val="24"/>
        </w:rPr>
        <w:t xml:space="preserve">Ideally a nasogastric tube (NGT) should be in place before the patient comes to the procedure room. However, in cases with challenging NGT placement, such as those with complex postsurgical head and neck reconstructions, the NGT can be placed under fluoroscopy guidance. A 4-French </w:t>
      </w:r>
      <w:proofErr w:type="spellStart"/>
      <w:r w:rsidRPr="00556FBB">
        <w:rPr>
          <w:rStyle w:val="fontstyle01"/>
          <w:rFonts w:ascii="Book Antiqua" w:hAnsi="Book Antiqua" w:cs="Times New Roman"/>
          <w:color w:val="auto"/>
          <w:sz w:val="24"/>
          <w:szCs w:val="24"/>
        </w:rPr>
        <w:t>Kumpe</w:t>
      </w:r>
      <w:proofErr w:type="spellEnd"/>
      <w:r w:rsidRPr="00556FBB">
        <w:rPr>
          <w:rStyle w:val="fontstyle01"/>
          <w:rFonts w:ascii="Book Antiqua" w:hAnsi="Book Antiqua" w:cs="Times New Roman"/>
          <w:color w:val="auto"/>
          <w:sz w:val="24"/>
          <w:szCs w:val="24"/>
        </w:rPr>
        <w:t xml:space="preserve"> or 5-French MPA catheter can be inserted through one of the nostrils over a hydrophilic guidewire (typically a 0.035-inch </w:t>
      </w:r>
      <w:proofErr w:type="spellStart"/>
      <w:r w:rsidRPr="00556FBB">
        <w:rPr>
          <w:rStyle w:val="fontstyle01"/>
          <w:rFonts w:ascii="Book Antiqua" w:hAnsi="Book Antiqua" w:cs="Times New Roman"/>
          <w:color w:val="auto"/>
          <w:sz w:val="24"/>
          <w:szCs w:val="24"/>
        </w:rPr>
        <w:t>Glidewire</w:t>
      </w:r>
      <w:proofErr w:type="spellEnd"/>
      <w:r w:rsidRPr="00556FBB">
        <w:rPr>
          <w:rStyle w:val="fontstyle01"/>
          <w:rFonts w:ascii="Book Antiqua" w:hAnsi="Book Antiqua" w:cs="Times New Roman"/>
          <w:color w:val="auto"/>
          <w:sz w:val="24"/>
          <w:szCs w:val="24"/>
        </w:rPr>
        <w:t xml:space="preserve">) into the stomach. The guidewire is then removed and the 4-French </w:t>
      </w:r>
      <w:proofErr w:type="spellStart"/>
      <w:r w:rsidRPr="00556FBB">
        <w:rPr>
          <w:rStyle w:val="fontstyle01"/>
          <w:rFonts w:ascii="Book Antiqua" w:hAnsi="Book Antiqua" w:cs="Times New Roman"/>
          <w:color w:val="auto"/>
          <w:sz w:val="24"/>
          <w:szCs w:val="24"/>
        </w:rPr>
        <w:t>Kumpe</w:t>
      </w:r>
      <w:proofErr w:type="spellEnd"/>
      <w:r w:rsidRPr="00556FBB">
        <w:rPr>
          <w:rStyle w:val="fontstyle01"/>
          <w:rFonts w:ascii="Book Antiqua" w:hAnsi="Book Antiqua" w:cs="Times New Roman"/>
          <w:color w:val="auto"/>
          <w:sz w:val="24"/>
          <w:szCs w:val="24"/>
        </w:rPr>
        <w:t xml:space="preserve"> or 5-French MPA catheter remains in place to inflate the stomach with air. The </w:t>
      </w:r>
      <w:proofErr w:type="spellStart"/>
      <w:r w:rsidRPr="00556FBB">
        <w:rPr>
          <w:rStyle w:val="fontstyle01"/>
          <w:rFonts w:ascii="Book Antiqua" w:hAnsi="Book Antiqua" w:cs="Times New Roman"/>
          <w:color w:val="auto"/>
          <w:sz w:val="24"/>
          <w:szCs w:val="24"/>
        </w:rPr>
        <w:t>Kumpe</w:t>
      </w:r>
      <w:proofErr w:type="spellEnd"/>
      <w:r w:rsidRPr="00556FBB">
        <w:rPr>
          <w:rStyle w:val="fontstyle01"/>
          <w:rFonts w:ascii="Book Antiqua" w:hAnsi="Book Antiqua" w:cs="Times New Roman"/>
          <w:color w:val="auto"/>
          <w:sz w:val="24"/>
          <w:szCs w:val="24"/>
        </w:rPr>
        <w:t xml:space="preserve"> or MPA catheter needs to be threaded very cautiously in postsurgical head and neck patients. It should be placed under continuous fluoroscopy imaging to avoid damages to the post-surgical area, such as a complex reconstructed flap. Next, in the procedure suite a focused pre-procedural ultrasound must be performed to mark the edge of the left liver lobe and the location of the epigastric arteries. Both structures need to be avoided to decrease the risk of significant bleeding. </w:t>
      </w:r>
      <w:r w:rsidR="00E3489C" w:rsidRPr="00556FBB">
        <w:rPr>
          <w:rStyle w:val="fontstyle01"/>
          <w:rFonts w:ascii="Book Antiqua" w:hAnsi="Book Antiqua" w:cs="Times New Roman"/>
          <w:color w:val="auto"/>
          <w:sz w:val="24"/>
          <w:szCs w:val="24"/>
        </w:rPr>
        <w:t>Two</w:t>
      </w:r>
      <w:r w:rsidRPr="00556FBB">
        <w:rPr>
          <w:rStyle w:val="fontstyle01"/>
          <w:rFonts w:ascii="Book Antiqua" w:hAnsi="Book Antiqua" w:cs="Times New Roman"/>
          <w:color w:val="auto"/>
          <w:sz w:val="24"/>
          <w:szCs w:val="24"/>
        </w:rPr>
        <w:t xml:space="preserve"> g</w:t>
      </w:r>
      <w:r w:rsidR="00E3489C" w:rsidRPr="00556FBB">
        <w:rPr>
          <w:rStyle w:val="fontstyle01"/>
          <w:rFonts w:ascii="Book Antiqua" w:hAnsi="Book Antiqua" w:cs="Times New Roman"/>
          <w:color w:val="auto"/>
          <w:sz w:val="24"/>
          <w:szCs w:val="24"/>
        </w:rPr>
        <w:t>ram</w:t>
      </w:r>
      <w:r w:rsidRPr="00556FBB">
        <w:rPr>
          <w:rStyle w:val="fontstyle01"/>
          <w:rFonts w:ascii="Book Antiqua" w:hAnsi="Book Antiqua" w:cs="Times New Roman"/>
          <w:color w:val="auto"/>
          <w:sz w:val="24"/>
          <w:szCs w:val="24"/>
        </w:rPr>
        <w:t xml:space="preserve"> of intravenous cefazolin will be given to the patient immediately prior to the procedure as antibiotic prophylaxis. In cases of penicillin allergy, 1 g intravenous vancomycin or 600 mg intravenous clindamycin can be administered alternatively</w:t>
      </w:r>
      <w:r w:rsidRPr="00556FBB">
        <w:rPr>
          <w:rStyle w:val="fontstyle01"/>
          <w:rFonts w:ascii="Book Antiqua" w:hAnsi="Book Antiqua" w:cs="Times New Roman"/>
          <w:color w:val="auto"/>
          <w:sz w:val="24"/>
          <w:szCs w:val="24"/>
        </w:rPr>
        <w:fldChar w:fldCharType="begin" w:fldLock="1"/>
      </w:r>
      <w:r w:rsidR="0031455F" w:rsidRPr="00556FBB">
        <w:rPr>
          <w:rStyle w:val="fontstyle01"/>
          <w:rFonts w:ascii="Book Antiqua" w:hAnsi="Book Antiqua" w:cs="Times New Roman"/>
          <w:color w:val="auto"/>
          <w:sz w:val="24"/>
          <w:szCs w:val="24"/>
        </w:rPr>
        <w:instrText xml:space="preserve">ADDIN CSL_CITATION {"citationItems":[{"id":"ITEM-1","itemData":{"DOI":"10.1016/j.jvir.2010.07.018","ISSN":"10510443","abstract":"Abbreviations: AHA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American Heart Association, GI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gastrointestinal, GU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genitourinary, IE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infective endocarditis, IR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interventional radiology, IV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intravenous, IVC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inferior vena cava, RF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radiofrequency, SIR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Society of Interventional Radiology, TIPS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transjugular intrahepatic portosystemic shunt, UAE </w:instrText>
      </w:r>
      <w:r w:rsidR="0031455F" w:rsidRPr="00556FBB">
        <w:rPr>
          <w:rStyle w:val="fontstyle01"/>
          <w:rFonts w:ascii="Cambria" w:hAnsi="Cambria" w:cs="Cambria"/>
          <w:color w:val="auto"/>
          <w:sz w:val="24"/>
          <w:szCs w:val="24"/>
        </w:rPr>
        <w:instrText>ϭ</w:instrText>
      </w:r>
      <w:r w:rsidR="0031455F" w:rsidRPr="00556FBB">
        <w:rPr>
          <w:rStyle w:val="fontstyle01"/>
          <w:rFonts w:ascii="Book Antiqua" w:hAnsi="Book Antiqua" w:cs="Times New Roman"/>
          <w:color w:val="auto"/>
          <w:sz w:val="24"/>
          <w:szCs w:val="24"/>
        </w:rPr>
        <w:instrText xml:space="preserve"> uterine artery embolization PREAMBLE There is a need for current, formal rec-ommendations in the interventional ra-diology (IR) literature concerning the appropriate use of prophylactic antibi-otics for IR procedures. This is particu-larly important given the increasing in-cidence of antibiotic resistance and complications from nosocomial infec-tion. This document summarizes the findings from the available surgical and IR literature on this topic. Anticipated pathogens and corresponding antibiotic coverage (dose and duration) are enu-merated for common vascular and non-vascular interventions in adults. Note that this document is intended to pro-vide recommendations concerning only antibiotic prophylaxis, not treatment of infectious complications. It is beyond the scope of this article to discuss the management of infectious complica-tions sustained during vascular and in-terventional radiology procedures.","author":[{"dropping-particle":"","family":"Venkatesan","given":"Aradhana M.","non-dropping-particle":"","parse-names":false,"suffix":""},{"dropping-particle":"","family":"Kundu","given":"Sanjoy","non-dropping-particle":"","parse-names":false,"suffix":""},{"dropping-particle":"","family":"Sacks","given":"David","non-dropping-particle":"","parse-names":false,"suffix":""},{"dropping-particle":"","family":"Wallace","given":"Michael J.","non-dropping-particle":"","parse-names":false,"suffix":""},{"dropping-particle":"","family":"Wojak","given":"Joan C.","non-dropping-particle":"","parse-names":false,"suffix":""},{"dropping-particle":"","family":"Rose","given":"Steven C.","non-dropping-particle":"","parse-names":false,"suffix":""},{"dropping-particle":"","family":"Clark","given":"Timothy W.I.","non-dropping-particle":"","parse-names":false,"suffix":""},{"dropping-particle":"","family":"D'Othee","given":"B. Janne","non-dropping-particle":"","parse-names":false,"suffix":""},{"dropping-particle":"","family":"Itkin","given":"Maxim","non-dropping-particle":"","parse-names":false,"suffix":""},{"dropping-particle":"","family":"Jones","given":"Robert S.","non-dropping-particle":"","parse-names":false,"suffix":""},{"dropping-particle":"","family":"Miller","given":"Donald L.","non-dropping-particle":"","parse-names":false,"suffix":""},{"dropping-particle":"","family":"Owens","given":"Charles A.","non-dropping-particle":"","parse-names":false,"suffix":""},{"dropping-particle":"","family":"Rajan","given":"Dheeraj K.","non-dropping-particle":"","parse-names":false,"suffix":""},{"dropping-particle":"","family":"Stokes","given":"LeAnn S.","non-dropping-particle":"","parse-names":false,"suffix":""},{"dropping-particle":"","family":"Swan","given":"Timothy L.","non-dropping-particle":"","parse-names":false,"suffix":""},{"dropping-particle":"","family":"Towbin","given":"Richard B.","non-dropping-particle":"","parse-names":false,"suffix":""},{"dropping-particle":"","family":"Cardella","given":"John F.","non-dropping-particle":"","parse-names":false,"suffix":""}],"container-title":"Journal of Vascular and Interventional Radiology","id":"ITEM-1","issue":"11","issued":{"date-parts":[["2010"]]},"page":"1611-1630","title":"Practice Guideline for Adult Antibiotic Prophylaxis during Vascular and Interventional Radiology Procedures","type":"article-journal","volume":"21"},"uris":["http://www.mendeley.com/documents/?uuid=f5732529-02cd-4e07-bb34-ba9d6eb5810e"]}],"mendeley":{"formattedCitation":"&lt;sup&gt;[9]&lt;/sup&gt;","plainTextFormattedCitation":"[9]","previouslyFormattedCitation":"&lt;sup&gt;9&lt;/sup&gt;"},"properties":{"noteIndex":0},"schema":"https://github.com/citation-style-language/schema/raw/master/csl-citation.json"}</w:instrText>
      </w:r>
      <w:r w:rsidRPr="00556FBB">
        <w:rPr>
          <w:rStyle w:val="fontstyle01"/>
          <w:rFonts w:ascii="Book Antiqua" w:hAnsi="Book Antiqua" w:cs="Times New Roman"/>
          <w:color w:val="auto"/>
          <w:sz w:val="24"/>
          <w:szCs w:val="24"/>
        </w:rPr>
        <w:fldChar w:fldCharType="separate"/>
      </w:r>
      <w:r w:rsidR="0031455F" w:rsidRPr="00556FBB">
        <w:rPr>
          <w:rStyle w:val="fontstyle01"/>
          <w:rFonts w:ascii="Book Antiqua" w:hAnsi="Book Antiqua" w:cs="Times New Roman"/>
          <w:noProof/>
          <w:color w:val="auto"/>
          <w:sz w:val="24"/>
          <w:szCs w:val="24"/>
          <w:vertAlign w:val="superscript"/>
        </w:rPr>
        <w:t>[9]</w:t>
      </w:r>
      <w:r w:rsidRPr="00556FBB">
        <w:rPr>
          <w:rStyle w:val="fontstyle01"/>
          <w:rFonts w:ascii="Book Antiqua" w:hAnsi="Book Antiqua" w:cs="Times New Roman"/>
          <w:color w:val="auto"/>
          <w:sz w:val="24"/>
          <w:szCs w:val="24"/>
        </w:rPr>
        <w:fldChar w:fldCharType="end"/>
      </w:r>
      <w:r w:rsidRPr="00556FBB">
        <w:rPr>
          <w:rFonts w:ascii="Book Antiqua" w:hAnsi="Book Antiqua" w:cs="Times New Roman"/>
          <w:sz w:val="24"/>
          <w:szCs w:val="24"/>
        </w:rPr>
        <w:t>.</w:t>
      </w:r>
    </w:p>
    <w:p w14:paraId="00D86A8C" w14:textId="5D2093DA" w:rsidR="0000474E" w:rsidRPr="00556FBB" w:rsidRDefault="0000474E" w:rsidP="00556FBB">
      <w:pPr>
        <w:spacing w:after="0" w:line="360" w:lineRule="auto"/>
        <w:ind w:firstLineChars="100" w:firstLine="240"/>
        <w:contextualSpacing/>
        <w:jc w:val="both"/>
        <w:rPr>
          <w:rStyle w:val="fontstyle01"/>
          <w:rFonts w:ascii="Book Antiqua" w:hAnsi="Book Antiqua"/>
          <w:color w:val="auto"/>
          <w:sz w:val="24"/>
          <w:szCs w:val="24"/>
        </w:rPr>
      </w:pPr>
      <w:r w:rsidRPr="00556FBB">
        <w:rPr>
          <w:rStyle w:val="fontstyle01"/>
          <w:rFonts w:ascii="Book Antiqua" w:hAnsi="Book Antiqua" w:cs="Times New Roman"/>
          <w:color w:val="auto"/>
          <w:sz w:val="24"/>
          <w:szCs w:val="24"/>
        </w:rPr>
        <w:t xml:space="preserve">At the beginning of the procedure, the abdomen is prepared in the usual sterile fashion. The stomach is manually inflated with air to pitch the gastric body against the abdominal </w:t>
      </w:r>
      <w:r w:rsidRPr="00556FBB">
        <w:rPr>
          <w:rStyle w:val="fontstyle01"/>
          <w:rFonts w:ascii="Book Antiqua" w:hAnsi="Book Antiqua" w:cs="Times New Roman"/>
          <w:color w:val="auto"/>
          <w:sz w:val="24"/>
          <w:szCs w:val="24"/>
        </w:rPr>
        <w:lastRenderedPageBreak/>
        <w:t>wall. If the stomach decompresses rapidly through peristalsis as evidenced on fluoroscopy, 1 mg of glucagon is given intravenously to decrease the peristaltic motion and thereby maintain the gastric insufflation. Optimal gastric insufflation is of utmost importance to facilitate safe access, to reduce risk of gastric tube</w:t>
      </w:r>
      <w:r w:rsidRPr="00556FBB">
        <w:rPr>
          <w:rFonts w:ascii="Book Antiqua" w:hAnsi="Book Antiqua" w:cs="Times New Roman"/>
          <w:sz w:val="24"/>
          <w:szCs w:val="24"/>
        </w:rPr>
        <w:br/>
      </w:r>
      <w:r w:rsidRPr="00556FBB">
        <w:rPr>
          <w:rStyle w:val="fontstyle01"/>
          <w:rFonts w:ascii="Book Antiqua" w:hAnsi="Book Antiqua" w:cs="Times New Roman"/>
          <w:color w:val="auto"/>
          <w:sz w:val="24"/>
          <w:szCs w:val="24"/>
        </w:rPr>
        <w:t>misplacement, and to decrease the risk of accidental organ injuries. If there is any doubt about the</w:t>
      </w:r>
      <w:r w:rsidR="00E3489C" w:rsidRPr="00556FBB">
        <w:rPr>
          <w:rFonts w:ascii="Book Antiqua" w:hAnsi="Book Antiqua" w:cs="Times New Roman"/>
          <w:sz w:val="24"/>
          <w:szCs w:val="24"/>
        </w:rPr>
        <w:t xml:space="preserve"> </w:t>
      </w:r>
      <w:r w:rsidRPr="00556FBB">
        <w:rPr>
          <w:rStyle w:val="fontstyle01"/>
          <w:rFonts w:ascii="Book Antiqua" w:hAnsi="Book Antiqua" w:cs="Times New Roman"/>
          <w:color w:val="auto"/>
          <w:sz w:val="24"/>
          <w:szCs w:val="24"/>
        </w:rPr>
        <w:t>safety of percutaneous access based on fluoroscopy, cone-beam CT can be performed. The access site is chosen under imaging guidance and should be half way between the greater and lesser gastric curvatures overlying the gastric body and angled towards the pylorus. The angled approach is advisable since it facilitates conversion to a gastrojejunostomy tube later if clinically warranted. Once the stomach is sufficiently inflated and the access site has been selected, the gastropexy is performed by using three T-bar fasteners in a triangular fashion around the selected percutaneous access site (Figure 1). The first T-bar fastener is lined up with the beam in the left anterior oblique view projecting over the gastric body. The T-bar fastener is advanced slowly under the fluoroscopic guidance until resistance is met. The prior CT or intra-procedural cone beam CT can help assess the distance needed to be traversed towards the gastric wall. The C-arm is then rotated to the right anterior oblique view to visualize the gastric wall tenting in real time and to assess the exact depth of the T-bar fastener. While tenting the gastric wall, the T-bar fastener is connected to an empty syringe and is advanced with continuous suction until air is aspirated into the syringe. Iodinated contrast is then injected to ascertain the intragastric location of the T-bar fastener, which is then released. This process is repeated with the second and third T-bar fastener.</w:t>
      </w:r>
    </w:p>
    <w:p w14:paraId="097C28C5" w14:textId="73AD1F43" w:rsidR="0000474E" w:rsidRPr="00556FBB" w:rsidRDefault="0000474E" w:rsidP="00556FBB">
      <w:pPr>
        <w:spacing w:after="0" w:line="360" w:lineRule="auto"/>
        <w:ind w:firstLineChars="100" w:firstLine="240"/>
        <w:contextualSpacing/>
        <w:jc w:val="both"/>
        <w:rPr>
          <w:rStyle w:val="fontstyle01"/>
          <w:rFonts w:ascii="Book Antiqua" w:hAnsi="Book Antiqua" w:cs="Times New Roman"/>
          <w:color w:val="auto"/>
          <w:sz w:val="24"/>
          <w:szCs w:val="24"/>
        </w:rPr>
      </w:pPr>
      <w:r w:rsidRPr="00556FBB">
        <w:rPr>
          <w:rStyle w:val="fontstyle01"/>
          <w:rFonts w:ascii="Book Antiqua" w:hAnsi="Book Antiqua" w:cs="Times New Roman"/>
          <w:color w:val="auto"/>
          <w:sz w:val="24"/>
          <w:szCs w:val="24"/>
        </w:rPr>
        <w:t xml:space="preserve">Next, the actual percutaneous gastrostomy is performed. First an 18-gauge needle is lined up with the beam in the </w:t>
      </w:r>
      <w:r w:rsidR="00556FBB" w:rsidRPr="00556FBB">
        <w:rPr>
          <w:rStyle w:val="fontstyle01"/>
          <w:rFonts w:ascii="Book Antiqua" w:hAnsi="Book Antiqua" w:cs="Times New Roman"/>
          <w:color w:val="auto"/>
          <w:sz w:val="24"/>
          <w:szCs w:val="24"/>
        </w:rPr>
        <w:t xml:space="preserve">left anterior oblique </w:t>
      </w:r>
      <w:r w:rsidRPr="00556FBB">
        <w:rPr>
          <w:rStyle w:val="fontstyle01"/>
          <w:rFonts w:ascii="Book Antiqua" w:hAnsi="Book Antiqua" w:cs="Times New Roman"/>
          <w:color w:val="auto"/>
          <w:sz w:val="24"/>
          <w:szCs w:val="24"/>
        </w:rPr>
        <w:t xml:space="preserve">view projecting over the gastric body at the selected entry site. The needle is angled towards to the antrum and pylorus and is advanced slowly under the fluoroscopic guidance until resistance is met. Again, the needle advancement distance to the gastric wall can be assessed on prior CT or intra-procedural cone-beam CT. The C-arm is then rotated to the </w:t>
      </w:r>
      <w:r w:rsidR="00556FBB" w:rsidRPr="00556FBB">
        <w:rPr>
          <w:rStyle w:val="fontstyle01"/>
          <w:rFonts w:ascii="Book Antiqua" w:hAnsi="Book Antiqua" w:cs="Times New Roman"/>
          <w:color w:val="auto"/>
          <w:sz w:val="24"/>
          <w:szCs w:val="24"/>
        </w:rPr>
        <w:t xml:space="preserve">right anterior oblique </w:t>
      </w:r>
      <w:r w:rsidRPr="00556FBB">
        <w:rPr>
          <w:rStyle w:val="fontstyle01"/>
          <w:rFonts w:ascii="Book Antiqua" w:hAnsi="Book Antiqua" w:cs="Times New Roman"/>
          <w:color w:val="auto"/>
          <w:sz w:val="24"/>
          <w:szCs w:val="24"/>
        </w:rPr>
        <w:t xml:space="preserve">view to visualize gastric wall tenting in real-time and to assess the exact depth of the needle. </w:t>
      </w:r>
      <w:r w:rsidRPr="00556FBB">
        <w:rPr>
          <w:rStyle w:val="fontstyle01"/>
          <w:rFonts w:ascii="Book Antiqua" w:hAnsi="Book Antiqua" w:cs="Times New Roman"/>
          <w:color w:val="auto"/>
          <w:sz w:val="24"/>
          <w:szCs w:val="24"/>
        </w:rPr>
        <w:lastRenderedPageBreak/>
        <w:t xml:space="preserve">While tenting the gastric wall the </w:t>
      </w:r>
      <w:r w:rsidRPr="00556FBB">
        <w:rPr>
          <w:rStyle w:val="fontstyle21"/>
          <w:rFonts w:ascii="Book Antiqua" w:hAnsi="Book Antiqua" w:cs="Times New Roman"/>
          <w:color w:val="auto"/>
          <w:sz w:val="24"/>
          <w:szCs w:val="24"/>
        </w:rPr>
        <w:t xml:space="preserve">needle </w:t>
      </w:r>
      <w:r w:rsidRPr="00556FBB">
        <w:rPr>
          <w:rStyle w:val="fontstyle01"/>
          <w:rFonts w:ascii="Book Antiqua" w:hAnsi="Book Antiqua" w:cs="Times New Roman"/>
          <w:color w:val="auto"/>
          <w:sz w:val="24"/>
          <w:szCs w:val="24"/>
        </w:rPr>
        <w:t xml:space="preserve">is connected to an empty syringe and is advanced under continuous mild suction until air is aspirated into the syringe. Iodinated contrast is then injected to ascertain the intragastric location of the needle. At this time, a 0.035-inch </w:t>
      </w:r>
      <w:proofErr w:type="spellStart"/>
      <w:r w:rsidRPr="00556FBB">
        <w:rPr>
          <w:rStyle w:val="fontstyle01"/>
          <w:rFonts w:ascii="Book Antiqua" w:hAnsi="Book Antiqua" w:cs="Times New Roman"/>
          <w:color w:val="auto"/>
          <w:sz w:val="24"/>
          <w:szCs w:val="24"/>
        </w:rPr>
        <w:t>Amplatz</w:t>
      </w:r>
      <w:proofErr w:type="spellEnd"/>
      <w:r w:rsidRPr="00556FBB">
        <w:rPr>
          <w:rStyle w:val="fontstyle01"/>
          <w:rFonts w:ascii="Book Antiqua" w:hAnsi="Book Antiqua" w:cs="Times New Roman"/>
          <w:color w:val="auto"/>
          <w:sz w:val="24"/>
          <w:szCs w:val="24"/>
        </w:rPr>
        <w:t xml:space="preserve"> stiff wire is advanced through the 18-gauge needle into the stomach. Subsequently, the needle is removed over the wire. After sequential dilation of the access site by stiff dilators, the peel-away sheath is advanced over the guidewire. This is followed by gastrostomy catheter placement over the </w:t>
      </w:r>
      <w:proofErr w:type="spellStart"/>
      <w:r w:rsidRPr="00556FBB">
        <w:rPr>
          <w:rStyle w:val="fontstyle01"/>
          <w:rFonts w:ascii="Book Antiqua" w:hAnsi="Book Antiqua" w:cs="Times New Roman"/>
          <w:color w:val="auto"/>
          <w:sz w:val="24"/>
          <w:szCs w:val="24"/>
        </w:rPr>
        <w:t>Amplatz</w:t>
      </w:r>
      <w:proofErr w:type="spellEnd"/>
      <w:r w:rsidRPr="00556FBB">
        <w:rPr>
          <w:rStyle w:val="fontstyle01"/>
          <w:rFonts w:ascii="Book Antiqua" w:hAnsi="Book Antiqua" w:cs="Times New Roman"/>
          <w:color w:val="auto"/>
          <w:sz w:val="24"/>
          <w:szCs w:val="24"/>
        </w:rPr>
        <w:t xml:space="preserve"> wire through the peel-away sheath. The peel-away sheath is four French larger than the gastrostomy catheter. We typically place a 16-French gastrostomy catheter which requires a 20-French peel-away sheath or an 18-French gastrostomy catheter which requires a 22-French peel-away sheath. As gastrostomy catheter we utilize a balloon-type silicone catheter with a large lumen instead of the smaller caliber pigtail catheter. Next, the balloon of the gastrostomy catheter is inflated with the maximum recommended amount of sterile water (which is usually 5 cc and 10 cc for the 16- and 18-French gastrostomy catheters. The gastrostomy catheter is pulled back until resistance is met and this essentially secures the intraluminal balloon against the lining of the near gastric wall. Finally, the </w:t>
      </w:r>
      <w:proofErr w:type="spellStart"/>
      <w:r w:rsidRPr="00556FBB">
        <w:rPr>
          <w:rStyle w:val="fontstyle01"/>
          <w:rFonts w:ascii="Book Antiqua" w:hAnsi="Book Antiqua" w:cs="Times New Roman"/>
          <w:color w:val="auto"/>
          <w:sz w:val="24"/>
          <w:szCs w:val="24"/>
        </w:rPr>
        <w:t>Amplatz</w:t>
      </w:r>
      <w:proofErr w:type="spellEnd"/>
      <w:r w:rsidRPr="00556FBB">
        <w:rPr>
          <w:rStyle w:val="fontstyle01"/>
          <w:rFonts w:ascii="Book Antiqua" w:hAnsi="Book Antiqua" w:cs="Times New Roman"/>
          <w:color w:val="auto"/>
          <w:sz w:val="24"/>
          <w:szCs w:val="24"/>
        </w:rPr>
        <w:t xml:space="preserve"> wire is removed and iodinated contrast is injected through the freshly placed gastrostomy catheter to ascertain location within the gastric body. The gastrostomy catheter is connected to a drainage bag (we typically use a Foley bag) to enable gravity drainage for 24 h before starting to use the gastrostomy catheter for enteral feeding. The main reason for 24-h passive drainage is to remove retained gastric products (potentially mixed with hemorrhagic products from the procedure).</w:t>
      </w:r>
    </w:p>
    <w:p w14:paraId="7B34D1F9" w14:textId="1021153E" w:rsidR="0000474E" w:rsidRPr="00556FBB" w:rsidRDefault="0000474E" w:rsidP="00556FBB">
      <w:pPr>
        <w:spacing w:after="0" w:line="360" w:lineRule="auto"/>
        <w:ind w:firstLineChars="100" w:firstLine="240"/>
        <w:contextualSpacing/>
        <w:jc w:val="both"/>
        <w:rPr>
          <w:rStyle w:val="fontstyle01"/>
          <w:rFonts w:ascii="Book Antiqua" w:hAnsi="Book Antiqua" w:cs="Times New Roman"/>
          <w:color w:val="auto"/>
          <w:sz w:val="24"/>
          <w:szCs w:val="24"/>
        </w:rPr>
      </w:pPr>
      <w:r w:rsidRPr="00556FBB">
        <w:rPr>
          <w:rStyle w:val="fontstyle01"/>
          <w:rFonts w:ascii="Book Antiqua" w:hAnsi="Book Antiqua" w:cs="Times New Roman"/>
          <w:color w:val="auto"/>
          <w:sz w:val="24"/>
          <w:szCs w:val="24"/>
        </w:rPr>
        <w:t xml:space="preserve">Alternatively, the tract can be dilated with an angioplasty technique using balloons. When applying this </w:t>
      </w:r>
      <w:r w:rsidR="00E3489C" w:rsidRPr="00556FBB">
        <w:rPr>
          <w:rStyle w:val="fontstyle01"/>
          <w:rFonts w:ascii="Book Antiqua" w:hAnsi="Book Antiqua" w:cs="Times New Roman"/>
          <w:color w:val="auto"/>
          <w:sz w:val="24"/>
          <w:szCs w:val="24"/>
        </w:rPr>
        <w:t>technique,</w:t>
      </w:r>
      <w:r w:rsidRPr="00556FBB">
        <w:rPr>
          <w:rStyle w:val="fontstyle01"/>
          <w:rFonts w:ascii="Book Antiqua" w:hAnsi="Book Antiqua" w:cs="Times New Roman"/>
          <w:color w:val="auto"/>
          <w:sz w:val="24"/>
          <w:szCs w:val="24"/>
        </w:rPr>
        <w:t xml:space="preserve"> we typically use a 6 mm </w:t>
      </w:r>
      <w:r w:rsidR="00E3489C" w:rsidRPr="00556FBB">
        <w:rPr>
          <w:rStyle w:val="fontstyle01"/>
          <w:rFonts w:ascii="Book Antiqua" w:eastAsia="宋体" w:hAnsi="Book Antiqua" w:cs="Times New Roman"/>
          <w:color w:val="auto"/>
          <w:sz w:val="24"/>
          <w:szCs w:val="24"/>
        </w:rPr>
        <w:t>×</w:t>
      </w:r>
      <w:r w:rsidRPr="00556FBB">
        <w:rPr>
          <w:rStyle w:val="fontstyle01"/>
          <w:rFonts w:ascii="Book Antiqua" w:hAnsi="Book Antiqua" w:cs="Times New Roman"/>
          <w:color w:val="auto"/>
          <w:sz w:val="24"/>
          <w:szCs w:val="24"/>
        </w:rPr>
        <w:t xml:space="preserve"> 40 mm or 7 mm </w:t>
      </w:r>
      <w:r w:rsidR="00E3489C" w:rsidRPr="00556FBB">
        <w:rPr>
          <w:rStyle w:val="fontstyle01"/>
          <w:rFonts w:ascii="Book Antiqua" w:eastAsia="宋体" w:hAnsi="Book Antiqua" w:cs="Times New Roman"/>
          <w:color w:val="auto"/>
          <w:sz w:val="24"/>
          <w:szCs w:val="24"/>
        </w:rPr>
        <w:t>×</w:t>
      </w:r>
      <w:r w:rsidRPr="00556FBB">
        <w:rPr>
          <w:rStyle w:val="fontstyle01"/>
          <w:rFonts w:ascii="Book Antiqua" w:hAnsi="Book Antiqua" w:cs="Times New Roman"/>
          <w:color w:val="auto"/>
          <w:sz w:val="24"/>
          <w:szCs w:val="24"/>
        </w:rPr>
        <w:t xml:space="preserve"> 40 mm Mustang balloon (Boston Scientific, Natick, MA) to place a 16-French tube. After tract dilation the gastrostomy catheter can be advanced into the gastric body while deflating the angioplasty balloon. This method may result in a tighter gastrostomy catheter access tract thereby potentially preventing leakage in the future.</w:t>
      </w:r>
    </w:p>
    <w:p w14:paraId="346842F1" w14:textId="03CCA6F5" w:rsidR="0000474E" w:rsidRPr="00556FBB" w:rsidRDefault="0000474E" w:rsidP="00556FBB">
      <w:pPr>
        <w:spacing w:after="0" w:line="360" w:lineRule="auto"/>
        <w:ind w:firstLineChars="100" w:firstLine="240"/>
        <w:contextualSpacing/>
        <w:jc w:val="both"/>
        <w:rPr>
          <w:rStyle w:val="fontstyle01"/>
          <w:rFonts w:ascii="Book Antiqua" w:hAnsi="Book Antiqua" w:cs="Times New Roman"/>
          <w:color w:val="auto"/>
          <w:sz w:val="24"/>
          <w:szCs w:val="24"/>
        </w:rPr>
      </w:pPr>
      <w:r w:rsidRPr="00556FBB">
        <w:rPr>
          <w:rStyle w:val="fontstyle01"/>
          <w:rFonts w:ascii="Book Antiqua" w:hAnsi="Book Antiqua" w:cs="Times New Roman"/>
          <w:color w:val="auto"/>
          <w:sz w:val="24"/>
          <w:szCs w:val="24"/>
        </w:rPr>
        <w:lastRenderedPageBreak/>
        <w:t xml:space="preserve">Special attention should be given when performing PIRG in patients with massive ascites. A paracentesis should be performed prior to the gastrostomy procedure to provide a favorable safe access. Once the gastrostomy catheter is placed, the tract should be allowed to mature for approximately 6 to 8 </w:t>
      </w:r>
      <w:proofErr w:type="spellStart"/>
      <w:r w:rsidRPr="00556FBB">
        <w:rPr>
          <w:rStyle w:val="fontstyle01"/>
          <w:rFonts w:ascii="Book Antiqua" w:hAnsi="Book Antiqua" w:cs="Times New Roman"/>
          <w:color w:val="auto"/>
          <w:sz w:val="24"/>
          <w:szCs w:val="24"/>
        </w:rPr>
        <w:t>wk</w:t>
      </w:r>
      <w:proofErr w:type="spellEnd"/>
      <w:r w:rsidRPr="00556FBB">
        <w:rPr>
          <w:rStyle w:val="fontstyle01"/>
          <w:rFonts w:ascii="Book Antiqua" w:hAnsi="Book Antiqua" w:cs="Times New Roman"/>
          <w:color w:val="auto"/>
          <w:sz w:val="24"/>
          <w:szCs w:val="24"/>
        </w:rPr>
        <w:t xml:space="preserve"> prior to any further tube manipulation as premature tube changes or gastrojejunostomy tube conversion is associated with a significant risk of losing access when ascites is present. </w:t>
      </w:r>
    </w:p>
    <w:p w14:paraId="1EDCF4FD" w14:textId="0FF79412" w:rsidR="0000474E" w:rsidRPr="00556FBB" w:rsidRDefault="0000474E" w:rsidP="00556FBB">
      <w:pPr>
        <w:spacing w:after="0" w:line="360" w:lineRule="auto"/>
        <w:ind w:firstLineChars="100" w:firstLine="240"/>
        <w:contextualSpacing/>
        <w:jc w:val="both"/>
        <w:rPr>
          <w:rStyle w:val="fontstyle01"/>
          <w:rFonts w:ascii="Book Antiqua" w:hAnsi="Book Antiqua" w:cs="Times New Roman"/>
          <w:color w:val="auto"/>
          <w:sz w:val="24"/>
          <w:szCs w:val="24"/>
        </w:rPr>
      </w:pPr>
      <w:r w:rsidRPr="00556FBB">
        <w:rPr>
          <w:rStyle w:val="fontstyle01"/>
          <w:rFonts w:ascii="Book Antiqua" w:hAnsi="Book Antiqua" w:cs="Times New Roman"/>
          <w:color w:val="auto"/>
          <w:sz w:val="24"/>
          <w:szCs w:val="24"/>
        </w:rPr>
        <w:t xml:space="preserve">At 24-h post-procedure, a focused abdominal exam is performed to assess for peritoneal signs and associated potential malposition of the gastrostomy catheter on all patients. Potential hematoma formation is also assessed. Post-procedural complete blood count, such as hemoglobin, hematocrit and white blood cell, should be analyzed for potential bleeding and infection. If the abdominal exam is completely benign and the patient is asymptomatic, post-procedural complete blood count may not be required. A mild increase of the white blood cell count post procedure is frequently encountered and is not concerning. At this point, if the patient does not exhibit any signs of leak, infection or bleeding, a 2-h sterile water trial should be conducted. A </w:t>
      </w:r>
      <w:proofErr w:type="gramStart"/>
      <w:r w:rsidRPr="00556FBB">
        <w:rPr>
          <w:rStyle w:val="fontstyle01"/>
          <w:rFonts w:ascii="Book Antiqua" w:hAnsi="Book Antiqua" w:cs="Times New Roman"/>
          <w:color w:val="auto"/>
          <w:sz w:val="24"/>
          <w:szCs w:val="24"/>
        </w:rPr>
        <w:t>25</w:t>
      </w:r>
      <w:r w:rsidR="00E3489C" w:rsidRPr="00556FBB">
        <w:rPr>
          <w:rStyle w:val="fontstyle01"/>
          <w:rFonts w:ascii="Book Antiqua" w:hAnsi="Book Antiqua" w:cs="Times New Roman"/>
          <w:color w:val="auto"/>
          <w:sz w:val="24"/>
          <w:szCs w:val="24"/>
        </w:rPr>
        <w:t xml:space="preserve"> </w:t>
      </w:r>
      <w:r w:rsidRPr="00556FBB">
        <w:rPr>
          <w:rStyle w:val="fontstyle01"/>
          <w:rFonts w:ascii="Book Antiqua" w:hAnsi="Book Antiqua" w:cs="Times New Roman"/>
          <w:color w:val="auto"/>
          <w:sz w:val="24"/>
          <w:szCs w:val="24"/>
        </w:rPr>
        <w:t>cc</w:t>
      </w:r>
      <w:proofErr w:type="gramEnd"/>
      <w:r w:rsidRPr="00556FBB">
        <w:rPr>
          <w:rStyle w:val="fontstyle01"/>
          <w:rFonts w:ascii="Book Antiqua" w:hAnsi="Book Antiqua" w:cs="Times New Roman"/>
          <w:color w:val="auto"/>
          <w:sz w:val="24"/>
          <w:szCs w:val="24"/>
        </w:rPr>
        <w:t xml:space="preserve"> sterile water bolus is given in the first hour, followed by another 25 cc bolus in the second hour. If the patient tolerates the sterile water trial without any signs of peritoneal irritation or leakage, tube feeding can be started slowly. The procedure is tolerated well and typically no dedicated post-procedural pain management is needed.</w:t>
      </w:r>
    </w:p>
    <w:p w14:paraId="1DAF54CB" w14:textId="2D1E2B44" w:rsidR="0000474E" w:rsidRPr="00556FBB" w:rsidRDefault="0000474E" w:rsidP="00556FBB">
      <w:pPr>
        <w:spacing w:after="0" w:line="360" w:lineRule="auto"/>
        <w:ind w:firstLineChars="100" w:firstLine="240"/>
        <w:contextualSpacing/>
        <w:jc w:val="both"/>
        <w:rPr>
          <w:rFonts w:ascii="Book Antiqua" w:hAnsi="Book Antiqua"/>
          <w:sz w:val="24"/>
          <w:szCs w:val="24"/>
        </w:rPr>
      </w:pPr>
      <w:r w:rsidRPr="00556FBB">
        <w:rPr>
          <w:rStyle w:val="fontstyle01"/>
          <w:rFonts w:ascii="Book Antiqua" w:hAnsi="Book Antiqua" w:cs="Times New Roman"/>
          <w:color w:val="auto"/>
          <w:sz w:val="24"/>
          <w:szCs w:val="24"/>
        </w:rPr>
        <w:t>The T-bar fasteners usually falls off after 2 to 3 w</w:t>
      </w:r>
      <w:r w:rsidR="00E3489C" w:rsidRPr="00556FBB">
        <w:rPr>
          <w:rStyle w:val="fontstyle01"/>
          <w:rFonts w:ascii="Book Antiqua" w:hAnsi="Book Antiqua" w:cs="Times New Roman"/>
          <w:color w:val="auto"/>
          <w:sz w:val="24"/>
          <w:szCs w:val="24"/>
        </w:rPr>
        <w:t>k</w:t>
      </w:r>
      <w:r w:rsidRPr="00556FBB">
        <w:rPr>
          <w:rStyle w:val="fontstyle01"/>
          <w:rFonts w:ascii="Book Antiqua" w:hAnsi="Book Antiqua" w:cs="Times New Roman"/>
          <w:color w:val="auto"/>
          <w:sz w:val="24"/>
          <w:szCs w:val="24"/>
        </w:rPr>
        <w:t xml:space="preserve">. A follow-up appointment in the interventional radiology outpatient clinic is scheduled 3 </w:t>
      </w:r>
      <w:proofErr w:type="spellStart"/>
      <w:r w:rsidRPr="00556FBB">
        <w:rPr>
          <w:rStyle w:val="fontstyle01"/>
          <w:rFonts w:ascii="Book Antiqua" w:hAnsi="Book Antiqua" w:cs="Times New Roman"/>
          <w:color w:val="auto"/>
          <w:sz w:val="24"/>
          <w:szCs w:val="24"/>
        </w:rPr>
        <w:t>w</w:t>
      </w:r>
      <w:r w:rsidR="00E3489C" w:rsidRPr="00556FBB">
        <w:rPr>
          <w:rStyle w:val="fontstyle01"/>
          <w:rFonts w:ascii="Book Antiqua" w:hAnsi="Book Antiqua" w:cs="Times New Roman"/>
          <w:color w:val="auto"/>
          <w:sz w:val="24"/>
          <w:szCs w:val="24"/>
        </w:rPr>
        <w:t>k</w:t>
      </w:r>
      <w:proofErr w:type="spellEnd"/>
      <w:r w:rsidRPr="00556FBB">
        <w:rPr>
          <w:rStyle w:val="fontstyle01"/>
          <w:rFonts w:ascii="Book Antiqua" w:hAnsi="Book Antiqua" w:cs="Times New Roman"/>
          <w:color w:val="auto"/>
          <w:sz w:val="24"/>
          <w:szCs w:val="24"/>
        </w:rPr>
        <w:t xml:space="preserve"> post procedure to assess for gastrostomy catheter function and potential complaints. At that time, it is again checked whether all three T-bar fasteners fell off. If there is retained material it will be removed during the clinic visit. Newer T-bar fasteners are falling off without removal requirement</w:t>
      </w:r>
      <w:r w:rsidRPr="00556FBB">
        <w:rPr>
          <w:rFonts w:ascii="Book Antiqua" w:hAnsi="Book Antiqua" w:cs="Times New Roman"/>
          <w:sz w:val="24"/>
          <w:szCs w:val="24"/>
        </w:rPr>
        <w:t xml:space="preserve">. Seldom there is retained material which can be removed during the outpatient clinic visit. If gastrostomy catheter leakage is noticed during follow-up the gastrostomy catheter can be upsized to a larger caliber. Conservative alternatives for treatment of leakage are slowing down the tube feeds to a “trickle” fashion or placing the gastrostomy intermittently to suction to decompress the stomach. Further, in case of leakage it is </w:t>
      </w:r>
      <w:r w:rsidRPr="00556FBB">
        <w:rPr>
          <w:rFonts w:ascii="Book Antiqua" w:hAnsi="Book Antiqua" w:cs="Times New Roman"/>
          <w:sz w:val="24"/>
          <w:szCs w:val="24"/>
        </w:rPr>
        <w:lastRenderedPageBreak/>
        <w:t xml:space="preserve">important to ensure that the retention balloon is inflated at its maximum capacity and is firmly placed against the anterior abdominal wall. If the tract has matured for 6 to 8 weeks and leakage persists a conversion of the gastrostomy catheter to the gastrojejunostomy tube is recommended. In a gastrojejunostomy tube the jejunostomy lumen can be used for feeding purposes while the gastrostomy lumen is used for venting purposes and placed on suction to decompress the stomach. </w:t>
      </w:r>
    </w:p>
    <w:p w14:paraId="6A54C324" w14:textId="1835FC18" w:rsidR="0000474E" w:rsidRPr="00556FBB" w:rsidRDefault="0000474E" w:rsidP="00556FBB">
      <w:pPr>
        <w:spacing w:after="0" w:line="360" w:lineRule="auto"/>
        <w:ind w:firstLineChars="100" w:firstLine="240"/>
        <w:contextualSpacing/>
        <w:jc w:val="both"/>
        <w:rPr>
          <w:rStyle w:val="fontstyle01"/>
          <w:rFonts w:ascii="Book Antiqua" w:hAnsi="Book Antiqua"/>
          <w:color w:val="auto"/>
          <w:sz w:val="24"/>
          <w:szCs w:val="24"/>
        </w:rPr>
      </w:pPr>
      <w:r w:rsidRPr="00556FBB">
        <w:rPr>
          <w:rStyle w:val="fontstyle01"/>
          <w:rFonts w:ascii="Book Antiqua" w:hAnsi="Book Antiqua" w:cs="Times New Roman"/>
          <w:color w:val="auto"/>
          <w:sz w:val="24"/>
          <w:szCs w:val="24"/>
        </w:rPr>
        <w:t>Based on our experience the procedure is usually performed in less than 30 min with</w:t>
      </w:r>
      <w:r w:rsidR="00E3489C" w:rsidRPr="00556FBB">
        <w:rPr>
          <w:rFonts w:ascii="Book Antiqua" w:hAnsi="Book Antiqua" w:cs="Times New Roman"/>
          <w:sz w:val="24"/>
          <w:szCs w:val="24"/>
        </w:rPr>
        <w:t xml:space="preserve"> </w:t>
      </w:r>
      <w:r w:rsidRPr="00556FBB">
        <w:rPr>
          <w:rStyle w:val="fontstyle01"/>
          <w:rFonts w:ascii="Book Antiqua" w:hAnsi="Book Antiqua" w:cs="Times New Roman"/>
          <w:color w:val="auto"/>
          <w:sz w:val="24"/>
          <w:szCs w:val="24"/>
        </w:rPr>
        <w:t>moderate conscious sedation under fluoroscopy guidance and less than 45 min under both</w:t>
      </w:r>
      <w:r w:rsidR="00E3489C" w:rsidRPr="00556FBB">
        <w:rPr>
          <w:rFonts w:ascii="Book Antiqua" w:hAnsi="Book Antiqua" w:cs="Times New Roman"/>
          <w:sz w:val="24"/>
          <w:szCs w:val="24"/>
        </w:rPr>
        <w:t xml:space="preserve"> </w:t>
      </w:r>
      <w:r w:rsidRPr="00556FBB">
        <w:rPr>
          <w:rStyle w:val="fontstyle01"/>
          <w:rFonts w:ascii="Book Antiqua" w:hAnsi="Book Antiqua" w:cs="Times New Roman"/>
          <w:color w:val="auto"/>
          <w:sz w:val="24"/>
          <w:szCs w:val="24"/>
        </w:rPr>
        <w:t xml:space="preserve">fluoroscopy and cone beam CT guidance. The typical fluoroscopic time is between 5 to 7 min. Representative PIRG placement cases are shown in </w:t>
      </w:r>
      <w:r w:rsidRPr="0092771E">
        <w:rPr>
          <w:rStyle w:val="fontstyle01"/>
          <w:rFonts w:ascii="Book Antiqua" w:hAnsi="Book Antiqua" w:cs="Times New Roman"/>
          <w:caps/>
          <w:color w:val="auto"/>
          <w:sz w:val="24"/>
          <w:szCs w:val="24"/>
        </w:rPr>
        <w:t>f</w:t>
      </w:r>
      <w:r w:rsidRPr="00556FBB">
        <w:rPr>
          <w:rStyle w:val="fontstyle01"/>
          <w:rFonts w:ascii="Book Antiqua" w:hAnsi="Book Antiqua" w:cs="Times New Roman"/>
          <w:color w:val="auto"/>
          <w:sz w:val="24"/>
          <w:szCs w:val="24"/>
        </w:rPr>
        <w:t>igures 2</w:t>
      </w:r>
      <w:r w:rsidR="0092771E">
        <w:rPr>
          <w:rStyle w:val="fontstyle01"/>
          <w:rFonts w:ascii="Book Antiqua" w:hAnsi="Book Antiqua" w:cs="Times New Roman"/>
          <w:color w:val="auto"/>
          <w:sz w:val="24"/>
          <w:szCs w:val="24"/>
        </w:rPr>
        <w:t>-</w:t>
      </w:r>
      <w:r w:rsidRPr="00556FBB">
        <w:rPr>
          <w:rStyle w:val="fontstyle01"/>
          <w:rFonts w:ascii="Book Antiqua" w:hAnsi="Book Antiqua" w:cs="Times New Roman"/>
          <w:color w:val="auto"/>
          <w:sz w:val="24"/>
          <w:szCs w:val="24"/>
        </w:rPr>
        <w:t>4 to demonstrate the said steps with fluoroscopy and procedure time.</w:t>
      </w:r>
    </w:p>
    <w:p w14:paraId="50CF1C49" w14:textId="77777777" w:rsidR="0000474E" w:rsidRPr="00556FBB" w:rsidRDefault="0000474E" w:rsidP="00556FBB">
      <w:pPr>
        <w:spacing w:after="0" w:line="360" w:lineRule="auto"/>
        <w:contextualSpacing/>
        <w:jc w:val="both"/>
        <w:rPr>
          <w:rFonts w:ascii="Book Antiqua" w:hAnsi="Book Antiqua"/>
          <w:sz w:val="24"/>
          <w:szCs w:val="24"/>
        </w:rPr>
      </w:pPr>
    </w:p>
    <w:p w14:paraId="347CFF0D" w14:textId="1D03D5D9" w:rsidR="0000474E" w:rsidRPr="00556FBB" w:rsidRDefault="00E3489C" w:rsidP="00556FBB">
      <w:pPr>
        <w:spacing w:after="0" w:line="360" w:lineRule="auto"/>
        <w:contextualSpacing/>
        <w:jc w:val="both"/>
        <w:rPr>
          <w:rFonts w:ascii="Book Antiqua" w:hAnsi="Book Antiqua" w:cs="Times New Roman"/>
          <w:b/>
          <w:sz w:val="24"/>
          <w:szCs w:val="24"/>
          <w:u w:val="single"/>
        </w:rPr>
      </w:pPr>
      <w:r w:rsidRPr="00556FBB">
        <w:rPr>
          <w:rFonts w:ascii="Book Antiqua" w:hAnsi="Book Antiqua" w:cs="Times New Roman"/>
          <w:b/>
          <w:sz w:val="24"/>
          <w:szCs w:val="24"/>
          <w:u w:val="single"/>
        </w:rPr>
        <w:t>DISCUSSION</w:t>
      </w:r>
    </w:p>
    <w:p w14:paraId="3A516A18" w14:textId="64BA5186" w:rsidR="0000474E" w:rsidRPr="00556FBB" w:rsidRDefault="0000474E"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sz w:val="24"/>
          <w:szCs w:val="24"/>
        </w:rPr>
        <w:t xml:space="preserve">Certain disease conditions require an alternative enteral feeding access. NGT can provide short-term access, but its long-term use is limited by patient discomfort and higher malposition and aspiration risk. Further, the postsurgical head and neck patient is not a candidate for </w:t>
      </w:r>
      <w:r w:rsidR="00E3489C" w:rsidRPr="00556FBB">
        <w:rPr>
          <w:rFonts w:ascii="Book Antiqua" w:hAnsi="Book Antiqua" w:cs="Times New Roman"/>
          <w:sz w:val="24"/>
          <w:szCs w:val="24"/>
        </w:rPr>
        <w:t>NGT</w:t>
      </w:r>
      <w:r w:rsidRPr="00556FBB">
        <w:rPr>
          <w:rFonts w:ascii="Book Antiqua" w:hAnsi="Book Antiqua" w:cs="Times New Roman"/>
          <w:sz w:val="24"/>
          <w:szCs w:val="24"/>
        </w:rPr>
        <w:t xml:space="preserve"> placement due to risk of damaging the surgical field, such as a complex reconstruction flap. For patients with a functional gastrointestinal tract, total parenteral nutrition is not ideal due to a lack of bowel stimulation leading to a compromised gut defense barrier and high rates of infection</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{"citationItems":[{"id":"ITEM-1","itemData":{"DOI":"10.1007/BF01658394","ISSN":"03642313","abstract":"Percutaneous endoscopic gastrostomy was introduced in 1980 as an alternative to traditional operative methods for the creation of a feeding gastrostomy. The indications for the procedure are essentially the same as those for traditional gastrostomy and include the inability to swallow secondary to neurological impairment, oropharyngeal neoplasms, and facial trauma. The method is contraindicated in the presence of massive ascites, total esophageal obstruction, coagulation disorders, and sepsis. Several variations on the original technique have been developed, and results with each are comparable. The morbidity and mortality with percutaneous methods has been at least as good as those reported for operative techniques while the cost has been lower and patient acceptance high. In spite of the ease with which gastrostomy may be performed by the percutaneous method, patient selection must be appropriate and details of technique closely followed if results are to remain acceptable.","author":[{"dropping-particle":"","family":"Ponsky","given":"Jeffrey L.","non-dropping-particle":"","parse-names":false,"suffix":""},{"dropping-particle":"","family":"Gauderer","given":"Michael W L","non-dropping-particle":"","parse-names":false,"suffix":""}],"container-title":"World Journal of Surgery","id":"ITEM-1","issued":{"date-parts":[["1989"]]},"page":"165-170","title":"Percutaneous endoscopic gastrostomy: Indications, limitations, techniques, and results","type":"article-journal","volume":"13"},"uris":["http://www.mendeley.com/documents/?uuid=85504ef5-d506-412b-ac42-38cc4db176e3","http://www.mendeley.com/documents/?uuid=0e04c4af-b6aa-482b-9282-1e3633d7cfa6"]}],"mendeley":{"formattedCitation":"&lt;sup&gt;[10]&lt;/sup&gt;","plainTextFormattedCitation":"[10]","previouslyFormattedCitation":"&lt;sup&gt;10&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[10]</w:t>
      </w:r>
      <w:r w:rsidRPr="00556FBB">
        <w:rPr>
          <w:rFonts w:ascii="Book Antiqua" w:hAnsi="Book Antiqua" w:cs="Times New Roman"/>
          <w:sz w:val="24"/>
          <w:szCs w:val="24"/>
        </w:rPr>
        <w:fldChar w:fldCharType="end"/>
      </w:r>
      <w:r w:rsidRPr="00556FBB">
        <w:rPr>
          <w:rFonts w:ascii="Book Antiqua" w:hAnsi="Book Antiqua" w:cs="Times New Roman"/>
          <w:sz w:val="24"/>
          <w:szCs w:val="24"/>
        </w:rPr>
        <w:t>. Further, parenteral nutrition is costly. In certain patients the gastrostomy catheter can provide a durable solution for long-term feeding.</w:t>
      </w:r>
    </w:p>
    <w:p w14:paraId="605FE26C" w14:textId="2A595B6B"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 xml:space="preserve">Since its inception in 1981, the PIRG technique has gradually improved and has become a safe and effective alternative to the traditional surgical or endoscopic gastrostomy catheter placements. It requires moderate conscious sedation and local anesthetics, thus minimizing the risks of cardiorespiratory compromise. Further, it is a relatively quick procedure that can be performed in the interventional radiology suite, which negates the need for an expensive operating room. The average cost of PIRG is comparable to or slight cheaper than PEG and lower than surgical gastrostomy. </w:t>
      </w:r>
      <w:proofErr w:type="spellStart"/>
      <w:r w:rsidRPr="00556FBB">
        <w:rPr>
          <w:rFonts w:ascii="Book Antiqua" w:hAnsi="Book Antiqua" w:cs="Times New Roman"/>
          <w:sz w:val="24"/>
          <w:szCs w:val="24"/>
        </w:rPr>
        <w:t>Barkmeier</w:t>
      </w:r>
      <w:proofErr w:type="spellEnd"/>
      <w:r w:rsidRPr="00556FBB">
        <w:rPr>
          <w:rFonts w:ascii="Book Antiqua" w:hAnsi="Book Antiqua" w:cs="Times New Roman"/>
          <w:sz w:val="24"/>
          <w:szCs w:val="24"/>
        </w:rPr>
        <w:t xml:space="preserve"> </w:t>
      </w:r>
      <w:r w:rsidRPr="00556FBB">
        <w:rPr>
          <w:rFonts w:ascii="Book Antiqua" w:hAnsi="Book Antiqua" w:cs="Times New Roman"/>
          <w:i/>
          <w:iCs/>
          <w:sz w:val="24"/>
          <w:szCs w:val="24"/>
        </w:rPr>
        <w:t>et al</w:t>
      </w:r>
      <w:r w:rsidR="00E3489C" w:rsidRPr="00556FBB">
        <w:rPr>
          <w:rFonts w:ascii="Book Antiqua" w:hAnsi="Book Antiqua" w:cs="Times New Roman"/>
          <w:sz w:val="24"/>
          <w:szCs w:val="24"/>
        </w:rPr>
        <w:fldChar w:fldCharType="begin" w:fldLock="1"/>
      </w:r>
      <w:r w:rsidR="00E3489C" w:rsidRPr="00556FBB">
        <w:rPr>
          <w:rFonts w:ascii="Book Antiqua" w:hAnsi="Book Antiqua" w:cs="Times New Roman"/>
          <w:sz w:val="24"/>
          <w:szCs w:val="24"/>
        </w:rPr>
        <w:instrText>ADDIN CSL_CITATION {"citationItems":[{"id":"ITEM-1","itemData":{"DOI":"10.1007/s002709900269","ISSN":"01741551","abstract":"PURPOSE: To compare the results and costs of three different means of achieving direct percutaneous gastroenteric access. METHODS: Three groups of patients received the following procedures: fluoroscopically guided percutaneous gastrostomy/gastrojejunostomy (FPG, n = 42); percutaneous endoscopic gastrostomy/gastrojejunostomy (PEG, n = 45); and surgical endoscopic gastrostomy/gastrojejunostomy (SEG, n = 34). Retrospective review of the medical records was performed to evaluate indications for the procedure, procedure technical success, and outcome. Estimated costs were compared for each of the three procedures, using a combination of charges and materials costs. RESULTS: Technical success was greater for FPG and SEG (100% each) than for PEG (84%, p = 0.008 vs FPG and p = 0.02 vs SEG). All patients (n = 7) who failed PEG subsequently underwent successful FPG. Success in placing a gastrojejunostomy was 91% for FPG, and estimated at 43% for PEG and 0 for SEG. Complications did not differ in frequency among groups. For gastrostomy, the average cost per successful tube was lowest in the PEG group ($1862, p = 0.02); FPG averaged $1985, and SEG $3694. SEG costs significantly more than FPG or PEG (p = 0.0001). For gastrojejunostomy, FPG averaged $2201, PEG $3158, and SEG $3045. CONCLUSION: Technical success for gastrostomy is higher for FPG and SEG than PEG. Though PEG is the least costly procedure, the difference is modest compared with FPG. For gastrojejunostomy, FPG offers the highest technical success rate and lowest cost. Due to high costs associated with the operating room, SEG should be reserved for those patients undergoing a concurrent surgical procedure.","author":[{"dropping-particle":"","family":"Barkmeier","given":"Jeffrey M.","non-dropping-particle":"","parse-names":false,"suffix":""},{"dropping-particle":"","family":"Trerotola","given":"Scott O.","non-dropping-particle":"","parse-names":false,"suffix":""},{"dropping-particle":"","family":"Wiebke","given":"Eric A.","non-dropping-particle":"","parse-names":false,"suffix":""},{"dropping-particle":"","family":"Sherman","given":"Stuart","non-dropping-particle":"","parse-names":false,"suffix":""},{"dropping-particle":"","family":"Harris","given":"Veronica J.","non-dropping-particle":"","parse-names":false,"suffix":""},{"dropping-particle":"","family":"Snidow","given":"John J.","non-dropping-particle":"","parse-names":false,"suffix":""},{"dropping-particle":"","family":"Johnson","given":"Matthew S.","non-dropping-particle":"","parse-names":false,"suffix":""},{"dropping-particle":"","family":"Rogers","given":"Wendy J.","non-dropping-particle":"","parse-names":false,"suffix":""},{"dropping-particle":"","family":"Zhou","given":"Xiao Hua","non-dropping-particle":"","parse-names":false,"suffix":""}],"container-title":"CardioVascular and Interventional Radiology","id":"ITEM-1","issued":{"date-parts":[["1998"]]},"page":"324-328","title":"Percutaneous radiologic, surgical endoscopic, and percutaneous endoscopic gastrostomy/gastrojejunostomy: Comparative study and cost analysis","type":"article-journal","volume":"21"},"uris":["http://www.mendeley.com/documents/?uuid=e162dded-7772-4d9c-b754-722def1bd8b7"]}],"mendeley":{"formattedCitation":"&lt;sup&gt;[12]&lt;/sup&gt;","plainTextFormattedCitation":"[12]","previouslyFormattedCitation":"&lt;sup&gt;12&lt;/sup&gt;"},"properties":{"noteIndex":0},"schema":"https://github.com/citation-style-language/schema/raw/master/csl-citation.json"}</w:instrText>
      </w:r>
      <w:r w:rsidR="00E3489C" w:rsidRPr="00556FBB">
        <w:rPr>
          <w:rFonts w:ascii="Book Antiqua" w:hAnsi="Book Antiqua" w:cs="Times New Roman"/>
          <w:sz w:val="24"/>
          <w:szCs w:val="24"/>
        </w:rPr>
        <w:fldChar w:fldCharType="separate"/>
      </w:r>
      <w:r w:rsidR="00E3489C"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1</w:t>
      </w:r>
      <w:r w:rsidR="00E3489C" w:rsidRPr="00556FBB">
        <w:rPr>
          <w:rFonts w:ascii="Book Antiqua" w:hAnsi="Book Antiqua" w:cs="Times New Roman"/>
          <w:noProof/>
          <w:sz w:val="24"/>
          <w:szCs w:val="24"/>
          <w:vertAlign w:val="superscript"/>
        </w:rPr>
        <w:t>]</w:t>
      </w:r>
      <w:r w:rsidR="00E3489C"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that </w:t>
      </w:r>
      <w:r w:rsidRPr="00556FBB">
        <w:rPr>
          <w:rFonts w:ascii="Book Antiqua" w:hAnsi="Book Antiqua" w:cs="Times New Roman"/>
          <w:sz w:val="24"/>
          <w:szCs w:val="24"/>
        </w:rPr>
        <w:lastRenderedPageBreak/>
        <w:t xml:space="preserve">the cost of PIRG to be $1,985 while that of PEG to be $1862 in an </w:t>
      </w:r>
      <w:r w:rsidR="00E3489C" w:rsidRPr="00556FBB">
        <w:rPr>
          <w:rFonts w:ascii="Book Antiqua" w:hAnsi="Book Antiqua" w:cs="Times New Roman"/>
          <w:sz w:val="24"/>
          <w:szCs w:val="24"/>
        </w:rPr>
        <w:t>United States</w:t>
      </w:r>
      <w:r w:rsidRPr="00556FBB">
        <w:rPr>
          <w:rFonts w:ascii="Book Antiqua" w:hAnsi="Book Antiqua" w:cs="Times New Roman"/>
          <w:sz w:val="24"/>
          <w:szCs w:val="24"/>
        </w:rPr>
        <w:t xml:space="preserve"> institution while </w:t>
      </w:r>
      <w:proofErr w:type="spellStart"/>
      <w:r w:rsidRPr="00556FBB">
        <w:rPr>
          <w:rFonts w:ascii="Book Antiqua" w:hAnsi="Book Antiqua" w:cs="Times New Roman"/>
          <w:sz w:val="24"/>
          <w:szCs w:val="24"/>
        </w:rPr>
        <w:t>Galaski</w:t>
      </w:r>
      <w:proofErr w:type="spellEnd"/>
      <w:r w:rsidRPr="00556FBB">
        <w:rPr>
          <w:rFonts w:ascii="Book Antiqua" w:hAnsi="Book Antiqua" w:cs="Times New Roman"/>
          <w:sz w:val="24"/>
          <w:szCs w:val="24"/>
        </w:rPr>
        <w:t xml:space="preserve"> </w:t>
      </w:r>
      <w:r w:rsidRPr="00556FBB">
        <w:rPr>
          <w:rFonts w:ascii="Book Antiqua" w:hAnsi="Book Antiqua" w:cs="Times New Roman"/>
          <w:i/>
          <w:iCs/>
          <w:sz w:val="24"/>
          <w:szCs w:val="24"/>
        </w:rPr>
        <w:t>et al</w:t>
      </w:r>
      <w:r w:rsidR="00E3489C" w:rsidRPr="00556FBB">
        <w:rPr>
          <w:rFonts w:ascii="Book Antiqua" w:hAnsi="Book Antiqua" w:cs="Times New Roman"/>
          <w:sz w:val="24"/>
          <w:szCs w:val="24"/>
        </w:rPr>
        <w:fldChar w:fldCharType="begin" w:fldLock="1"/>
      </w:r>
      <w:r w:rsidR="00E3489C" w:rsidRPr="00556FBB">
        <w:rPr>
          <w:rFonts w:ascii="Book Antiqua" w:hAnsi="Book Antiqua" w:cs="Times New Roman"/>
          <w:sz w:val="24"/>
          <w:szCs w:val="24"/>
        </w:rPr>
        <w:instrText>ADDIN CSL_CITATION {"citationItems":[{"id":"ITEM-1","itemData":{"DOI":"10.1155/2009/801925","ISSN":"08357900","abstract":"OBJECTIVES: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available.METHODS: Retrospective chart reviews were conducted. Patients who had initial percutaneous endoscopic gastrostomy (PEG) or percutaneous radiological gastrostomy (PRG) tubes inserted for nutritional purposes were included in the study.RESULTS: A total of 136 charts which included 30 PEG and 44 PRG procedures were reviewed. The PRG group was older than the PEG group (mean [± SD] age 68±19 years versus 55±21 years, respectively; P=0.008). Patients in PEG group had longer lengths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Gastroenterology","id":"ITEM-1","issue":"2","issued":{"date-parts":[["2009"]]},"page":"109-114","title":"Gastrostomy tube placement by radiological versus endoscopic methods in an acute care setting: A retrospective review of frequency, indications, complications and outcomes","type":"article-journal","volume":"23"},"uris":["http://www.mendeley.com/documents/?uuid=5a2123df-09d0-4834-b1a4-4cce32cf36ff","http://www.mendeley.com/documents/?uuid=2c7fd3e1-747b-4f32-83b8-2c2ee1713d81"]}],"mendeley":{"formattedCitation":"&lt;sup&gt;[11]&lt;/sup&gt;","plainTextFormattedCitation":"[11]","previouslyFormattedCitation":"&lt;sup&gt;11&lt;/sup&gt;"},"properties":{"noteIndex":0},"schema":"https://github.com/citation-style-language/schema/raw/master/csl-citation.json"}</w:instrText>
      </w:r>
      <w:r w:rsidR="00E3489C" w:rsidRPr="00556FBB">
        <w:rPr>
          <w:rFonts w:ascii="Book Antiqua" w:hAnsi="Book Antiqua" w:cs="Times New Roman"/>
          <w:sz w:val="24"/>
          <w:szCs w:val="24"/>
        </w:rPr>
        <w:fldChar w:fldCharType="separate"/>
      </w:r>
      <w:r w:rsidR="00E3489C"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2</w:t>
      </w:r>
      <w:r w:rsidR="00E3489C" w:rsidRPr="00556FBB">
        <w:rPr>
          <w:rFonts w:ascii="Book Antiqua" w:hAnsi="Book Antiqua" w:cs="Times New Roman"/>
          <w:noProof/>
          <w:sz w:val="24"/>
          <w:szCs w:val="24"/>
          <w:vertAlign w:val="superscript"/>
        </w:rPr>
        <w:t>]</w:t>
      </w:r>
      <w:r w:rsidR="00E3489C"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$407 for PIRG and $591 for PEG in Canadian dollars. In addition, since it can be performed in a timely manner (the vast majority of PIRG procedures are below 30 min at our institution), scheduling is often more flexible as well.</w:t>
      </w:r>
    </w:p>
    <w:p w14:paraId="597E42EB" w14:textId="489CCEB5"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Clinically, there are a limited number of absolute contraindications for PIRG, including active peritonitis, uncorrectable coagulopathy, and acute bowel ischemia (if the gastrostomy catheter is used for feeding purposes)</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{"citationItems":[{"id":"ITEM-1","itemData":{"DOI":"10.1007/s00270-016-1344-z","ISSN":"1432086X","abstract":"Surgical Gastrostomy has been around since the 19th century but in 1980\\nthe first successful percutaneous endoscopic gastrostomy was reported. A\\nyear later the first successful percutaneous gastrostomy was performed\\nusing fluoroscopic guidance. The technique for percutaneous insertion\\nand the equipment used has been refined since then and it is now\\nconsidered the gold standard for gastrostomy insertion. Here we present\\nguidelines for image-guided enteral feeding tubes in adults.\\nWe performed a review and analysis of the scientific literature, other\\nnational and international guidelines and expert opinion.\\nStudies have shown fluoroscopic techniques have consistently higher\\nsuccess rates with lower rates of major complications than endoscopic\\ntechniques. However, the Achilles' heel of many fluoroscopic techniques\\nis the requirement for smaller gastrostomy tube sizes resulting in them\\nbeing more prone to blockages and thus requiring further intervention.\\nRadiological feeding tube insertion is a safe and effective procedure.\\nSuccess rates are higher, and complication rates lower than PEG or\\nsurgical gastrostomy tube placement and innovative techniques for\\ngastric and jejunal access mean that there are very few cases in which\\nRIG is not possible. The principal weakness of radiologically inserted\\ngastrostomies is the limitiation on tube size which leads to a higher\\nrate of tube blockage. Per-oral image-guided gastrostomies have to an\\nextent addressed this but have not been popularised. Currently many\\ncentres still consider endoscopic gastrostomies as the first line unless\\npatients are too unwell to undergo this procedure or previous attempts\\nhave failed, in which case radioloically inserted gastrostomies are the\\ntechnique of choice.","author":[{"dropping-particle":"","family":"Sutcliffe","given":"James","non-dropping-particle":"","parse-names":false,"suffix":""},{"dropping-particle":"","family":"Wigham","given":"Andrew","non-dropping-particle":"","parse-names":false,"suffix":""},{"dropping-particle":"","family":"Mceniff","given":"Niall","non-dropping-particle":"","parse-names":false,"suffix":""},{"dropping-particle":"","family":"Dvorak","given":"Petr","non-dropping-particle":"","parse-names":false,"suffix":""},{"dropping-particle":"","family":"Crocetti","given":"Laura","non-dropping-particle":"","parse-names":false,"suffix":""},{"dropping-particle":"","family":"Uberoi","given":"Raman","non-dropping-particle":"","parse-names":false,"suffix":""}],"container-title":"CardioVascular and Interventional Radiology","id":"ITEM-1","issued":{"date-parts":[["2016"]]},"title":"CIRSE Standards of Practice Guidelines on Gastrostomy","type":"article-journal"},"uris":["http://www.mendeley.com/documents/?uuid=19b7815a-07b8-4004-ad92-2a262f29d882","http://www.mendeley.com/documents/?uuid=89132863-0a9b-427e-a3cf-a7b15f988e9e"]}],"mendeley":{"formattedCitation":"&lt;sup&gt;[13]&lt;/sup&gt;","plainTextFormattedCitation":"[13]","previouslyFormattedCitation":"&lt;sup&gt;13&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[13]</w:t>
      </w:r>
      <w:r w:rsidRPr="00556FBB">
        <w:rPr>
          <w:rFonts w:ascii="Book Antiqua" w:hAnsi="Book Antiqua" w:cs="Times New Roman"/>
          <w:sz w:val="24"/>
          <w:szCs w:val="24"/>
        </w:rPr>
        <w:fldChar w:fldCharType="end"/>
      </w:r>
      <w:r w:rsidRPr="00556FBB">
        <w:rPr>
          <w:rFonts w:ascii="Book Antiqua" w:hAnsi="Book Antiqua" w:cs="Times New Roman"/>
          <w:sz w:val="24"/>
          <w:szCs w:val="24"/>
        </w:rPr>
        <w:t>. Modifications and improvement of the current practice can avoid much of the technical difficulties. The use of image guided direct transabdominal access can avoid an obstructing neoplastic mass involving the pharynx, larynx, esophagus and stomach. The use of cone-beam CT in addition to fluoroscopic guidance in challenging cases can effectively identify the insufflated stomach and avoid needle punctures to the adjacent organs such as the colon, liver and spleen. In the past, colonic interposition was an absolute contraindication</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{"citationItems":[{"id":"ITEM-1","itemData":{"DOI":"10.1053/crad.2001.0782","ISSN":"00099260","abstract":"Long-term gastrostomy tubes have a widely accepted role in providing nutritional support. Traditionally, they have been placed by surgeons and by endoscopists. In the last decade, radiologists have come to play a major role in the placement of gastrostomy and gastrojejunostomy devices, and can usually do so as effectively and at lesser expense. A technique for placement is outlined, with a discussion of patient selection and complications. A review of the literature is provided. © 2001 The Royal College of Radiologists.","author":[{"dropping-particle":"","family":"Ho","given":"S. G.F.","non-dropping-particle":"","parse-names":false,"suffix":""},{"dropping-particle":"","family":"Marchinkow","given":"L. O.","non-dropping-particle":"","parse-names":false,"suffix":""},{"dropping-particle":"","family":"Legiehn","given":"G. M.","non-dropping-particle":"","parse-names":false,"suffix":""},{"dropping-particle":"","family":"Munk","given":"P. L.","non-dropping-particle":"","parse-names":false,"suffix":""},{"dropping-particle":"","family":"Lee","given":"M. J.","non-dropping-particle":"","parse-names":false,"suffix":""}],"container-title":"Clinical Radiology","id":"ITEM-1","issued":{"date-parts":[["2001"]]},"page":"902-910","title":"Radiological percutaneous gastrostomy","type":"article-journal","volume":"56"},"uris":["http://www.mendeley.com/documents/?uuid=dfbd5366-f375-4fde-8ec5-bb7514013013","http://www.mendeley.com/documents/?uuid=32c98be3-7d65-48ad-9b38-95c25bf4d836"]}],"mendeley":{"formattedCitation":"&lt;sup&gt;[14]&lt;/sup&gt;","plainTextFormattedCitation":"[14]","previouslyFormattedCitation":"&lt;sup&gt;14&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[1]</w:t>
      </w:r>
      <w:r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However, with fluoroscopic guidance, an </w:t>
      </w:r>
      <w:proofErr w:type="spellStart"/>
      <w:r w:rsidRPr="00556FBB">
        <w:rPr>
          <w:rFonts w:ascii="Book Antiqua" w:hAnsi="Book Antiqua" w:cs="Times New Roman"/>
          <w:sz w:val="24"/>
          <w:szCs w:val="24"/>
        </w:rPr>
        <w:t>infracolonic</w:t>
      </w:r>
      <w:proofErr w:type="spellEnd"/>
      <w:r w:rsidRPr="00556FBB">
        <w:rPr>
          <w:rFonts w:ascii="Book Antiqua" w:hAnsi="Book Antiqua" w:cs="Times New Roman"/>
          <w:sz w:val="24"/>
          <w:szCs w:val="24"/>
        </w:rPr>
        <w:t xml:space="preserve"> approach is feasible.</w:t>
      </w:r>
    </w:p>
    <w:p w14:paraId="5BDA0A9C" w14:textId="241DA64F"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The technical success rate of PIRG is high. PIRG success rate ranges between 98</w:t>
      </w:r>
      <w:r w:rsidR="00E3489C" w:rsidRPr="00556FBB">
        <w:rPr>
          <w:rFonts w:ascii="Book Antiqua" w:hAnsi="Book Antiqua" w:cs="Times New Roman"/>
          <w:sz w:val="24"/>
          <w:szCs w:val="24"/>
        </w:rPr>
        <w:t>%-</w:t>
      </w:r>
      <w:r w:rsidRPr="00556FBB">
        <w:rPr>
          <w:rFonts w:ascii="Book Antiqua" w:hAnsi="Book Antiqua" w:cs="Times New Roman"/>
          <w:sz w:val="24"/>
          <w:szCs w:val="24"/>
        </w:rPr>
        <w:t>100%</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{"citationItems":[{"id":"ITEM-1","itemData":{"DOI":"10.1148/radiol.15141327","ISSN":"0033-8419","abstract":"PURPOSE To assess long-term outcomes including risk of complications and nutritional benefits of mushroom-retained (pull-type) gastrostomy catheters placed in patients by interventional radiologists. MATERIALS AND METHODS All patients who received pull-type gastrostomy tubes between 2010 and 2013 were retrospectively reviewed, including 142 men (average weight, 169.6 lb [76.32 kg]; mean age, 65.2 years; range, 22-92 years) and 158 women (average weight, 150.4 lb [67.68 kg]; mean age, 65.2 years; range, 18-98 years). Indications for placement were cerebrovascular accident (n = 80), failure to thrive (n = 71), other central nervous system disorder (n = 51), head and neck cancer (n = 47), and other malignancy (n = 51). Complications were recorded per Society of Interventional Radiology practice guidelines. Patient weight was documented at specific follow-up intervals. Statistical analysis was performed by using the Student t test and one-way analysis of variance for the effects of sex and indication for placement, respectively, on average weight change. RESULTS The technical success rate was 98.4% (300 of 305 patients). Major and minor complications occurred at a rate of 3.7% (n = 11) and 13% (n = 39), respectively. Follow-up weight during the early (≤45 days), intermediate (≤180 days), and long-term (&gt;180 days) periods was available for 71% (n = 214), 36% (n = 108), and 15% (n = 44) of the 300 patients, respectively. Weight gain occurred in 77% (160 of 214), 60% (65 of 108), and 73% (32 of 44) of the patients, respectively. Patients who gained weight gained 6.7, 10.6, and 16.3 lb (3.02, 4.77, and 7.34 kg) during each follow-up period, respectively. Average weight gain at follow-up in all patients was 4.2, 0.6, and 5.4 lb (1.89, 0.27, and 2.43 kg), respectively. No significant differences in average weight change were seen among groups when they were classified according to sex or indication for placement. CONCLUSION Placement of mushroom-retained gastrostomy catheters is a viable long-term treatment option for enteral nutrition, with complication rates similar to those reported for other gastrostomy techniques. Improvement in nutrition status measured as weight gain was seen in most patients in both early and long-term periods.","author":[{"dropping-particle":"","family":"Ahmed","given":"Osman","non-dropping-particle":"","parse-names":false,"suffix":""},{"dropping-particle":"","family":"Jilani","given":"Danial","non-dropping-particle":"","parse-names":false,"suffix":""},{"dropping-particle":"","family":"Sheth","given":"Sujay","non-dropping-particle":"","parse-names":false,"suffix":""},{"dropping-particle":"","family":"Giger","given":"Maryellen","non-dropping-particle":"","parse-names":false,"suffix":""},{"dropping-particle":"","family":"Funaki","given":"Brian","non-dropping-particle":"","parse-names":false,"suffix":""}],"container-title":"Radiology","id":"ITEM-1","issued":{"date-parts":[["2015"]]},"page":"588-596","title":"Radiologically Guided Placement of Mushroom-retained Gastrostomy Catheters: Long-term Outcomes of Use in 300 Patients at a Single Center","type":"article-journal","volume":"276"},"uris":["http://www.mendeley.com/documents/?uuid=fd80a515-37b8-424e-b16a-2ccc9fe77984","http://www.mendeley.com/documents/?uuid=92ed7dbf-4744-476b-bffd-b46b14e87afa"]}],"mendeley":{"formattedCitation":"&lt;sup&gt;[15]&lt;/sup&gt;","plainTextFormattedCitation":"[15]","previouslyFormattedCitation":"&lt;sup&gt;15&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4</w:t>
      </w:r>
      <w:r w:rsidRPr="00556FBB">
        <w:rPr>
          <w:rFonts w:ascii="Book Antiqua" w:hAnsi="Book Antiqua" w:cs="Times New Roman"/>
          <w:sz w:val="24"/>
          <w:szCs w:val="24"/>
        </w:rPr>
        <w:fldChar w:fldCharType="end"/>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{"citationItems":[{"id":"ITEM-1","itemData":{"DOI":"10.1148/radiology.210.3.r99mr40651","ISSN":"0033-8419","abstract":"To evaluate the feasibility, complications, adequacy of feeding support, and tolerability of fluoroscopically guided gastrostomy in cancer patients.","author":[{"dropping-particle":"","family":"Baere","given":"Thierry","non-dropping-particle":"de","parse-names":false,"suffix":""},{"dropping-particle":"","family":"Chapot","given":"René","non-dropping-particle":"","parse-names":false,"suffix":""},{"dropping-particle":"","family":"Kuoch","given":"Viseth","non-dropping-particle":"","parse-names":false,"suffix":""},{"dropping-particle":"","family":"Chevallier","given":"Patrick","non-dropping-particle":"","parse-names":false,"suffix":""},{"dropping-particle":"","family":"Delille","given":"Jean Paul","non-dropping-particle":"","parse-names":false,"suffix":""},{"dropping-particle":"","family":"Domenge","given":"Christian","non-dropping-particle":"","parse-names":false,"suffix":""},{"dropping-particle":"","family":"Schwaab","given":"Guy","non-dropping-particle":"","parse-names":false,"suffix":""},{"dropping-particle":"","family":"Roche","given":"Alain","non-dropping-particle":"","parse-names":false,"suffix":""}],"container-title":"Radiology","id":"ITEM-1","issued":{"date-parts":[["1999"]]},"page":"651-654","title":"Percutaneous Gastrostomy with Fluoroscopic Guidance: Single-Center Experience in 500 Consecutive Cancer Patients","type":"article-journal","volume":"210"},"uris":["http://www.mendeley.com/documents/?uuid=05936f64-316b-4f98-ab3b-e91b1ba5eba3","http://www.mendeley.com/documents/?uuid=27b8aea1-1319-4254-97e2-0540eebc858a"]}],"mendeley":{"formattedCitation":"&lt;sup&gt;[18]&lt;/sup&gt;","plainTextFormattedCitation":"[18]","previouslyFormattedCitation":"&lt;sup&gt;18&lt;/sup&gt;"},"properties":{"noteIndex":0},"schema":"https://github.com/citation-style-language/schema/raw/master/csl-citation.json"}</w:instrText>
      </w:r>
      <w:r w:rsidRPr="00556FBB">
        <w:rPr>
          <w:rFonts w:ascii="Book Antiqua" w:hAnsi="Book Antiqua" w:cs="Times New Roman"/>
          <w:sz w:val="24"/>
          <w:szCs w:val="24"/>
        </w:rPr>
        <w:fldChar w:fldCharType="separate"/>
      </w:r>
      <w:r w:rsidR="00E3489C" w:rsidRPr="00556FBB">
        <w:rPr>
          <w:rFonts w:ascii="Book Antiqua" w:hAnsi="Book Antiqua" w:cs="Times New Roman"/>
          <w:noProof/>
          <w:sz w:val="24"/>
          <w:szCs w:val="24"/>
          <w:vertAlign w:val="superscript"/>
        </w:rPr>
        <w:t>-</w:t>
      </w:r>
      <w:r w:rsidR="0031455F"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7</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In comparison, surgical gastrostomy has a 100% success rate due to the nature of the open approach</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{"citationItems":[{"id":"ITEM-1","itemData":{"DOI":"10.1148/radiology.197.3.7480742","ISSN":"0033-8419","abstract":"PURPOSE: To evaluate the effectiveness and safety of radiologic, percutaneous endoscopic (PEG), and surgical gastrostomy. MATERIALS AND METHODS: This project involved 5,752 patients (837 patients underwent radiologic gastrotomy; 4,194, PEG; and 721, surgical gastrostomy). Seventy-two (47 male, 25 female; age range, 12-94 years) underwent gastrostomy within 1 year in this series (radiologic gastrostomy, n = 33; PEG, n = 35; surgical gastrostomy, n = 4). A meta-analysis of 5,680 additional cases from literature published from 1980 to the present was also performed. RESULTS: Rates of successful tube placement were higher for radiologic gastrostomy than for PEG in our series and in the meta-analysis (99.2% vs 95.7%, P &lt; .001). Major complications occurred less frequently after radiologic gastrostomy in our series and in the meta-analysis (5.9% vs 9.4% for PEG and 19.9% for surgery, P &lt; .001). Thirty-day procedure-related mortality rates were highest for surgery (2.5% vs 0.3% for radiologic gastrostomy and 0.53% for PEG, P &lt; .001). CONCLUSION: Radiologic gastrostomy is associated with a higher success rate than is PEG and less morbidity than either PEG or surgery","author":[{"dropping-particle":"","family":"Wollman","given":"B","non-dropping-particle":"","parse-names":false,"suffix":""},{"dropping-particle":"","family":"D'Agostino","given":"H B","non-dropping-particle":"","parse-names":false,"suffix":""},{"dropping-particle":"","family":"Walus-Wigle","given":"J R","non-dropping-particle":"","parse-names":false,"suffix":""},{"dropping-particle":"","family":"Easter","given":"D W","non-dropping-particle":"","parse-names":false,"suffix":""},{"dropping-particle":"","family":"Beale","given":"A","non-dropping-particle":"","parse-names":false,"suffix":""}],"container-title":"Radiology","id":"ITEM-1","issued":{"date-parts":[["2014"]]},"title":"Radiologic, endoscopic, and surgical gastrostomy: an institutional evaluation and meta-analysis of the literature.","type":"article-journal"},"uris":["http://www.mendeley.com/documents/?uuid=29278ca3-6450-44c5-8d32-6f9d0396adad"]}],"mendeley":{"formattedCitation":"&lt;sup&gt;[2]&lt;/sup&gt;","plainTextFormattedCitation":"[2]","previouslyFormattedCitation":"&lt;sup&gt;2&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Pr="00556FBB">
        <w:rPr>
          <w:rFonts w:ascii="Book Antiqua" w:hAnsi="Book Antiqua" w:cs="Times New Roman"/>
          <w:sz w:val="24"/>
          <w:szCs w:val="24"/>
        </w:rPr>
        <w:fldChar w:fldCharType="end"/>
      </w:r>
      <w:r w:rsidRPr="00556FBB">
        <w:rPr>
          <w:rFonts w:ascii="Book Antiqua" w:hAnsi="Book Antiqua" w:cs="Times New Roman"/>
          <w:sz w:val="24"/>
          <w:szCs w:val="24"/>
        </w:rPr>
        <w:t>. PEG has a success rate ranging between 84</w:t>
      </w:r>
      <w:r w:rsidR="00E3489C" w:rsidRPr="00556FBB">
        <w:rPr>
          <w:rFonts w:ascii="Book Antiqua" w:hAnsi="Book Antiqua" w:cs="Times New Roman"/>
          <w:sz w:val="24"/>
          <w:szCs w:val="24"/>
        </w:rPr>
        <w:t>%-</w:t>
      </w:r>
      <w:r w:rsidRPr="00556FBB">
        <w:rPr>
          <w:rFonts w:ascii="Book Antiqua" w:hAnsi="Book Antiqua" w:cs="Times New Roman"/>
          <w:sz w:val="24"/>
          <w:szCs w:val="24"/>
        </w:rPr>
        <w:t>96%</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{"citationItems":[{"id":"ITEM-1","itemData":{"DOI":"10.1007/s002709900269","ISSN":"01741551","abstract":"PURPOSE: To compare the results and costs of three different means of achieving direct percutaneous gastroenteric access. METHODS: Three groups of patients received the following procedures: fluoroscopically guided percutaneous gastrostomy/gastrojejunostomy (FPG, n = 42); percutaneous endoscopic gastrostomy/gastrojejunostomy (PEG, n = 45); and surgical endoscopic gastrostomy/gastrojejunostomy (SEG, n = 34). Retrospective review of the medical records was performed to evaluate indications for the procedure, procedure technical success, and outcome. Estimated costs were compared for each of the three procedures, using a combination of charges and materials costs. RESULTS: Technical success was greater for FPG and SEG (100% each) than for PEG (84%, p = 0.008 vs FPG and p = 0.02 vs SEG). All patients (n = 7) who failed PEG subsequently underwent successful FPG. Success in placing a gastrojejunostomy was 91% for FPG, and estimated at 43% for PEG and 0 for SEG. Complications did not differ in frequency among groups. For gastrostomy, the average cost per successful tube was lowest in the PEG group ($1862, p = 0.02); FPG averaged $1985, and SEG $3694. SEG costs significantly more than FPG or PEG (p = 0.0001). For gastrojejunostomy, FPG averaged $2201, PEG $3158, and SEG $3045. CONCLUSION: Technical success for gastrostomy is higher for FPG and SEG than PEG. Though PEG is the least costly procedure, the difference is modest compared with FPG. For gastrojejunostomy, FPG offers the highest technical success rate and lowest cost. Due to high costs associated with the operating room, SEG should be reserved for those patients undergoing a concurrent surgical procedure.","author":[{"dropping-particle":"","family":"Barkmeier","given":"Jeffrey M.","non-dropping-particle":"","parse-names":false,"suffix":""},{"dropping-particle":"","family":"Trerotola","given":"Scott O.","non-dropping-particle":"","parse-names":false,"suffix":""},{"dropping-particle":"","family":"Wiebke","given":"Eric A.","non-dropping-particle":"","parse-names":false,"suffix":""},{"dropping-particle":"","family":"Sherman","given":"Stuart","non-dropping-particle":"","parse-names":false,"suffix":""},{"dropping-particle":"","family":"Harris","given":"Veronica J.","non-dropping-particle":"","parse-names":false,"suffix":""},{"dropping-particle":"","family":"Snidow","given":"John J.","non-dropping-particle":"","parse-names":false,"suffix":""},{"dropping-particle":"","family":"Johnson","given":"Matthew S.","non-dropping-particle":"","parse-names":false,"suffix":""},{"dropping-particle":"","family":"Rogers","given":"Wendy J.","non-dropping-particle":"","parse-names":false,"suffix":""},{"dropping-particle":"","family":"Zhou","given":"Xiao Hua","non-dropping-particle":"","parse-names":false,"suffix":""}],"container-title":"CardioVascular and Interventional Radiology","id":"ITEM-1","issued":{"date-parts":[["1998"]]},"page":"324-328","title":"Percutaneous radiologic, surgical endoscopic, and percutaneous endoscopic gastrostomy/gastrojejunostomy: Comparative study and cost analysis","type":"article-journal","volume":"21"},"uris":["http://www.mendeley.com/documents/?uuid=e162dded-7772-4d9c-b754-722def1bd8b7"]}],"mendeley":{"formattedCitation":"&lt;sup&gt;[12]&lt;/sup&gt;","plainTextFormattedCitation":"[12]","previouslyFormattedCitation":"&lt;sup&gt;12&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[12</w:t>
      </w:r>
      <w:r w:rsidR="00E3489C"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{"citationItems":[{"id":"ITEM-1","itemData":{"DOI":"10.1016/j.jvir.2009.11.022","ISSN":"10510443","abstract":"Purpose: To compare percutaneous radiologic gastrostomy (PRG) and percutaneous endoscopic gastrostomy (PEG) in terms of tolerance, efficacy, and survival in patients with amyotrophic lateral sclerosis (ALS). Materials and Methods: Forty patients with ALS (17 men; mean age, 66.1 years; range, 39-83 y) underwent 21 PEG and 22 PRG attempts (including three unsuccessful PEG attempts) from 1999 to 2005. To assess tolerance and efficacy, a successful and well tolerated placement was defined as any successful placement with no major or minor local complications or pain requiring opioid analgesic agents. Univariate analysis was performed for all recorded parameters, followed by multivariate analysis for successful and well tolerated placement, 6-month mortality rate, and survival. Results: General success rates were 85.7% for PEG and 100% for PRG. Pain was more frequent in PRGs (81.8% vs 52.4%; P = .05). Successful and well tolerated placement was seen in 81.8% of PRGs and 57.1% of PEGs (P = 0.1). Advanced age (P = .02) and PRG (P = .07) were predictive of successful and well tolerated placement. The interval from diagnosis to placement (P = .001) and ability to perform spirometry (P = .002) were predictive of survival. Oximetry measurements (P = .007) and interval from diagnosis to placement (P = .02) were predictive of mortality at 6 months. Conclusions: PRG is more efficacious and better tolerated than PEG, essentially because it avoids the respiratory decompensation that may occur in PEG. Therefore, PRG should be preferred in cases of ALS. Survival is linked to ALS evolution and not to the choice of PRG or PEG placement. © 2010 SIR.","author":[{"dropping-particle":"","family":"Blondet","given":"Alexandre","non-dropping-particle":"","parse-names":false,"suffix":""},{"dropping-particle":"","family":"Lebigot","given":"Jérôme","non-dropping-particle":"","parse-names":false,"suffix":""},{"dropping-particle":"","family":"Nicolas","given":"Guillaume","non-dropping-particle":"","parse-names":false,"suffix":""},{"dropping-particle":"","family":"Boursier","given":"Jérôme","non-dropping-particle":"","parse-names":false,"suffix":""},{"dropping-particle":"","family":"Person","given":"Bruno","non-dropping-particle":"","parse-names":false,"suffix":""},{"dropping-particle":"","family":"Laccoureye","given":"Laurent","non-dropping-particle":"","parse-names":false,"suffix":""},{"dropping-particle":"","family":"Aubé","given":"Christophe","non-dropping-particle":"","parse-names":false,"suffix":""}],"container-title":"Journal of Vascular and Interventional Radiology","id":"ITEM-1","issued":{"date-parts":[["2010"]]},"page":"527-533","title":"Radiologic versus Endoscopic Placement of Percutaneous Gastrostomy in Amyotrophic Lateral Sclerosis: Multivariate Analysis of Tolerance, Efficacy, and Survival","type":"article-journal","volume":"21"},"uris":["http://www.mendeley.com/documents/?uuid=a72f93c5-c497-490d-8764-1d3d2fa54a5e","http://www.mendeley.com/documents/?uuid=bdca7b58-7fe3-4191-b237-58adf4492190"]}],"mendeley":{"formattedCitation":"&lt;sup&gt;[19]&lt;/sup&gt;","plainTextFormattedCitation":"[19]","previouslyFormattedCitation":"&lt;sup&gt;19&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8</w:t>
      </w:r>
      <w:r w:rsidR="00E3489C"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{"citationItems":[{"id":"ITEM-1","itemData":{"DOI":"10.1016/S1051-0443(99)70058-8","ISSN":"10510443","abstract":"PURPOSE: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Radiology","id":"ITEM-1","issued":{"date-parts":[["1999"]]},"page":"413-420","title":"Radiologic gastrojejunostomy and percutaneous endoscopic gastrostomy: A prospective, randomized comparison","type":"article-journal","volume":"10"},"uris":["http://www.mendeley.com/documents/?uuid=b8fa77cc-be38-4a5e-b93a-e9297d40dec1","http://www.mendeley.com/documents/?uuid=ded94012-91ce-48ed-9824-cb6f63bb463f"]}],"mendeley":{"formattedCitation":"&lt;sup&gt;[20]&lt;/sup&gt;","plainTextFormattedCitation":"[20]","previouslyFormattedCitation":"&lt;sup&gt;20&lt;/sup&gt;"},"properties":{"noteIndex":0},"schema":"https://github.com/citation-style-language/schema/raw/master/csl-citation.json"}</w:instrText>
      </w:r>
      <w:r w:rsidRPr="00556FBB">
        <w:rPr>
          <w:rFonts w:ascii="Book Antiqua" w:hAnsi="Book Antiqua" w:cs="Times New Roman"/>
          <w:sz w:val="24"/>
          <w:szCs w:val="24"/>
        </w:rPr>
        <w:fldChar w:fldCharType="separate"/>
      </w:r>
      <w:r w:rsidR="00556FBB">
        <w:rPr>
          <w:rFonts w:ascii="Book Antiqua" w:hAnsi="Book Antiqua" w:cs="Times New Roman"/>
          <w:noProof/>
          <w:sz w:val="24"/>
          <w:szCs w:val="24"/>
          <w:vertAlign w:val="superscript"/>
        </w:rPr>
        <w:t>19</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The technical difficulties associated with PEG are largely due to inability to adequately </w:t>
      </w:r>
      <w:proofErr w:type="spellStart"/>
      <w:r w:rsidRPr="00556FBB">
        <w:rPr>
          <w:rFonts w:ascii="Book Antiqua" w:hAnsi="Book Antiqua" w:cs="Times New Roman"/>
          <w:sz w:val="24"/>
          <w:szCs w:val="24"/>
        </w:rPr>
        <w:t>transilluminate</w:t>
      </w:r>
      <w:proofErr w:type="spellEnd"/>
      <w:r w:rsidRPr="00556FBB">
        <w:rPr>
          <w:rFonts w:ascii="Book Antiqua" w:hAnsi="Book Antiqua" w:cs="Times New Roman"/>
          <w:sz w:val="24"/>
          <w:szCs w:val="24"/>
        </w:rPr>
        <w:t xml:space="preserve"> the anterior abdominal wall, such as in the case of morbidly obese patients. Local anatomical anomalies such as large hiatal hernia and obstructing oropharyngeal cancer are limiting the use of PEG. PIRG can be successfully performed in patients who have failed PEG attempts. Thor</w:t>
      </w:r>
      <w:r w:rsidR="00556FBB">
        <w:rPr>
          <w:rFonts w:ascii="Book Antiqua" w:hAnsi="Book Antiqua" w:cs="Times New Roman"/>
          <w:sz w:val="24"/>
          <w:szCs w:val="24"/>
        </w:rPr>
        <w:t>n</w:t>
      </w:r>
      <w:r w:rsidRPr="00556FBB">
        <w:rPr>
          <w:rFonts w:ascii="Book Antiqua" w:hAnsi="Book Antiqua" w:cs="Times New Roman"/>
          <w:sz w:val="24"/>
          <w:szCs w:val="24"/>
        </w:rPr>
        <w:t xml:space="preserve">ton </w:t>
      </w:r>
      <w:r w:rsidRPr="00556FBB">
        <w:rPr>
          <w:rFonts w:ascii="Book Antiqua" w:hAnsi="Book Antiqua" w:cs="Times New Roman"/>
          <w:i/>
          <w:iCs/>
          <w:sz w:val="24"/>
          <w:szCs w:val="24"/>
        </w:rPr>
        <w:t>et al</w:t>
      </w:r>
      <w:r w:rsidR="00E3489C" w:rsidRPr="00556FBB">
        <w:rPr>
          <w:rFonts w:ascii="Book Antiqua" w:hAnsi="Book Antiqua" w:cs="Times New Roman"/>
          <w:sz w:val="24"/>
          <w:szCs w:val="24"/>
        </w:rPr>
        <w:fldChar w:fldCharType="begin" w:fldLock="1"/>
      </w:r>
      <w:r w:rsidR="00E3489C" w:rsidRPr="00556FBB">
        <w:rPr>
          <w:rFonts w:ascii="Book Antiqua" w:hAnsi="Book Antiqua" w:cs="Times New Roman"/>
          <w:sz w:val="24"/>
          <w:szCs w:val="24"/>
        </w:rPr>
        <w:instrText>ADDIN CSL_CITATION {"citationItems":[{"id":"ITEM-1","itemData":{"DOI":"10.1007/s002700010069","ISSN":"01741551","abstract":"PURPOSE: Percutaneous endoscopic gastrostomy (PEG) is not possible or fails in some patients. We aimed to categorize the reasons for PEG failure, to study the success of percutaneous radiologic gastrostomy (PRG) in these patients, and to highlight the associated technical difficulties and complications. METHODS: Forty-two patients (28 men, 14 women; mean age 60 years, range 18-93 years) in whom PEG failed or was not possible, underwent PRG. PEG failure or unsuitability was due to upper gastrointestinal tract obstruction or other pathology precluding PEG in 15 of the 42 patients, suboptimal transillumination in 22 of 42 patients, and advanced cardiorespiratory decompensation precluding endoscopy in five of 42 patients. T-fastener gastropexy was used in all patients and 14-18 Fr catheters were inserted. RESULTS: PRG was successful in 41 of 42 patients (98%). CT guidance was required in four patients with altered upper gastrointestinal anatomy. PRG failed in one patient despite CT guidance. In the 16 patients with high subcostal stomachs who failed PEG because of inadequate transillumination, intercostal tube placement was required in three and cephalad angulation under the costal margin in six patients. Major complications included inadvertent placement of the tube in the peritoneal cavity. There was one case of hemorrhage at the gastrostomy site requiring transfusion and one case of superficial gastrostomy site infection requiring tube removal. Minor complications included superficial wound infection in six patients, successfully treated with routine wound toilette. CONCLUSION: We conclude that PRG is a safe, well-tolerated and successful method of gastrostomy and gastrojejunostomy insertion in the technically difficult group of patients who have undergone an unsuccessful PEG. In many such cases optimal clinical evaluation will suggest primary referral for PRG as the preferred option","author":[{"dropping-particle":"","family":"Thornton","given":"Frank J.","non-dropping-particle":"","parse-names":false,"suffix":""},{"dropping-particle":"","family":"Varghese","given":"Jose C.","non-dropping-particle":"","parse-names":false,"suffix":""},{"dropping-particle":"","family":"Haslam","given":"Philip J.","non-dropping-particle":"","parse-names":false,"suffix":""},{"dropping-particle":"","family":"McGrath","given":"Frank P.","non-dropping-particle":"","parse-names":false,"suffix":""},{"dropping-particle":"","family":"Keeling","given":"Frank","non-dropping-particle":"","parse-names":false,"suffix":""},{"dropping-particle":"","family":"Lee","given":"Michael J.","non-dropping-particle":"","parse-names":false,"suffix":""}],"container-title":"CardioVascular and Interventional Radiology","id":"ITEM-1","issued":{"date-parts":[["2000"]]},"page":"279-284","title":"Percutaneous gastrostomy in patients who fail or are unsuitable for endoscopic gastrostomy","type":"article-journal","volume":"23"},"uris":["http://www.mendeley.com/documents/?uuid=83cd67b8-cd24-435b-8f80-10c566a67885","http://www.mendeley.com/documents/?uuid=55d13d84-b5ec-4ffd-a153-101c93df5a75"]}],"mendeley":{"formattedCitation":"&lt;sup&gt;[21]&lt;/sup&gt;","plainTextFormattedCitation":"[21]","previouslyFormattedCitation":"&lt;sup&gt;21&lt;/sup&gt;"},"properties":{"noteIndex":0},"schema":"https://github.com/citation-style-language/schema/raw/master/csl-citation.json"}</w:instrText>
      </w:r>
      <w:r w:rsidR="00E3489C" w:rsidRPr="00556FBB">
        <w:rPr>
          <w:rFonts w:ascii="Book Antiqua" w:hAnsi="Book Antiqua" w:cs="Times New Roman"/>
          <w:sz w:val="24"/>
          <w:szCs w:val="24"/>
        </w:rPr>
        <w:fldChar w:fldCharType="separate"/>
      </w:r>
      <w:r w:rsidR="00E3489C"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0</w:t>
      </w:r>
      <w:r w:rsidR="00E3489C" w:rsidRPr="00556FBB">
        <w:rPr>
          <w:rFonts w:ascii="Book Antiqua" w:hAnsi="Book Antiqua" w:cs="Times New Roman"/>
          <w:noProof/>
          <w:sz w:val="24"/>
          <w:szCs w:val="24"/>
          <w:vertAlign w:val="superscript"/>
        </w:rPr>
        <w:t>]</w:t>
      </w:r>
      <w:r w:rsidR="00E3489C"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have reported that PIRG was attempted in forty-two patients who have failed PEG trial due to gastrointestinal obstruction, suboptimal transillumination, and cardiorespiratory decompensation. In this population forty-one patients underwent successful PIRG placement.</w:t>
      </w:r>
    </w:p>
    <w:p w14:paraId="56D5E953" w14:textId="247E1FEB"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 xml:space="preserve">In addition to the high technical success rate, PIRG has low procedure-related mortality rates that is comparable to or better than other modalities. It is worth emphasizing that patients referred to PIRG are often ill and sometimes have failed previous PEG attempts. Bell </w:t>
      </w:r>
      <w:r w:rsidRPr="006B5001">
        <w:rPr>
          <w:rFonts w:ascii="Book Antiqua" w:hAnsi="Book Antiqua" w:cs="Times New Roman"/>
          <w:i/>
          <w:iCs/>
          <w:sz w:val="24"/>
          <w:szCs w:val="24"/>
        </w:rPr>
        <w:t>et al</w:t>
      </w:r>
      <w:r w:rsidR="006B5001" w:rsidRPr="00556FBB">
        <w:rPr>
          <w:rFonts w:ascii="Book Antiqua" w:hAnsi="Book Antiqua" w:cs="Times New Roman"/>
          <w:sz w:val="24"/>
          <w:szCs w:val="24"/>
        </w:rPr>
        <w:fldChar w:fldCharType="begin" w:fldLock="1"/>
      </w:r>
      <w:r w:rsidR="006B5001" w:rsidRPr="00556FBB">
        <w:rPr>
          <w:rFonts w:ascii="Book Antiqua" w:hAnsi="Book Antiqua" w:cs="Times New Roman"/>
          <w:sz w:val="24"/>
          <w:szCs w:val="24"/>
        </w:rPr>
        <w:instrText>ADDIN CSL_CITATION {"citationItems":[{"id":"ITEM-1","itemData":{"ISSN":"0033-8419","abstract":"PURPOSE: To assess the efficacy and safety of radiologically guided percutaneous placement of gastrostomy and gastrojejunostomy catheters. MATERIALS AND METHODS: Over 6 years, 562 referred patients were considered for gastrojejunostomy or gastrostomy procedures. In 43 cases (7.7%), the procedure was not performed because of overlying viscera, high position of the stomach, or massive ascites. In 478 patients, 519 procedures were performed. RESULTS: Of 507 attempted gastrojejunostomy procedures, 482 (95.1%) were successful, 14 (2.8%) catheters could not be advanced through the pylorus and necessitated gastrostomies, and 11 (2.2%) were technical failures. Twelve gastrostomy tubes were placed for decompression, with a 100% success rate. Thirty-day follow-up data were available for 457 procedures: The 30-day mortality rate was 17.1% (71 of 416 patients). There were two gastrostomy-related deaths. The overall major and minor complication rates were 1.3% and 2.9%, respectively. CONCLUSION: Percutaneous gastrostomy and gastrojejunostomy are safe and effective methods of providing short- or long- term enteral nutrition or upper gastrointestinal tract decompression.","author":[{"dropping-particle":"","family":"S.D.","given":"Bell","non-dropping-particle":"","parse-names":false,"suffix":""},{"dropping-particle":"","family":"E.A.","given":"Carmody","non-dropping-particle":"","parse-names":false,"suffix":""},{"dropping-particle":"","family":"E.Y.","given":"Yeung","non-dropping-particle":"","parse-names":false,"suffix":""},{"dropping-particle":"","family":"W.A.","given":"Thurston","non-dropping-particle":"","parse-names":false,"suffix":""},{"dropping-particle":"","family":"M.E.","given":"Simons","non-dropping-particle":"","parse-names":false,"suffix":""},{"dropping-particle":"","family":"C.-S.","given":"Ho","non-dropping-particle":"","parse-names":false,"suffix":""}],"container-title":"Radiology","id":"ITEM-1","issued":{"date-parts":[["1995"]]},"page":"817-820","title":"Percutaneous gastrostomy and gastrojejunostomy: Additional experience in 519 procedures","type":"article-journal","volume":"194"},"uris":["http://www.mendeley.com/documents/?uuid=3c82d55a-efc3-461f-9353-3c08183cbfb5"]}],"mendeley":{"formattedCitation":"&lt;sup&gt;[22]&lt;/sup&gt;","plainTextFormattedCitation":"[22]","previouslyFormattedCitation":"&lt;sup&gt;22&lt;/sup&gt;"},"properties":{"noteIndex":0},"schema":"https://github.com/citation-style-language/schema/raw/master/csl-citation.json"}</w:instrText>
      </w:r>
      <w:r w:rsidR="006B5001" w:rsidRPr="00556FBB">
        <w:rPr>
          <w:rFonts w:ascii="Book Antiqua" w:hAnsi="Book Antiqua" w:cs="Times New Roman"/>
          <w:sz w:val="24"/>
          <w:szCs w:val="24"/>
        </w:rPr>
        <w:fldChar w:fldCharType="separate"/>
      </w:r>
      <w:r w:rsidR="006B5001" w:rsidRPr="00556FBB">
        <w:rPr>
          <w:rFonts w:ascii="Book Antiqua" w:hAnsi="Book Antiqua" w:cs="Times New Roman"/>
          <w:noProof/>
          <w:sz w:val="24"/>
          <w:szCs w:val="24"/>
          <w:vertAlign w:val="superscript"/>
        </w:rPr>
        <w:t>[2</w:t>
      </w:r>
      <w:r w:rsidR="006B5001">
        <w:rPr>
          <w:rFonts w:ascii="Book Antiqua" w:hAnsi="Book Antiqua" w:cs="Times New Roman"/>
          <w:noProof/>
          <w:sz w:val="24"/>
          <w:szCs w:val="24"/>
          <w:vertAlign w:val="superscript"/>
        </w:rPr>
        <w:t>1</w:t>
      </w:r>
      <w:r w:rsidR="006B5001" w:rsidRPr="00556FBB">
        <w:rPr>
          <w:rFonts w:ascii="Book Antiqua" w:hAnsi="Book Antiqua" w:cs="Times New Roman"/>
          <w:noProof/>
          <w:sz w:val="24"/>
          <w:szCs w:val="24"/>
          <w:vertAlign w:val="superscript"/>
        </w:rPr>
        <w:t>]</w:t>
      </w:r>
      <w:r w:rsidR="006B5001"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the 30-d mortality rate to be 17.1% in 416 patients, although only 2 </w:t>
      </w:r>
      <w:r w:rsidRPr="00556FBB">
        <w:rPr>
          <w:rFonts w:ascii="Book Antiqua" w:hAnsi="Book Antiqua" w:cs="Times New Roman"/>
          <w:sz w:val="24"/>
          <w:szCs w:val="24"/>
        </w:rPr>
        <w:lastRenderedPageBreak/>
        <w:t xml:space="preserve">of these patient deaths were procedure-related. Similarly, Ahmed </w:t>
      </w:r>
      <w:r w:rsidRPr="006B5001">
        <w:rPr>
          <w:rFonts w:ascii="Book Antiqua" w:hAnsi="Book Antiqua" w:cs="Times New Roman"/>
          <w:i/>
          <w:iCs/>
          <w:sz w:val="24"/>
          <w:szCs w:val="24"/>
        </w:rPr>
        <w:t>et al</w:t>
      </w:r>
      <w:r w:rsidR="006B5001" w:rsidRPr="00556FBB">
        <w:rPr>
          <w:rFonts w:ascii="Book Antiqua" w:hAnsi="Book Antiqua" w:cs="Times New Roman"/>
          <w:sz w:val="24"/>
          <w:szCs w:val="24"/>
        </w:rPr>
        <w:fldChar w:fldCharType="begin" w:fldLock="1"/>
      </w:r>
      <w:r w:rsidR="006B5001" w:rsidRPr="00556FBB">
        <w:rPr>
          <w:rFonts w:ascii="Book Antiqua" w:hAnsi="Book Antiqua" w:cs="Times New Roman"/>
          <w:sz w:val="24"/>
          <w:szCs w:val="24"/>
        </w:rPr>
        <w:instrText>ADDIN CSL_CITATION {"citationItems":[{"id":"ITEM-1","itemData":{"DOI":"10.1148/radiol.15141327","ISSN":"0033-8419","abstract":"PURPOSE To assess long-term outcomes including risk of complications and nutritional benefits of mushroom-retained (pull-type) gastrostomy catheters placed in patients by interventional radiologists. MATERIALS AND METHODS All patients who received pull-type gastrostomy tubes between 2010 and 2013 were retrospectively reviewed, including 142 men (average weight, 169.6 lb [76.32 kg]; mean age, 65.2 years; range, 22-92 years) and 158 women (average weight, 150.4 lb [67.68 kg]; mean age, 65.2 years; range, 18-98 years). Indications for placement were cerebrovascular accident (n = 80), failure to thrive (n = 71), other central nervous system disorder (n = 51), head and neck cancer (n = 47), and other malignancy (n = 51). Complications were recorded per Society of Interventional Radiology practice guidelines. Patient weight was documented at specific follow-up intervals. Statistical analysis was performed by using the Student t test and one-way analysis of variance for the effects of sex and indication for placement, respectively, on average weight change. RESULTS The technical success rate was 98.4% (300 of 305 patients). Major and minor complications occurred at a rate of 3.7% (n = 11) and 13% (n = 39), respectively. Follow-up weight during the early (≤45 days), intermediate (≤180 days), and long-term (&gt;180 days) periods was available for 71% (n = 214), 36% (n = 108), and 15% (n = 44) of the 300 patients, respectively. Weight gain occurred in 77% (160 of 214), 60% (65 of 108), and 73% (32 of 44) of the patients, respectively. Patients who gained weight gained 6.7, 10.6, and 16.3 lb (3.02, 4.77, and 7.34 kg) during each follow-up period, respectively. Average weight gain at follow-up in all patients was 4.2, 0.6, and 5.4 lb (1.89, 0.27, and 2.43 kg), respectively. No significant differences in average weight change were seen among groups when they were classified according to sex or indication for placement. CONCLUSION Placement of mushroom-retained gastrostomy catheters is a viable long-term treatment option for enteral nutrition, with complication rates similar to those reported for other gastrostomy techniques. Improvement in nutrition status measured as weight gain was seen in most patients in both early and long-term periods.","author":[{"dropping-particle":"","family":"Ahmed","given":"Osman","non-dropping-particle":"","parse-names":false,"suffix":""},{"dropping-particle":"","family":"Jilani","given":"Danial","non-dropping-particle":"","parse-names":false,"suffix":""},{"dropping-particle":"","family":"Sheth","given":"Sujay","non-dropping-particle":"","parse-names":false,"suffix":""},{"dropping-particle":"","family":"Giger","given":"Maryellen","non-dropping-particle":"","parse-names":false,"suffix":""},{"dropping-particle":"","family":"Funaki","given":"Brian","non-dropping-particle":"","parse-names":false,"suffix":""}],"container-title":"Radiology","id":"ITEM-1","issued":{"date-parts":[["2015"]]},"page":"588-596","title":"Radiologically Guided Placement of Mushroom-retained Gastrostomy Catheters: Long-term Outcomes of Use in 300 Patients at a Single Center","type":"article-journal","volume":"276"},"uris":["http://www.mendeley.com/documents/?uuid=92ed7dbf-4744-476b-bffd-b46b14e87afa"]}],"mendeley":{"formattedCitation":"&lt;sup&gt;[15]&lt;/sup&gt;","plainTextFormattedCitation":"[15]","previouslyFormattedCitation":"&lt;sup&gt;15&lt;/sup&gt;"},"properties":{"noteIndex":0},"schema":"https://github.com/citation-style-language/schema/raw/master/csl-citation.json"}</w:instrText>
      </w:r>
      <w:r w:rsidR="006B5001" w:rsidRPr="00556FBB">
        <w:rPr>
          <w:rFonts w:ascii="Book Antiqua" w:hAnsi="Book Antiqua" w:cs="Times New Roman"/>
          <w:sz w:val="24"/>
          <w:szCs w:val="24"/>
        </w:rPr>
        <w:fldChar w:fldCharType="separate"/>
      </w:r>
      <w:r w:rsidR="006B5001" w:rsidRPr="00556FBB">
        <w:rPr>
          <w:rFonts w:ascii="Book Antiqua" w:hAnsi="Book Antiqua" w:cs="Times New Roman"/>
          <w:noProof/>
          <w:sz w:val="24"/>
          <w:szCs w:val="24"/>
          <w:vertAlign w:val="superscript"/>
        </w:rPr>
        <w:t>[1</w:t>
      </w:r>
      <w:r w:rsidR="006B5001">
        <w:rPr>
          <w:rFonts w:ascii="Book Antiqua" w:hAnsi="Book Antiqua" w:cs="Times New Roman"/>
          <w:noProof/>
          <w:sz w:val="24"/>
          <w:szCs w:val="24"/>
          <w:vertAlign w:val="superscript"/>
        </w:rPr>
        <w:t>4</w:t>
      </w:r>
      <w:r w:rsidR="006B5001" w:rsidRPr="00556FBB">
        <w:rPr>
          <w:rFonts w:ascii="Book Antiqua" w:hAnsi="Book Antiqua" w:cs="Times New Roman"/>
          <w:noProof/>
          <w:sz w:val="24"/>
          <w:szCs w:val="24"/>
          <w:vertAlign w:val="superscript"/>
        </w:rPr>
        <w:t>]</w:t>
      </w:r>
      <w:r w:rsidR="006B5001"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a 19.7% one-year mortality in 305 patients. Among those, only one procedure-related death </w:t>
      </w:r>
      <w:proofErr w:type="spellStart"/>
      <w:r w:rsidRPr="00556FBB">
        <w:rPr>
          <w:rFonts w:ascii="Book Antiqua" w:hAnsi="Book Antiqua" w:cs="Times New Roman"/>
          <w:sz w:val="24"/>
          <w:szCs w:val="24"/>
        </w:rPr>
        <w:t>occured</w:t>
      </w:r>
      <w:proofErr w:type="spellEnd"/>
      <w:r w:rsidRPr="00556FBB">
        <w:rPr>
          <w:rFonts w:ascii="Book Antiqua" w:hAnsi="Book Antiqua" w:cs="Times New Roman"/>
          <w:sz w:val="24"/>
          <w:szCs w:val="24"/>
        </w:rPr>
        <w:t xml:space="preserve">. Further, </w:t>
      </w:r>
      <w:proofErr w:type="spellStart"/>
      <w:r w:rsidRPr="00556FBB">
        <w:rPr>
          <w:rFonts w:ascii="Book Antiqua" w:hAnsi="Book Antiqua" w:cs="Times New Roman"/>
          <w:sz w:val="24"/>
          <w:szCs w:val="24"/>
        </w:rPr>
        <w:t>Perona</w:t>
      </w:r>
      <w:proofErr w:type="spellEnd"/>
      <w:r w:rsidRPr="00556FBB">
        <w:rPr>
          <w:rFonts w:ascii="Book Antiqua" w:hAnsi="Book Antiqua" w:cs="Times New Roman"/>
          <w:sz w:val="24"/>
          <w:szCs w:val="24"/>
        </w:rPr>
        <w:t xml:space="preserve"> </w:t>
      </w:r>
      <w:r w:rsidRPr="00556FBB">
        <w:rPr>
          <w:rFonts w:ascii="Book Antiqua" w:hAnsi="Book Antiqua" w:cs="Times New Roman"/>
          <w:i/>
          <w:iCs/>
          <w:sz w:val="24"/>
          <w:szCs w:val="24"/>
        </w:rPr>
        <w:t>et al</w:t>
      </w:r>
      <w:r w:rsidR="00E3489C" w:rsidRPr="00556FBB">
        <w:rPr>
          <w:rFonts w:ascii="Book Antiqua" w:hAnsi="Book Antiqua" w:cs="Times New Roman"/>
          <w:sz w:val="24"/>
          <w:szCs w:val="24"/>
        </w:rPr>
        <w:fldChar w:fldCharType="begin" w:fldLock="1"/>
      </w:r>
      <w:r w:rsidR="00E3489C" w:rsidRPr="00556FBB">
        <w:rPr>
          <w:rFonts w:ascii="Book Antiqua" w:hAnsi="Book Antiqua" w:cs="Times New Roman"/>
          <w:sz w:val="24"/>
          <w:szCs w:val="24"/>
        </w:rPr>
        <w:instrText>ADDIN CSL_CITATION {"citationItems":[{"id":"ITEM-1","itemData":{"DOI":"10.5009/gnl.2010.4.S1.S44","ISSN":"19762283","abstract":"BACKGROUND/AIMS: Interventional radiologists have played a main role in the technical evolution of gastrostomy, from the first surgical/endoscopical approaches to percutaneous interventional procedures. This study evaluated the results obtained in a 12-year series.\\n\\nMETHODS: During the period December 1996 to December 2008, 254 new consecutive gastrostomies and 275 replacement procedures were performed in selected patients. All of the cases were treated by a T-fastener gastropexy and tube placement. The procedures were assessed by analyzing indications, patient selection, duration of the procedures, and mortality.\\n\\nRESULTS: All 254 first gastrostomies were successful; replacement procedures were also successfully performed. One (0.2%) patient with severe neurologic disorders died after the procedure without signs of procedure-related complications, and seven (1.3%) major complications occurred (four duodenal lesions with peritoneal leakage, two gastric bleedings, and one gastric lesion). Minor complications were easily managed; three tube ruptures were resolved.\\n\\nCONCLUSIONS: This long-term series and follow-up showed that a group of interventional radiologist can effectively provide gastrostomy placement and long-term tube management. Percutaneous gastrostomy is less invasive than other approaches and it satisfies the needs even of high-risk patients.","author":[{"dropping-particle":"","family":"Perona","given":"Franco","non-dropping-particle":"","parse-names":false,"suffix":""},{"dropping-particle":"","family":"Castellazzi","given":"Giorgio","non-dropping-particle":"","parse-names":false,"suffix":""},{"dropping-particle":"","family":"Iuliis","given":"Alessandro","non-dropping-particle":"De","parse-names":false,"suffix":""},{"dropping-particle":"","family":"Rizzo","given":"Laura","non-dropping-particle":"","parse-names":false,"suffix":""}],"container-title":"Gut and Liver","id":"ITEM-1","issue":"1","issued":{"date-parts":[["2010"]]},"page":"44-49","title":"Percutaneous radiologic gastrostomy: A 12-year series","type":"article-journal","volume":"4"},"uris":["http://www.mendeley.com/documents/?uuid=754b3b94-117b-4d47-ade6-77b2614f87ed"]}],"mendeley":{"formattedCitation":"&lt;sup&gt;[16]&lt;/sup&gt;","plainTextFormattedCitation":"[16]","previouslyFormattedCitation":"&lt;sup&gt;16&lt;/sup&gt;"},"properties":{"noteIndex":0},"schema":"https://github.com/citation-style-language/schema/raw/master/csl-citation.json"}</w:instrText>
      </w:r>
      <w:r w:rsidR="00E3489C" w:rsidRPr="00556FBB">
        <w:rPr>
          <w:rFonts w:ascii="Book Antiqua" w:hAnsi="Book Antiqua" w:cs="Times New Roman"/>
          <w:sz w:val="24"/>
          <w:szCs w:val="24"/>
        </w:rPr>
        <w:fldChar w:fldCharType="separate"/>
      </w:r>
      <w:r w:rsidR="00E3489C"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5</w:t>
      </w:r>
      <w:r w:rsidR="00E3489C" w:rsidRPr="00556FBB">
        <w:rPr>
          <w:rFonts w:ascii="Book Antiqua" w:hAnsi="Book Antiqua" w:cs="Times New Roman"/>
          <w:noProof/>
          <w:sz w:val="24"/>
          <w:szCs w:val="24"/>
          <w:vertAlign w:val="superscript"/>
        </w:rPr>
        <w:t>]</w:t>
      </w:r>
      <w:r w:rsidR="00E3489C"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a 0.2% procedure-related mortality rate over twelve years. Wollman </w:t>
      </w:r>
      <w:r w:rsidRPr="006B5001">
        <w:rPr>
          <w:rFonts w:ascii="Book Antiqua" w:hAnsi="Book Antiqua" w:cs="Times New Roman"/>
          <w:i/>
          <w:iCs/>
          <w:sz w:val="24"/>
          <w:szCs w:val="24"/>
        </w:rPr>
        <w:t>et al</w:t>
      </w:r>
      <w:r w:rsidR="006B5001" w:rsidRPr="00556FBB">
        <w:rPr>
          <w:rFonts w:ascii="Book Antiqua" w:hAnsi="Book Antiqua" w:cs="Times New Roman"/>
          <w:sz w:val="24"/>
          <w:szCs w:val="24"/>
        </w:rPr>
        <w:fldChar w:fldCharType="begin" w:fldLock="1"/>
      </w:r>
      <w:r w:rsidR="006B5001" w:rsidRPr="00556FBB">
        <w:rPr>
          <w:rFonts w:ascii="Book Antiqua" w:hAnsi="Book Antiqua" w:cs="Times New Roman"/>
          <w:sz w:val="24"/>
          <w:szCs w:val="24"/>
        </w:rPr>
        <w:instrText>ADDIN CSL_CITATION {"citationItems":[{"id":"ITEM-1","itemData":{"DOI":"10.1148/radiology.197.3.7480742","ISSN":"0033-8419","abstract":"PURPOSE: To evaluate the effectiveness and safety of radiologic, percutaneous endoscopic (PEG), and surgical gastrostomy. MATERIALS AND METHODS: This project involved 5,752 patients (837 patients underwent radiologic gastrotomy; 4,194, PEG; and 721, surgical gastrostomy). Seventy-two (47 male, 25 female; age range, 12-94 years) underwent gastrostomy within 1 year in this series (radiologic gastrostomy, n = 33; PEG, n = 35; surgical gastrostomy, n = 4). A meta-analysis of 5,680 additional cases from literature published from 1980 to the present was also performed. RESULTS: Rates of successful tube placement were higher for radiologic gastrostomy than for PEG in our series and in the meta-analysis (99.2% vs 95.7%, P &lt; .001). Major complications occurred less frequently after radiologic gastrostomy in our series and in the meta-analysis (5.9% vs 9.4% for PEG and 19.9% for surgery, P &lt; .001). Thirty-day procedure-related mortality rates were highest for surgery (2.5% vs 0.3% for radiologic gastrostomy and 0.53% for PEG, P &lt; .001). CONCLUSION: Radiologic gastrostomy is associated with a higher success rate than is PEG and less morbidity than either PEG or surgery","author":[{"dropping-particle":"","family":"Wollman","given":"B","non-dropping-particle":"","parse-names":false,"suffix":""},{"dropping-particle":"","family":"D'Agostino","given":"H B","non-dropping-particle":"","parse-names":false,"suffix":""},{"dropping-particle":"","family":"Walus-Wigle","given":"J R","non-dropping-particle":"","parse-names":false,"suffix":""},{"dropping-particle":"","family":"Easter","given":"D W","non-dropping-particle":"","parse-names":false,"suffix":""},{"dropping-particle":"","family":"Beale","given":"A","non-dropping-particle":"","parse-names":false,"suffix":""}],"container-title":"Radiology","id":"ITEM-1","issued":{"date-parts":[["2014"]]},"title":"Radiologic, endoscopic, and surgical gastrostomy: an institutional evaluation and meta-analysis of the literature.","type":"article-journal"},"uris":["http://www.mendeley.com/documents/?uuid=29278ca3-6450-44c5-8d32-6f9d0396adad"]}],"mendeley":{"formattedCitation":"&lt;sup&gt;[2]&lt;/sup&gt;","plainTextFormattedCitation":"[2]","previouslyFormattedCitation":"&lt;sup&gt;2&lt;/sup&gt;"},"properties":{"noteIndex":0},"schema":"https://github.com/citation-style-language/schema/raw/master/csl-citation.json"}</w:instrText>
      </w:r>
      <w:r w:rsidR="006B5001" w:rsidRPr="00556FBB">
        <w:rPr>
          <w:rFonts w:ascii="Book Antiqua" w:hAnsi="Book Antiqua" w:cs="Times New Roman"/>
          <w:sz w:val="24"/>
          <w:szCs w:val="24"/>
        </w:rPr>
        <w:fldChar w:fldCharType="separate"/>
      </w:r>
      <w:r w:rsidR="006B5001" w:rsidRPr="00556FBB">
        <w:rPr>
          <w:rFonts w:ascii="Book Antiqua" w:hAnsi="Book Antiqua" w:cs="Times New Roman"/>
          <w:noProof/>
          <w:sz w:val="24"/>
          <w:szCs w:val="24"/>
          <w:vertAlign w:val="superscript"/>
        </w:rPr>
        <w:t>[2]</w:t>
      </w:r>
      <w:r w:rsidR="006B5001"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a procedure-related mortality rate of 0.3% for PIRG and 0.53% for PEG. A British meta-analysis has reported 1.8% and 2.2% of procedure-mortality for PIRG and PEG groups respectively in 2379 patients</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{"citationItems":[{"id":"ITEM-1","itemData":{"DOI":"10.1111/j.1749-4486.2009.01889.x","ISSN":"17494478","abstract":"OBJECTIVES: To measure morbidity and mortality rates following insertion of gastrostomy tubes in head and neck cancer patients. To determine evidence for any relationship between gastrostomy insertion technique and complication rates.\\n\\nDESIGN: A prospective cohort study and qualitative systematic review.\\n\\nSETTING: Multi-cancer networks in the South West of England, Hampshire and the Isle of White.\\n\\nPARTICIPANTS: One hundred and seventy-two patients with head and neck cancer undergoing gastrostomy tube insertion between 2004 and 2005. Percutaneous endoscopic gastrostomy (PEG) was performed in 121 patients. Fifty-one patients had radiologically inserted gastrostomy (RIG). Twenty-seven studies reporting outcomes following 2353 gastrostomy procedures for head and neck cancer.\\n\\nMAIN OUTCOME MEASURES: Post-procedure mortality, major and minor complications.\\n\\nRESULTS: In the present series, mortality rates were 1.0% (1/121) for PEG and 3.9% (2/51) for RIG. Overall major complication rates following PEG and RIG were 3.3% (4/121) and 15.6% (9/51) respectively. In our systematic review and meta-analysis of 2379 head and neck cancer patients, we observed fatality rates of 2.2% (95% CI 0.014-0.034) following PEG and 1.8% (95% CI 0.010-0.032) following RIG. Furthermore, major complication rates following PEG were 7.4% (95% CI 5.9-9.3%) and 8.9% (95% CI 7.0-11.2%) after RIG.\\n\\nCONCLUSIONS: Procedure related mortality rates following gastrostomy in head and neck cancer patients are higher than those in mixed patient populations. Major complication rates following RIG in head and neck cancer patients are greater than those following PEG. Major complications following PEG in patients with head and neck cancer appear no worse than in mixed pathology groups. We have identified that RIG is associated with increased morbidity and mortality in patients who are ineligible for PEG. The serious nature of the complications associated with gastrostomy particularly in patients with head and neck cancer requires careful consideration by the referring physician.","author":[{"dropping-particle":"","family":"Grant","given":"D. G.","non-dropping-particle":"","parse-names":false,"suffix":""},{"dropping-particle":"","family":"Bradley","given":"P. T.","non-dropping-particle":"","parse-names":false,"suffix":""},{"dropping-particle":"","family":"Pothier","given":"D. D.","non-dropping-particle":"","parse-names":false,"suffix":""},{"dropping-particle":"","family":"Bailey","given":"D.","non-dropping-particle":"","parse-names":false,"suffix":""},{"dropping-particle":"","family":"Caldera","given":"S.","non-dropping-particle":"","parse-names":false,"suffix":""},{"dropping-particle":"","family":"Baldwin","given":"D. L.","non-dropping-particle":"","parse-names":false,"suffix":""},{"dropping-particle":"","family":"Birchall","given":"M. A.","non-dropping-particle":"","parse-names":false,"suffix":""}],"container-title":"Clinical Otolaryngology","id":"ITEM-1","issued":{"date-parts":[["2009"]]},"page":"103-112","title":"Complications following gastrostomy tube insertion in patients with head and neck cancer: A prospective multi-institution study, systematic review and meta-analysis","type":"article-journal","volume":"34"},"uris":["http://www.mendeley.com/documents/?uuid=ee1a986e-ecf3-47a5-a06a-80d76475cd66"]}],"mendeley":{"formattedCitation":"&lt;sup&gt;[23]&lt;/sup&gt;","plainTextFormattedCitation":"[23]","previouslyFormattedCitation":"&lt;sup&gt;23&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2</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PIRG associated complications are generally divided into major and minor categories: major complications being abscess formation, bowel perforation, peritonitis, and hemorrhage while minor complications include superficial infection, tube dislodgement, tube occlusion and leakage. de </w:t>
      </w:r>
      <w:proofErr w:type="spellStart"/>
      <w:r w:rsidRPr="00556FBB">
        <w:rPr>
          <w:rFonts w:ascii="Book Antiqua" w:hAnsi="Book Antiqua" w:cs="Times New Roman"/>
          <w:sz w:val="24"/>
          <w:szCs w:val="24"/>
        </w:rPr>
        <w:t>Baere</w:t>
      </w:r>
      <w:proofErr w:type="spellEnd"/>
      <w:r w:rsidRPr="00556FBB">
        <w:rPr>
          <w:rFonts w:ascii="Book Antiqua" w:hAnsi="Book Antiqua" w:cs="Times New Roman"/>
          <w:sz w:val="24"/>
          <w:szCs w:val="24"/>
        </w:rPr>
        <w:t xml:space="preserve"> </w:t>
      </w:r>
      <w:r w:rsidRPr="00556FBB">
        <w:rPr>
          <w:rFonts w:ascii="Book Antiqua" w:hAnsi="Book Antiqua" w:cs="Times New Roman"/>
          <w:i/>
          <w:iCs/>
          <w:sz w:val="24"/>
          <w:szCs w:val="24"/>
        </w:rPr>
        <w:t>et al</w:t>
      </w:r>
      <w:r w:rsidR="008832C5" w:rsidRPr="00556FBB">
        <w:rPr>
          <w:rFonts w:ascii="Book Antiqua" w:hAnsi="Book Antiqua" w:cs="Times New Roman"/>
          <w:sz w:val="24"/>
          <w:szCs w:val="24"/>
        </w:rPr>
        <w:fldChar w:fldCharType="begin" w:fldLock="1"/>
      </w:r>
      <w:r w:rsidR="008832C5" w:rsidRPr="00556FBB">
        <w:rPr>
          <w:rFonts w:ascii="Book Antiqua" w:hAnsi="Book Antiqua" w:cs="Times New Roman"/>
          <w:sz w:val="24"/>
          <w:szCs w:val="24"/>
        </w:rPr>
        <w:instrText>ADDIN CSL_CITATION {"citationItems":[{"id":"ITEM-1","itemData":{"DOI":"10.1148/radiology.210.3.r99mr40651","ISSN":"0033-8419","abstract":"To evaluate the feasibility, complications, adequacy of feeding support, and tolerability of fluoroscopically guided gastrostomy in cancer patients.","author":[{"dropping-particle":"","family":"Baere","given":"Thierry","non-dropping-particle":"de","parse-names":false,"suffix":""},{"dropping-particle":"","family":"Chapot","given":"René","non-dropping-particle":"","parse-names":false,"suffix":""},{"dropping-particle":"","family":"Kuoch","given":"Viseth","non-dropping-particle":"","parse-names":false,"suffix":""},{"dropping-particle":"","family":"Chevallier","given":"Patrick","non-dropping-particle":"","parse-names":false,"suffix":""},{"dropping-particle":"","family":"Delille","given":"Jean Paul","non-dropping-particle":"","parse-names":false,"suffix":""},{"dropping-particle":"","family":"Domenge","given":"Christian","non-dropping-particle":"","parse-names":false,"suffix":""},{"dropping-particle":"","family":"Schwaab","given":"Guy","non-dropping-particle":"","parse-names":false,"suffix":""},{"dropping-particle":"","family":"Roche","given":"Alain","non-dropping-particle":"","parse-names":false,"suffix":""}],"container-title":"Radiology","id":"ITEM-1","issued":{"date-parts":[["1999"]]},"page":"651-654","title":"Percutaneous Gastrostomy with Fluoroscopic Guidance: Single-Center Experience in 500 Consecutive Cancer Patients","type":"article-journal","volume":"210"},"uris":["http://www.mendeley.com/documents/?uuid=27b8aea1-1319-4254-97e2-0540eebc858a"]}],"mendeley":{"formattedCitation":"&lt;sup&gt;[18]&lt;/sup&gt;","plainTextFormattedCitation":"[18]","previouslyFormattedCitation":"&lt;sup&gt;18&lt;/sup&gt;"},"properties":{"noteIndex":0},"schema":"https://github.com/citation-style-language/schema/raw/master/csl-citation.json"}</w:instrText>
      </w:r>
      <w:r w:rsidR="008832C5" w:rsidRPr="00556FBB">
        <w:rPr>
          <w:rFonts w:ascii="Book Antiqua" w:hAnsi="Book Antiqua" w:cs="Times New Roman"/>
          <w:sz w:val="24"/>
          <w:szCs w:val="24"/>
        </w:rPr>
        <w:fldChar w:fldCharType="separate"/>
      </w:r>
      <w:r w:rsidR="008832C5"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7</w:t>
      </w:r>
      <w:r w:rsidR="008832C5" w:rsidRPr="00556FBB">
        <w:rPr>
          <w:rFonts w:ascii="Book Antiqua" w:hAnsi="Book Antiqua" w:cs="Times New Roman"/>
          <w:noProof/>
          <w:sz w:val="24"/>
          <w:szCs w:val="24"/>
          <w:vertAlign w:val="superscript"/>
        </w:rPr>
        <w:t>]</w:t>
      </w:r>
      <w:r w:rsidR="008832C5"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1.4% and 5.4% major and minor complications rates in five hundred patients. Similarly, Ahmed </w:t>
      </w:r>
      <w:r w:rsidRPr="00556FBB">
        <w:rPr>
          <w:rFonts w:ascii="Book Antiqua" w:hAnsi="Book Antiqua" w:cs="Times New Roman"/>
          <w:i/>
          <w:iCs/>
          <w:sz w:val="24"/>
          <w:szCs w:val="24"/>
        </w:rPr>
        <w:t>et al</w:t>
      </w:r>
      <w:r w:rsidR="008832C5" w:rsidRPr="00556FBB">
        <w:rPr>
          <w:rFonts w:ascii="Book Antiqua" w:hAnsi="Book Antiqua" w:cs="Times New Roman"/>
          <w:sz w:val="24"/>
          <w:szCs w:val="24"/>
        </w:rPr>
        <w:fldChar w:fldCharType="begin" w:fldLock="1"/>
      </w:r>
      <w:r w:rsidR="008832C5" w:rsidRPr="00556FBB">
        <w:rPr>
          <w:rFonts w:ascii="Book Antiqua" w:hAnsi="Book Antiqua" w:cs="Times New Roman"/>
          <w:sz w:val="24"/>
          <w:szCs w:val="24"/>
        </w:rPr>
        <w:instrText>ADDIN CSL_CITATION {"citationItems":[{"id":"ITEM-1","itemData":{"DOI":"10.1148/radiol.15141327","ISSN":"0033-8419","abstract":"PURPOSE To assess long-term outcomes including risk of complications and nutritional benefits of mushroom-retained (pull-type) gastrostomy catheters placed in patients by interventional radiologists. MATERIALS AND METHODS All patients who received pull-type gastrostomy tubes between 2010 and 2013 were retrospectively reviewed, including 142 men (average weight, 169.6 lb [76.32 kg]; mean age, 65.2 years; range, 22-92 years) and 158 women (average weight, 150.4 lb [67.68 kg]; mean age, 65.2 years; range, 18-98 years). Indications for placement were cerebrovascular accident (n = 80), failure to thrive (n = 71), other central nervous system disorder (n = 51), head and neck cancer (n = 47), and other malignancy (n = 51). Complications were recorded per Society of Interventional Radiology practice guidelines. Patient weight was documented at specific follow-up intervals. Statistical analysis was performed by using the Student t test and one-way analysis of variance for the effects of sex and indication for placement, respectively, on average weight change. RESULTS The technical success rate was 98.4% (300 of 305 patients). Major and minor complications occurred at a rate of 3.7% (n = 11) and 13% (n = 39), respectively. Follow-up weight during the early (≤45 days), intermediate (≤180 days), and long-term (&gt;180 days) periods was available for 71% (n = 214), 36% (n = 108), and 15% (n = 44) of the 300 patients, respectively. Weight gain occurred in 77% (160 of 214), 60% (65 of 108), and 73% (32 of 44) of the patients, respectively. Patients who gained weight gained 6.7, 10.6, and 16.3 lb (3.02, 4.77, and 7.34 kg) during each follow-up period, respectively. Average weight gain at follow-up in all patients was 4.2, 0.6, and 5.4 lb (1.89, 0.27, and 2.43 kg), respectively. No significant differences in average weight change were seen among groups when they were classified according to sex or indication for placement. CONCLUSION Placement of mushroom-retained gastrostomy catheters is a viable long-term treatment option for enteral nutrition, with complication rates similar to those reported for other gastrostomy techniques. Improvement in nutrition status measured as weight gain was seen in most patients in both early and long-term periods.","author":[{"dropping-particle":"","family":"Ahmed","given":"Osman","non-dropping-particle":"","parse-names":false,"suffix":""},{"dropping-particle":"","family":"Jilani","given":"Danial","non-dropping-particle":"","parse-names":false,"suffix":""},{"dropping-particle":"","family":"Sheth","given":"Sujay","non-dropping-particle":"","parse-names":false,"suffix":""},{"dropping-particle":"","family":"Giger","given":"Maryellen","non-dropping-particle":"","parse-names":false,"suffix":""},{"dropping-particle":"","family":"Funaki","given":"Brian","non-dropping-particle":"","parse-names":false,"suffix":""}],"container-title":"Radiology","id":"ITEM-1","issued":{"date-parts":[["2015"]]},"page":"588-596","title":"Radiologically Guided Placement of Mushroom-retained Gastrostomy Catheters: Long-term Outcomes of Use in 300 Patients at a Single Center","type":"article-journal","volume":"276"},"uris":["http://www.mendeley.com/documents/?uuid=92ed7dbf-4744-476b-bffd-b46b14e87afa"]}],"mendeley":{"formattedCitation":"&lt;sup&gt;[15]&lt;/sup&gt;","plainTextFormattedCitation":"[15]","previouslyFormattedCitation":"&lt;sup&gt;15&lt;/sup&gt;"},"properties":{"noteIndex":0},"schema":"https://github.com/citation-style-language/schema/raw/master/csl-citation.json"}</w:instrText>
      </w:r>
      <w:r w:rsidR="008832C5" w:rsidRPr="00556FBB">
        <w:rPr>
          <w:rFonts w:ascii="Book Antiqua" w:hAnsi="Book Antiqua" w:cs="Times New Roman"/>
          <w:sz w:val="24"/>
          <w:szCs w:val="24"/>
        </w:rPr>
        <w:fldChar w:fldCharType="separate"/>
      </w:r>
      <w:r w:rsidR="008832C5" w:rsidRPr="00556FBB">
        <w:rPr>
          <w:rFonts w:ascii="Book Antiqua" w:hAnsi="Book Antiqua" w:cs="Times New Roman"/>
          <w:noProof/>
          <w:sz w:val="24"/>
          <w:szCs w:val="24"/>
          <w:vertAlign w:val="superscript"/>
        </w:rPr>
        <w:t>[1</w:t>
      </w:r>
      <w:r w:rsidR="00556FBB">
        <w:rPr>
          <w:rFonts w:ascii="Book Antiqua" w:hAnsi="Book Antiqua" w:cs="Times New Roman"/>
          <w:noProof/>
          <w:sz w:val="24"/>
          <w:szCs w:val="24"/>
          <w:vertAlign w:val="superscript"/>
        </w:rPr>
        <w:t>4</w:t>
      </w:r>
      <w:r w:rsidR="008832C5" w:rsidRPr="00556FBB">
        <w:rPr>
          <w:rFonts w:ascii="Book Antiqua" w:hAnsi="Book Antiqua" w:cs="Times New Roman"/>
          <w:noProof/>
          <w:sz w:val="24"/>
          <w:szCs w:val="24"/>
          <w:vertAlign w:val="superscript"/>
        </w:rPr>
        <w:t>]</w:t>
      </w:r>
      <w:r w:rsidR="008832C5"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2% and 5% major and minor complication rates in 300 patients. Further, PEG and PIRG groups have comparable complication rates that are markedly lower than the surgical gastrostomy group. In an earlier meta-analysis, the surgical gastrostomy catheter group had a 29% overall complication rate while PEG and PIRG groups had 15.4% and 13.3%, respectively</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{"citationItems":[{"id":"ITEM-1","itemData":{"DOI":"10.1148/radiology.197.3.7480742","ISSN":"0033-8419","abstract":"PURPOSE: To evaluate the effectiveness and safety of radiologic, percutaneous endoscopic (PEG), and surgical gastrostomy. MATERIALS AND METHODS: This project involved 5,752 patients (837 patients underwent radiologic gastrotomy; 4,194, PEG; and 721, surgical gastrostomy). Seventy-two (47 male, 25 female; age range, 12-94 years) underwent gastrostomy within 1 year in this series (radiologic gastrostomy, n = 33; PEG, n = 35; surgical gastrostomy, n = 4). A meta-analysis of 5,680 additional cases from literature published from 1980 to the present was also performed. RESULTS: Rates of successful tube placement were higher for radiologic gastrostomy than for PEG in our series and in the meta-analysis (99.2% vs 95.7%, P &lt; .001). Major complications occurred less frequently after radiologic gastrostomy in our series and in the meta-analysis (5.9% vs 9.4% for PEG and 19.9% for surgery, P &lt; .001). Thirty-day procedure-related mortality rates were highest for surgery (2.5% vs 0.3% for radiologic gastrostomy and 0.53% for PEG, P &lt; .001). CONCLUSION: Radiologic gastrostomy is associated with a higher success rate than is PEG and less morbidity than either PEG or surgery","author":[{"dropping-particle":"","family":"Wollman","given":"B","non-dropping-particle":"","parse-names":false,"suffix":""},{"dropping-particle":"","family":"D'Agostino","given":"H B","non-dropping-particle":"","parse-names":false,"suffix":""},{"dropping-particle":"","family":"Walus-Wigle","given":"J R","non-dropping-particle":"","parse-names":false,"suffix":""},{"dropping-particle":"","family":"Easter","given":"D W","non-dropping-particle":"","parse-names":false,"suffix":""},{"dropping-particle":"","family":"Beale","given":"A","non-dropping-particle":"","parse-names":false,"suffix":""}],"container-title":"Radiology","id":"ITEM-1","issued":{"date-parts":[["2014"]]},"title":"Radiologic, endoscopic, and surgical gastrostomy: an institutional evaluation and meta-analysis of the literature.","type":"article-journal"},"uris":["http://www.mendeley.com/documents/?uuid=29278ca3-6450-44c5-8d32-6f9d0396adad"]}],"mendeley":{"formattedCitation":"&lt;sup&gt;[2]&lt;/sup&gt;","plainTextFormattedCitation":"[2]","previouslyFormattedCitation":"&lt;sup&gt;2&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w:t>
      </w:r>
      <w:proofErr w:type="spellStart"/>
      <w:r w:rsidRPr="00556FBB">
        <w:rPr>
          <w:rFonts w:ascii="Book Antiqua" w:hAnsi="Book Antiqua" w:cs="Times New Roman"/>
          <w:sz w:val="24"/>
          <w:szCs w:val="24"/>
        </w:rPr>
        <w:t>Barkmeier</w:t>
      </w:r>
      <w:proofErr w:type="spellEnd"/>
      <w:r w:rsidRPr="00556FBB">
        <w:rPr>
          <w:rFonts w:ascii="Book Antiqua" w:hAnsi="Book Antiqua" w:cs="Times New Roman"/>
          <w:sz w:val="24"/>
          <w:szCs w:val="24"/>
        </w:rPr>
        <w:t xml:space="preserve"> </w:t>
      </w:r>
      <w:r w:rsidR="008832C5" w:rsidRPr="00556FBB">
        <w:rPr>
          <w:rFonts w:ascii="Book Antiqua" w:hAnsi="Book Antiqua" w:cs="Times New Roman"/>
          <w:i/>
          <w:iCs/>
          <w:sz w:val="24"/>
          <w:szCs w:val="24"/>
        </w:rPr>
        <w:t>et al</w:t>
      </w:r>
      <w:r w:rsidR="008832C5" w:rsidRPr="00556FBB">
        <w:rPr>
          <w:rFonts w:ascii="Book Antiqua" w:hAnsi="Book Antiqua" w:cs="Times New Roman"/>
          <w:sz w:val="24"/>
          <w:szCs w:val="24"/>
        </w:rPr>
        <w:fldChar w:fldCharType="begin" w:fldLock="1"/>
      </w:r>
      <w:r w:rsidR="008832C5" w:rsidRPr="00556FBB">
        <w:rPr>
          <w:rFonts w:ascii="Book Antiqua" w:hAnsi="Book Antiqua" w:cs="Times New Roman"/>
          <w:sz w:val="24"/>
          <w:szCs w:val="24"/>
        </w:rPr>
        <w:instrText>ADDIN CSL_CITATION {"citationItems":[{"id":"ITEM-1","itemData":{"DOI":"10.1007/s002709900269","ISSN":"01741551","abstract":"PURPOSE: To compare the results and costs of three different means of achieving direct percutaneous gastroenteric access. METHODS: Three groups of patients received the following procedures: fluoroscopically guided percutaneous gastrostomy/gastrojejunostomy (FPG, n = 42); percutaneous endoscopic gastrostomy/gastrojejunostomy (PEG, n = 45); and surgical endoscopic gastrostomy/gastrojejunostomy (SEG, n = 34). Retrospective review of the medical records was performed to evaluate indications for the procedure, procedure technical success, and outcome. Estimated costs were compared for each of the three procedures, using a combination of charges and materials costs. RESULTS: Technical success was greater for FPG and SEG (100% each) than for PEG (84%, p = 0.008 vs FPG and p = 0.02 vs SEG). All patients (n = 7) who failed PEG subsequently underwent successful FPG. Success in placing a gastrojejunostomy was 91% for FPG, and estimated at 43% for PEG and 0 for SEG. Complications did not differ in frequency among groups. For gastrostomy, the average cost per successful tube was lowest in the PEG group ($1862, p = 0.02); FPG averaged $1985, and SEG $3694. SEG costs significantly more than FPG or PEG (p = 0.0001). For gastrojejunostomy, FPG averaged $2201, PEG $3158, and SEG $3045. CONCLUSION: Technical success for gastrostomy is higher for FPG and SEG than PEG. Though PEG is the least costly procedure, the difference is modest compared with FPG. For gastrojejunostomy, FPG offers the highest technical success rate and lowest cost. Due to high costs associated with the operating room, SEG should be reserved for those patients undergoing a concurrent surgical procedure.","author":[{"dropping-particle":"","family":"Barkmeier","given":"Jeffrey M.","non-dropping-particle":"","parse-names":false,"suffix":""},{"dropping-particle":"","family":"Trerotola","given":"Scott O.","non-dropping-particle":"","parse-names":false,"suffix":""},{"dropping-particle":"","family":"Wiebke","given":"Eric A.","non-dropping-particle":"","parse-names":false,"suffix":""},{"dropping-particle":"","family":"Sherman","given":"Stuart","non-dropping-particle":"","parse-names":false,"suffix":""},{"dropping-particle":"","family":"Harris","given":"Veronica J.","non-dropping-particle":"","parse-names":false,"suffix":""},{"dropping-particle":"","family":"Snidow","given":"John J.","non-dropping-particle":"","parse-names":false,"suffix":""},{"dropping-particle":"","family":"Johnson","given":"Matthew S.","non-dropping-particle":"","parse-names":false,"suffix":""},{"dropping-particle":"","family":"Rogers","given":"Wendy J.","non-dropping-particle":"","parse-names":false,"suffix":""},{"dropping-particle":"","family":"Zhou","given":"Xiao Hua","non-dropping-particle":"","parse-names":false,"suffix":""}],"container-title":"CardioVascular and Interventional Radiology","id":"ITEM-1","issued":{"date-parts":[["1998"]]},"page":"324-328","title":"Percutaneous radiologic, surgical endoscopic, and percutaneous endoscopic gastrostomy/gastrojejunostomy: Comparative study and cost analysis","type":"article-journal","volume":"21"},"uris":["http://www.mendeley.com/documents/?uuid=e162dded-7772-4d9c-b754-722def1bd8b7"]}],"mendeley":{"formattedCitation":"&lt;sup&gt;[12]&lt;/sup&gt;","plainTextFormattedCitation":"[12]","previouslyFormattedCitation":"&lt;sup&gt;12&lt;/sup&gt;"},"properties":{"noteIndex":0},"schema":"https://github.com/citation-style-language/schema/raw/master/csl-citation.json"}</w:instrText>
      </w:r>
      <w:r w:rsidR="008832C5" w:rsidRPr="00556FBB">
        <w:rPr>
          <w:rFonts w:ascii="Book Antiqua" w:hAnsi="Book Antiqua" w:cs="Times New Roman"/>
          <w:sz w:val="24"/>
          <w:szCs w:val="24"/>
        </w:rPr>
        <w:fldChar w:fldCharType="separate"/>
      </w:r>
      <w:r w:rsidR="008832C5" w:rsidRPr="00556FBB">
        <w:rPr>
          <w:rFonts w:ascii="Book Antiqua" w:hAnsi="Book Antiqua" w:cs="Times New Roman"/>
          <w:noProof/>
          <w:sz w:val="24"/>
          <w:szCs w:val="24"/>
          <w:vertAlign w:val="superscript"/>
        </w:rPr>
        <w:t>[12]</w:t>
      </w:r>
      <w:r w:rsidR="008832C5"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five minor complications in forty-two PIRG patients and sixteen in forty-five PEG patients.</w:t>
      </w:r>
    </w:p>
    <w:p w14:paraId="6764E925" w14:textId="02459078"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The most common major complications associated with PIRG are peritonitis and hemorrhage. Peritonitis occurs in approximately 1.3% of the patients</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{"citationItems":[{"id":"ITEM-1","itemData":{"DOI":"10.2214/AJR.11.7804","ISSN":"0361803X","abstract":"OBJECTIVE: Radiologic percutaneous gastrostomy tube placement is a widely accepted method of enteral access for patients requiring long-term nutritional support for a variety of conditions. Although the safety of this procedure is well documented, complications do occur. The purpose of this article is to review the major and minor complications associated with gastrostomy tube placement and to present appropriate and effective management strategies.\\n\\nCONCLUSION: Familiarity with the potential complications, techniques for their prevention, and strategies for treatment will help practicing interventional radiologists successfully manage all possible outcomes.","author":[{"dropping-particle":"","family":"Covarrubias","given":"Diego Antonio","non-dropping-particle":"","parse-names":false,"suffix":""},{"dropping-particle":"","family":"O'Connor","given":"Owen J.","non-dropping-particle":"","parse-names":false,"suffix":""},{"dropping-particle":"","family":"McDermott","given":"Shaunagh","non-dropping-particle":"","parse-names":false,"suffix":""},{"dropping-particle":"","family":"Arellano","given":"Ronald S.","non-dropping-particle":"","parse-names":false,"suffix":""}],"container-title":"American Journal of Roentgenology","id":"ITEM-1","issued":{"date-parts":[["2013"]]},"page":"921-931","title":"Radiologic percutaneous gastrostomy: Review of potential complications and approach to managing the unexpected outcome","type":"article-journal","volume":"200"},"uris":["http://www.mendeley.com/documents/?uuid=73db2b49-52cd-4b06-96ca-8755e42ba62c"]}],"mendeley":{"formattedCitation":"&lt;sup&gt;[24]&lt;/sup&gt;","plainTextFormattedCitation":"[24]","previouslyFormattedCitation":"&lt;sup&gt;24&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3</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Peritonitis can occur as a result of chemical irritation due to bowel content leakage from tube dislodgement, peritoneal catheterization, peritoneal iodinated contrast injection, colonic perforation or leakage around the puncture sites. Peritonitis can also occur due to bacterial infection from skin flora invasion through the catheterization track or from bowel content. Therefore, antibiotics prophylaxis is recommended. It is worth noting that peritonitis can potentially cause significant morbidity and mortality as this patient population tends to be frail</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{"citationItems":[{"id":"ITEM-1","itemData":{"author":[{"dropping-particle":"","family":"Kuo","given":"Yuo-chen","non-dropping-particle":"","parse-names":false,"suffix":""},{"dropping-particle":"","family":"Shlanksy-Goldberg","given":"Richard D.","non-dropping-particle":"","parse-names":false,"suffix":""},{"dropping-particle":"","family":"Mondschein","given":"Jeffrey I.","non-dropping-particle":"","parse-names":false,"suffix":""},{"dropping-particle":"","family":"Stavropoulos","given":"S. William","non-dropping-particle":"","parse-names":false,"suffix":""},{"dropping-particle":"","family":"Patel","given":"Aalpen A.","non-dropping-particle":"","parse-names":false,"suffix":""},{"dropping-particle":"","family":"Solomon","given":"Jeffrey A.","non-dropping-particle":"","parse-names":false,"suffix":""},{"dropping-particle":"","family":"Soulen","given":"Michael C.","non-dropping-particle":"","parse-names":false,"suffix":""},{"dropping-particle":"","family":"Kwak","given":"Andrew","non-dropping-particle":"","parse-names":false,"suffix":""},{"dropping-particle":"","family":"Itkin","given":"Maxim","non-dropping-particle":"","parse-names":false,"suffix":""},{"dropping-particle":"","family":"Chittams","given":"Jesse L.","non-dropping-particle":"","parse-names":false,"suffix":""},{"dropping-particle":"","family":"Trerotola","given":"Scott O.","non-dropping-particle":"","parse-names":false,"suffix":""}],"container-title":"JVIR","id":"ITEM-1","issued":{"date-parts":[["2008"]]},"page":"557-564","title":"Large or Small Bore, Push or Pull: A Comparison of Three Classes of Percutaneous Fluoroscopic Gastrostomy Catheters","type":"article-journal","volume":"19"},"uris":["http://www.mendeley.com/documents/?uuid=706cc587-903d-4281-9208-cf3d98a69bb3"]}],"mendeley":{"formattedCitation":"&lt;sup&gt;[25]&lt;/sup&gt;","plainTextFormattedCitation":"[25]","previouslyFormattedCitation":"&lt;sup&gt;25&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4</w:t>
      </w:r>
      <w:r w:rsidRPr="00556FBB">
        <w:rPr>
          <w:rFonts w:ascii="Book Antiqua" w:hAnsi="Book Antiqua" w:cs="Times New Roman"/>
          <w:sz w:val="24"/>
          <w:szCs w:val="24"/>
        </w:rPr>
        <w:fldChar w:fldCharType="end"/>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Kahriman","given":"G.","non-dropping-particle":"","parse-names":false,"suffix":""},{"dropping-particle":"","family":"Ozcan","given":"N.","non-dropping-particle":"","parse-names":false,"suffix":""},{"dropping-particle":"","family":"Donmez","given":"H.","non-dropping-particle":"","parse-names":false,"suffix":""}],"container-title":"Diagnostic and Interventional Imagin","id":"ITEM-1","issued":{"date-parts":[["2017"]]},"page":"715-720","title":"Fluoroscopy-guided Placment of Pull-type Mushroom-retained Gastrostomy Tubes in 102 Patients","type":"article-journal","volume":"98"},"uris":["http://www.mendeley.com/documents/?uuid=1104cfef-6cd1-4e8a-890a-cddb65afa937"]}],"mendeley":{"formattedCitation":"&lt;sup&gt;[26]&lt;/sup&gt;","plainTextFormattedCitation":"[26]","previouslyFormattedCitation":"&lt;sup&gt;26&lt;/sup&gt;"},"properties":{"noteIndex":0},"schema":"https://github.com/citation-style-language/schema/raw/master/csl-citation.json"}</w:instrText>
      </w:r>
      <w:r w:rsidRPr="00556FBB">
        <w:rPr>
          <w:rFonts w:ascii="Book Antiqua" w:hAnsi="Book Antiqua" w:cs="Times New Roman"/>
          <w:sz w:val="24"/>
          <w:szCs w:val="24"/>
        </w:rPr>
        <w:fldChar w:fldCharType="separate"/>
      </w:r>
      <w:r w:rsidR="008832C5" w:rsidRPr="00556FBB">
        <w:rPr>
          <w:rFonts w:ascii="Book Antiqua" w:hAnsi="Book Antiqua" w:cs="Times New Roman"/>
          <w:noProof/>
          <w:sz w:val="24"/>
          <w:szCs w:val="24"/>
          <w:vertAlign w:val="superscript"/>
        </w:rPr>
        <w:t>,</w:t>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5</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The newly placed gastrostomy catheter must be allowed to passive drainage for 24 h prior to the initiation of tube feeding to decompress the gastric body and minimize the risk of leakage. If per oral medication administration is required for certain patient populations a </w:t>
      </w:r>
      <w:proofErr w:type="spellStart"/>
      <w:r w:rsidRPr="00556FBB">
        <w:rPr>
          <w:rFonts w:ascii="Book Antiqua" w:hAnsi="Book Antiqua" w:cs="Times New Roman"/>
          <w:sz w:val="24"/>
          <w:szCs w:val="24"/>
        </w:rPr>
        <w:t>nasogatric</w:t>
      </w:r>
      <w:proofErr w:type="spellEnd"/>
      <w:r w:rsidRPr="00556FBB">
        <w:rPr>
          <w:rFonts w:ascii="Book Antiqua" w:hAnsi="Book Antiqua" w:cs="Times New Roman"/>
          <w:sz w:val="24"/>
          <w:szCs w:val="24"/>
        </w:rPr>
        <w:t xml:space="preserve"> tube should be used in the first 24 h. </w:t>
      </w:r>
      <w:r w:rsidRPr="00556FBB">
        <w:rPr>
          <w:rFonts w:ascii="Book Antiqua" w:hAnsi="Book Antiqua" w:cs="Times New Roman"/>
          <w:sz w:val="24"/>
          <w:szCs w:val="24"/>
        </w:rPr>
        <w:lastRenderedPageBreak/>
        <w:t>While giving the per oral medication the freshly placed gastrostomy catheter can be clamped for 30 to 60 min to enable absorption of the administered per oral medication before placing the gastrostomy catheter to passive drainage again. Specific attention must be given to assess for post-procedure peritonitis. Signs of peritonitis include fever, chills, tachycardia, hypotension, elevated white blood cell count, abdominal pain, and guarding/rebound tenderness on post procedure physical exam. Hemorrhage occurs in approximately 1.4% of all patients</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{"citationItems":[{"id":"ITEM-1","itemData":{"DOI":"10.2214/AJR.11.7804","ISSN":"0361803X","abstract":"OBJECTIVE: Radiologic percutaneous gastrostomy tube placement is a widely accepted method of enteral access for patients requiring long-term nutritional support for a variety of conditions. Although the safety of this procedure is well documented, complications do occur. The purpose of this article is to review the major and minor complications associated with gastrostomy tube placement and to present appropriate and effective management strategies.\\n\\nCONCLUSION: Familiarity with the potential complications, techniques for their prevention, and strategies for treatment will help practicing interventional radiologists successfully manage all possible outcomes.","author":[{"dropping-particle":"","family":"Covarrubias","given":"Diego Antonio","non-dropping-particle":"","parse-names":false,"suffix":""},{"dropping-particle":"","family":"O'Connor","given":"Owen J.","non-dropping-particle":"","parse-names":false,"suffix":""},{"dropping-particle":"","family":"McDermott","given":"Shaunagh","non-dropping-particle":"","parse-names":false,"suffix":""},{"dropping-particle":"","family":"Arellano","given":"Ronald S.","non-dropping-particle":"","parse-names":false,"suffix":""}],"container-title":"American Journal of Roentgenology","id":"ITEM-1","issued":{"date-parts":[["2013"]]},"page":"921-931","title":"Radiologic percutaneous gastrostomy: Review of potential complications and approach to managing the unexpected outcome","type":"article-journal","volume":"200"},"uris":["http://www.mendeley.com/documents/?uuid=73db2b49-52cd-4b06-96ca-8755e42ba62c"]}],"mendeley":{"formattedCitation":"&lt;sup&gt;[24]&lt;/sup&gt;","plainTextFormattedCitation":"[24]","previouslyFormattedCitation":"&lt;sup&gt;24&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3</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Large volume hemorrhage is rare unless the epigastric or gastroepiploic vessels are injured during the procedure. Therefore, it is important to assess the bowel and vascular anatomy with pre-procedural CT and ultrasound. Furthermore, it is critical to choose the initial gastrostomy site near the upper third of the abdomen to avoid the epigastric vessels. In addition, access site should be directed at the mid-section of the stomach equidistant from the greater and lesser curvatures to avoid the gastric and gastroepiploic vessels.</w:t>
      </w:r>
    </w:p>
    <w:p w14:paraId="25512209" w14:textId="35FD9640"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There has been a paucity of data comparing the two different PIRG techniques: the so-called “push” and “pull” techniques. A review of literature shows comparable major complication rates across both groups and either comparable or slightly lower minor complication rates in the “pull” group as compared to the “push” group</w:t>
      </w:r>
      <w:r w:rsidRPr="00556FBB">
        <w:rPr>
          <w:rFonts w:ascii="Book Antiqua" w:hAnsi="Book Antiqua" w:cs="Times New Roman"/>
          <w:sz w:val="24"/>
          <w:szCs w:val="24"/>
          <w:vertAlign w:val="superscript"/>
        </w:rPr>
        <w:fldChar w:fldCharType="begin" w:fldLock="1"/>
      </w:r>
      <w:r w:rsidR="0031455F" w:rsidRPr="00556FBB">
        <w:rPr>
          <w:rFonts w:ascii="Book Antiqua" w:hAnsi="Book Antiqua" w:cs="Times New Roman"/>
          <w:sz w:val="24"/>
          <w:szCs w:val="24"/>
          <w:vertAlign w:val="superscript"/>
        </w:rPr>
        <w:instrText>ADDIN CSL_CITATION {"citationItems":[{"id":"ITEM-1","itemData":{"author":[{"dropping-particle":"","family":"Kuo","given":"Yuo-chen","non-dropping-particle":"","parse-names":false,"suffix":""},{"dropping-particle":"","family":"Shlanksy-Goldberg","given":"Richard D.","non-dropping-particle":"","parse-names":false,"suffix":""},{"dropping-particle":"","family":"Mondschein","given":"Jeffrey I.","non-dropping-particle":"","parse-names":false,"suffix":""},{"dropping-particle":"","family":"Stavropoulos","given":"S. William","non-dropping-particle":"","parse-names":false,"suffix":""},{"dropping-particle":"","family":"Patel","given":"Aalpen A.","non-dropping-particle":"","parse-names":false,"suffix":""},{"dropping-particle":"","family":"Solomon","given":"Jeffrey A.","non-dropping-particle":"","parse-names":false,"suffix":""},{"dropping-particle":"","family":"Soulen","given":"Michael C.","non-dropping-particle":"","parse-names":false,"suffix":""},{"dropping-particle":"","family":"Kwak","given":"Andrew","non-dropping-particle":"","parse-names":false,"suffix":""},{"dropping-particle":"","family":"Itkin","given":"Maxim","non-dropping-particle":"","parse-names":false,"suffix":""},{"dropping-particle":"","family":"Chittams","given":"Jesse L.","non-dropping-particle":"","parse-names":false,"suffix":""},{"dropping-particle":"","family":"Trerotola","given":"Scott O.","non-dropping-particle":"","parse-names":false,"suffix":""}],"container-title":"JVIR","id":"ITEM-1","issued":{"date-parts":[["2008"]]},"page":"557-564","title":"Large or Small Bore, Push or Pull: A Comparison of Three Classes of Percutaneous Fluoroscopic Gastrostomy Catheters","type":"article-journal","volume":"19"},"uris":["http://www.mendeley.com/documents/?uuid=706cc587-903d-4281-9208-cf3d98a69bb3"]}],"mendeley":{"formattedCitation":"&lt;sup&gt;[25]&lt;/sup&gt;","plainTextFormattedCitation":"[25]","previouslyFormattedCitation":"&lt;sup&gt;25&lt;/sup&gt;"},"properties":{"noteIndex":0},"schema":"https://github.com/citation-style-language/schema/raw/master/csl-citation.json"}</w:instrText>
      </w:r>
      <w:r w:rsidRPr="00556FBB">
        <w:rPr>
          <w:rFonts w:ascii="Book Antiqua" w:hAnsi="Book Antiqua" w:cs="Times New Roman"/>
          <w:sz w:val="24"/>
          <w:szCs w:val="24"/>
          <w:vertAlign w:val="superscript"/>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4</w:t>
      </w:r>
      <w:r w:rsidR="008832C5" w:rsidRPr="00556FBB">
        <w:rPr>
          <w:rFonts w:ascii="Book Antiqua" w:hAnsi="Book Antiqua" w:cs="Times New Roman"/>
          <w:noProof/>
          <w:sz w:val="24"/>
          <w:szCs w:val="24"/>
          <w:vertAlign w:val="superscript"/>
        </w:rPr>
        <w:t>,</w:t>
      </w:r>
      <w:r w:rsidRPr="00556FBB">
        <w:rPr>
          <w:rFonts w:ascii="Book Antiqua" w:hAnsi="Book Antiqua" w:cs="Times New Roman"/>
          <w:sz w:val="24"/>
          <w:szCs w:val="24"/>
          <w:vertAlign w:val="superscript"/>
        </w:rPr>
        <w:fldChar w:fldCharType="end"/>
      </w:r>
      <w:r w:rsidRPr="00556FBB">
        <w:rPr>
          <w:rFonts w:ascii="Book Antiqua" w:hAnsi="Book Antiqua" w:cs="Times New Roman"/>
          <w:sz w:val="24"/>
          <w:szCs w:val="24"/>
          <w:vertAlign w:val="superscript"/>
        </w:rPr>
        <w:fldChar w:fldCharType="begin" w:fldLock="1"/>
      </w:r>
      <w:r w:rsidR="0031455F" w:rsidRPr="00556FBB">
        <w:rPr>
          <w:rFonts w:ascii="Book Antiqua" w:hAnsi="Book Antiqua" w:cs="Times New Roman"/>
          <w:sz w:val="24"/>
          <w:szCs w:val="24"/>
          <w:vertAlign w:val="superscript"/>
        </w:rPr>
        <w:instrText>ADDIN CSL_CITATION {"citationItems":[{"id":"ITEM-1","itemData":{"author":[{"dropping-particle":"","family":"Yang","given":"Yang","non-dropping-particle":"","parse-names":false,"suffix":""},{"dropping-particle":"","family":"Schneider","given":"J.","non-dropping-particle":"","parse-names":false,"suffix":""},{"dropping-particle":"","family":"Duber","given":"C.","non-dropping-particle":"","parse-names":false,"suffix":""},{"dropping-particle":"","family":"Pitton","given":"MB.","non-dropping-particle":"","parse-names":false,"suffix":""}],"container-title":"European Radiology","id":"ITEM-1","issued":{"date-parts":[["2011"]]},"page":"2354-2361","title":"Comparison of Fluoroscopy-guided Pull-type Percutaneous Radiological Gastrostomy (Pull-type-PRG) with Conventional Percutaneous Radiological Gastrostomy (Push-type-PRG): Clinical Results in 253 Patients","type":"article-journal","volume":"21"},"uris":["http://www.mendeley.com/documents/?uuid=2613709c-0c12-4449-b193-8ecf2d197725"]}],"mendeley":{"formattedCitation":"&lt;sup&gt;[27]&lt;/sup&gt;","plainTextFormattedCitation":"[27]","previouslyFormattedCitation":"&lt;sup&gt;27&lt;/sup&gt;"},"properties":{"noteIndex":0},"schema":"https://github.com/citation-style-language/schema/raw/master/csl-citation.json"}</w:instrText>
      </w:r>
      <w:r w:rsidRPr="00556FBB">
        <w:rPr>
          <w:rFonts w:ascii="Book Antiqua" w:hAnsi="Book Antiqua" w:cs="Times New Roman"/>
          <w:sz w:val="24"/>
          <w:szCs w:val="24"/>
          <w:vertAlign w:val="superscript"/>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6</w:t>
      </w:r>
      <w:r w:rsidRPr="00556FBB">
        <w:rPr>
          <w:rFonts w:ascii="Book Antiqua" w:hAnsi="Book Antiqua" w:cs="Times New Roman"/>
          <w:sz w:val="24"/>
          <w:szCs w:val="24"/>
          <w:vertAlign w:val="superscript"/>
        </w:rPr>
        <w:fldChar w:fldCharType="end"/>
      </w:r>
      <w:r w:rsidR="008832C5" w:rsidRPr="00556FBB">
        <w:rPr>
          <w:rFonts w:ascii="Book Antiqua" w:hAnsi="Book Antiqua" w:cs="Times New Roman"/>
          <w:sz w:val="24"/>
          <w:szCs w:val="24"/>
          <w:vertAlign w:val="superscript"/>
        </w:rPr>
        <w:t>-</w:t>
      </w:r>
      <w:r w:rsidRPr="00556FBB">
        <w:rPr>
          <w:rFonts w:ascii="Book Antiqua" w:hAnsi="Book Antiqua" w:cs="Times New Roman"/>
          <w:sz w:val="24"/>
          <w:szCs w:val="24"/>
          <w:vertAlign w:val="superscript"/>
        </w:rPr>
        <w:fldChar w:fldCharType="begin" w:fldLock="1"/>
      </w:r>
      <w:r w:rsidR="0031455F" w:rsidRPr="00556FBB">
        <w:rPr>
          <w:rFonts w:ascii="Book Antiqua" w:hAnsi="Book Antiqua" w:cs="Times New Roman"/>
          <w:sz w:val="24"/>
          <w:szCs w:val="24"/>
          <w:vertAlign w:val="superscript"/>
        </w:rPr>
        <w:instrText>ADDIN CSL_CITATION {"citationItems":[{"id":"ITEM-1","itemData":{"author":[{"dropping-particle":"","family":"Currie","given":"BM","non-dropping-particle":"","parse-names":false,"suffix":""},{"dropping-particle":"","family":"Getrajdaman","given":"GI","non-dropping-particle":"","parse-names":false,"suffix":""},{"dropping-particle":"","family":"COvey","given":"AM","non-dropping-particle":"","parse-names":false,"suffix":""},{"dropping-particle":"","family":"Alago","given":"W","non-dropping-particle":"","parse-names":false,"suffix":""},{"dropping-particle":"","family":"Erinjeri","given":"JP","non-dropping-particle":"","parse-names":false,"suffix":""},{"dropping-particle":"","family":"Maybody","given":"M","non-dropping-particle":"","parse-names":false,"suffix":""},{"dropping-particle":"","family":"Boas","given":"FE","non-dropping-particle":"","parse-names":false,"suffix":""}],"container-title":"Diagnostic and Interventional Imagin","id":"ITEM-1","issued":{"date-parts":[["2018"]]},"page":"547-553","title":"Push versus Pull Gastrostomy in Cancer Patients: A Single Center Retrospective Analysis of Complications and Technical Success Rates","type":"article-journal","volume":"99"},"uris":["http://www.mendeley.com/documents/?uuid=42e0a810-06a8-4dca-a066-af324a16cdaf"]}],"mendeley":{"formattedCitation":"&lt;sup&gt;[29]&lt;/sup&gt;","plainTextFormattedCitation":"[29]","previouslyFormattedCitation":"&lt;sup&gt;29&lt;/sup&gt;"},"properties":{"noteIndex":0},"schema":"https://github.com/citation-style-language/schema/raw/master/csl-citation.json"}</w:instrText>
      </w:r>
      <w:r w:rsidRPr="00556FBB">
        <w:rPr>
          <w:rFonts w:ascii="Book Antiqua" w:hAnsi="Book Antiqua" w:cs="Times New Roman"/>
          <w:sz w:val="24"/>
          <w:szCs w:val="24"/>
          <w:vertAlign w:val="superscript"/>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8</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vertAlign w:val="superscript"/>
        </w:rPr>
        <w:fldChar w:fldCharType="end"/>
      </w:r>
      <w:r w:rsidRPr="00556FBB">
        <w:rPr>
          <w:rFonts w:ascii="Book Antiqua" w:hAnsi="Book Antiqua" w:cs="Times New Roman"/>
          <w:sz w:val="24"/>
          <w:szCs w:val="24"/>
        </w:rPr>
        <w:t xml:space="preserve">. A detailed look into the studies has shown that the gastrostomy catheter used in the “push” group is consistently smaller in caliber and often exclusively of the pigtail-retaining mechanism. </w:t>
      </w:r>
      <w:proofErr w:type="spellStart"/>
      <w:r w:rsidRPr="00556FBB">
        <w:rPr>
          <w:rFonts w:ascii="Book Antiqua" w:hAnsi="Book Antiqua" w:cs="Times New Roman"/>
          <w:sz w:val="24"/>
          <w:szCs w:val="24"/>
        </w:rPr>
        <w:t>Laasch</w:t>
      </w:r>
      <w:proofErr w:type="spellEnd"/>
      <w:r w:rsidRPr="00556FBB">
        <w:rPr>
          <w:rFonts w:ascii="Book Antiqua" w:hAnsi="Book Antiqua" w:cs="Times New Roman"/>
          <w:sz w:val="24"/>
          <w:szCs w:val="24"/>
        </w:rPr>
        <w:t xml:space="preserve"> </w:t>
      </w:r>
      <w:r w:rsidRPr="00556FBB">
        <w:rPr>
          <w:rFonts w:ascii="Book Antiqua" w:hAnsi="Book Antiqua" w:cs="Times New Roman"/>
          <w:i/>
          <w:iCs/>
          <w:sz w:val="24"/>
          <w:szCs w:val="24"/>
        </w:rPr>
        <w:t>et al</w:t>
      </w:r>
      <w:r w:rsidR="008832C5" w:rsidRPr="00556FBB">
        <w:rPr>
          <w:rFonts w:ascii="Book Antiqua" w:hAnsi="Book Antiqua" w:cs="Times New Roman"/>
          <w:sz w:val="24"/>
          <w:szCs w:val="24"/>
        </w:rPr>
        <w:fldChar w:fldCharType="begin" w:fldLock="1"/>
      </w:r>
      <w:r w:rsidR="008832C5" w:rsidRPr="00556FBB">
        <w:rPr>
          <w:rFonts w:ascii="Book Antiqua" w:hAnsi="Book Antiqua" w:cs="Times New Roman"/>
          <w:sz w:val="24"/>
          <w:szCs w:val="24"/>
        </w:rPr>
        <w:instrText>ADDIN CSL_CITATION {"citationItems":[{"id":"ITEM-1","itemData":{"author":[{"dropping-particle":"","family":"Laasch","given":"H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AL","non-dropping-particle":"","parse-names":false,"suffix":""},{"dropping-particle":"","family":"Johnson","given":"RJ","non-dropping-particle":"","parse-names":false,"suffix":""},{"dropping-particle":"","family":"Lee","given":"SH","non-dropping-particle":"","parse-names":false,"suffix":""},{"dropping-particle":"","family":"England","given":"RE","non-dropping-particle":"","parse-names":false,"suffix":""},{"dropping-particle":"","family":"Gamble","given":"GE","non-dropping-particle":"","parse-names":false,"suffix":""},{"dropping-particle":"","family":"Martin","given":"DF","non-dropping-particle":"","parse-names":false,"suffix":""}],"container-title":"Clinical Radiology","id":"ITEM-1","issued":{"date-parts":[["2003"]]},"page":"398-405","title":"Gastrostomy Insertion: Comparing the Options - PEG, RIG or PIG?","type":"article-journal","volume":"58"},"uris":["http://www.mendeley.com/documents/?uuid=6b734b9c-2640-4417-8cab-db6081b302bd"]}],"mendeley":{"formattedCitation":"&lt;sup&gt;[28]&lt;/sup&gt;","plainTextFormattedCitation":"[28]","previouslyFormattedCitation":"&lt;sup&gt;28&lt;/sup&gt;"},"properties":{"noteIndex":0},"schema":"https://github.com/citation-style-language/schema/raw/master/csl-citation.json"}</w:instrText>
      </w:r>
      <w:r w:rsidR="008832C5" w:rsidRPr="00556FBB">
        <w:rPr>
          <w:rFonts w:ascii="Book Antiqua" w:hAnsi="Book Antiqua" w:cs="Times New Roman"/>
          <w:sz w:val="24"/>
          <w:szCs w:val="24"/>
        </w:rPr>
        <w:fldChar w:fldCharType="separate"/>
      </w:r>
      <w:r w:rsidR="008832C5"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7</w:t>
      </w:r>
      <w:r w:rsidR="008832C5" w:rsidRPr="00556FBB">
        <w:rPr>
          <w:rFonts w:ascii="Book Antiqua" w:hAnsi="Book Antiqua" w:cs="Times New Roman"/>
          <w:noProof/>
          <w:sz w:val="24"/>
          <w:szCs w:val="24"/>
          <w:vertAlign w:val="superscript"/>
        </w:rPr>
        <w:t>]</w:t>
      </w:r>
      <w:r w:rsidR="008832C5"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used 10.5-French or 12-French “push” gastrostomy catheters and 20-French “pull” gastrostomy catheters in their study. A more recent study used 14.5-French mean-sized “push” gastrostomy catheters and 21-French mean-sized “pull” gastrostomy catheters</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Currie","given":"BM","non-dropping-particle":"","parse-names":false,"suffix":""},{"dropping-particle":"","family":"Getrajdaman","given":"GI","non-dropping-particle":"","parse-names":false,"suffix":""},{"dropping-particle":"","family":"COvey","given":"AM","non-dropping-particle":"","parse-names":false,"suffix":""},{"dropping-particle":"","family":"Alago","given":"W","non-dropping-particle":"","parse-names":false,"suffix":""},{"dropping-particle":"","family":"Erinjeri","given":"JP","non-dropping-particle":"","parse-names":false,"suffix":""},{"dropping-particle":"","family":"Maybody","given":"M","non-dropping-particle":"","parse-names":false,"suffix":""},{"dropping-particle":"","family":"Boas","given":"FE","non-dropping-particle":"","parse-names":false,"suffix":""}],"container-title":"Diagnostic and Interventional Imagin","id":"ITEM-1","issued":{"date-parts":[["2018"]]},"page":"547-553","title":"Push versus Pull Gastrostomy in Cancer Patients: A Single Center Retrospective Analysis of Complications and Technical Success Rates","type":"article-journal","volume":"99"},"uris":["http://www.mendeley.com/documents/?uuid=42e0a810-06a8-4dca-a066-af324a16cdaf"]}],"mendeley":{"formattedCitation":"&lt;sup&gt;[29]&lt;/sup&gt;","plainTextFormattedCitation":"[29]","previouslyFormattedCitation":"&lt;sup&gt;29&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8</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Multiple studies have shown that smaller caliber tubes are more prone to either tubal occlusion or failure to meet feeding goals</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{"citationItems":[{"id":"ITEM-1","itemData":{"author":[{"dropping-particle":"","family":"Kuo","given":"Yuo-chen","non-dropping-particle":"","parse-names":false,"suffix":""},{"dropping-particle":"","family":"Shlanksy-Goldberg","given":"Richard D.","non-dropping-particle":"","parse-names":false,"suffix":""},{"dropping-particle":"","family":"Mondschein","given":"Jeffrey I.","non-dropping-particle":"","parse-names":false,"suffix":""},{"dropping-particle":"","family":"Stavropoulos","given":"S. William","non-dropping-particle":"","parse-names":false,"suffix":""},{"dropping-particle":"","family":"Patel","given":"Aalpen A.","non-dropping-particle":"","parse-names":false,"suffix":""},{"dropping-particle":"","family":"Solomon","given":"Jeffrey A.","non-dropping-particle":"","parse-names":false,"suffix":""},{"dropping-particle":"","family":"Soulen","given":"Michael C.","non-dropping-particle":"","parse-names":false,"suffix":""},{"dropping-particle":"","family":"Kwak","given":"Andrew","non-dropping-particle":"","parse-names":false,"suffix":""},{"dropping-particle":"","family":"Itkin","given":"Maxim","non-dropping-particle":"","parse-names":false,"suffix":""},{"dropping-particle":"","family":"Chittams","given":"Jesse L.","non-dropping-particle":"","parse-names":false,"suffix":""},{"dropping-particle":"","family":"Trerotola","given":"Scott O.","non-dropping-particle":"","parse-names":false,"suffix":""}],"container-title":"JVIR","id":"ITEM-1","issued":{"date-parts":[["2008"]]},"page":"557-564","title":"Large or Small Bore, Push or Pull: A Comparison of Three Classes of Percutaneous Fluoroscopic Gastrostomy Catheters","type":"article-journal","volume":"19"},"uris":["http://www.mendeley.com/documents/?uuid=706cc587-903d-4281-9208-cf3d98a69bb3"]}],"mendeley":{"formattedCitation":"&lt;sup&gt;[25]&lt;/sup&gt;","plainTextFormattedCitation":"[25]","previouslyFormattedCitation":"&lt;sup&gt;25&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4</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In addition, Funaki </w:t>
      </w:r>
      <w:r w:rsidRPr="00556FBB">
        <w:rPr>
          <w:rFonts w:ascii="Book Antiqua" w:hAnsi="Book Antiqua" w:cs="Times New Roman"/>
          <w:i/>
          <w:iCs/>
          <w:sz w:val="24"/>
          <w:szCs w:val="24"/>
        </w:rPr>
        <w:t>et al</w:t>
      </w:r>
      <w:r w:rsidR="008832C5" w:rsidRPr="00556FBB">
        <w:rPr>
          <w:rFonts w:ascii="Book Antiqua" w:hAnsi="Book Antiqua" w:cs="Times New Roman"/>
          <w:sz w:val="24"/>
          <w:szCs w:val="24"/>
        </w:rPr>
        <w:fldChar w:fldCharType="begin" w:fldLock="1"/>
      </w:r>
      <w:r w:rsidR="008832C5" w:rsidRPr="00556FBB">
        <w:rPr>
          <w:rFonts w:ascii="Book Antiqua" w:hAnsi="Book Antiqua" w:cs="Times New Roman"/>
          <w:sz w:val="24"/>
          <w:szCs w:val="24"/>
        </w:rPr>
        <w:instrText>ADDIN CSL_CITATION {"citationItems":[{"id":"ITEM-1","itemData":{"author":[{"dropping-particle":"","family":"Funaki","given":"Brian","non-dropping-particle":"","parse-names":false,"suffix":""},{"dropping-particle":"","family":"Zaleski","given":"George X.","non-dropping-particle":"","parse-names":false,"suffix":""},{"dropping-particle":"","family":"Lorenz","given":"Jonathan","non-dropping-particle":"","parse-names":false,"suffix":""},{"dropping-particle":"","family":"Menocci","given":"Paul B.","non-dropping-particle":"","parse-names":false,"suffix":""},{"dropping-particle":"","family":"Funaki","given":"Alexandra N.","non-dropping-particle":"","parse-names":false,"suffix":""},{"dropping-particle":"","family":"Rosenblum","given":"Jordan D.","non-dropping-particle":"","parse-names":false,"suffix":""},{"dropping-particle":"","family":"Straus","given":"Christopher","non-dropping-particle":"","parse-names":false,"suffix":""},{"dropping-particle":"","family":"Leef","given":"Jeffrey A.","non-dropping-particle":"","parse-names":false,"suffix":""}],"container-title":"AJR","id":"ITEM-1","issued":{"date-parts":[["2000"]]},"page":"375-379","title":"Radiologic Gastrostomy Placement: Pigtail- Versus Mushroom-Retained Catheters","type":"article-journal","volume":"175"},"uris":["http://www.mendeley.com/documents/?uuid=84bfc5c7-2f5a-490d-a3bd-7ecb60cfae5d"]}],"mendeley":{"formattedCitation":"&lt;sup&gt;[30]&lt;/sup&gt;","plainTextFormattedCitation":"[30]","previouslyFormattedCitation":"&lt;sup&gt;30&lt;/sup&gt;"},"properties":{"noteIndex":0},"schema":"https://github.com/citation-style-language/schema/raw/master/csl-citation.json"}</w:instrText>
      </w:r>
      <w:r w:rsidR="008832C5" w:rsidRPr="00556FBB">
        <w:rPr>
          <w:rFonts w:ascii="Book Antiqua" w:hAnsi="Book Antiqua" w:cs="Times New Roman"/>
          <w:sz w:val="24"/>
          <w:szCs w:val="24"/>
        </w:rPr>
        <w:fldChar w:fldCharType="separate"/>
      </w:r>
      <w:r w:rsidR="008832C5" w:rsidRPr="00556FBB">
        <w:rPr>
          <w:rFonts w:ascii="Book Antiqua" w:hAnsi="Book Antiqua" w:cs="Times New Roman"/>
          <w:noProof/>
          <w:sz w:val="24"/>
          <w:szCs w:val="24"/>
          <w:vertAlign w:val="superscript"/>
        </w:rPr>
        <w:t>[</w:t>
      </w:r>
      <w:r w:rsidR="00556FBB">
        <w:rPr>
          <w:rFonts w:ascii="Book Antiqua" w:hAnsi="Book Antiqua" w:cs="Times New Roman"/>
          <w:noProof/>
          <w:sz w:val="24"/>
          <w:szCs w:val="24"/>
          <w:vertAlign w:val="superscript"/>
        </w:rPr>
        <w:t>29</w:t>
      </w:r>
      <w:r w:rsidR="008832C5" w:rsidRPr="00556FBB">
        <w:rPr>
          <w:rFonts w:ascii="Book Antiqua" w:hAnsi="Book Antiqua" w:cs="Times New Roman"/>
          <w:noProof/>
          <w:sz w:val="24"/>
          <w:szCs w:val="24"/>
          <w:vertAlign w:val="superscript"/>
        </w:rPr>
        <w:t>]</w:t>
      </w:r>
      <w:r w:rsidR="008832C5" w:rsidRPr="00556FBB">
        <w:rPr>
          <w:rFonts w:ascii="Book Antiqua" w:hAnsi="Book Antiqua" w:cs="Times New Roman"/>
          <w:sz w:val="24"/>
          <w:szCs w:val="24"/>
        </w:rPr>
        <w:fldChar w:fldCharType="end"/>
      </w:r>
      <w:r w:rsidRPr="00556FBB">
        <w:rPr>
          <w:rFonts w:ascii="Book Antiqua" w:hAnsi="Book Antiqua" w:cs="Times New Roman"/>
          <w:sz w:val="24"/>
          <w:szCs w:val="24"/>
        </w:rPr>
        <w:t xml:space="preserve"> reported a much more significant tubal complication rate in pigtail-retaining catheters in the “push” group than mushroom-retaining tubes in the “pull” group (36% </w:t>
      </w:r>
      <w:r w:rsidRPr="00556FBB">
        <w:rPr>
          <w:rFonts w:ascii="Book Antiqua" w:hAnsi="Book Antiqua" w:cs="Times New Roman"/>
          <w:i/>
          <w:iCs/>
          <w:sz w:val="24"/>
          <w:szCs w:val="24"/>
        </w:rPr>
        <w:t>vs</w:t>
      </w:r>
      <w:r w:rsidRPr="00556FBB">
        <w:rPr>
          <w:rFonts w:ascii="Book Antiqua" w:hAnsi="Book Antiqua" w:cs="Times New Roman"/>
          <w:sz w:val="24"/>
          <w:szCs w:val="24"/>
        </w:rPr>
        <w:t xml:space="preserve"> 2%). It has been documented in the literature that larger bore “push” type catheters (20 to 24-French) can be successfully placed </w:t>
      </w:r>
      <w:r w:rsidRPr="00556FBB">
        <w:rPr>
          <w:rFonts w:ascii="Book Antiqua" w:hAnsi="Book Antiqua" w:cs="Times New Roman"/>
          <w:i/>
          <w:iCs/>
          <w:sz w:val="24"/>
          <w:szCs w:val="24"/>
        </w:rPr>
        <w:t>via</w:t>
      </w:r>
      <w:r w:rsidRPr="00556FBB">
        <w:rPr>
          <w:rFonts w:ascii="Book Antiqua" w:hAnsi="Book Antiqua" w:cs="Times New Roman"/>
          <w:sz w:val="24"/>
          <w:szCs w:val="24"/>
        </w:rPr>
        <w:t xml:space="preserve"> the “push” technique. Particularly with moderate conscious sedation the "push" technique leads to less patient discomfort </w:t>
      </w:r>
      <w:r w:rsidRPr="00556FBB">
        <w:rPr>
          <w:rFonts w:ascii="Book Antiqua" w:hAnsi="Book Antiqua" w:cs="Times New Roman"/>
          <w:sz w:val="24"/>
          <w:szCs w:val="24"/>
        </w:rPr>
        <w:lastRenderedPageBreak/>
        <w:t>compared to the "pull" technique during which per oral advancement and manipulation is required. Further, the "pull" technique is not ideal for many patients requiring enteral feeding, such as those with head and neck or esophageal tumors as well as postsurgical head and neck patients. In our practice we typically place a 16- or 18-French non-pigtail gastrostomy catheters using the "push" technique. It is yet to be determined whether the 16 to 18-French balloon-retaining “push” non-pigtail gastrostomy catheters used at our institution may perform comparably to the mushroom-retained “pull” gastrostomy catheters in those patients who qualify for the "pull" technique.</w:t>
      </w:r>
    </w:p>
    <w:p w14:paraId="349374D5" w14:textId="0209265A" w:rsidR="0000474E" w:rsidRPr="00556FBB" w:rsidRDefault="0000474E" w:rsidP="00556FBB">
      <w:pPr>
        <w:spacing w:after="0" w:line="360" w:lineRule="auto"/>
        <w:ind w:firstLineChars="100" w:firstLine="240"/>
        <w:contextualSpacing/>
        <w:jc w:val="both"/>
        <w:rPr>
          <w:rFonts w:ascii="Book Antiqua" w:hAnsi="Book Antiqua" w:cs="Times New Roman"/>
          <w:sz w:val="24"/>
          <w:szCs w:val="24"/>
        </w:rPr>
      </w:pPr>
      <w:r w:rsidRPr="00556FBB">
        <w:rPr>
          <w:rFonts w:ascii="Book Antiqua" w:hAnsi="Book Antiqua" w:cs="Times New Roman"/>
          <w:sz w:val="24"/>
          <w:szCs w:val="24"/>
        </w:rPr>
        <w:t>Based our experience the "push" technique can be performed faster, is safer in the head and neck patient population, and requires less sedation. Further, it is associated with less patient discomfort as the gastrostomy catheter does not need to be pulled through the mouth. In addition, there is a decreased risk of infection due to a lack of per-oral catheterization with the transition of bacteria from the oral cavity into the gastrointestinal flora or vice versa</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{"citationItems":[{"id":"ITEM-1","itemData":{"DOI":"10.1016/S0016-5107(03)70017-0","ISSN":"00165107","abstract":"Background: PEG by the conventional pull method has the potential drawback of being associated with a higher frequency of wound infection, presumably caused by contamination of the gastrostomy catheter as it passes through the oral cavity. This study investigated the occurrence of peristomal wound infection after PEG placement by using the pull and introducer techniques. Methods: Between September 1999 and May 2002, consecutive patients with dysphagia for whom PEG was recommended were enrolled in the study and randomly assigned to two groups: PEG with the introducer method (Group I) or PEG with the pull method (Group II). The peristomal area of each patient was evaluated on a daily basis for one week after PEG. Erythema and exudate were scored on a scale from 0 to 4 and induration on a scale of 0 to 3. Criteria for infection were a maximum combined score of 8 or higher, or the presence of microscopic and microbiologic evidence of suppurating exudate. In each group, the endoscope was passed once during the procedure, and an antibiotic (piperacillin) was given prophylactically. All procedures were performed by one investigator with the assistance of another physician. Results: Of the 60 patients enrolled, 30 were assigned to each group. PEG was successful in all patients. One patient was excluded from each group because of death (Group I, stroke; Group II, myocardial infarction) within one week of the procedure. Therefore, 58 patients, 29 in each group, were evaluated. There was no significant difference between the groups in terms of clinical parameters (age, gender, disease, performance score, mode of previous feeding, and recent antibiotic exposure). The occurrence of peristomal infection within one week of PEG was lower in Group I (introducer method) (0 vs. 9; p = 0.00094). The mean daily combined scores in Group I were significantly lower than those in Group II. Median of maximum parameter scores in Group I were significantly lower than those in Group II. There were no procedure-related mortalities or clinically significant wound infections that required surgical intervention. Conclusions: The risk of peristomal wound infection after PEG is lower with the introducer method compared with the pull method. (Gastrointest Endosc 2003;57:837-41.). © 2003 American Society for Gastrointestinal Endoscopy.","author":[{"dropping-particle":"","family":"Maetani","given":"Iruru","non-dropping-particle":"","parse-names":false,"suffix":""},{"dropping-particle":"","family":"Tada","given":"Tomoko","non-dropping-particle":"","parse-names":false,"suffix":""},{"dropping-particle":"","family":"Ukita","given":"Takeo","non-dropping-particle":"","parse-names":false,"suffix":""},{"dropping-particle":"","family":"Inoue","given":"Hirokazu","non-dropping-particle":"","parse-names":false,"suffix":""},{"dropping-particle":"","family":"Sakai","given":"Yoshihiro","non-dropping-particle":"","parse-names":false,"suffix":""},{"dropping-particle":"","family":"Yoshikawa","given":"Masao","non-dropping-particle":"","parse-names":false,"suffix":""}],"container-title":"Gastrointestinal Endoscopy","id":"ITEM-1","issued":{"date-parts":[["2003"]]},"title":"PEG with introducer or pull method: A prospective randomized comparison","type":"article-journal"},"uris":["http://www.mendeley.com/documents/?uuid=c566bd57-057d-4b4e-b477-0d2f70911da9"]}],"mendeley":{"formattedCitation":"&lt;sup&gt;[31]&lt;/sup&gt;","plainTextFormattedCitation":"[31]","previouslyFormattedCitation":"&lt;sup&gt;31&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w:t>
      </w:r>
      <w:bookmarkStart w:id="21" w:name="_GoBack"/>
      <w:r w:rsidR="0031455F" w:rsidRPr="00556FBB">
        <w:rPr>
          <w:rFonts w:ascii="Book Antiqua" w:hAnsi="Book Antiqua" w:cs="Times New Roman"/>
          <w:noProof/>
          <w:sz w:val="24"/>
          <w:szCs w:val="24"/>
          <w:vertAlign w:val="superscript"/>
        </w:rPr>
        <w:t>3</w:t>
      </w:r>
      <w:r w:rsidR="00556FBB">
        <w:rPr>
          <w:rFonts w:ascii="Book Antiqua" w:hAnsi="Book Antiqua" w:cs="Times New Roman"/>
          <w:noProof/>
          <w:sz w:val="24"/>
          <w:szCs w:val="24"/>
          <w:vertAlign w:val="superscript"/>
        </w:rPr>
        <w:t>0</w:t>
      </w:r>
      <w:r w:rsidR="0031455F" w:rsidRPr="00556FBB">
        <w:rPr>
          <w:rFonts w:ascii="Book Antiqua" w:hAnsi="Book Antiqua" w:cs="Times New Roman"/>
          <w:noProof/>
          <w:sz w:val="24"/>
          <w:szCs w:val="24"/>
          <w:vertAlign w:val="superscript"/>
        </w:rPr>
        <w:t>]</w:t>
      </w:r>
      <w:bookmarkEnd w:id="21"/>
      <w:r w:rsidRPr="00556FBB">
        <w:rPr>
          <w:rFonts w:ascii="Book Antiqua" w:hAnsi="Book Antiqua" w:cs="Times New Roman"/>
          <w:sz w:val="24"/>
          <w:szCs w:val="24"/>
        </w:rPr>
        <w:fldChar w:fldCharType="end"/>
      </w:r>
      <w:r w:rsidRPr="00556FBB">
        <w:rPr>
          <w:rFonts w:ascii="Book Antiqua" w:hAnsi="Book Antiqua" w:cs="Times New Roman"/>
          <w:sz w:val="24"/>
          <w:szCs w:val="24"/>
        </w:rPr>
        <w:t>. Further, the “push” technique minimizes the risks of tumor seeding through the track as opposed to “pull” type gastrostomy catheter placement</w:t>
      </w:r>
      <w:r w:rsidRPr="00556FBB">
        <w:rPr>
          <w:rFonts w:ascii="Book Antiqua" w:hAnsi="Book Antiqua" w:cs="Times New Roman"/>
          <w:sz w:val="24"/>
          <w:szCs w:val="24"/>
        </w:rPr>
        <w:fldChar w:fldCharType="begin" w:fldLock="1"/>
      </w:r>
      <w:r w:rsidR="0031455F" w:rsidRPr="00556FBB">
        <w:rPr>
          <w:rFonts w:ascii="Book Antiqua" w:hAnsi="Book Antiqua" w:cs="Times New Roman"/>
          <w:sz w:val="24"/>
          <w:szCs w:val="24"/>
        </w:rPr>
        <w:instrText>ADDIN CSL_CITATION {"citationItems":[{"id":"ITEM-1","itemData":{"author":[{"dropping-particle":"","family":"Yang","given":"Yang","non-dropping-particle":"","parse-names":false,"suffix":""},{"dropping-particle":"","family":"Schneider","given":"J.","non-dropping-particle":"","parse-names":false,"suffix":""},{"dropping-particle":"","family":"Duber","given":"C.","non-dropping-particle":"","parse-names":false,"suffix":""},{"dropping-particle":"","family":"Pitton","given":"MB.","non-dropping-particle":"","parse-names":false,"suffix":""}],"container-title":"European Radiology","id":"ITEM-1","issued":{"date-parts":[["2011"]]},"page":"2354-2361","title":"Comparison of Fluoroscopy-guided Pull-type Percutaneous Radiological Gastrostomy (Pull-type-PRG) with Conventional Percutaneous Radiological Gastrostomy (Push-type-PRG): Clinical Results in 253 Patients","type":"article-journal","volume":"21"},"uris":["http://www.mendeley.com/documents/?uuid=2613709c-0c12-4449-b193-8ecf2d197725"]}],"mendeley":{"formattedCitation":"&lt;sup&gt;[27]&lt;/sup&gt;","plainTextFormattedCitation":"[27]","previouslyFormattedCitation":"&lt;sup&gt;27&lt;/sup&gt;"},"properties":{"noteIndex":0},"schema":"https://github.com/citation-style-language/schema/raw/master/csl-citation.json"}</w:instrText>
      </w:r>
      <w:r w:rsidRPr="00556FBB">
        <w:rPr>
          <w:rFonts w:ascii="Book Antiqua" w:hAnsi="Book Antiqua" w:cs="Times New Roman"/>
          <w:sz w:val="24"/>
          <w:szCs w:val="24"/>
        </w:rPr>
        <w:fldChar w:fldCharType="separate"/>
      </w:r>
      <w:r w:rsidR="0031455F" w:rsidRPr="00556FBB">
        <w:rPr>
          <w:rFonts w:ascii="Book Antiqua" w:hAnsi="Book Antiqua" w:cs="Times New Roman"/>
          <w:noProof/>
          <w:sz w:val="24"/>
          <w:szCs w:val="24"/>
          <w:vertAlign w:val="superscript"/>
        </w:rPr>
        <w:t>[2</w:t>
      </w:r>
      <w:r w:rsidR="00556FBB">
        <w:rPr>
          <w:rFonts w:ascii="Book Antiqua" w:hAnsi="Book Antiqua" w:cs="Times New Roman"/>
          <w:noProof/>
          <w:sz w:val="24"/>
          <w:szCs w:val="24"/>
          <w:vertAlign w:val="superscript"/>
        </w:rPr>
        <w:t>6</w:t>
      </w:r>
      <w:r w:rsidR="0031455F" w:rsidRPr="00556FBB">
        <w:rPr>
          <w:rFonts w:ascii="Book Antiqua" w:hAnsi="Book Antiqua" w:cs="Times New Roman"/>
          <w:noProof/>
          <w:sz w:val="24"/>
          <w:szCs w:val="24"/>
          <w:vertAlign w:val="superscript"/>
        </w:rPr>
        <w:t>]</w:t>
      </w:r>
      <w:r w:rsidRPr="00556FBB">
        <w:rPr>
          <w:rFonts w:ascii="Book Antiqua" w:hAnsi="Book Antiqua" w:cs="Times New Roman"/>
          <w:sz w:val="24"/>
          <w:szCs w:val="24"/>
        </w:rPr>
        <w:fldChar w:fldCharType="end"/>
      </w:r>
      <w:r w:rsidRPr="00556FBB">
        <w:rPr>
          <w:rFonts w:ascii="Book Antiqua" w:hAnsi="Book Antiqua" w:cs="Times New Roman"/>
          <w:sz w:val="24"/>
          <w:szCs w:val="24"/>
        </w:rPr>
        <w:t>. Therefore, we prefer to use “push” technique at our institution, although there is still ongoing debate over the most optimal method.</w:t>
      </w:r>
    </w:p>
    <w:p w14:paraId="541E0D6C" w14:textId="77777777" w:rsidR="008832C5" w:rsidRPr="00556FBB" w:rsidRDefault="008832C5" w:rsidP="00556FBB">
      <w:pPr>
        <w:spacing w:after="0" w:line="360" w:lineRule="auto"/>
        <w:ind w:firstLineChars="100" w:firstLine="240"/>
        <w:contextualSpacing/>
        <w:jc w:val="both"/>
        <w:rPr>
          <w:rFonts w:ascii="Book Antiqua" w:hAnsi="Book Antiqua" w:cs="Times New Roman"/>
          <w:sz w:val="24"/>
          <w:szCs w:val="24"/>
        </w:rPr>
      </w:pPr>
    </w:p>
    <w:p w14:paraId="17F5E6C0" w14:textId="0CCE82B6" w:rsidR="0000474E" w:rsidRPr="00556FBB" w:rsidRDefault="008832C5" w:rsidP="00556FBB">
      <w:pPr>
        <w:spacing w:after="0" w:line="360" w:lineRule="auto"/>
        <w:contextualSpacing/>
        <w:jc w:val="both"/>
        <w:rPr>
          <w:rFonts w:ascii="Book Antiqua" w:hAnsi="Book Antiqua" w:cs="Times New Roman"/>
          <w:b/>
          <w:sz w:val="24"/>
          <w:szCs w:val="24"/>
          <w:u w:val="single"/>
        </w:rPr>
      </w:pPr>
      <w:r w:rsidRPr="00556FBB">
        <w:rPr>
          <w:rFonts w:ascii="Book Antiqua" w:hAnsi="Book Antiqua" w:cs="Times New Roman"/>
          <w:b/>
          <w:sz w:val="24"/>
          <w:szCs w:val="24"/>
          <w:u w:val="single"/>
        </w:rPr>
        <w:t>CONCLUSION</w:t>
      </w:r>
    </w:p>
    <w:p w14:paraId="4FA1FF48" w14:textId="1EDB686F" w:rsidR="0000474E" w:rsidRPr="00556FBB" w:rsidRDefault="0000474E"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sz w:val="24"/>
          <w:szCs w:val="24"/>
        </w:rPr>
        <w:t xml:space="preserve">Since its inception in 1981, PIRG has gained popularity and has become a viable alternative to the traditional surgical gastrostomy catheter placement. Its technical success and complication rates are comparable to that of PEG and lower than that of surgical placement. The two main types of PIRG include the “push” and “pull” gastrostomy catheter placement techniques. Although both techniques have been established since the late 1990s, there exists a paucity of studies comparing the two. Based on our institutional experience the “push” technique is faster, safer and better tolerated by patients. Its complication rates are comparable to that of the “pull” technique and may be even lower when using larger-bore, balloon-retaining non-pigtail catheters. In this </w:t>
      </w:r>
      <w:r w:rsidRPr="00556FBB">
        <w:rPr>
          <w:rFonts w:ascii="Book Antiqua" w:hAnsi="Book Antiqua" w:cs="Times New Roman"/>
          <w:sz w:val="24"/>
          <w:szCs w:val="24"/>
        </w:rPr>
        <w:lastRenderedPageBreak/>
        <w:t>paper we have described in a stepwise fashion our procedural technique and have discussed the perioperative care.</w:t>
      </w:r>
    </w:p>
    <w:p w14:paraId="3BFBD091" w14:textId="77777777" w:rsidR="00DB04E8" w:rsidRPr="00556FBB" w:rsidRDefault="00DB04E8" w:rsidP="00556FBB">
      <w:pPr>
        <w:spacing w:after="0" w:line="360" w:lineRule="auto"/>
        <w:contextualSpacing/>
        <w:jc w:val="both"/>
        <w:rPr>
          <w:rFonts w:ascii="Book Antiqua" w:hAnsi="Book Antiqua" w:cs="Times New Roman"/>
          <w:sz w:val="24"/>
          <w:szCs w:val="24"/>
        </w:rPr>
      </w:pPr>
    </w:p>
    <w:p w14:paraId="0112759E" w14:textId="0EC10B4E" w:rsidR="00587D8A" w:rsidRPr="00556FBB" w:rsidRDefault="008832C5" w:rsidP="00556FBB">
      <w:pPr>
        <w:spacing w:after="0" w:line="360" w:lineRule="auto"/>
        <w:contextualSpacing/>
        <w:jc w:val="both"/>
        <w:rPr>
          <w:rFonts w:ascii="Book Antiqua" w:hAnsi="Book Antiqua" w:cs="Times New Roman"/>
          <w:b/>
          <w:bCs/>
          <w:sz w:val="24"/>
          <w:szCs w:val="24"/>
        </w:rPr>
      </w:pPr>
      <w:r w:rsidRPr="00556FBB">
        <w:rPr>
          <w:rFonts w:ascii="Book Antiqua" w:hAnsi="Book Antiqua" w:cs="Times New Roman"/>
          <w:b/>
          <w:bCs/>
          <w:sz w:val="24"/>
          <w:szCs w:val="24"/>
        </w:rPr>
        <w:t>REFERENCES</w:t>
      </w:r>
    </w:p>
    <w:p w14:paraId="71E61560"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1 </w:t>
      </w:r>
      <w:r w:rsidRPr="00556FBB">
        <w:rPr>
          <w:rFonts w:ascii="Book Antiqua" w:hAnsi="Book Antiqua"/>
          <w:b/>
          <w:sz w:val="24"/>
          <w:szCs w:val="24"/>
        </w:rPr>
        <w:t>Ho SG</w:t>
      </w:r>
      <w:r w:rsidRPr="00556FBB">
        <w:rPr>
          <w:rFonts w:ascii="Book Antiqua" w:hAnsi="Book Antiqua"/>
          <w:sz w:val="24"/>
          <w:szCs w:val="24"/>
        </w:rPr>
        <w:t xml:space="preserve">, </w:t>
      </w:r>
      <w:proofErr w:type="spellStart"/>
      <w:r w:rsidRPr="00556FBB">
        <w:rPr>
          <w:rFonts w:ascii="Book Antiqua" w:hAnsi="Book Antiqua"/>
          <w:sz w:val="24"/>
          <w:szCs w:val="24"/>
        </w:rPr>
        <w:t>Marchinkow</w:t>
      </w:r>
      <w:proofErr w:type="spellEnd"/>
      <w:r w:rsidRPr="00556FBB">
        <w:rPr>
          <w:rFonts w:ascii="Book Antiqua" w:hAnsi="Book Antiqua"/>
          <w:sz w:val="24"/>
          <w:szCs w:val="24"/>
        </w:rPr>
        <w:t xml:space="preserve"> LO, </w:t>
      </w:r>
      <w:proofErr w:type="spellStart"/>
      <w:r w:rsidRPr="00556FBB">
        <w:rPr>
          <w:rFonts w:ascii="Book Antiqua" w:hAnsi="Book Antiqua"/>
          <w:sz w:val="24"/>
          <w:szCs w:val="24"/>
        </w:rPr>
        <w:t>Legiehn</w:t>
      </w:r>
      <w:proofErr w:type="spellEnd"/>
      <w:r w:rsidRPr="00556FBB">
        <w:rPr>
          <w:rFonts w:ascii="Book Antiqua" w:hAnsi="Book Antiqua"/>
          <w:sz w:val="24"/>
          <w:szCs w:val="24"/>
        </w:rPr>
        <w:t xml:space="preserve"> GM, Munk PL, Lee MJ. Radiological percutaneous gastrostomy. </w:t>
      </w:r>
      <w:r w:rsidRPr="00556FBB">
        <w:rPr>
          <w:rFonts w:ascii="Book Antiqua" w:hAnsi="Book Antiqua"/>
          <w:i/>
          <w:sz w:val="24"/>
          <w:szCs w:val="24"/>
        </w:rPr>
        <w:t xml:space="preserve">Clin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2001; </w:t>
      </w:r>
      <w:r w:rsidRPr="00556FBB">
        <w:rPr>
          <w:rFonts w:ascii="Book Antiqua" w:hAnsi="Book Antiqua"/>
          <w:b/>
          <w:sz w:val="24"/>
          <w:szCs w:val="24"/>
        </w:rPr>
        <w:t>56</w:t>
      </w:r>
      <w:r w:rsidRPr="00556FBB">
        <w:rPr>
          <w:rFonts w:ascii="Book Antiqua" w:hAnsi="Book Antiqua"/>
          <w:sz w:val="24"/>
          <w:szCs w:val="24"/>
        </w:rPr>
        <w:t>: 902-910 [PMID: 11603893 DOI: 10.1053/crad.2001.0782]</w:t>
      </w:r>
    </w:p>
    <w:p w14:paraId="22CF019B"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2 </w:t>
      </w:r>
      <w:r w:rsidRPr="00556FBB">
        <w:rPr>
          <w:rFonts w:ascii="Book Antiqua" w:hAnsi="Book Antiqua"/>
          <w:b/>
          <w:sz w:val="24"/>
          <w:szCs w:val="24"/>
        </w:rPr>
        <w:t>Wollman B</w:t>
      </w:r>
      <w:r w:rsidRPr="00556FBB">
        <w:rPr>
          <w:rFonts w:ascii="Book Antiqua" w:hAnsi="Book Antiqua"/>
          <w:sz w:val="24"/>
          <w:szCs w:val="24"/>
        </w:rPr>
        <w:t xml:space="preserve">, D'Agostino HB, </w:t>
      </w:r>
      <w:proofErr w:type="spellStart"/>
      <w:r w:rsidRPr="00556FBB">
        <w:rPr>
          <w:rFonts w:ascii="Book Antiqua" w:hAnsi="Book Antiqua"/>
          <w:sz w:val="24"/>
          <w:szCs w:val="24"/>
        </w:rPr>
        <w:t>Walus-Wigle</w:t>
      </w:r>
      <w:proofErr w:type="spellEnd"/>
      <w:r w:rsidRPr="00556FBB">
        <w:rPr>
          <w:rFonts w:ascii="Book Antiqua" w:hAnsi="Book Antiqua"/>
          <w:sz w:val="24"/>
          <w:szCs w:val="24"/>
        </w:rPr>
        <w:t xml:space="preserve"> JR, Easter DW, Beale A. Radiologic, endoscopic, and surgical gastrostomy: an institutional evaluation and meta-analysis of the literature. </w:t>
      </w:r>
      <w:r w:rsidRPr="00556FBB">
        <w:rPr>
          <w:rFonts w:ascii="Book Antiqua" w:hAnsi="Book Antiqua"/>
          <w:i/>
          <w:sz w:val="24"/>
          <w:szCs w:val="24"/>
        </w:rPr>
        <w:t>Radiology</w:t>
      </w:r>
      <w:r w:rsidRPr="00556FBB">
        <w:rPr>
          <w:rFonts w:ascii="Book Antiqua" w:hAnsi="Book Antiqua"/>
          <w:sz w:val="24"/>
          <w:szCs w:val="24"/>
        </w:rPr>
        <w:t xml:space="preserve"> 1995; </w:t>
      </w:r>
      <w:r w:rsidRPr="00556FBB">
        <w:rPr>
          <w:rFonts w:ascii="Book Antiqua" w:hAnsi="Book Antiqua"/>
          <w:b/>
          <w:sz w:val="24"/>
          <w:szCs w:val="24"/>
        </w:rPr>
        <w:t>197</w:t>
      </w:r>
      <w:r w:rsidRPr="00556FBB">
        <w:rPr>
          <w:rFonts w:ascii="Book Antiqua" w:hAnsi="Book Antiqua"/>
          <w:sz w:val="24"/>
          <w:szCs w:val="24"/>
        </w:rPr>
        <w:t>: 699-704 [PMID: 7480742 DOI: 10.1148/radiology.197.3.7480742]</w:t>
      </w:r>
    </w:p>
    <w:p w14:paraId="7A7D695A"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3 </w:t>
      </w:r>
      <w:r w:rsidRPr="00556FBB">
        <w:rPr>
          <w:rFonts w:ascii="Book Antiqua" w:hAnsi="Book Antiqua"/>
          <w:b/>
          <w:sz w:val="24"/>
          <w:szCs w:val="24"/>
        </w:rPr>
        <w:t>Rustom IK</w:t>
      </w:r>
      <w:r w:rsidRPr="00556FBB">
        <w:rPr>
          <w:rFonts w:ascii="Book Antiqua" w:hAnsi="Book Antiqua"/>
          <w:sz w:val="24"/>
          <w:szCs w:val="24"/>
        </w:rPr>
        <w:t xml:space="preserve">, </w:t>
      </w:r>
      <w:proofErr w:type="spellStart"/>
      <w:r w:rsidRPr="00556FBB">
        <w:rPr>
          <w:rFonts w:ascii="Book Antiqua" w:hAnsi="Book Antiqua"/>
          <w:sz w:val="24"/>
          <w:szCs w:val="24"/>
        </w:rPr>
        <w:t>Jebreel</w:t>
      </w:r>
      <w:proofErr w:type="spellEnd"/>
      <w:r w:rsidRPr="00556FBB">
        <w:rPr>
          <w:rFonts w:ascii="Book Antiqua" w:hAnsi="Book Antiqua"/>
          <w:sz w:val="24"/>
          <w:szCs w:val="24"/>
        </w:rPr>
        <w:t xml:space="preserve"> A, Tayyab M, England RJ, Stafford ND. Percutaneous endoscopic, radiological and surgical gastrostomy tubes: a comparison study in head and neck cancer patients. </w:t>
      </w:r>
      <w:r w:rsidRPr="00556FBB">
        <w:rPr>
          <w:rFonts w:ascii="Book Antiqua" w:hAnsi="Book Antiqua"/>
          <w:i/>
          <w:sz w:val="24"/>
          <w:szCs w:val="24"/>
        </w:rPr>
        <w:t xml:space="preserve">J </w:t>
      </w:r>
      <w:proofErr w:type="spellStart"/>
      <w:r w:rsidRPr="00556FBB">
        <w:rPr>
          <w:rFonts w:ascii="Book Antiqua" w:hAnsi="Book Antiqua"/>
          <w:i/>
          <w:sz w:val="24"/>
          <w:szCs w:val="24"/>
        </w:rPr>
        <w:t>Laryngol</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Otol</w:t>
      </w:r>
      <w:proofErr w:type="spellEnd"/>
      <w:r w:rsidRPr="00556FBB">
        <w:rPr>
          <w:rFonts w:ascii="Book Antiqua" w:hAnsi="Book Antiqua"/>
          <w:sz w:val="24"/>
          <w:szCs w:val="24"/>
        </w:rPr>
        <w:t xml:space="preserve"> 2006; </w:t>
      </w:r>
      <w:r w:rsidRPr="00556FBB">
        <w:rPr>
          <w:rFonts w:ascii="Book Antiqua" w:hAnsi="Book Antiqua"/>
          <w:b/>
          <w:sz w:val="24"/>
          <w:szCs w:val="24"/>
        </w:rPr>
        <w:t>120</w:t>
      </w:r>
      <w:r w:rsidRPr="00556FBB">
        <w:rPr>
          <w:rFonts w:ascii="Book Antiqua" w:hAnsi="Book Antiqua"/>
          <w:sz w:val="24"/>
          <w:szCs w:val="24"/>
        </w:rPr>
        <w:t>: 463-466 [PMID: 16772054 DOI: 10.1017/S0022215106000661]</w:t>
      </w:r>
    </w:p>
    <w:p w14:paraId="383F9DED"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4 </w:t>
      </w:r>
      <w:r w:rsidRPr="00556FBB">
        <w:rPr>
          <w:rFonts w:ascii="Book Antiqua" w:hAnsi="Book Antiqua"/>
          <w:b/>
          <w:sz w:val="24"/>
          <w:szCs w:val="24"/>
        </w:rPr>
        <w:t>Lyon SM</w:t>
      </w:r>
      <w:r w:rsidRPr="00556FBB">
        <w:rPr>
          <w:rFonts w:ascii="Book Antiqua" w:hAnsi="Book Antiqua"/>
          <w:sz w:val="24"/>
          <w:szCs w:val="24"/>
        </w:rPr>
        <w:t xml:space="preserve">, Pascoe DM. Percutaneous gastrostomy and gastrojejunostomy. </w:t>
      </w:r>
      <w:proofErr w:type="spellStart"/>
      <w:r w:rsidRPr="00556FBB">
        <w:rPr>
          <w:rFonts w:ascii="Book Antiqua" w:hAnsi="Book Antiqua"/>
          <w:i/>
          <w:sz w:val="24"/>
          <w:szCs w:val="24"/>
        </w:rPr>
        <w:t>Semin</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Intervent</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2004; </w:t>
      </w:r>
      <w:r w:rsidRPr="00556FBB">
        <w:rPr>
          <w:rFonts w:ascii="Book Antiqua" w:hAnsi="Book Antiqua"/>
          <w:b/>
          <w:sz w:val="24"/>
          <w:szCs w:val="24"/>
        </w:rPr>
        <w:t>21</w:t>
      </w:r>
      <w:r w:rsidRPr="00556FBB">
        <w:rPr>
          <w:rFonts w:ascii="Book Antiqua" w:hAnsi="Book Antiqua"/>
          <w:sz w:val="24"/>
          <w:szCs w:val="24"/>
        </w:rPr>
        <w:t>: 181-189 [PMID: 21331127 DOI: 10.1055/s-2004-860876]</w:t>
      </w:r>
    </w:p>
    <w:p w14:paraId="7B9A6D3A"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5 </w:t>
      </w:r>
      <w:r w:rsidRPr="00556FBB">
        <w:rPr>
          <w:rFonts w:ascii="Book Antiqua" w:hAnsi="Book Antiqua"/>
          <w:b/>
          <w:sz w:val="24"/>
          <w:szCs w:val="24"/>
        </w:rPr>
        <w:t>Miller RE</w:t>
      </w:r>
      <w:r w:rsidRPr="00556FBB">
        <w:rPr>
          <w:rFonts w:ascii="Book Antiqua" w:hAnsi="Book Antiqua"/>
          <w:sz w:val="24"/>
          <w:szCs w:val="24"/>
        </w:rPr>
        <w:t xml:space="preserve">, </w:t>
      </w:r>
      <w:proofErr w:type="spellStart"/>
      <w:r w:rsidRPr="00556FBB">
        <w:rPr>
          <w:rFonts w:ascii="Book Antiqua" w:hAnsi="Book Antiqua"/>
          <w:sz w:val="24"/>
          <w:szCs w:val="24"/>
        </w:rPr>
        <w:t>Kummer</w:t>
      </w:r>
      <w:proofErr w:type="spellEnd"/>
      <w:r w:rsidRPr="00556FBB">
        <w:rPr>
          <w:rFonts w:ascii="Book Antiqua" w:hAnsi="Book Antiqua"/>
          <w:sz w:val="24"/>
          <w:szCs w:val="24"/>
        </w:rPr>
        <w:t xml:space="preserve"> BA, </w:t>
      </w:r>
      <w:proofErr w:type="spellStart"/>
      <w:r w:rsidRPr="00556FBB">
        <w:rPr>
          <w:rFonts w:ascii="Book Antiqua" w:hAnsi="Book Antiqua"/>
          <w:sz w:val="24"/>
          <w:szCs w:val="24"/>
        </w:rPr>
        <w:t>Tiszenkel</w:t>
      </w:r>
      <w:proofErr w:type="spellEnd"/>
      <w:r w:rsidRPr="00556FBB">
        <w:rPr>
          <w:rFonts w:ascii="Book Antiqua" w:hAnsi="Book Antiqua"/>
          <w:sz w:val="24"/>
          <w:szCs w:val="24"/>
        </w:rPr>
        <w:t xml:space="preserve"> HI, Kotler DP. Percutaneous endoscopic gastrostomy. Procedure of choice. </w:t>
      </w:r>
      <w:r w:rsidRPr="00556FBB">
        <w:rPr>
          <w:rFonts w:ascii="Book Antiqua" w:hAnsi="Book Antiqua"/>
          <w:i/>
          <w:sz w:val="24"/>
          <w:szCs w:val="24"/>
        </w:rPr>
        <w:t>Ann Surg</w:t>
      </w:r>
      <w:r w:rsidRPr="00556FBB">
        <w:rPr>
          <w:rFonts w:ascii="Book Antiqua" w:hAnsi="Book Antiqua"/>
          <w:sz w:val="24"/>
          <w:szCs w:val="24"/>
        </w:rPr>
        <w:t xml:space="preserve"> 1986; </w:t>
      </w:r>
      <w:r w:rsidRPr="00556FBB">
        <w:rPr>
          <w:rFonts w:ascii="Book Antiqua" w:hAnsi="Book Antiqua"/>
          <w:b/>
          <w:sz w:val="24"/>
          <w:szCs w:val="24"/>
        </w:rPr>
        <w:t>204</w:t>
      </w:r>
      <w:r w:rsidRPr="00556FBB">
        <w:rPr>
          <w:rFonts w:ascii="Book Antiqua" w:hAnsi="Book Antiqua"/>
          <w:sz w:val="24"/>
          <w:szCs w:val="24"/>
        </w:rPr>
        <w:t>: 543-545 [PMID: 3767486 DOI: 10.1097/00000658-198611000-00006]</w:t>
      </w:r>
    </w:p>
    <w:p w14:paraId="6E5D4BFE"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6 </w:t>
      </w:r>
      <w:r w:rsidRPr="00556FBB">
        <w:rPr>
          <w:rFonts w:ascii="Book Antiqua" w:hAnsi="Book Antiqua"/>
          <w:b/>
          <w:sz w:val="24"/>
          <w:szCs w:val="24"/>
        </w:rPr>
        <w:t>Cruz I</w:t>
      </w:r>
      <w:r w:rsidRPr="00556FBB">
        <w:rPr>
          <w:rFonts w:ascii="Book Antiqua" w:hAnsi="Book Antiqua"/>
          <w:sz w:val="24"/>
          <w:szCs w:val="24"/>
        </w:rPr>
        <w:t xml:space="preserve">, </w:t>
      </w:r>
      <w:proofErr w:type="spellStart"/>
      <w:r w:rsidRPr="00556FBB">
        <w:rPr>
          <w:rFonts w:ascii="Book Antiqua" w:hAnsi="Book Antiqua"/>
          <w:sz w:val="24"/>
          <w:szCs w:val="24"/>
        </w:rPr>
        <w:t>Mamel</w:t>
      </w:r>
      <w:proofErr w:type="spellEnd"/>
      <w:r w:rsidRPr="00556FBB">
        <w:rPr>
          <w:rFonts w:ascii="Book Antiqua" w:hAnsi="Book Antiqua"/>
          <w:sz w:val="24"/>
          <w:szCs w:val="24"/>
        </w:rPr>
        <w:t xml:space="preserve"> JJ, Brady PG, Cass-Garcia M. Incidence of abdominal wall metastasis complicating PEG tube placement in untreated head and neck cancer. </w:t>
      </w:r>
      <w:proofErr w:type="spellStart"/>
      <w:r w:rsidRPr="00556FBB">
        <w:rPr>
          <w:rFonts w:ascii="Book Antiqua" w:hAnsi="Book Antiqua"/>
          <w:i/>
          <w:sz w:val="24"/>
          <w:szCs w:val="24"/>
        </w:rPr>
        <w:t>Gastrointest</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Endosc</w:t>
      </w:r>
      <w:proofErr w:type="spellEnd"/>
      <w:r w:rsidRPr="00556FBB">
        <w:rPr>
          <w:rFonts w:ascii="Book Antiqua" w:hAnsi="Book Antiqua"/>
          <w:sz w:val="24"/>
          <w:szCs w:val="24"/>
        </w:rPr>
        <w:t xml:space="preserve"> 2005; </w:t>
      </w:r>
      <w:r w:rsidRPr="00556FBB">
        <w:rPr>
          <w:rFonts w:ascii="Book Antiqua" w:hAnsi="Book Antiqua"/>
          <w:b/>
          <w:sz w:val="24"/>
          <w:szCs w:val="24"/>
        </w:rPr>
        <w:t>62</w:t>
      </w:r>
      <w:r w:rsidRPr="00556FBB">
        <w:rPr>
          <w:rFonts w:ascii="Book Antiqua" w:hAnsi="Book Antiqua"/>
          <w:sz w:val="24"/>
          <w:szCs w:val="24"/>
        </w:rPr>
        <w:t>: 708-11; quiz 752, 753 [PMID: 16246684 DOI: 10.1016/j.gie.2005.06.041]</w:t>
      </w:r>
    </w:p>
    <w:p w14:paraId="0C394E48"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7 </w:t>
      </w:r>
      <w:proofErr w:type="spellStart"/>
      <w:r w:rsidRPr="00556FBB">
        <w:rPr>
          <w:rFonts w:ascii="Book Antiqua" w:hAnsi="Book Antiqua"/>
          <w:b/>
          <w:sz w:val="24"/>
          <w:szCs w:val="24"/>
        </w:rPr>
        <w:t>Szymski</w:t>
      </w:r>
      <w:proofErr w:type="spellEnd"/>
      <w:r w:rsidRPr="00556FBB">
        <w:rPr>
          <w:rFonts w:ascii="Book Antiqua" w:hAnsi="Book Antiqua"/>
          <w:b/>
          <w:sz w:val="24"/>
          <w:szCs w:val="24"/>
        </w:rPr>
        <w:t xml:space="preserve"> GX</w:t>
      </w:r>
      <w:r w:rsidRPr="00556FBB">
        <w:rPr>
          <w:rFonts w:ascii="Book Antiqua" w:hAnsi="Book Antiqua"/>
          <w:sz w:val="24"/>
          <w:szCs w:val="24"/>
        </w:rPr>
        <w:t xml:space="preserve">, </w:t>
      </w:r>
      <w:proofErr w:type="spellStart"/>
      <w:r w:rsidRPr="00556FBB">
        <w:rPr>
          <w:rFonts w:ascii="Book Antiqua" w:hAnsi="Book Antiqua"/>
          <w:sz w:val="24"/>
          <w:szCs w:val="24"/>
        </w:rPr>
        <w:t>Albazzaz</w:t>
      </w:r>
      <w:proofErr w:type="spellEnd"/>
      <w:r w:rsidRPr="00556FBB">
        <w:rPr>
          <w:rFonts w:ascii="Book Antiqua" w:hAnsi="Book Antiqua"/>
          <w:sz w:val="24"/>
          <w:szCs w:val="24"/>
        </w:rPr>
        <w:t xml:space="preserve"> AN, Funaki B, Rosenblum JD, Hackworth CA, </w:t>
      </w:r>
      <w:proofErr w:type="spellStart"/>
      <w:r w:rsidRPr="00556FBB">
        <w:rPr>
          <w:rFonts w:ascii="Book Antiqua" w:hAnsi="Book Antiqua"/>
          <w:sz w:val="24"/>
          <w:szCs w:val="24"/>
        </w:rPr>
        <w:t>Zernich</w:t>
      </w:r>
      <w:proofErr w:type="spellEnd"/>
      <w:r w:rsidRPr="00556FBB">
        <w:rPr>
          <w:rFonts w:ascii="Book Antiqua" w:hAnsi="Book Antiqua"/>
          <w:sz w:val="24"/>
          <w:szCs w:val="24"/>
        </w:rPr>
        <w:t xml:space="preserve"> BW, </w:t>
      </w:r>
      <w:proofErr w:type="spellStart"/>
      <w:r w:rsidRPr="00556FBB">
        <w:rPr>
          <w:rFonts w:ascii="Book Antiqua" w:hAnsi="Book Antiqua"/>
          <w:sz w:val="24"/>
          <w:szCs w:val="24"/>
        </w:rPr>
        <w:t>Leef</w:t>
      </w:r>
      <w:proofErr w:type="spellEnd"/>
      <w:r w:rsidRPr="00556FBB">
        <w:rPr>
          <w:rFonts w:ascii="Book Antiqua" w:hAnsi="Book Antiqua"/>
          <w:sz w:val="24"/>
          <w:szCs w:val="24"/>
        </w:rPr>
        <w:t xml:space="preserve"> JA. Radiologically guided placement of pull-type gastrostomy tubes. </w:t>
      </w:r>
      <w:r w:rsidRPr="00556FBB">
        <w:rPr>
          <w:rFonts w:ascii="Book Antiqua" w:hAnsi="Book Antiqua"/>
          <w:i/>
          <w:sz w:val="24"/>
          <w:szCs w:val="24"/>
        </w:rPr>
        <w:t>Radiology</w:t>
      </w:r>
      <w:r w:rsidRPr="00556FBB">
        <w:rPr>
          <w:rFonts w:ascii="Book Antiqua" w:hAnsi="Book Antiqua"/>
          <w:sz w:val="24"/>
          <w:szCs w:val="24"/>
        </w:rPr>
        <w:t xml:space="preserve"> 1997; </w:t>
      </w:r>
      <w:r w:rsidRPr="00556FBB">
        <w:rPr>
          <w:rFonts w:ascii="Book Antiqua" w:hAnsi="Book Antiqua"/>
          <w:b/>
          <w:sz w:val="24"/>
          <w:szCs w:val="24"/>
        </w:rPr>
        <w:t>205</w:t>
      </w:r>
      <w:r w:rsidRPr="00556FBB">
        <w:rPr>
          <w:rFonts w:ascii="Book Antiqua" w:hAnsi="Book Antiqua"/>
          <w:sz w:val="24"/>
          <w:szCs w:val="24"/>
        </w:rPr>
        <w:t>: 669-673 [PMID: 9393519 DOI: 10.1148/radiology.205.3.9393519]</w:t>
      </w:r>
    </w:p>
    <w:p w14:paraId="0D7CCF24"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8 </w:t>
      </w:r>
      <w:proofErr w:type="spellStart"/>
      <w:r w:rsidRPr="00556FBB">
        <w:rPr>
          <w:rFonts w:ascii="Book Antiqua" w:hAnsi="Book Antiqua"/>
          <w:b/>
          <w:sz w:val="24"/>
          <w:szCs w:val="24"/>
        </w:rPr>
        <w:t>Preshaw</w:t>
      </w:r>
      <w:proofErr w:type="spellEnd"/>
      <w:r w:rsidRPr="00556FBB">
        <w:rPr>
          <w:rFonts w:ascii="Book Antiqua" w:hAnsi="Book Antiqua"/>
          <w:b/>
          <w:sz w:val="24"/>
          <w:szCs w:val="24"/>
        </w:rPr>
        <w:t xml:space="preserve"> RM</w:t>
      </w:r>
      <w:r w:rsidRPr="00556FBB">
        <w:rPr>
          <w:rFonts w:ascii="Book Antiqua" w:hAnsi="Book Antiqua"/>
          <w:sz w:val="24"/>
          <w:szCs w:val="24"/>
        </w:rPr>
        <w:t xml:space="preserve">. A percutaneous method for inserting a feeding gastrostomy tube. </w:t>
      </w:r>
      <w:r w:rsidRPr="00556FBB">
        <w:rPr>
          <w:rFonts w:ascii="Book Antiqua" w:hAnsi="Book Antiqua"/>
          <w:i/>
          <w:sz w:val="24"/>
          <w:szCs w:val="24"/>
        </w:rPr>
        <w:t xml:space="preserve">Surg </w:t>
      </w:r>
      <w:proofErr w:type="spellStart"/>
      <w:r w:rsidRPr="00556FBB">
        <w:rPr>
          <w:rFonts w:ascii="Book Antiqua" w:hAnsi="Book Antiqua"/>
          <w:i/>
          <w:sz w:val="24"/>
          <w:szCs w:val="24"/>
        </w:rPr>
        <w:t>Gynecol</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Obstet</w:t>
      </w:r>
      <w:proofErr w:type="spellEnd"/>
      <w:r w:rsidRPr="00556FBB">
        <w:rPr>
          <w:rFonts w:ascii="Book Antiqua" w:hAnsi="Book Antiqua"/>
          <w:sz w:val="24"/>
          <w:szCs w:val="24"/>
        </w:rPr>
        <w:t xml:space="preserve"> 1981; </w:t>
      </w:r>
      <w:r w:rsidRPr="00556FBB">
        <w:rPr>
          <w:rFonts w:ascii="Book Antiqua" w:hAnsi="Book Antiqua"/>
          <w:b/>
          <w:sz w:val="24"/>
          <w:szCs w:val="24"/>
        </w:rPr>
        <w:t>152</w:t>
      </w:r>
      <w:r w:rsidRPr="00556FBB">
        <w:rPr>
          <w:rFonts w:ascii="Book Antiqua" w:hAnsi="Book Antiqua"/>
          <w:sz w:val="24"/>
          <w:szCs w:val="24"/>
        </w:rPr>
        <w:t>: 658-660 [PMID: 6784260]</w:t>
      </w:r>
    </w:p>
    <w:p w14:paraId="08234749"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9 </w:t>
      </w:r>
      <w:r w:rsidRPr="00556FBB">
        <w:rPr>
          <w:rFonts w:ascii="Book Antiqua" w:hAnsi="Book Antiqua"/>
          <w:b/>
          <w:sz w:val="24"/>
          <w:szCs w:val="24"/>
        </w:rPr>
        <w:t>Venkatesan AM</w:t>
      </w:r>
      <w:r w:rsidRPr="00556FBB">
        <w:rPr>
          <w:rFonts w:ascii="Book Antiqua" w:hAnsi="Book Antiqua"/>
          <w:sz w:val="24"/>
          <w:szCs w:val="24"/>
        </w:rPr>
        <w:t xml:space="preserve">, Kundu S, Sacks D, Wallace MJ, </w:t>
      </w:r>
      <w:proofErr w:type="spellStart"/>
      <w:r w:rsidRPr="00556FBB">
        <w:rPr>
          <w:rFonts w:ascii="Book Antiqua" w:hAnsi="Book Antiqua"/>
          <w:sz w:val="24"/>
          <w:szCs w:val="24"/>
        </w:rPr>
        <w:t>Wojak</w:t>
      </w:r>
      <w:proofErr w:type="spellEnd"/>
      <w:r w:rsidRPr="00556FBB">
        <w:rPr>
          <w:rFonts w:ascii="Book Antiqua" w:hAnsi="Book Antiqua"/>
          <w:sz w:val="24"/>
          <w:szCs w:val="24"/>
        </w:rPr>
        <w:t xml:space="preserve"> JC, Rose SC, Clark TW, </w:t>
      </w:r>
      <w:proofErr w:type="spellStart"/>
      <w:r w:rsidRPr="00556FBB">
        <w:rPr>
          <w:rFonts w:ascii="Book Antiqua" w:hAnsi="Book Antiqua"/>
          <w:sz w:val="24"/>
          <w:szCs w:val="24"/>
        </w:rPr>
        <w:t>d'Othee</w:t>
      </w:r>
      <w:proofErr w:type="spellEnd"/>
      <w:r w:rsidRPr="00556FBB">
        <w:rPr>
          <w:rFonts w:ascii="Book Antiqua" w:hAnsi="Book Antiqua"/>
          <w:sz w:val="24"/>
          <w:szCs w:val="24"/>
        </w:rPr>
        <w:t xml:space="preserve"> BJ, </w:t>
      </w:r>
      <w:proofErr w:type="spellStart"/>
      <w:r w:rsidRPr="00556FBB">
        <w:rPr>
          <w:rFonts w:ascii="Book Antiqua" w:hAnsi="Book Antiqua"/>
          <w:sz w:val="24"/>
          <w:szCs w:val="24"/>
        </w:rPr>
        <w:t>Itkin</w:t>
      </w:r>
      <w:proofErr w:type="spellEnd"/>
      <w:r w:rsidRPr="00556FBB">
        <w:rPr>
          <w:rFonts w:ascii="Book Antiqua" w:hAnsi="Book Antiqua"/>
          <w:sz w:val="24"/>
          <w:szCs w:val="24"/>
        </w:rPr>
        <w:t xml:space="preserve"> M, Jones RS, Miller DL, Owens CA, </w:t>
      </w:r>
      <w:proofErr w:type="spellStart"/>
      <w:r w:rsidRPr="00556FBB">
        <w:rPr>
          <w:rFonts w:ascii="Book Antiqua" w:hAnsi="Book Antiqua"/>
          <w:sz w:val="24"/>
          <w:szCs w:val="24"/>
        </w:rPr>
        <w:t>Rajan</w:t>
      </w:r>
      <w:proofErr w:type="spellEnd"/>
      <w:r w:rsidRPr="00556FBB">
        <w:rPr>
          <w:rFonts w:ascii="Book Antiqua" w:hAnsi="Book Antiqua"/>
          <w:sz w:val="24"/>
          <w:szCs w:val="24"/>
        </w:rPr>
        <w:t xml:space="preserve"> DK, Stokes LS, Swan TL, </w:t>
      </w:r>
      <w:proofErr w:type="spellStart"/>
      <w:r w:rsidRPr="00556FBB">
        <w:rPr>
          <w:rFonts w:ascii="Book Antiqua" w:hAnsi="Book Antiqua"/>
          <w:sz w:val="24"/>
          <w:szCs w:val="24"/>
        </w:rPr>
        <w:t>Towbin</w:t>
      </w:r>
      <w:proofErr w:type="spellEnd"/>
      <w:r w:rsidRPr="00556FBB">
        <w:rPr>
          <w:rFonts w:ascii="Book Antiqua" w:hAnsi="Book Antiqua"/>
          <w:sz w:val="24"/>
          <w:szCs w:val="24"/>
        </w:rPr>
        <w:t xml:space="preserve"> RB, </w:t>
      </w:r>
      <w:proofErr w:type="spellStart"/>
      <w:r w:rsidRPr="00556FBB">
        <w:rPr>
          <w:rFonts w:ascii="Book Antiqua" w:hAnsi="Book Antiqua"/>
          <w:sz w:val="24"/>
          <w:szCs w:val="24"/>
        </w:rPr>
        <w:lastRenderedPageBreak/>
        <w:t>Cardella</w:t>
      </w:r>
      <w:proofErr w:type="spellEnd"/>
      <w:r w:rsidRPr="00556FBB">
        <w:rPr>
          <w:rFonts w:ascii="Book Antiqua" w:hAnsi="Book Antiqua"/>
          <w:sz w:val="24"/>
          <w:szCs w:val="24"/>
        </w:rPr>
        <w:t xml:space="preserve"> JF; Society of Interventional Radiology Standards of Practice Committee. Practice guidelines for adult antibiotic prophylaxis during vascular and interventional radiology procedures. Written by the Standards of Practice Committee for the Society of Interventional Radiology and Endorsed by the Cardiovascular Interventional Radiological Society of Europe and Canadian Interventional Radiology Association [corrected]. </w:t>
      </w:r>
      <w:r w:rsidRPr="00556FBB">
        <w:rPr>
          <w:rFonts w:ascii="Book Antiqua" w:hAnsi="Book Antiqua"/>
          <w:i/>
          <w:sz w:val="24"/>
          <w:szCs w:val="24"/>
        </w:rPr>
        <w:t xml:space="preserve">J </w:t>
      </w:r>
      <w:proofErr w:type="spellStart"/>
      <w:r w:rsidRPr="00556FBB">
        <w:rPr>
          <w:rFonts w:ascii="Book Antiqua" w:hAnsi="Book Antiqua"/>
          <w:i/>
          <w:sz w:val="24"/>
          <w:szCs w:val="24"/>
        </w:rPr>
        <w:t>Vasc</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Interv</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2010; </w:t>
      </w:r>
      <w:r w:rsidRPr="00556FBB">
        <w:rPr>
          <w:rFonts w:ascii="Book Antiqua" w:hAnsi="Book Antiqua"/>
          <w:b/>
          <w:sz w:val="24"/>
          <w:szCs w:val="24"/>
        </w:rPr>
        <w:t>21</w:t>
      </w:r>
      <w:r w:rsidRPr="00556FBB">
        <w:rPr>
          <w:rFonts w:ascii="Book Antiqua" w:hAnsi="Book Antiqua"/>
          <w:sz w:val="24"/>
          <w:szCs w:val="24"/>
        </w:rPr>
        <w:t>: 1611-30; quiz 1631 [PMID: 21029949 DOI: 10.1016/j.jvir.2010.07.018]</w:t>
      </w:r>
    </w:p>
    <w:p w14:paraId="4C727FA1"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10 </w:t>
      </w:r>
      <w:proofErr w:type="spellStart"/>
      <w:r w:rsidRPr="00556FBB">
        <w:rPr>
          <w:rFonts w:ascii="Book Antiqua" w:hAnsi="Book Antiqua"/>
          <w:b/>
          <w:sz w:val="24"/>
          <w:szCs w:val="24"/>
        </w:rPr>
        <w:t>Ponsky</w:t>
      </w:r>
      <w:proofErr w:type="spellEnd"/>
      <w:r w:rsidRPr="00556FBB">
        <w:rPr>
          <w:rFonts w:ascii="Book Antiqua" w:hAnsi="Book Antiqua"/>
          <w:b/>
          <w:sz w:val="24"/>
          <w:szCs w:val="24"/>
        </w:rPr>
        <w:t xml:space="preserve"> JL</w:t>
      </w:r>
      <w:r w:rsidRPr="00556FBB">
        <w:rPr>
          <w:rFonts w:ascii="Book Antiqua" w:hAnsi="Book Antiqua"/>
          <w:sz w:val="24"/>
          <w:szCs w:val="24"/>
        </w:rPr>
        <w:t xml:space="preserve">, </w:t>
      </w:r>
      <w:proofErr w:type="spellStart"/>
      <w:r w:rsidRPr="00556FBB">
        <w:rPr>
          <w:rFonts w:ascii="Book Antiqua" w:hAnsi="Book Antiqua"/>
          <w:sz w:val="24"/>
          <w:szCs w:val="24"/>
        </w:rPr>
        <w:t>Gauderer</w:t>
      </w:r>
      <w:proofErr w:type="spellEnd"/>
      <w:r w:rsidRPr="00556FBB">
        <w:rPr>
          <w:rFonts w:ascii="Book Antiqua" w:hAnsi="Book Antiqua"/>
          <w:sz w:val="24"/>
          <w:szCs w:val="24"/>
        </w:rPr>
        <w:t xml:space="preserve"> MW. Percutaneous endoscopic gastrostomy: indications, limitations, techniques, and results. </w:t>
      </w:r>
      <w:r w:rsidRPr="00556FBB">
        <w:rPr>
          <w:rFonts w:ascii="Book Antiqua" w:hAnsi="Book Antiqua"/>
          <w:i/>
          <w:sz w:val="24"/>
          <w:szCs w:val="24"/>
        </w:rPr>
        <w:t>World J Surg</w:t>
      </w:r>
      <w:r w:rsidRPr="00556FBB">
        <w:rPr>
          <w:rFonts w:ascii="Book Antiqua" w:hAnsi="Book Antiqua"/>
          <w:sz w:val="24"/>
          <w:szCs w:val="24"/>
        </w:rPr>
        <w:t xml:space="preserve"> 1989; </w:t>
      </w:r>
      <w:r w:rsidRPr="00556FBB">
        <w:rPr>
          <w:rFonts w:ascii="Book Antiqua" w:hAnsi="Book Antiqua"/>
          <w:b/>
          <w:sz w:val="24"/>
          <w:szCs w:val="24"/>
        </w:rPr>
        <w:t>13</w:t>
      </w:r>
      <w:r w:rsidRPr="00556FBB">
        <w:rPr>
          <w:rFonts w:ascii="Book Antiqua" w:hAnsi="Book Antiqua"/>
          <w:sz w:val="24"/>
          <w:szCs w:val="24"/>
        </w:rPr>
        <w:t>: 165-170 [PMID: 2499128 DOI: 10.1007/BF01658394]</w:t>
      </w:r>
    </w:p>
    <w:p w14:paraId="655BFAC5" w14:textId="77777777" w:rsidR="00556FBB" w:rsidRPr="00556FBB" w:rsidRDefault="00556FBB" w:rsidP="00556FBB">
      <w:pPr>
        <w:spacing w:after="0" w:line="360" w:lineRule="auto"/>
        <w:jc w:val="both"/>
        <w:rPr>
          <w:rFonts w:ascii="Book Antiqua" w:hAnsi="Book Antiqua"/>
          <w:sz w:val="24"/>
          <w:szCs w:val="24"/>
        </w:rPr>
      </w:pPr>
      <w:r w:rsidRPr="00556FBB">
        <w:rPr>
          <w:rFonts w:ascii="Book Antiqua" w:hAnsi="Book Antiqua"/>
          <w:sz w:val="24"/>
          <w:szCs w:val="24"/>
        </w:rPr>
        <w:t>1</w:t>
      </w:r>
      <w:r>
        <w:rPr>
          <w:rFonts w:ascii="Book Antiqua" w:hAnsi="Book Antiqua"/>
          <w:sz w:val="24"/>
          <w:szCs w:val="24"/>
        </w:rPr>
        <w:t>1</w:t>
      </w:r>
      <w:r w:rsidRPr="00556FBB">
        <w:rPr>
          <w:rFonts w:ascii="Book Antiqua" w:hAnsi="Book Antiqua"/>
          <w:sz w:val="24"/>
          <w:szCs w:val="24"/>
        </w:rPr>
        <w:t xml:space="preserve"> </w:t>
      </w:r>
      <w:proofErr w:type="spellStart"/>
      <w:r w:rsidRPr="00556FBB">
        <w:rPr>
          <w:rFonts w:ascii="Book Antiqua" w:hAnsi="Book Antiqua"/>
          <w:b/>
          <w:sz w:val="24"/>
          <w:szCs w:val="24"/>
        </w:rPr>
        <w:t>Barkmeier</w:t>
      </w:r>
      <w:proofErr w:type="spellEnd"/>
      <w:r w:rsidRPr="00556FBB">
        <w:rPr>
          <w:rFonts w:ascii="Book Antiqua" w:hAnsi="Book Antiqua"/>
          <w:b/>
          <w:sz w:val="24"/>
          <w:szCs w:val="24"/>
        </w:rPr>
        <w:t xml:space="preserve"> JM</w:t>
      </w:r>
      <w:r w:rsidRPr="00556FBB">
        <w:rPr>
          <w:rFonts w:ascii="Book Antiqua" w:hAnsi="Book Antiqua"/>
          <w:sz w:val="24"/>
          <w:szCs w:val="24"/>
        </w:rPr>
        <w:t xml:space="preserve">, </w:t>
      </w:r>
      <w:proofErr w:type="spellStart"/>
      <w:r w:rsidRPr="00556FBB">
        <w:rPr>
          <w:rFonts w:ascii="Book Antiqua" w:hAnsi="Book Antiqua"/>
          <w:sz w:val="24"/>
          <w:szCs w:val="24"/>
        </w:rPr>
        <w:t>Trerotola</w:t>
      </w:r>
      <w:proofErr w:type="spellEnd"/>
      <w:r w:rsidRPr="00556FBB">
        <w:rPr>
          <w:rFonts w:ascii="Book Antiqua" w:hAnsi="Book Antiqua"/>
          <w:sz w:val="24"/>
          <w:szCs w:val="24"/>
        </w:rPr>
        <w:t xml:space="preserve"> SO, </w:t>
      </w:r>
      <w:proofErr w:type="spellStart"/>
      <w:r w:rsidRPr="00556FBB">
        <w:rPr>
          <w:rFonts w:ascii="Book Antiqua" w:hAnsi="Book Antiqua"/>
          <w:sz w:val="24"/>
          <w:szCs w:val="24"/>
        </w:rPr>
        <w:t>Wiebke</w:t>
      </w:r>
      <w:proofErr w:type="spellEnd"/>
      <w:r w:rsidRPr="00556FBB">
        <w:rPr>
          <w:rFonts w:ascii="Book Antiqua" w:hAnsi="Book Antiqua"/>
          <w:sz w:val="24"/>
          <w:szCs w:val="24"/>
        </w:rPr>
        <w:t xml:space="preserve"> EA, Sherman S, Harris VJ, </w:t>
      </w:r>
      <w:proofErr w:type="spellStart"/>
      <w:r w:rsidRPr="00556FBB">
        <w:rPr>
          <w:rFonts w:ascii="Book Antiqua" w:hAnsi="Book Antiqua"/>
          <w:sz w:val="24"/>
          <w:szCs w:val="24"/>
        </w:rPr>
        <w:t>Snidow</w:t>
      </w:r>
      <w:proofErr w:type="spellEnd"/>
      <w:r w:rsidRPr="00556FBB">
        <w:rPr>
          <w:rFonts w:ascii="Book Antiqua" w:hAnsi="Book Antiqua"/>
          <w:sz w:val="24"/>
          <w:szCs w:val="24"/>
        </w:rPr>
        <w:t xml:space="preserve"> JJ, Johnson MS, Rogers WJ, Zhou XH. Percutaneous radiologic, surgical endoscopic, and percutaneous endoscopic gastrostomy/gastrojejunostomy: comparative study and cost analysis. </w:t>
      </w:r>
      <w:r w:rsidRPr="00556FBB">
        <w:rPr>
          <w:rFonts w:ascii="Book Antiqua" w:hAnsi="Book Antiqua"/>
          <w:i/>
          <w:sz w:val="24"/>
          <w:szCs w:val="24"/>
        </w:rPr>
        <w:t xml:space="preserve">Cardiovasc </w:t>
      </w:r>
      <w:proofErr w:type="spellStart"/>
      <w:r w:rsidRPr="00556FBB">
        <w:rPr>
          <w:rFonts w:ascii="Book Antiqua" w:hAnsi="Book Antiqua"/>
          <w:i/>
          <w:sz w:val="24"/>
          <w:szCs w:val="24"/>
        </w:rPr>
        <w:t>Intervent</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1998; </w:t>
      </w:r>
      <w:r w:rsidRPr="00556FBB">
        <w:rPr>
          <w:rFonts w:ascii="Book Antiqua" w:hAnsi="Book Antiqua"/>
          <w:b/>
          <w:sz w:val="24"/>
          <w:szCs w:val="24"/>
        </w:rPr>
        <w:t>21</w:t>
      </w:r>
      <w:r w:rsidRPr="00556FBB">
        <w:rPr>
          <w:rFonts w:ascii="Book Antiqua" w:hAnsi="Book Antiqua"/>
          <w:sz w:val="24"/>
          <w:szCs w:val="24"/>
        </w:rPr>
        <w:t>: 324-328 [PMID: 9688801 DOI: 10.1007/s002709900269]</w:t>
      </w:r>
    </w:p>
    <w:p w14:paraId="5F972199" w14:textId="0CD699EF"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1</w:t>
      </w:r>
      <w:r w:rsidR="00556FBB">
        <w:rPr>
          <w:rFonts w:ascii="Book Antiqua" w:hAnsi="Book Antiqua"/>
          <w:sz w:val="24"/>
          <w:szCs w:val="24"/>
        </w:rPr>
        <w:t>2</w:t>
      </w:r>
      <w:r w:rsidRPr="00556FBB">
        <w:rPr>
          <w:rFonts w:ascii="Book Antiqua" w:hAnsi="Book Antiqua"/>
          <w:sz w:val="24"/>
          <w:szCs w:val="24"/>
        </w:rPr>
        <w:t xml:space="preserve"> </w:t>
      </w:r>
      <w:proofErr w:type="spellStart"/>
      <w:r w:rsidRPr="00556FBB">
        <w:rPr>
          <w:rFonts w:ascii="Book Antiqua" w:hAnsi="Book Antiqua"/>
          <w:b/>
          <w:sz w:val="24"/>
          <w:szCs w:val="24"/>
        </w:rPr>
        <w:t>Galaski</w:t>
      </w:r>
      <w:proofErr w:type="spellEnd"/>
      <w:r w:rsidRPr="00556FBB">
        <w:rPr>
          <w:rFonts w:ascii="Book Antiqua" w:hAnsi="Book Antiqua"/>
          <w:b/>
          <w:sz w:val="24"/>
          <w:szCs w:val="24"/>
        </w:rPr>
        <w:t xml:space="preserve"> A</w:t>
      </w:r>
      <w:r w:rsidRPr="00556FBB">
        <w:rPr>
          <w:rFonts w:ascii="Book Antiqua" w:hAnsi="Book Antiqua"/>
          <w:sz w:val="24"/>
          <w:szCs w:val="24"/>
        </w:rPr>
        <w:t xml:space="preserve">, Peng WW, Ellis M, Darling P, Common A, Tucker E. Gastrostomy tube placement by radiological versus endoscopic methods in an acute care setting: a retrospective review of frequency, indications, complications and outcomes. </w:t>
      </w:r>
      <w:r w:rsidRPr="00556FBB">
        <w:rPr>
          <w:rFonts w:ascii="Book Antiqua" w:hAnsi="Book Antiqua"/>
          <w:i/>
          <w:sz w:val="24"/>
          <w:szCs w:val="24"/>
        </w:rPr>
        <w:t>Can J Gastroenterol</w:t>
      </w:r>
      <w:r w:rsidRPr="00556FBB">
        <w:rPr>
          <w:rFonts w:ascii="Book Antiqua" w:hAnsi="Book Antiqua"/>
          <w:sz w:val="24"/>
          <w:szCs w:val="24"/>
        </w:rPr>
        <w:t xml:space="preserve"> 2009; </w:t>
      </w:r>
      <w:r w:rsidRPr="00556FBB">
        <w:rPr>
          <w:rFonts w:ascii="Book Antiqua" w:hAnsi="Book Antiqua"/>
          <w:b/>
          <w:sz w:val="24"/>
          <w:szCs w:val="24"/>
        </w:rPr>
        <w:t>23</w:t>
      </w:r>
      <w:r w:rsidRPr="00556FBB">
        <w:rPr>
          <w:rFonts w:ascii="Book Antiqua" w:hAnsi="Book Antiqua"/>
          <w:sz w:val="24"/>
          <w:szCs w:val="24"/>
        </w:rPr>
        <w:t>: 109-114 [PMID: 19214286 DOI: 10.1155/2009/801925]</w:t>
      </w:r>
    </w:p>
    <w:p w14:paraId="077B2B99" w14:textId="7777777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 xml:space="preserve">13 </w:t>
      </w:r>
      <w:r w:rsidRPr="00556FBB">
        <w:rPr>
          <w:rFonts w:ascii="Book Antiqua" w:hAnsi="Book Antiqua"/>
          <w:b/>
          <w:sz w:val="24"/>
          <w:szCs w:val="24"/>
        </w:rPr>
        <w:t>Sutcliffe J</w:t>
      </w:r>
      <w:r w:rsidRPr="00556FBB">
        <w:rPr>
          <w:rFonts w:ascii="Book Antiqua" w:hAnsi="Book Antiqua"/>
          <w:sz w:val="24"/>
          <w:szCs w:val="24"/>
        </w:rPr>
        <w:t xml:space="preserve">, </w:t>
      </w:r>
      <w:proofErr w:type="spellStart"/>
      <w:r w:rsidRPr="00556FBB">
        <w:rPr>
          <w:rFonts w:ascii="Book Antiqua" w:hAnsi="Book Antiqua"/>
          <w:sz w:val="24"/>
          <w:szCs w:val="24"/>
        </w:rPr>
        <w:t>Wigham</w:t>
      </w:r>
      <w:proofErr w:type="spellEnd"/>
      <w:r w:rsidRPr="00556FBB">
        <w:rPr>
          <w:rFonts w:ascii="Book Antiqua" w:hAnsi="Book Antiqua"/>
          <w:sz w:val="24"/>
          <w:szCs w:val="24"/>
        </w:rPr>
        <w:t xml:space="preserve"> A, </w:t>
      </w:r>
      <w:proofErr w:type="spellStart"/>
      <w:r w:rsidRPr="00556FBB">
        <w:rPr>
          <w:rFonts w:ascii="Book Antiqua" w:hAnsi="Book Antiqua"/>
          <w:sz w:val="24"/>
          <w:szCs w:val="24"/>
        </w:rPr>
        <w:t>Mceniff</w:t>
      </w:r>
      <w:proofErr w:type="spellEnd"/>
      <w:r w:rsidRPr="00556FBB">
        <w:rPr>
          <w:rFonts w:ascii="Book Antiqua" w:hAnsi="Book Antiqua"/>
          <w:sz w:val="24"/>
          <w:szCs w:val="24"/>
        </w:rPr>
        <w:t xml:space="preserve"> N, Dvorak P, </w:t>
      </w:r>
      <w:proofErr w:type="spellStart"/>
      <w:r w:rsidRPr="00556FBB">
        <w:rPr>
          <w:rFonts w:ascii="Book Antiqua" w:hAnsi="Book Antiqua"/>
          <w:sz w:val="24"/>
          <w:szCs w:val="24"/>
        </w:rPr>
        <w:t>Crocetti</w:t>
      </w:r>
      <w:proofErr w:type="spellEnd"/>
      <w:r w:rsidRPr="00556FBB">
        <w:rPr>
          <w:rFonts w:ascii="Book Antiqua" w:hAnsi="Book Antiqua"/>
          <w:sz w:val="24"/>
          <w:szCs w:val="24"/>
        </w:rPr>
        <w:t xml:space="preserve"> L, </w:t>
      </w:r>
      <w:proofErr w:type="spellStart"/>
      <w:r w:rsidRPr="00556FBB">
        <w:rPr>
          <w:rFonts w:ascii="Book Antiqua" w:hAnsi="Book Antiqua"/>
          <w:sz w:val="24"/>
          <w:szCs w:val="24"/>
        </w:rPr>
        <w:t>Uberoi</w:t>
      </w:r>
      <w:proofErr w:type="spellEnd"/>
      <w:r w:rsidRPr="00556FBB">
        <w:rPr>
          <w:rFonts w:ascii="Book Antiqua" w:hAnsi="Book Antiqua"/>
          <w:sz w:val="24"/>
          <w:szCs w:val="24"/>
        </w:rPr>
        <w:t xml:space="preserve"> R. CIRSE Standards of Practice Guidelines on Gastrostomy. </w:t>
      </w:r>
      <w:r w:rsidRPr="00556FBB">
        <w:rPr>
          <w:rFonts w:ascii="Book Antiqua" w:hAnsi="Book Antiqua"/>
          <w:i/>
          <w:sz w:val="24"/>
          <w:szCs w:val="24"/>
        </w:rPr>
        <w:t xml:space="preserve">Cardiovasc </w:t>
      </w:r>
      <w:proofErr w:type="spellStart"/>
      <w:r w:rsidRPr="00556FBB">
        <w:rPr>
          <w:rFonts w:ascii="Book Antiqua" w:hAnsi="Book Antiqua"/>
          <w:i/>
          <w:sz w:val="24"/>
          <w:szCs w:val="24"/>
        </w:rPr>
        <w:t>Intervent</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2016; </w:t>
      </w:r>
      <w:r w:rsidRPr="00556FBB">
        <w:rPr>
          <w:rFonts w:ascii="Book Antiqua" w:hAnsi="Book Antiqua"/>
          <w:b/>
          <w:sz w:val="24"/>
          <w:szCs w:val="24"/>
        </w:rPr>
        <w:t>39</w:t>
      </w:r>
      <w:r w:rsidRPr="00556FBB">
        <w:rPr>
          <w:rFonts w:ascii="Book Antiqua" w:hAnsi="Book Antiqua"/>
          <w:sz w:val="24"/>
          <w:szCs w:val="24"/>
        </w:rPr>
        <w:t>: 973-987 [PMID: 27184363 DOI: 10.1007/s00270-016-1344-z]</w:t>
      </w:r>
    </w:p>
    <w:p w14:paraId="25D00050" w14:textId="16431F6D"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1</w:t>
      </w:r>
      <w:r w:rsidR="00556FBB">
        <w:rPr>
          <w:rFonts w:ascii="Book Antiqua" w:hAnsi="Book Antiqua"/>
          <w:sz w:val="24"/>
          <w:szCs w:val="24"/>
        </w:rPr>
        <w:t>4</w:t>
      </w:r>
      <w:r w:rsidRPr="00556FBB">
        <w:rPr>
          <w:rFonts w:ascii="Book Antiqua" w:hAnsi="Book Antiqua"/>
          <w:sz w:val="24"/>
          <w:szCs w:val="24"/>
        </w:rPr>
        <w:t xml:space="preserve"> </w:t>
      </w:r>
      <w:r w:rsidRPr="00556FBB">
        <w:rPr>
          <w:rFonts w:ascii="Book Antiqua" w:hAnsi="Book Antiqua"/>
          <w:b/>
          <w:sz w:val="24"/>
          <w:szCs w:val="24"/>
        </w:rPr>
        <w:t>Ahmed O</w:t>
      </w:r>
      <w:r w:rsidRPr="00556FBB">
        <w:rPr>
          <w:rFonts w:ascii="Book Antiqua" w:hAnsi="Book Antiqua"/>
          <w:sz w:val="24"/>
          <w:szCs w:val="24"/>
        </w:rPr>
        <w:t xml:space="preserve">, Jilani D, </w:t>
      </w:r>
      <w:proofErr w:type="spellStart"/>
      <w:r w:rsidRPr="00556FBB">
        <w:rPr>
          <w:rFonts w:ascii="Book Antiqua" w:hAnsi="Book Antiqua"/>
          <w:sz w:val="24"/>
          <w:szCs w:val="24"/>
        </w:rPr>
        <w:t>Sheth</w:t>
      </w:r>
      <w:proofErr w:type="spellEnd"/>
      <w:r w:rsidRPr="00556FBB">
        <w:rPr>
          <w:rFonts w:ascii="Book Antiqua" w:hAnsi="Book Antiqua"/>
          <w:sz w:val="24"/>
          <w:szCs w:val="24"/>
        </w:rPr>
        <w:t xml:space="preserve"> S, Giger M, Funaki B. Radiologically Guided Placement of Mushroom-retained Gastrostomy Catheters: Long-term Outcomes of Use in 300 Patients at a Single Center. </w:t>
      </w:r>
      <w:r w:rsidRPr="00556FBB">
        <w:rPr>
          <w:rFonts w:ascii="Book Antiqua" w:hAnsi="Book Antiqua"/>
          <w:i/>
          <w:sz w:val="24"/>
          <w:szCs w:val="24"/>
        </w:rPr>
        <w:t>Radiology</w:t>
      </w:r>
      <w:r w:rsidRPr="00556FBB">
        <w:rPr>
          <w:rFonts w:ascii="Book Antiqua" w:hAnsi="Book Antiqua"/>
          <w:sz w:val="24"/>
          <w:szCs w:val="24"/>
        </w:rPr>
        <w:t xml:space="preserve"> 2015; </w:t>
      </w:r>
      <w:r w:rsidRPr="00556FBB">
        <w:rPr>
          <w:rFonts w:ascii="Book Antiqua" w:hAnsi="Book Antiqua"/>
          <w:b/>
          <w:sz w:val="24"/>
          <w:szCs w:val="24"/>
        </w:rPr>
        <w:t>276</w:t>
      </w:r>
      <w:r w:rsidRPr="00556FBB">
        <w:rPr>
          <w:rFonts w:ascii="Book Antiqua" w:hAnsi="Book Antiqua"/>
          <w:sz w:val="24"/>
          <w:szCs w:val="24"/>
        </w:rPr>
        <w:t>: 588-596 [PMID: 25775194 DOI: 10.1148/radiol.15141327]</w:t>
      </w:r>
    </w:p>
    <w:p w14:paraId="37A8B170" w14:textId="6D7FA6F6"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1</w:t>
      </w:r>
      <w:r w:rsidR="00556FBB">
        <w:rPr>
          <w:rFonts w:ascii="Book Antiqua" w:hAnsi="Book Antiqua"/>
          <w:sz w:val="24"/>
          <w:szCs w:val="24"/>
        </w:rPr>
        <w:t>5</w:t>
      </w:r>
      <w:r w:rsidRPr="00556FBB">
        <w:rPr>
          <w:rFonts w:ascii="Book Antiqua" w:hAnsi="Book Antiqua"/>
          <w:sz w:val="24"/>
          <w:szCs w:val="24"/>
        </w:rPr>
        <w:t xml:space="preserve"> </w:t>
      </w:r>
      <w:proofErr w:type="spellStart"/>
      <w:r w:rsidRPr="00556FBB">
        <w:rPr>
          <w:rFonts w:ascii="Book Antiqua" w:hAnsi="Book Antiqua"/>
          <w:b/>
          <w:sz w:val="24"/>
          <w:szCs w:val="24"/>
        </w:rPr>
        <w:t>Perona</w:t>
      </w:r>
      <w:proofErr w:type="spellEnd"/>
      <w:r w:rsidRPr="00556FBB">
        <w:rPr>
          <w:rFonts w:ascii="Book Antiqua" w:hAnsi="Book Antiqua"/>
          <w:b/>
          <w:sz w:val="24"/>
          <w:szCs w:val="24"/>
        </w:rPr>
        <w:t xml:space="preserve"> F</w:t>
      </w:r>
      <w:r w:rsidRPr="00556FBB">
        <w:rPr>
          <w:rFonts w:ascii="Book Antiqua" w:hAnsi="Book Antiqua"/>
          <w:sz w:val="24"/>
          <w:szCs w:val="24"/>
        </w:rPr>
        <w:t xml:space="preserve">, </w:t>
      </w:r>
      <w:proofErr w:type="spellStart"/>
      <w:r w:rsidRPr="00556FBB">
        <w:rPr>
          <w:rFonts w:ascii="Book Antiqua" w:hAnsi="Book Antiqua"/>
          <w:sz w:val="24"/>
          <w:szCs w:val="24"/>
        </w:rPr>
        <w:t>Castellazzi</w:t>
      </w:r>
      <w:proofErr w:type="spellEnd"/>
      <w:r w:rsidRPr="00556FBB">
        <w:rPr>
          <w:rFonts w:ascii="Book Antiqua" w:hAnsi="Book Antiqua"/>
          <w:sz w:val="24"/>
          <w:szCs w:val="24"/>
        </w:rPr>
        <w:t xml:space="preserve"> G, De </w:t>
      </w:r>
      <w:proofErr w:type="spellStart"/>
      <w:r w:rsidRPr="00556FBB">
        <w:rPr>
          <w:rFonts w:ascii="Book Antiqua" w:hAnsi="Book Antiqua"/>
          <w:sz w:val="24"/>
          <w:szCs w:val="24"/>
        </w:rPr>
        <w:t>Iuliis</w:t>
      </w:r>
      <w:proofErr w:type="spellEnd"/>
      <w:r w:rsidRPr="00556FBB">
        <w:rPr>
          <w:rFonts w:ascii="Book Antiqua" w:hAnsi="Book Antiqua"/>
          <w:sz w:val="24"/>
          <w:szCs w:val="24"/>
        </w:rPr>
        <w:t xml:space="preserve"> A, Rizzo L. Percutaneous radiologic gastrostomy: a 12-year series. </w:t>
      </w:r>
      <w:r w:rsidRPr="00556FBB">
        <w:rPr>
          <w:rFonts w:ascii="Book Antiqua" w:hAnsi="Book Antiqua"/>
          <w:i/>
          <w:sz w:val="24"/>
          <w:szCs w:val="24"/>
        </w:rPr>
        <w:t>Gut Liver</w:t>
      </w:r>
      <w:r w:rsidRPr="00556FBB">
        <w:rPr>
          <w:rFonts w:ascii="Book Antiqua" w:hAnsi="Book Antiqua"/>
          <w:sz w:val="24"/>
          <w:szCs w:val="24"/>
        </w:rPr>
        <w:t xml:space="preserve"> 2010; </w:t>
      </w:r>
      <w:r w:rsidRPr="00556FBB">
        <w:rPr>
          <w:rFonts w:ascii="Book Antiqua" w:hAnsi="Book Antiqua"/>
          <w:b/>
          <w:sz w:val="24"/>
          <w:szCs w:val="24"/>
        </w:rPr>
        <w:t>4 Suppl 1</w:t>
      </w:r>
      <w:r w:rsidRPr="00556FBB">
        <w:rPr>
          <w:rFonts w:ascii="Book Antiqua" w:hAnsi="Book Antiqua"/>
          <w:sz w:val="24"/>
          <w:szCs w:val="24"/>
        </w:rPr>
        <w:t>: S44-S49 [PMID: 21103294 DOI: 10.5009/gnl.2010.</w:t>
      </w:r>
      <w:proofErr w:type="gramStart"/>
      <w:r w:rsidRPr="00556FBB">
        <w:rPr>
          <w:rFonts w:ascii="Book Antiqua" w:hAnsi="Book Antiqua"/>
          <w:sz w:val="24"/>
          <w:szCs w:val="24"/>
        </w:rPr>
        <w:t>4.S</w:t>
      </w:r>
      <w:proofErr w:type="gramEnd"/>
      <w:r w:rsidRPr="00556FBB">
        <w:rPr>
          <w:rFonts w:ascii="Book Antiqua" w:hAnsi="Book Antiqua"/>
          <w:sz w:val="24"/>
          <w:szCs w:val="24"/>
        </w:rPr>
        <w:t>1.S44]</w:t>
      </w:r>
    </w:p>
    <w:p w14:paraId="5DABEE40" w14:textId="6FDE9F83"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lastRenderedPageBreak/>
        <w:t>1</w:t>
      </w:r>
      <w:r w:rsidR="00556FBB">
        <w:rPr>
          <w:rFonts w:ascii="Book Antiqua" w:hAnsi="Book Antiqua"/>
          <w:sz w:val="24"/>
          <w:szCs w:val="24"/>
        </w:rPr>
        <w:t>6</w:t>
      </w:r>
      <w:r w:rsidRPr="00556FBB">
        <w:rPr>
          <w:rFonts w:ascii="Book Antiqua" w:hAnsi="Book Antiqua"/>
          <w:sz w:val="24"/>
          <w:szCs w:val="24"/>
        </w:rPr>
        <w:t xml:space="preserve"> </w:t>
      </w:r>
      <w:r w:rsidRPr="00556FBB">
        <w:rPr>
          <w:rFonts w:ascii="Book Antiqua" w:hAnsi="Book Antiqua"/>
          <w:b/>
          <w:sz w:val="24"/>
          <w:szCs w:val="24"/>
        </w:rPr>
        <w:t>Shin JH</w:t>
      </w:r>
      <w:r w:rsidRPr="00556FBB">
        <w:rPr>
          <w:rFonts w:ascii="Book Antiqua" w:hAnsi="Book Antiqua"/>
          <w:sz w:val="24"/>
          <w:szCs w:val="24"/>
        </w:rPr>
        <w:t xml:space="preserve">, Park AW. Updates on percutaneous radiologic gastrostomy/gastrojejunostomy and jejunostomy. </w:t>
      </w:r>
      <w:r w:rsidRPr="00556FBB">
        <w:rPr>
          <w:rFonts w:ascii="Book Antiqua" w:hAnsi="Book Antiqua"/>
          <w:i/>
          <w:sz w:val="24"/>
          <w:szCs w:val="24"/>
        </w:rPr>
        <w:t>Gut Liver</w:t>
      </w:r>
      <w:r w:rsidRPr="00556FBB">
        <w:rPr>
          <w:rFonts w:ascii="Book Antiqua" w:hAnsi="Book Antiqua"/>
          <w:sz w:val="24"/>
          <w:szCs w:val="24"/>
        </w:rPr>
        <w:t xml:space="preserve"> 2010; </w:t>
      </w:r>
      <w:r w:rsidRPr="00556FBB">
        <w:rPr>
          <w:rFonts w:ascii="Book Antiqua" w:hAnsi="Book Antiqua"/>
          <w:b/>
          <w:sz w:val="24"/>
          <w:szCs w:val="24"/>
        </w:rPr>
        <w:t>4 Suppl 1</w:t>
      </w:r>
      <w:r w:rsidRPr="00556FBB">
        <w:rPr>
          <w:rFonts w:ascii="Book Antiqua" w:hAnsi="Book Antiqua"/>
          <w:sz w:val="24"/>
          <w:szCs w:val="24"/>
        </w:rPr>
        <w:t>: S25-S31 [PMID: 21103291 DOI: 10.5009/gnl.2010.</w:t>
      </w:r>
      <w:proofErr w:type="gramStart"/>
      <w:r w:rsidRPr="00556FBB">
        <w:rPr>
          <w:rFonts w:ascii="Book Antiqua" w:hAnsi="Book Antiqua"/>
          <w:sz w:val="24"/>
          <w:szCs w:val="24"/>
        </w:rPr>
        <w:t>4.S</w:t>
      </w:r>
      <w:proofErr w:type="gramEnd"/>
      <w:r w:rsidRPr="00556FBB">
        <w:rPr>
          <w:rFonts w:ascii="Book Antiqua" w:hAnsi="Book Antiqua"/>
          <w:sz w:val="24"/>
          <w:szCs w:val="24"/>
        </w:rPr>
        <w:t>1.S25]</w:t>
      </w:r>
    </w:p>
    <w:p w14:paraId="27E001EA" w14:textId="1BE961CF"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1</w:t>
      </w:r>
      <w:r w:rsidR="00556FBB">
        <w:rPr>
          <w:rFonts w:ascii="Book Antiqua" w:hAnsi="Book Antiqua"/>
          <w:sz w:val="24"/>
          <w:szCs w:val="24"/>
        </w:rPr>
        <w:t>7</w:t>
      </w:r>
      <w:r w:rsidRPr="00556FBB">
        <w:rPr>
          <w:rFonts w:ascii="Book Antiqua" w:hAnsi="Book Antiqua"/>
          <w:sz w:val="24"/>
          <w:szCs w:val="24"/>
        </w:rPr>
        <w:t xml:space="preserve"> </w:t>
      </w:r>
      <w:r w:rsidRPr="00556FBB">
        <w:rPr>
          <w:rFonts w:ascii="Book Antiqua" w:hAnsi="Book Antiqua"/>
          <w:b/>
          <w:sz w:val="24"/>
          <w:szCs w:val="24"/>
        </w:rPr>
        <w:t xml:space="preserve">de </w:t>
      </w:r>
      <w:proofErr w:type="spellStart"/>
      <w:r w:rsidRPr="00556FBB">
        <w:rPr>
          <w:rFonts w:ascii="Book Antiqua" w:hAnsi="Book Antiqua"/>
          <w:b/>
          <w:sz w:val="24"/>
          <w:szCs w:val="24"/>
        </w:rPr>
        <w:t>Baere</w:t>
      </w:r>
      <w:proofErr w:type="spellEnd"/>
      <w:r w:rsidRPr="00556FBB">
        <w:rPr>
          <w:rFonts w:ascii="Book Antiqua" w:hAnsi="Book Antiqua"/>
          <w:b/>
          <w:sz w:val="24"/>
          <w:szCs w:val="24"/>
        </w:rPr>
        <w:t xml:space="preserve"> T</w:t>
      </w:r>
      <w:r w:rsidRPr="00556FBB">
        <w:rPr>
          <w:rFonts w:ascii="Book Antiqua" w:hAnsi="Book Antiqua"/>
          <w:sz w:val="24"/>
          <w:szCs w:val="24"/>
        </w:rPr>
        <w:t xml:space="preserve">, </w:t>
      </w:r>
      <w:proofErr w:type="spellStart"/>
      <w:r w:rsidRPr="00556FBB">
        <w:rPr>
          <w:rFonts w:ascii="Book Antiqua" w:hAnsi="Book Antiqua"/>
          <w:sz w:val="24"/>
          <w:szCs w:val="24"/>
        </w:rPr>
        <w:t>Chapot</w:t>
      </w:r>
      <w:proofErr w:type="spellEnd"/>
      <w:r w:rsidRPr="00556FBB">
        <w:rPr>
          <w:rFonts w:ascii="Book Antiqua" w:hAnsi="Book Antiqua"/>
          <w:sz w:val="24"/>
          <w:szCs w:val="24"/>
        </w:rPr>
        <w:t xml:space="preserve"> R, </w:t>
      </w:r>
      <w:proofErr w:type="spellStart"/>
      <w:r w:rsidRPr="00556FBB">
        <w:rPr>
          <w:rFonts w:ascii="Book Antiqua" w:hAnsi="Book Antiqua"/>
          <w:sz w:val="24"/>
          <w:szCs w:val="24"/>
        </w:rPr>
        <w:t>Kuoch</w:t>
      </w:r>
      <w:proofErr w:type="spellEnd"/>
      <w:r w:rsidRPr="00556FBB">
        <w:rPr>
          <w:rFonts w:ascii="Book Antiqua" w:hAnsi="Book Antiqua"/>
          <w:sz w:val="24"/>
          <w:szCs w:val="24"/>
        </w:rPr>
        <w:t xml:space="preserve"> V, </w:t>
      </w:r>
      <w:proofErr w:type="spellStart"/>
      <w:r w:rsidRPr="00556FBB">
        <w:rPr>
          <w:rFonts w:ascii="Book Antiqua" w:hAnsi="Book Antiqua"/>
          <w:sz w:val="24"/>
          <w:szCs w:val="24"/>
        </w:rPr>
        <w:t>Chevallier</w:t>
      </w:r>
      <w:proofErr w:type="spellEnd"/>
      <w:r w:rsidRPr="00556FBB">
        <w:rPr>
          <w:rFonts w:ascii="Book Antiqua" w:hAnsi="Book Antiqua"/>
          <w:sz w:val="24"/>
          <w:szCs w:val="24"/>
        </w:rPr>
        <w:t xml:space="preserve"> P, Delille JP, </w:t>
      </w:r>
      <w:proofErr w:type="spellStart"/>
      <w:r w:rsidRPr="00556FBB">
        <w:rPr>
          <w:rFonts w:ascii="Book Antiqua" w:hAnsi="Book Antiqua"/>
          <w:sz w:val="24"/>
          <w:szCs w:val="24"/>
        </w:rPr>
        <w:t>Domenge</w:t>
      </w:r>
      <w:proofErr w:type="spellEnd"/>
      <w:r w:rsidRPr="00556FBB">
        <w:rPr>
          <w:rFonts w:ascii="Book Antiqua" w:hAnsi="Book Antiqua"/>
          <w:sz w:val="24"/>
          <w:szCs w:val="24"/>
        </w:rPr>
        <w:t xml:space="preserve"> C, </w:t>
      </w:r>
      <w:proofErr w:type="spellStart"/>
      <w:r w:rsidRPr="00556FBB">
        <w:rPr>
          <w:rFonts w:ascii="Book Antiqua" w:hAnsi="Book Antiqua"/>
          <w:sz w:val="24"/>
          <w:szCs w:val="24"/>
        </w:rPr>
        <w:t>Schwaab</w:t>
      </w:r>
      <w:proofErr w:type="spellEnd"/>
      <w:r w:rsidRPr="00556FBB">
        <w:rPr>
          <w:rFonts w:ascii="Book Antiqua" w:hAnsi="Book Antiqua"/>
          <w:sz w:val="24"/>
          <w:szCs w:val="24"/>
        </w:rPr>
        <w:t xml:space="preserve"> G, Roche A. Percutaneous gastrostomy with fluoroscopic guidance: single-center experience in 500 consecutive cancer patients. </w:t>
      </w:r>
      <w:r w:rsidRPr="00556FBB">
        <w:rPr>
          <w:rFonts w:ascii="Book Antiqua" w:hAnsi="Book Antiqua"/>
          <w:i/>
          <w:sz w:val="24"/>
          <w:szCs w:val="24"/>
        </w:rPr>
        <w:t>Radiology</w:t>
      </w:r>
      <w:r w:rsidRPr="00556FBB">
        <w:rPr>
          <w:rFonts w:ascii="Book Antiqua" w:hAnsi="Book Antiqua"/>
          <w:sz w:val="24"/>
          <w:szCs w:val="24"/>
        </w:rPr>
        <w:t xml:space="preserve"> 1999; </w:t>
      </w:r>
      <w:r w:rsidRPr="00556FBB">
        <w:rPr>
          <w:rFonts w:ascii="Book Antiqua" w:hAnsi="Book Antiqua"/>
          <w:b/>
          <w:sz w:val="24"/>
          <w:szCs w:val="24"/>
        </w:rPr>
        <w:t>210</w:t>
      </w:r>
      <w:r w:rsidRPr="00556FBB">
        <w:rPr>
          <w:rFonts w:ascii="Book Antiqua" w:hAnsi="Book Antiqua"/>
          <w:sz w:val="24"/>
          <w:szCs w:val="24"/>
        </w:rPr>
        <w:t>: 651-654 [PMID: 10207463 DOI: 10.1148/radiology.210.</w:t>
      </w:r>
      <w:proofErr w:type="gramStart"/>
      <w:r w:rsidRPr="00556FBB">
        <w:rPr>
          <w:rFonts w:ascii="Book Antiqua" w:hAnsi="Book Antiqua"/>
          <w:sz w:val="24"/>
          <w:szCs w:val="24"/>
        </w:rPr>
        <w:t>3.r</w:t>
      </w:r>
      <w:proofErr w:type="gramEnd"/>
      <w:r w:rsidRPr="00556FBB">
        <w:rPr>
          <w:rFonts w:ascii="Book Antiqua" w:hAnsi="Book Antiqua"/>
          <w:sz w:val="24"/>
          <w:szCs w:val="24"/>
        </w:rPr>
        <w:t>99mr40651]</w:t>
      </w:r>
    </w:p>
    <w:p w14:paraId="57B640BA" w14:textId="0F9CC3B8"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1</w:t>
      </w:r>
      <w:r w:rsidR="00556FBB">
        <w:rPr>
          <w:rFonts w:ascii="Book Antiqua" w:hAnsi="Book Antiqua"/>
          <w:sz w:val="24"/>
          <w:szCs w:val="24"/>
        </w:rPr>
        <w:t>8</w:t>
      </w:r>
      <w:r w:rsidRPr="00556FBB">
        <w:rPr>
          <w:rFonts w:ascii="Book Antiqua" w:hAnsi="Book Antiqua"/>
          <w:sz w:val="24"/>
          <w:szCs w:val="24"/>
        </w:rPr>
        <w:t xml:space="preserve"> </w:t>
      </w:r>
      <w:proofErr w:type="spellStart"/>
      <w:r w:rsidRPr="00556FBB">
        <w:rPr>
          <w:rFonts w:ascii="Book Antiqua" w:hAnsi="Book Antiqua"/>
          <w:b/>
          <w:sz w:val="24"/>
          <w:szCs w:val="24"/>
        </w:rPr>
        <w:t>Blondet</w:t>
      </w:r>
      <w:proofErr w:type="spellEnd"/>
      <w:r w:rsidRPr="00556FBB">
        <w:rPr>
          <w:rFonts w:ascii="Book Antiqua" w:hAnsi="Book Antiqua"/>
          <w:b/>
          <w:sz w:val="24"/>
          <w:szCs w:val="24"/>
        </w:rPr>
        <w:t xml:space="preserve"> A</w:t>
      </w:r>
      <w:r w:rsidRPr="00556FBB">
        <w:rPr>
          <w:rFonts w:ascii="Book Antiqua" w:hAnsi="Book Antiqua"/>
          <w:sz w:val="24"/>
          <w:szCs w:val="24"/>
        </w:rPr>
        <w:t xml:space="preserve">, </w:t>
      </w:r>
      <w:proofErr w:type="spellStart"/>
      <w:r w:rsidRPr="00556FBB">
        <w:rPr>
          <w:rFonts w:ascii="Book Antiqua" w:hAnsi="Book Antiqua"/>
          <w:sz w:val="24"/>
          <w:szCs w:val="24"/>
        </w:rPr>
        <w:t>Lebigot</w:t>
      </w:r>
      <w:proofErr w:type="spellEnd"/>
      <w:r w:rsidRPr="00556FBB">
        <w:rPr>
          <w:rFonts w:ascii="Book Antiqua" w:hAnsi="Book Antiqua"/>
          <w:sz w:val="24"/>
          <w:szCs w:val="24"/>
        </w:rPr>
        <w:t xml:space="preserve"> J, Nicolas G, </w:t>
      </w:r>
      <w:proofErr w:type="spellStart"/>
      <w:r w:rsidRPr="00556FBB">
        <w:rPr>
          <w:rFonts w:ascii="Book Antiqua" w:hAnsi="Book Antiqua"/>
          <w:sz w:val="24"/>
          <w:szCs w:val="24"/>
        </w:rPr>
        <w:t>Boursier</w:t>
      </w:r>
      <w:proofErr w:type="spellEnd"/>
      <w:r w:rsidRPr="00556FBB">
        <w:rPr>
          <w:rFonts w:ascii="Book Antiqua" w:hAnsi="Book Antiqua"/>
          <w:sz w:val="24"/>
          <w:szCs w:val="24"/>
        </w:rPr>
        <w:t xml:space="preserve"> J, Person B, </w:t>
      </w:r>
      <w:proofErr w:type="spellStart"/>
      <w:r w:rsidRPr="00556FBB">
        <w:rPr>
          <w:rFonts w:ascii="Book Antiqua" w:hAnsi="Book Antiqua"/>
          <w:sz w:val="24"/>
          <w:szCs w:val="24"/>
        </w:rPr>
        <w:t>Laccoureye</w:t>
      </w:r>
      <w:proofErr w:type="spellEnd"/>
      <w:r w:rsidRPr="00556FBB">
        <w:rPr>
          <w:rFonts w:ascii="Book Antiqua" w:hAnsi="Book Antiqua"/>
          <w:sz w:val="24"/>
          <w:szCs w:val="24"/>
        </w:rPr>
        <w:t xml:space="preserve"> L, </w:t>
      </w:r>
      <w:proofErr w:type="spellStart"/>
      <w:r w:rsidRPr="00556FBB">
        <w:rPr>
          <w:rFonts w:ascii="Book Antiqua" w:hAnsi="Book Antiqua"/>
          <w:sz w:val="24"/>
          <w:szCs w:val="24"/>
        </w:rPr>
        <w:t>Aubé</w:t>
      </w:r>
      <w:proofErr w:type="spellEnd"/>
      <w:r w:rsidRPr="00556FBB">
        <w:rPr>
          <w:rFonts w:ascii="Book Antiqua" w:hAnsi="Book Antiqua"/>
          <w:sz w:val="24"/>
          <w:szCs w:val="24"/>
        </w:rPr>
        <w:t xml:space="preserve"> C. Radiologic versus endoscopic placement of percutaneous gastrostomy in amyotrophic lateral sclerosis: multivariate analysis of tolerance, efficacy, and survival. </w:t>
      </w:r>
      <w:r w:rsidRPr="00556FBB">
        <w:rPr>
          <w:rFonts w:ascii="Book Antiqua" w:hAnsi="Book Antiqua"/>
          <w:i/>
          <w:sz w:val="24"/>
          <w:szCs w:val="24"/>
        </w:rPr>
        <w:t xml:space="preserve">J </w:t>
      </w:r>
      <w:proofErr w:type="spellStart"/>
      <w:r w:rsidRPr="00556FBB">
        <w:rPr>
          <w:rFonts w:ascii="Book Antiqua" w:hAnsi="Book Antiqua"/>
          <w:i/>
          <w:sz w:val="24"/>
          <w:szCs w:val="24"/>
        </w:rPr>
        <w:t>Vasc</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Interv</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2010; </w:t>
      </w:r>
      <w:r w:rsidRPr="00556FBB">
        <w:rPr>
          <w:rFonts w:ascii="Book Antiqua" w:hAnsi="Book Antiqua"/>
          <w:b/>
          <w:sz w:val="24"/>
          <w:szCs w:val="24"/>
        </w:rPr>
        <w:t>21</w:t>
      </w:r>
      <w:r w:rsidRPr="00556FBB">
        <w:rPr>
          <w:rFonts w:ascii="Book Antiqua" w:hAnsi="Book Antiqua"/>
          <w:sz w:val="24"/>
          <w:szCs w:val="24"/>
        </w:rPr>
        <w:t>: 527-533 [PMID: 20172742 DOI: 10.1016/j.jvir.2009.11.022]</w:t>
      </w:r>
    </w:p>
    <w:p w14:paraId="05DE0DCB" w14:textId="43D35C45" w:rsidR="00A67E91" w:rsidRPr="00556FBB" w:rsidRDefault="00556FBB" w:rsidP="00556FBB">
      <w:pPr>
        <w:spacing w:after="0" w:line="360" w:lineRule="auto"/>
        <w:jc w:val="both"/>
        <w:rPr>
          <w:rFonts w:ascii="Book Antiqua" w:hAnsi="Book Antiqua"/>
          <w:sz w:val="24"/>
          <w:szCs w:val="24"/>
        </w:rPr>
      </w:pPr>
      <w:r>
        <w:rPr>
          <w:rFonts w:ascii="Book Antiqua" w:hAnsi="Book Antiqua"/>
          <w:sz w:val="24"/>
          <w:szCs w:val="24"/>
        </w:rPr>
        <w:t>19</w:t>
      </w:r>
      <w:r w:rsidR="00A67E91" w:rsidRPr="00556FBB">
        <w:rPr>
          <w:rFonts w:ascii="Book Antiqua" w:hAnsi="Book Antiqua"/>
          <w:sz w:val="24"/>
          <w:szCs w:val="24"/>
        </w:rPr>
        <w:t xml:space="preserve"> </w:t>
      </w:r>
      <w:r w:rsidR="00A67E91" w:rsidRPr="00556FBB">
        <w:rPr>
          <w:rFonts w:ascii="Book Antiqua" w:hAnsi="Book Antiqua"/>
          <w:b/>
          <w:sz w:val="24"/>
          <w:szCs w:val="24"/>
        </w:rPr>
        <w:t>Hoffer EK</w:t>
      </w:r>
      <w:r w:rsidR="00A67E91" w:rsidRPr="00556FBB">
        <w:rPr>
          <w:rFonts w:ascii="Book Antiqua" w:hAnsi="Book Antiqua"/>
          <w:sz w:val="24"/>
          <w:szCs w:val="24"/>
        </w:rPr>
        <w:t xml:space="preserve">, Cosgrove JM, Levin DQ, Herskowitz MM, </w:t>
      </w:r>
      <w:proofErr w:type="spellStart"/>
      <w:r w:rsidR="00A67E91" w:rsidRPr="00556FBB">
        <w:rPr>
          <w:rFonts w:ascii="Book Antiqua" w:hAnsi="Book Antiqua"/>
          <w:sz w:val="24"/>
          <w:szCs w:val="24"/>
        </w:rPr>
        <w:t>Sclafani</w:t>
      </w:r>
      <w:proofErr w:type="spellEnd"/>
      <w:r w:rsidR="00A67E91" w:rsidRPr="00556FBB">
        <w:rPr>
          <w:rFonts w:ascii="Book Antiqua" w:hAnsi="Book Antiqua"/>
          <w:sz w:val="24"/>
          <w:szCs w:val="24"/>
        </w:rPr>
        <w:t xml:space="preserve"> SJ. Radiologic gastrojejunostomy and percutaneous endoscopic gastrostomy: a prospective, randomized comparison. </w:t>
      </w:r>
      <w:r w:rsidR="00A67E91" w:rsidRPr="00556FBB">
        <w:rPr>
          <w:rFonts w:ascii="Book Antiqua" w:hAnsi="Book Antiqua"/>
          <w:i/>
          <w:sz w:val="24"/>
          <w:szCs w:val="24"/>
        </w:rPr>
        <w:t xml:space="preserve">J </w:t>
      </w:r>
      <w:proofErr w:type="spellStart"/>
      <w:r w:rsidR="00A67E91" w:rsidRPr="00556FBB">
        <w:rPr>
          <w:rFonts w:ascii="Book Antiqua" w:hAnsi="Book Antiqua"/>
          <w:i/>
          <w:sz w:val="24"/>
          <w:szCs w:val="24"/>
        </w:rPr>
        <w:t>Vasc</w:t>
      </w:r>
      <w:proofErr w:type="spellEnd"/>
      <w:r w:rsidR="00A67E91" w:rsidRPr="00556FBB">
        <w:rPr>
          <w:rFonts w:ascii="Book Antiqua" w:hAnsi="Book Antiqua"/>
          <w:i/>
          <w:sz w:val="24"/>
          <w:szCs w:val="24"/>
        </w:rPr>
        <w:t xml:space="preserve"> </w:t>
      </w:r>
      <w:proofErr w:type="spellStart"/>
      <w:r w:rsidR="00A67E91" w:rsidRPr="00556FBB">
        <w:rPr>
          <w:rFonts w:ascii="Book Antiqua" w:hAnsi="Book Antiqua"/>
          <w:i/>
          <w:sz w:val="24"/>
          <w:szCs w:val="24"/>
        </w:rPr>
        <w:t>Interv</w:t>
      </w:r>
      <w:proofErr w:type="spellEnd"/>
      <w:r w:rsidR="00A67E91" w:rsidRPr="00556FBB">
        <w:rPr>
          <w:rFonts w:ascii="Book Antiqua" w:hAnsi="Book Antiqua"/>
          <w:i/>
          <w:sz w:val="24"/>
          <w:szCs w:val="24"/>
        </w:rPr>
        <w:t xml:space="preserve"> </w:t>
      </w:r>
      <w:proofErr w:type="spellStart"/>
      <w:r w:rsidR="00A67E91" w:rsidRPr="00556FBB">
        <w:rPr>
          <w:rFonts w:ascii="Book Antiqua" w:hAnsi="Book Antiqua"/>
          <w:i/>
          <w:sz w:val="24"/>
          <w:szCs w:val="24"/>
        </w:rPr>
        <w:t>Radiol</w:t>
      </w:r>
      <w:proofErr w:type="spellEnd"/>
      <w:r w:rsidR="00A67E91" w:rsidRPr="00556FBB">
        <w:rPr>
          <w:rFonts w:ascii="Book Antiqua" w:hAnsi="Book Antiqua"/>
          <w:sz w:val="24"/>
          <w:szCs w:val="24"/>
        </w:rPr>
        <w:t xml:space="preserve"> 1999; </w:t>
      </w:r>
      <w:r w:rsidR="00A67E91" w:rsidRPr="00556FBB">
        <w:rPr>
          <w:rFonts w:ascii="Book Antiqua" w:hAnsi="Book Antiqua"/>
          <w:b/>
          <w:sz w:val="24"/>
          <w:szCs w:val="24"/>
        </w:rPr>
        <w:t>10</w:t>
      </w:r>
      <w:r w:rsidR="00A67E91" w:rsidRPr="00556FBB">
        <w:rPr>
          <w:rFonts w:ascii="Book Antiqua" w:hAnsi="Book Antiqua"/>
          <w:sz w:val="24"/>
          <w:szCs w:val="24"/>
        </w:rPr>
        <w:t>: 413-420 [PMID: 10229468 DOI: 10.1016/S1051-0443(99)70058-8]</w:t>
      </w:r>
    </w:p>
    <w:p w14:paraId="32C3DFA4" w14:textId="548CB71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0</w:t>
      </w:r>
      <w:r w:rsidRPr="00556FBB">
        <w:rPr>
          <w:rFonts w:ascii="Book Antiqua" w:hAnsi="Book Antiqua"/>
          <w:sz w:val="24"/>
          <w:szCs w:val="24"/>
        </w:rPr>
        <w:t xml:space="preserve"> </w:t>
      </w:r>
      <w:r w:rsidRPr="00556FBB">
        <w:rPr>
          <w:rFonts w:ascii="Book Antiqua" w:hAnsi="Book Antiqua"/>
          <w:b/>
          <w:sz w:val="24"/>
          <w:szCs w:val="24"/>
        </w:rPr>
        <w:t>Thornton FJ</w:t>
      </w:r>
      <w:r w:rsidRPr="00556FBB">
        <w:rPr>
          <w:rFonts w:ascii="Book Antiqua" w:hAnsi="Book Antiqua"/>
          <w:sz w:val="24"/>
          <w:szCs w:val="24"/>
        </w:rPr>
        <w:t xml:space="preserve">, Varghese JC, Haslam PJ, McGrath FP, Keeling F, Lee MJ. Percutaneous gastrostomy in patients who fail or are unsuitable for endoscopic gastrostomy. </w:t>
      </w:r>
      <w:r w:rsidRPr="00556FBB">
        <w:rPr>
          <w:rFonts w:ascii="Book Antiqua" w:hAnsi="Book Antiqua"/>
          <w:i/>
          <w:sz w:val="24"/>
          <w:szCs w:val="24"/>
        </w:rPr>
        <w:t xml:space="preserve">Cardiovasc </w:t>
      </w:r>
      <w:proofErr w:type="spellStart"/>
      <w:r w:rsidRPr="00556FBB">
        <w:rPr>
          <w:rFonts w:ascii="Book Antiqua" w:hAnsi="Book Antiqua"/>
          <w:i/>
          <w:sz w:val="24"/>
          <w:szCs w:val="24"/>
        </w:rPr>
        <w:t>Intervent</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2000; </w:t>
      </w:r>
      <w:r w:rsidRPr="00556FBB">
        <w:rPr>
          <w:rFonts w:ascii="Book Antiqua" w:hAnsi="Book Antiqua"/>
          <w:b/>
          <w:sz w:val="24"/>
          <w:szCs w:val="24"/>
        </w:rPr>
        <w:t>23</w:t>
      </w:r>
      <w:r w:rsidRPr="00556FBB">
        <w:rPr>
          <w:rFonts w:ascii="Book Antiqua" w:hAnsi="Book Antiqua"/>
          <w:sz w:val="24"/>
          <w:szCs w:val="24"/>
        </w:rPr>
        <w:t>: 279-284 [PMID: 10960541 DOI: 10.1007/s002700010069]</w:t>
      </w:r>
    </w:p>
    <w:p w14:paraId="1F676794" w14:textId="29AADD2A"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1</w:t>
      </w:r>
      <w:r w:rsidRPr="00556FBB">
        <w:rPr>
          <w:rFonts w:ascii="Book Antiqua" w:hAnsi="Book Antiqua"/>
          <w:sz w:val="24"/>
          <w:szCs w:val="24"/>
        </w:rPr>
        <w:t xml:space="preserve"> </w:t>
      </w:r>
      <w:r w:rsidRPr="00556FBB">
        <w:rPr>
          <w:rFonts w:ascii="Book Antiqua" w:hAnsi="Book Antiqua"/>
          <w:b/>
          <w:sz w:val="24"/>
          <w:szCs w:val="24"/>
        </w:rPr>
        <w:t>Bell SD</w:t>
      </w:r>
      <w:r w:rsidRPr="00556FBB">
        <w:rPr>
          <w:rFonts w:ascii="Book Antiqua" w:hAnsi="Book Antiqua"/>
          <w:sz w:val="24"/>
          <w:szCs w:val="24"/>
        </w:rPr>
        <w:t xml:space="preserve">, Carmody EA, Yeung EY, Thurston WA, Simons ME, Ho CS. Percutaneous gastrostomy and gastrojejunostomy: additional experience in 519 procedures. </w:t>
      </w:r>
      <w:r w:rsidRPr="00556FBB">
        <w:rPr>
          <w:rFonts w:ascii="Book Antiqua" w:hAnsi="Book Antiqua"/>
          <w:i/>
          <w:sz w:val="24"/>
          <w:szCs w:val="24"/>
        </w:rPr>
        <w:t>Radiology</w:t>
      </w:r>
      <w:r w:rsidRPr="00556FBB">
        <w:rPr>
          <w:rFonts w:ascii="Book Antiqua" w:hAnsi="Book Antiqua"/>
          <w:sz w:val="24"/>
          <w:szCs w:val="24"/>
        </w:rPr>
        <w:t xml:space="preserve"> 1995; </w:t>
      </w:r>
      <w:r w:rsidRPr="00556FBB">
        <w:rPr>
          <w:rFonts w:ascii="Book Antiqua" w:hAnsi="Book Antiqua"/>
          <w:b/>
          <w:sz w:val="24"/>
          <w:szCs w:val="24"/>
        </w:rPr>
        <w:t>194</w:t>
      </w:r>
      <w:r w:rsidRPr="00556FBB">
        <w:rPr>
          <w:rFonts w:ascii="Book Antiqua" w:hAnsi="Book Antiqua"/>
          <w:sz w:val="24"/>
          <w:szCs w:val="24"/>
        </w:rPr>
        <w:t>: 817-820 [PMID: 7862985 DOI: 10.1148/radiology.194.3.7862985]</w:t>
      </w:r>
    </w:p>
    <w:p w14:paraId="5CFD59CD" w14:textId="07608BEE"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2</w:t>
      </w:r>
      <w:r w:rsidRPr="00556FBB">
        <w:rPr>
          <w:rFonts w:ascii="Book Antiqua" w:hAnsi="Book Antiqua"/>
          <w:sz w:val="24"/>
          <w:szCs w:val="24"/>
        </w:rPr>
        <w:t xml:space="preserve"> </w:t>
      </w:r>
      <w:r w:rsidRPr="00556FBB">
        <w:rPr>
          <w:rFonts w:ascii="Book Antiqua" w:hAnsi="Book Antiqua"/>
          <w:b/>
          <w:sz w:val="24"/>
          <w:szCs w:val="24"/>
        </w:rPr>
        <w:t>Grant DG</w:t>
      </w:r>
      <w:r w:rsidRPr="00556FBB">
        <w:rPr>
          <w:rFonts w:ascii="Book Antiqua" w:hAnsi="Book Antiqua"/>
          <w:sz w:val="24"/>
          <w:szCs w:val="24"/>
        </w:rPr>
        <w:t xml:space="preserve">, Bradley PT, </w:t>
      </w:r>
      <w:proofErr w:type="spellStart"/>
      <w:r w:rsidRPr="00556FBB">
        <w:rPr>
          <w:rFonts w:ascii="Book Antiqua" w:hAnsi="Book Antiqua"/>
          <w:sz w:val="24"/>
          <w:szCs w:val="24"/>
        </w:rPr>
        <w:t>Pothier</w:t>
      </w:r>
      <w:proofErr w:type="spellEnd"/>
      <w:r w:rsidRPr="00556FBB">
        <w:rPr>
          <w:rFonts w:ascii="Book Antiqua" w:hAnsi="Book Antiqua"/>
          <w:sz w:val="24"/>
          <w:szCs w:val="24"/>
        </w:rPr>
        <w:t xml:space="preserve"> DD, Bailey D, Caldera S, Baldwin DL, Birchall MA. Complications following gastrostomy tube insertion in patients with head and neck cancer: a prospective multi-institution study, systematic review and meta-analysis. </w:t>
      </w:r>
      <w:r w:rsidRPr="00556FBB">
        <w:rPr>
          <w:rFonts w:ascii="Book Antiqua" w:hAnsi="Book Antiqua"/>
          <w:i/>
          <w:sz w:val="24"/>
          <w:szCs w:val="24"/>
        </w:rPr>
        <w:t xml:space="preserve">Clin </w:t>
      </w:r>
      <w:proofErr w:type="spellStart"/>
      <w:r w:rsidRPr="00556FBB">
        <w:rPr>
          <w:rFonts w:ascii="Book Antiqua" w:hAnsi="Book Antiqua"/>
          <w:i/>
          <w:sz w:val="24"/>
          <w:szCs w:val="24"/>
        </w:rPr>
        <w:t>Otolaryngol</w:t>
      </w:r>
      <w:proofErr w:type="spellEnd"/>
      <w:r w:rsidRPr="00556FBB">
        <w:rPr>
          <w:rFonts w:ascii="Book Antiqua" w:hAnsi="Book Antiqua"/>
          <w:sz w:val="24"/>
          <w:szCs w:val="24"/>
        </w:rPr>
        <w:t xml:space="preserve"> 2009; </w:t>
      </w:r>
      <w:r w:rsidRPr="00556FBB">
        <w:rPr>
          <w:rFonts w:ascii="Book Antiqua" w:hAnsi="Book Antiqua"/>
          <w:b/>
          <w:sz w:val="24"/>
          <w:szCs w:val="24"/>
        </w:rPr>
        <w:t>34</w:t>
      </w:r>
      <w:r w:rsidRPr="00556FBB">
        <w:rPr>
          <w:rFonts w:ascii="Book Antiqua" w:hAnsi="Book Antiqua"/>
          <w:sz w:val="24"/>
          <w:szCs w:val="24"/>
        </w:rPr>
        <w:t>: 103-112 [PMID: 19413607 DOI: 10.1111/j.1749-4486.</w:t>
      </w:r>
      <w:proofErr w:type="gramStart"/>
      <w:r w:rsidRPr="00556FBB">
        <w:rPr>
          <w:rFonts w:ascii="Book Antiqua" w:hAnsi="Book Antiqua"/>
          <w:sz w:val="24"/>
          <w:szCs w:val="24"/>
        </w:rPr>
        <w:t>2009.01889.x</w:t>
      </w:r>
      <w:proofErr w:type="gramEnd"/>
      <w:r w:rsidRPr="00556FBB">
        <w:rPr>
          <w:rFonts w:ascii="Book Antiqua" w:hAnsi="Book Antiqua"/>
          <w:sz w:val="24"/>
          <w:szCs w:val="24"/>
        </w:rPr>
        <w:t>]</w:t>
      </w:r>
    </w:p>
    <w:p w14:paraId="7E6B00C9" w14:textId="71A061FA"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3</w:t>
      </w:r>
      <w:r w:rsidRPr="00556FBB">
        <w:rPr>
          <w:rFonts w:ascii="Book Antiqua" w:hAnsi="Book Antiqua"/>
          <w:sz w:val="24"/>
          <w:szCs w:val="24"/>
        </w:rPr>
        <w:t xml:space="preserve"> </w:t>
      </w:r>
      <w:r w:rsidRPr="00556FBB">
        <w:rPr>
          <w:rFonts w:ascii="Book Antiqua" w:hAnsi="Book Antiqua"/>
          <w:b/>
          <w:sz w:val="24"/>
          <w:szCs w:val="24"/>
        </w:rPr>
        <w:t>Covarrubias DA</w:t>
      </w:r>
      <w:r w:rsidRPr="00556FBB">
        <w:rPr>
          <w:rFonts w:ascii="Book Antiqua" w:hAnsi="Book Antiqua"/>
          <w:sz w:val="24"/>
          <w:szCs w:val="24"/>
        </w:rPr>
        <w:t xml:space="preserve">, O'Connor OJ, McDermott S, Arellano RS. Radiologic percutaneous gastrostomy: review of potential complications and approach to managing the unexpected outcome. </w:t>
      </w:r>
      <w:r w:rsidRPr="00556FBB">
        <w:rPr>
          <w:rFonts w:ascii="Book Antiqua" w:hAnsi="Book Antiqua"/>
          <w:i/>
          <w:sz w:val="24"/>
          <w:szCs w:val="24"/>
        </w:rPr>
        <w:t xml:space="preserve">AJR Am J </w:t>
      </w:r>
      <w:proofErr w:type="spellStart"/>
      <w:r w:rsidRPr="00556FBB">
        <w:rPr>
          <w:rFonts w:ascii="Book Antiqua" w:hAnsi="Book Antiqua"/>
          <w:i/>
          <w:sz w:val="24"/>
          <w:szCs w:val="24"/>
        </w:rPr>
        <w:t>Roentgenol</w:t>
      </w:r>
      <w:proofErr w:type="spellEnd"/>
      <w:r w:rsidRPr="00556FBB">
        <w:rPr>
          <w:rFonts w:ascii="Book Antiqua" w:hAnsi="Book Antiqua"/>
          <w:sz w:val="24"/>
          <w:szCs w:val="24"/>
        </w:rPr>
        <w:t xml:space="preserve"> 2013; </w:t>
      </w:r>
      <w:r w:rsidRPr="00556FBB">
        <w:rPr>
          <w:rFonts w:ascii="Book Antiqua" w:hAnsi="Book Antiqua"/>
          <w:b/>
          <w:sz w:val="24"/>
          <w:szCs w:val="24"/>
        </w:rPr>
        <w:t>200</w:t>
      </w:r>
      <w:r w:rsidRPr="00556FBB">
        <w:rPr>
          <w:rFonts w:ascii="Book Antiqua" w:hAnsi="Book Antiqua"/>
          <w:sz w:val="24"/>
          <w:szCs w:val="24"/>
        </w:rPr>
        <w:t>: 921-931 [PMID: 23521471 DOI: 10.2214/AJR.11.7804]</w:t>
      </w:r>
    </w:p>
    <w:p w14:paraId="6A0A0DC3" w14:textId="7396C9F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lastRenderedPageBreak/>
        <w:t>2</w:t>
      </w:r>
      <w:r w:rsidR="00556FBB">
        <w:rPr>
          <w:rFonts w:ascii="Book Antiqua" w:hAnsi="Book Antiqua"/>
          <w:sz w:val="24"/>
          <w:szCs w:val="24"/>
        </w:rPr>
        <w:t>4</w:t>
      </w:r>
      <w:r w:rsidRPr="00556FBB">
        <w:rPr>
          <w:rFonts w:ascii="Book Antiqua" w:hAnsi="Book Antiqua"/>
          <w:sz w:val="24"/>
          <w:szCs w:val="24"/>
        </w:rPr>
        <w:t xml:space="preserve"> </w:t>
      </w:r>
      <w:proofErr w:type="spellStart"/>
      <w:r w:rsidRPr="00556FBB">
        <w:rPr>
          <w:rFonts w:ascii="Book Antiqua" w:hAnsi="Book Antiqua"/>
          <w:b/>
          <w:sz w:val="24"/>
          <w:szCs w:val="24"/>
        </w:rPr>
        <w:t>Kuo</w:t>
      </w:r>
      <w:proofErr w:type="spellEnd"/>
      <w:r w:rsidRPr="00556FBB">
        <w:rPr>
          <w:rFonts w:ascii="Book Antiqua" w:hAnsi="Book Antiqua"/>
          <w:b/>
          <w:sz w:val="24"/>
          <w:szCs w:val="24"/>
        </w:rPr>
        <w:t xml:space="preserve"> YC</w:t>
      </w:r>
      <w:r w:rsidRPr="00556FBB">
        <w:rPr>
          <w:rFonts w:ascii="Book Antiqua" w:hAnsi="Book Antiqua"/>
          <w:sz w:val="24"/>
          <w:szCs w:val="24"/>
        </w:rPr>
        <w:t xml:space="preserve">, </w:t>
      </w:r>
      <w:proofErr w:type="spellStart"/>
      <w:r w:rsidRPr="00556FBB">
        <w:rPr>
          <w:rFonts w:ascii="Book Antiqua" w:hAnsi="Book Antiqua"/>
          <w:sz w:val="24"/>
          <w:szCs w:val="24"/>
        </w:rPr>
        <w:t>Shlansky</w:t>
      </w:r>
      <w:proofErr w:type="spellEnd"/>
      <w:r w:rsidRPr="00556FBB">
        <w:rPr>
          <w:rFonts w:ascii="Book Antiqua" w:hAnsi="Book Antiqua"/>
          <w:sz w:val="24"/>
          <w:szCs w:val="24"/>
        </w:rPr>
        <w:t xml:space="preserve">-Goldberg RD, Mondschein JI, Stavropoulos SW, Patel AA, Solomon JA, </w:t>
      </w:r>
      <w:proofErr w:type="spellStart"/>
      <w:r w:rsidRPr="00556FBB">
        <w:rPr>
          <w:rFonts w:ascii="Book Antiqua" w:hAnsi="Book Antiqua"/>
          <w:sz w:val="24"/>
          <w:szCs w:val="24"/>
        </w:rPr>
        <w:t>Soulen</w:t>
      </w:r>
      <w:proofErr w:type="spellEnd"/>
      <w:r w:rsidRPr="00556FBB">
        <w:rPr>
          <w:rFonts w:ascii="Book Antiqua" w:hAnsi="Book Antiqua"/>
          <w:sz w:val="24"/>
          <w:szCs w:val="24"/>
        </w:rPr>
        <w:t xml:space="preserve"> MC, Kwak A, </w:t>
      </w:r>
      <w:proofErr w:type="spellStart"/>
      <w:r w:rsidRPr="00556FBB">
        <w:rPr>
          <w:rFonts w:ascii="Book Antiqua" w:hAnsi="Book Antiqua"/>
          <w:sz w:val="24"/>
          <w:szCs w:val="24"/>
        </w:rPr>
        <w:t>Itkin</w:t>
      </w:r>
      <w:proofErr w:type="spellEnd"/>
      <w:r w:rsidRPr="00556FBB">
        <w:rPr>
          <w:rFonts w:ascii="Book Antiqua" w:hAnsi="Book Antiqua"/>
          <w:sz w:val="24"/>
          <w:szCs w:val="24"/>
        </w:rPr>
        <w:t xml:space="preserve"> M, </w:t>
      </w:r>
      <w:proofErr w:type="spellStart"/>
      <w:r w:rsidRPr="00556FBB">
        <w:rPr>
          <w:rFonts w:ascii="Book Antiqua" w:hAnsi="Book Antiqua"/>
          <w:sz w:val="24"/>
          <w:szCs w:val="24"/>
        </w:rPr>
        <w:t>Chittams</w:t>
      </w:r>
      <w:proofErr w:type="spellEnd"/>
      <w:r w:rsidRPr="00556FBB">
        <w:rPr>
          <w:rFonts w:ascii="Book Antiqua" w:hAnsi="Book Antiqua"/>
          <w:sz w:val="24"/>
          <w:szCs w:val="24"/>
        </w:rPr>
        <w:t xml:space="preserve"> JL, </w:t>
      </w:r>
      <w:proofErr w:type="spellStart"/>
      <w:r w:rsidRPr="00556FBB">
        <w:rPr>
          <w:rFonts w:ascii="Book Antiqua" w:hAnsi="Book Antiqua"/>
          <w:sz w:val="24"/>
          <w:szCs w:val="24"/>
        </w:rPr>
        <w:t>Trerotola</w:t>
      </w:r>
      <w:proofErr w:type="spellEnd"/>
      <w:r w:rsidRPr="00556FBB">
        <w:rPr>
          <w:rFonts w:ascii="Book Antiqua" w:hAnsi="Book Antiqua"/>
          <w:sz w:val="24"/>
          <w:szCs w:val="24"/>
        </w:rPr>
        <w:t xml:space="preserve"> SO. Large or small bore, push or pull: a comparison of three classes of percutaneous fluoroscopic gastrostomy catheters. </w:t>
      </w:r>
      <w:r w:rsidRPr="00556FBB">
        <w:rPr>
          <w:rFonts w:ascii="Book Antiqua" w:hAnsi="Book Antiqua"/>
          <w:i/>
          <w:sz w:val="24"/>
          <w:szCs w:val="24"/>
        </w:rPr>
        <w:t xml:space="preserve">J </w:t>
      </w:r>
      <w:proofErr w:type="spellStart"/>
      <w:r w:rsidRPr="00556FBB">
        <w:rPr>
          <w:rFonts w:ascii="Book Antiqua" w:hAnsi="Book Antiqua"/>
          <w:i/>
          <w:sz w:val="24"/>
          <w:szCs w:val="24"/>
        </w:rPr>
        <w:t>Vasc</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Interv</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2008; </w:t>
      </w:r>
      <w:r w:rsidRPr="00556FBB">
        <w:rPr>
          <w:rFonts w:ascii="Book Antiqua" w:hAnsi="Book Antiqua"/>
          <w:b/>
          <w:sz w:val="24"/>
          <w:szCs w:val="24"/>
        </w:rPr>
        <w:t>19</w:t>
      </w:r>
      <w:r w:rsidRPr="00556FBB">
        <w:rPr>
          <w:rFonts w:ascii="Book Antiqua" w:hAnsi="Book Antiqua"/>
          <w:sz w:val="24"/>
          <w:szCs w:val="24"/>
        </w:rPr>
        <w:t>: 557-63; quiz 564 [PMID: 18375301 DOI: 10.1016/j.jvir.2007.09.027]</w:t>
      </w:r>
    </w:p>
    <w:p w14:paraId="1EBEDDAA" w14:textId="70355192"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5</w:t>
      </w:r>
      <w:r w:rsidRPr="00556FBB">
        <w:rPr>
          <w:rFonts w:ascii="Book Antiqua" w:hAnsi="Book Antiqua"/>
          <w:sz w:val="24"/>
          <w:szCs w:val="24"/>
        </w:rPr>
        <w:t xml:space="preserve"> </w:t>
      </w:r>
      <w:proofErr w:type="spellStart"/>
      <w:r w:rsidRPr="00556FBB">
        <w:rPr>
          <w:rFonts w:ascii="Book Antiqua" w:hAnsi="Book Antiqua"/>
          <w:b/>
          <w:sz w:val="24"/>
          <w:szCs w:val="24"/>
        </w:rPr>
        <w:t>Kahriman</w:t>
      </w:r>
      <w:proofErr w:type="spellEnd"/>
      <w:r w:rsidRPr="00556FBB">
        <w:rPr>
          <w:rFonts w:ascii="Book Antiqua" w:hAnsi="Book Antiqua"/>
          <w:b/>
          <w:sz w:val="24"/>
          <w:szCs w:val="24"/>
        </w:rPr>
        <w:t xml:space="preserve"> G</w:t>
      </w:r>
      <w:r w:rsidRPr="00556FBB">
        <w:rPr>
          <w:rFonts w:ascii="Book Antiqua" w:hAnsi="Book Antiqua"/>
          <w:sz w:val="24"/>
          <w:szCs w:val="24"/>
        </w:rPr>
        <w:t xml:space="preserve">, </w:t>
      </w:r>
      <w:proofErr w:type="spellStart"/>
      <w:r w:rsidRPr="00556FBB">
        <w:rPr>
          <w:rFonts w:ascii="Book Antiqua" w:hAnsi="Book Antiqua"/>
          <w:sz w:val="24"/>
          <w:szCs w:val="24"/>
        </w:rPr>
        <w:t>Ozcan</w:t>
      </w:r>
      <w:proofErr w:type="spellEnd"/>
      <w:r w:rsidRPr="00556FBB">
        <w:rPr>
          <w:rFonts w:ascii="Book Antiqua" w:hAnsi="Book Antiqua"/>
          <w:sz w:val="24"/>
          <w:szCs w:val="24"/>
        </w:rPr>
        <w:t xml:space="preserve"> N, </w:t>
      </w:r>
      <w:proofErr w:type="spellStart"/>
      <w:r w:rsidRPr="00556FBB">
        <w:rPr>
          <w:rFonts w:ascii="Book Antiqua" w:hAnsi="Book Antiqua"/>
          <w:sz w:val="24"/>
          <w:szCs w:val="24"/>
        </w:rPr>
        <w:t>Donmez</w:t>
      </w:r>
      <w:proofErr w:type="spellEnd"/>
      <w:r w:rsidRPr="00556FBB">
        <w:rPr>
          <w:rFonts w:ascii="Book Antiqua" w:hAnsi="Book Antiqua"/>
          <w:sz w:val="24"/>
          <w:szCs w:val="24"/>
        </w:rPr>
        <w:t xml:space="preserve"> H. Fluoroscopy-guided placement of pull-type mushroom-retained gastrostomy tubes in 102 patients. </w:t>
      </w:r>
      <w:r w:rsidRPr="00556FBB">
        <w:rPr>
          <w:rFonts w:ascii="Book Antiqua" w:hAnsi="Book Antiqua"/>
          <w:i/>
          <w:sz w:val="24"/>
          <w:szCs w:val="24"/>
        </w:rPr>
        <w:t xml:space="preserve">Diagn </w:t>
      </w:r>
      <w:proofErr w:type="spellStart"/>
      <w:r w:rsidRPr="00556FBB">
        <w:rPr>
          <w:rFonts w:ascii="Book Antiqua" w:hAnsi="Book Antiqua"/>
          <w:i/>
          <w:sz w:val="24"/>
          <w:szCs w:val="24"/>
        </w:rPr>
        <w:t>Interv</w:t>
      </w:r>
      <w:proofErr w:type="spellEnd"/>
      <w:r w:rsidRPr="00556FBB">
        <w:rPr>
          <w:rFonts w:ascii="Book Antiqua" w:hAnsi="Book Antiqua"/>
          <w:i/>
          <w:sz w:val="24"/>
          <w:szCs w:val="24"/>
        </w:rPr>
        <w:t xml:space="preserve"> Imaging</w:t>
      </w:r>
      <w:r w:rsidRPr="00556FBB">
        <w:rPr>
          <w:rFonts w:ascii="Book Antiqua" w:hAnsi="Book Antiqua"/>
          <w:sz w:val="24"/>
          <w:szCs w:val="24"/>
        </w:rPr>
        <w:t xml:space="preserve"> 2017; </w:t>
      </w:r>
      <w:r w:rsidRPr="00556FBB">
        <w:rPr>
          <w:rFonts w:ascii="Book Antiqua" w:hAnsi="Book Antiqua"/>
          <w:b/>
          <w:sz w:val="24"/>
          <w:szCs w:val="24"/>
        </w:rPr>
        <w:t>98</w:t>
      </w:r>
      <w:r w:rsidRPr="00556FBB">
        <w:rPr>
          <w:rFonts w:ascii="Book Antiqua" w:hAnsi="Book Antiqua"/>
          <w:sz w:val="24"/>
          <w:szCs w:val="24"/>
        </w:rPr>
        <w:t>: 715-720 [PMID: 28416390 DOI: 10.1016/j.diii.2017.03.009]</w:t>
      </w:r>
    </w:p>
    <w:p w14:paraId="1B4A84D9" w14:textId="080586F7"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6</w:t>
      </w:r>
      <w:r w:rsidRPr="00556FBB">
        <w:rPr>
          <w:rFonts w:ascii="Book Antiqua" w:hAnsi="Book Antiqua"/>
          <w:sz w:val="24"/>
          <w:szCs w:val="24"/>
        </w:rPr>
        <w:t xml:space="preserve"> </w:t>
      </w:r>
      <w:r w:rsidRPr="00556FBB">
        <w:rPr>
          <w:rFonts w:ascii="Book Antiqua" w:hAnsi="Book Antiqua"/>
          <w:b/>
          <w:sz w:val="24"/>
          <w:szCs w:val="24"/>
        </w:rPr>
        <w:t>Yang Y</w:t>
      </w:r>
      <w:r w:rsidRPr="00556FBB">
        <w:rPr>
          <w:rFonts w:ascii="Book Antiqua" w:hAnsi="Book Antiqua"/>
          <w:sz w:val="24"/>
          <w:szCs w:val="24"/>
        </w:rPr>
        <w:t xml:space="preserve">, Schneider J, </w:t>
      </w:r>
      <w:proofErr w:type="spellStart"/>
      <w:r w:rsidRPr="00556FBB">
        <w:rPr>
          <w:rFonts w:ascii="Book Antiqua" w:hAnsi="Book Antiqua"/>
          <w:sz w:val="24"/>
          <w:szCs w:val="24"/>
        </w:rPr>
        <w:t>Düber</w:t>
      </w:r>
      <w:proofErr w:type="spellEnd"/>
      <w:r w:rsidRPr="00556FBB">
        <w:rPr>
          <w:rFonts w:ascii="Book Antiqua" w:hAnsi="Book Antiqua"/>
          <w:sz w:val="24"/>
          <w:szCs w:val="24"/>
        </w:rPr>
        <w:t xml:space="preserve"> C, </w:t>
      </w:r>
      <w:proofErr w:type="spellStart"/>
      <w:r w:rsidRPr="00556FBB">
        <w:rPr>
          <w:rFonts w:ascii="Book Antiqua" w:hAnsi="Book Antiqua"/>
          <w:sz w:val="24"/>
          <w:szCs w:val="24"/>
        </w:rPr>
        <w:t>Pitton</w:t>
      </w:r>
      <w:proofErr w:type="spellEnd"/>
      <w:r w:rsidRPr="00556FBB">
        <w:rPr>
          <w:rFonts w:ascii="Book Antiqua" w:hAnsi="Book Antiqua"/>
          <w:sz w:val="24"/>
          <w:szCs w:val="24"/>
        </w:rPr>
        <w:t xml:space="preserve"> MB. Comparison of fluoroscopy-guided Pull-type percutaneous radiological gastrostomy (Pull-type-PRG) with conventional percutaneous radiological gastrostomy (Push-type-PRG): clinical results in 253 patients. </w:t>
      </w:r>
      <w:r w:rsidRPr="00556FBB">
        <w:rPr>
          <w:rFonts w:ascii="Book Antiqua" w:hAnsi="Book Antiqua"/>
          <w:i/>
          <w:sz w:val="24"/>
          <w:szCs w:val="24"/>
        </w:rPr>
        <w:t xml:space="preserve">Eur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2011; </w:t>
      </w:r>
      <w:r w:rsidRPr="00556FBB">
        <w:rPr>
          <w:rFonts w:ascii="Book Antiqua" w:hAnsi="Book Antiqua"/>
          <w:b/>
          <w:sz w:val="24"/>
          <w:szCs w:val="24"/>
        </w:rPr>
        <w:t>21</w:t>
      </w:r>
      <w:r w:rsidRPr="00556FBB">
        <w:rPr>
          <w:rFonts w:ascii="Book Antiqua" w:hAnsi="Book Antiqua"/>
          <w:sz w:val="24"/>
          <w:szCs w:val="24"/>
        </w:rPr>
        <w:t>: 2354-2361 [PMID: 21739349 DOI: 10.1007/s00330-011-2194-3]</w:t>
      </w:r>
    </w:p>
    <w:p w14:paraId="14D73441" w14:textId="39A07C43"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7</w:t>
      </w:r>
      <w:r w:rsidRPr="00556FBB">
        <w:rPr>
          <w:rFonts w:ascii="Book Antiqua" w:hAnsi="Book Antiqua"/>
          <w:sz w:val="24"/>
          <w:szCs w:val="24"/>
        </w:rPr>
        <w:t xml:space="preserve"> </w:t>
      </w:r>
      <w:proofErr w:type="spellStart"/>
      <w:r w:rsidRPr="00556FBB">
        <w:rPr>
          <w:rFonts w:ascii="Book Antiqua" w:hAnsi="Book Antiqua"/>
          <w:b/>
          <w:sz w:val="24"/>
          <w:szCs w:val="24"/>
        </w:rPr>
        <w:t>Laasch</w:t>
      </w:r>
      <w:proofErr w:type="spellEnd"/>
      <w:r w:rsidRPr="00556FBB">
        <w:rPr>
          <w:rFonts w:ascii="Book Antiqua" w:hAnsi="Book Antiqua"/>
          <w:b/>
          <w:sz w:val="24"/>
          <w:szCs w:val="24"/>
        </w:rPr>
        <w:t xml:space="preserve"> HU</w:t>
      </w:r>
      <w:r w:rsidRPr="00556FBB">
        <w:rPr>
          <w:rFonts w:ascii="Book Antiqua" w:hAnsi="Book Antiqua"/>
          <w:sz w:val="24"/>
          <w:szCs w:val="24"/>
        </w:rPr>
        <w:t xml:space="preserve">, Wilbraham L, Bullen K, Marriott A, </w:t>
      </w:r>
      <w:proofErr w:type="spellStart"/>
      <w:r w:rsidRPr="00556FBB">
        <w:rPr>
          <w:rFonts w:ascii="Book Antiqua" w:hAnsi="Book Antiqua"/>
          <w:sz w:val="24"/>
          <w:szCs w:val="24"/>
        </w:rPr>
        <w:t>Lawrance</w:t>
      </w:r>
      <w:proofErr w:type="spellEnd"/>
      <w:r w:rsidRPr="00556FBB">
        <w:rPr>
          <w:rFonts w:ascii="Book Antiqua" w:hAnsi="Book Antiqua"/>
          <w:sz w:val="24"/>
          <w:szCs w:val="24"/>
        </w:rPr>
        <w:t xml:space="preserve"> JA, Johnson RJ, Lee SH, England RE, Gamble GE, Martin DF. Gastrostomy insertion: comparing the options--PEG, RIG or PIG? </w:t>
      </w:r>
      <w:r w:rsidRPr="00556FBB">
        <w:rPr>
          <w:rFonts w:ascii="Book Antiqua" w:hAnsi="Book Antiqua"/>
          <w:i/>
          <w:sz w:val="24"/>
          <w:szCs w:val="24"/>
        </w:rPr>
        <w:t xml:space="preserve">Clin </w:t>
      </w:r>
      <w:proofErr w:type="spellStart"/>
      <w:r w:rsidRPr="00556FBB">
        <w:rPr>
          <w:rFonts w:ascii="Book Antiqua" w:hAnsi="Book Antiqua"/>
          <w:i/>
          <w:sz w:val="24"/>
          <w:szCs w:val="24"/>
        </w:rPr>
        <w:t>Radiol</w:t>
      </w:r>
      <w:proofErr w:type="spellEnd"/>
      <w:r w:rsidRPr="00556FBB">
        <w:rPr>
          <w:rFonts w:ascii="Book Antiqua" w:hAnsi="Book Antiqua"/>
          <w:sz w:val="24"/>
          <w:szCs w:val="24"/>
        </w:rPr>
        <w:t xml:space="preserve"> 2003; </w:t>
      </w:r>
      <w:r w:rsidRPr="00556FBB">
        <w:rPr>
          <w:rFonts w:ascii="Book Antiqua" w:hAnsi="Book Antiqua"/>
          <w:b/>
          <w:sz w:val="24"/>
          <w:szCs w:val="24"/>
        </w:rPr>
        <w:t>58</w:t>
      </w:r>
      <w:r w:rsidRPr="00556FBB">
        <w:rPr>
          <w:rFonts w:ascii="Book Antiqua" w:hAnsi="Book Antiqua"/>
          <w:sz w:val="24"/>
          <w:szCs w:val="24"/>
        </w:rPr>
        <w:t>: 398-405 [PMID: 12727170 DOI: 10.1016/s0009-9260(03)00058-8]</w:t>
      </w:r>
    </w:p>
    <w:p w14:paraId="1EFC56AA" w14:textId="12EFF2BF"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2</w:t>
      </w:r>
      <w:r w:rsidR="00556FBB">
        <w:rPr>
          <w:rFonts w:ascii="Book Antiqua" w:hAnsi="Book Antiqua"/>
          <w:sz w:val="24"/>
          <w:szCs w:val="24"/>
        </w:rPr>
        <w:t>8</w:t>
      </w:r>
      <w:r w:rsidRPr="00556FBB">
        <w:rPr>
          <w:rFonts w:ascii="Book Antiqua" w:hAnsi="Book Antiqua"/>
          <w:sz w:val="24"/>
          <w:szCs w:val="24"/>
        </w:rPr>
        <w:t xml:space="preserve"> </w:t>
      </w:r>
      <w:r w:rsidRPr="00556FBB">
        <w:rPr>
          <w:rFonts w:ascii="Book Antiqua" w:hAnsi="Book Antiqua"/>
          <w:b/>
          <w:sz w:val="24"/>
          <w:szCs w:val="24"/>
        </w:rPr>
        <w:t>Currie BM</w:t>
      </w:r>
      <w:r w:rsidRPr="00556FBB">
        <w:rPr>
          <w:rFonts w:ascii="Book Antiqua" w:hAnsi="Book Antiqua"/>
          <w:sz w:val="24"/>
          <w:szCs w:val="24"/>
        </w:rPr>
        <w:t xml:space="preserve">, </w:t>
      </w:r>
      <w:proofErr w:type="spellStart"/>
      <w:r w:rsidRPr="00556FBB">
        <w:rPr>
          <w:rFonts w:ascii="Book Antiqua" w:hAnsi="Book Antiqua"/>
          <w:sz w:val="24"/>
          <w:szCs w:val="24"/>
        </w:rPr>
        <w:t>Getrajdman</w:t>
      </w:r>
      <w:proofErr w:type="spellEnd"/>
      <w:r w:rsidRPr="00556FBB">
        <w:rPr>
          <w:rFonts w:ascii="Book Antiqua" w:hAnsi="Book Antiqua"/>
          <w:sz w:val="24"/>
          <w:szCs w:val="24"/>
        </w:rPr>
        <w:t xml:space="preserve"> GI, Covey AM, </w:t>
      </w:r>
      <w:proofErr w:type="spellStart"/>
      <w:r w:rsidRPr="00556FBB">
        <w:rPr>
          <w:rFonts w:ascii="Book Antiqua" w:hAnsi="Book Antiqua"/>
          <w:sz w:val="24"/>
          <w:szCs w:val="24"/>
        </w:rPr>
        <w:t>Alago</w:t>
      </w:r>
      <w:proofErr w:type="spellEnd"/>
      <w:r w:rsidRPr="00556FBB">
        <w:rPr>
          <w:rFonts w:ascii="Book Antiqua" w:hAnsi="Book Antiqua"/>
          <w:sz w:val="24"/>
          <w:szCs w:val="24"/>
        </w:rPr>
        <w:t xml:space="preserve"> W Jr, </w:t>
      </w:r>
      <w:proofErr w:type="spellStart"/>
      <w:r w:rsidRPr="00556FBB">
        <w:rPr>
          <w:rFonts w:ascii="Book Antiqua" w:hAnsi="Book Antiqua"/>
          <w:sz w:val="24"/>
          <w:szCs w:val="24"/>
        </w:rPr>
        <w:t>Erinjeri</w:t>
      </w:r>
      <w:proofErr w:type="spellEnd"/>
      <w:r w:rsidRPr="00556FBB">
        <w:rPr>
          <w:rFonts w:ascii="Book Antiqua" w:hAnsi="Book Antiqua"/>
          <w:sz w:val="24"/>
          <w:szCs w:val="24"/>
        </w:rPr>
        <w:t xml:space="preserve"> JP, </w:t>
      </w:r>
      <w:proofErr w:type="spellStart"/>
      <w:r w:rsidRPr="00556FBB">
        <w:rPr>
          <w:rFonts w:ascii="Book Antiqua" w:hAnsi="Book Antiqua"/>
          <w:sz w:val="24"/>
          <w:szCs w:val="24"/>
        </w:rPr>
        <w:t>Maybody</w:t>
      </w:r>
      <w:proofErr w:type="spellEnd"/>
      <w:r w:rsidRPr="00556FBB">
        <w:rPr>
          <w:rFonts w:ascii="Book Antiqua" w:hAnsi="Book Antiqua"/>
          <w:sz w:val="24"/>
          <w:szCs w:val="24"/>
        </w:rPr>
        <w:t xml:space="preserve"> M, Boas FE. Push versus pull gastrostomy in cancer patients: A single center retrospective analysis of complications and technical success rates. </w:t>
      </w:r>
      <w:r w:rsidRPr="00556FBB">
        <w:rPr>
          <w:rFonts w:ascii="Book Antiqua" w:hAnsi="Book Antiqua"/>
          <w:i/>
          <w:sz w:val="24"/>
          <w:szCs w:val="24"/>
        </w:rPr>
        <w:t xml:space="preserve">Diagn </w:t>
      </w:r>
      <w:proofErr w:type="spellStart"/>
      <w:r w:rsidRPr="00556FBB">
        <w:rPr>
          <w:rFonts w:ascii="Book Antiqua" w:hAnsi="Book Antiqua"/>
          <w:i/>
          <w:sz w:val="24"/>
          <w:szCs w:val="24"/>
        </w:rPr>
        <w:t>Interv</w:t>
      </w:r>
      <w:proofErr w:type="spellEnd"/>
      <w:r w:rsidRPr="00556FBB">
        <w:rPr>
          <w:rFonts w:ascii="Book Antiqua" w:hAnsi="Book Antiqua"/>
          <w:i/>
          <w:sz w:val="24"/>
          <w:szCs w:val="24"/>
        </w:rPr>
        <w:t xml:space="preserve"> Imaging</w:t>
      </w:r>
      <w:r w:rsidRPr="00556FBB">
        <w:rPr>
          <w:rFonts w:ascii="Book Antiqua" w:hAnsi="Book Antiqua"/>
          <w:sz w:val="24"/>
          <w:szCs w:val="24"/>
        </w:rPr>
        <w:t xml:space="preserve"> 2018; </w:t>
      </w:r>
      <w:r w:rsidRPr="00556FBB">
        <w:rPr>
          <w:rFonts w:ascii="Book Antiqua" w:hAnsi="Book Antiqua"/>
          <w:b/>
          <w:sz w:val="24"/>
          <w:szCs w:val="24"/>
        </w:rPr>
        <w:t>99</w:t>
      </w:r>
      <w:r w:rsidRPr="00556FBB">
        <w:rPr>
          <w:rFonts w:ascii="Book Antiqua" w:hAnsi="Book Antiqua"/>
          <w:sz w:val="24"/>
          <w:szCs w:val="24"/>
        </w:rPr>
        <w:t>: 547-553 [PMID: 29716845 DOI: 10.1016/j.diii.2018.04.005]</w:t>
      </w:r>
    </w:p>
    <w:p w14:paraId="51958250" w14:textId="7BB556AF" w:rsidR="00A67E91" w:rsidRPr="00556FBB" w:rsidRDefault="00556FBB" w:rsidP="00556FBB">
      <w:pPr>
        <w:spacing w:after="0" w:line="360" w:lineRule="auto"/>
        <w:jc w:val="both"/>
        <w:rPr>
          <w:rFonts w:ascii="Book Antiqua" w:hAnsi="Book Antiqua"/>
          <w:sz w:val="24"/>
          <w:szCs w:val="24"/>
        </w:rPr>
      </w:pPr>
      <w:r>
        <w:rPr>
          <w:rFonts w:ascii="Book Antiqua" w:hAnsi="Book Antiqua"/>
          <w:sz w:val="24"/>
          <w:szCs w:val="24"/>
        </w:rPr>
        <w:t>29</w:t>
      </w:r>
      <w:r w:rsidR="00A67E91" w:rsidRPr="00556FBB">
        <w:rPr>
          <w:rFonts w:ascii="Book Antiqua" w:hAnsi="Book Antiqua"/>
          <w:sz w:val="24"/>
          <w:szCs w:val="24"/>
        </w:rPr>
        <w:t xml:space="preserve"> </w:t>
      </w:r>
      <w:r w:rsidR="00A67E91" w:rsidRPr="00556FBB">
        <w:rPr>
          <w:rFonts w:ascii="Book Antiqua" w:hAnsi="Book Antiqua"/>
          <w:b/>
          <w:sz w:val="24"/>
          <w:szCs w:val="24"/>
        </w:rPr>
        <w:t>Funaki B</w:t>
      </w:r>
      <w:r w:rsidR="00A67E91" w:rsidRPr="00556FBB">
        <w:rPr>
          <w:rFonts w:ascii="Book Antiqua" w:hAnsi="Book Antiqua"/>
          <w:sz w:val="24"/>
          <w:szCs w:val="24"/>
        </w:rPr>
        <w:t xml:space="preserve">, Zaleski GX, Lorenz J, </w:t>
      </w:r>
      <w:proofErr w:type="spellStart"/>
      <w:r w:rsidR="00A67E91" w:rsidRPr="00556FBB">
        <w:rPr>
          <w:rFonts w:ascii="Book Antiqua" w:hAnsi="Book Antiqua"/>
          <w:sz w:val="24"/>
          <w:szCs w:val="24"/>
        </w:rPr>
        <w:t>Menocci</w:t>
      </w:r>
      <w:proofErr w:type="spellEnd"/>
      <w:r w:rsidR="00A67E91" w:rsidRPr="00556FBB">
        <w:rPr>
          <w:rFonts w:ascii="Book Antiqua" w:hAnsi="Book Antiqua"/>
          <w:sz w:val="24"/>
          <w:szCs w:val="24"/>
        </w:rPr>
        <w:t xml:space="preserve"> PB, Funaki AN, Rosenblum JD, Straus C, </w:t>
      </w:r>
      <w:proofErr w:type="spellStart"/>
      <w:r w:rsidR="00A67E91" w:rsidRPr="00556FBB">
        <w:rPr>
          <w:rFonts w:ascii="Book Antiqua" w:hAnsi="Book Antiqua"/>
          <w:sz w:val="24"/>
          <w:szCs w:val="24"/>
        </w:rPr>
        <w:t>Leef</w:t>
      </w:r>
      <w:proofErr w:type="spellEnd"/>
      <w:r w:rsidR="00A67E91" w:rsidRPr="00556FBB">
        <w:rPr>
          <w:rFonts w:ascii="Book Antiqua" w:hAnsi="Book Antiqua"/>
          <w:sz w:val="24"/>
          <w:szCs w:val="24"/>
        </w:rPr>
        <w:t xml:space="preserve"> JA. Radiologic gastrostomy placement: pigtail- versus mushroom-retained catheters. </w:t>
      </w:r>
      <w:r w:rsidR="00A67E91" w:rsidRPr="00556FBB">
        <w:rPr>
          <w:rFonts w:ascii="Book Antiqua" w:hAnsi="Book Antiqua"/>
          <w:i/>
          <w:sz w:val="24"/>
          <w:szCs w:val="24"/>
        </w:rPr>
        <w:t xml:space="preserve">AJR Am J </w:t>
      </w:r>
      <w:proofErr w:type="spellStart"/>
      <w:r w:rsidR="00A67E91" w:rsidRPr="00556FBB">
        <w:rPr>
          <w:rFonts w:ascii="Book Antiqua" w:hAnsi="Book Antiqua"/>
          <w:i/>
          <w:sz w:val="24"/>
          <w:szCs w:val="24"/>
        </w:rPr>
        <w:t>Roentgenol</w:t>
      </w:r>
      <w:proofErr w:type="spellEnd"/>
      <w:r w:rsidR="00A67E91" w:rsidRPr="00556FBB">
        <w:rPr>
          <w:rFonts w:ascii="Book Antiqua" w:hAnsi="Book Antiqua"/>
          <w:sz w:val="24"/>
          <w:szCs w:val="24"/>
        </w:rPr>
        <w:t xml:space="preserve"> 2000; </w:t>
      </w:r>
      <w:r w:rsidR="00A67E91" w:rsidRPr="00556FBB">
        <w:rPr>
          <w:rFonts w:ascii="Book Antiqua" w:hAnsi="Book Antiqua"/>
          <w:b/>
          <w:sz w:val="24"/>
          <w:szCs w:val="24"/>
        </w:rPr>
        <w:t>175</w:t>
      </w:r>
      <w:r w:rsidR="00A67E91" w:rsidRPr="00556FBB">
        <w:rPr>
          <w:rFonts w:ascii="Book Antiqua" w:hAnsi="Book Antiqua"/>
          <w:sz w:val="24"/>
          <w:szCs w:val="24"/>
        </w:rPr>
        <w:t>: 375-379 [PMID: 10915678 DOI: 10.2214/ajr.175.2.1750375]</w:t>
      </w:r>
    </w:p>
    <w:p w14:paraId="6FB506A2" w14:textId="75FB67D5" w:rsidR="00A67E91" w:rsidRPr="00556FBB" w:rsidRDefault="00A67E91" w:rsidP="00556FBB">
      <w:pPr>
        <w:spacing w:after="0" w:line="360" w:lineRule="auto"/>
        <w:jc w:val="both"/>
        <w:rPr>
          <w:rFonts w:ascii="Book Antiqua" w:hAnsi="Book Antiqua"/>
          <w:sz w:val="24"/>
          <w:szCs w:val="24"/>
        </w:rPr>
      </w:pPr>
      <w:r w:rsidRPr="00556FBB">
        <w:rPr>
          <w:rFonts w:ascii="Book Antiqua" w:hAnsi="Book Antiqua"/>
          <w:sz w:val="24"/>
          <w:szCs w:val="24"/>
        </w:rPr>
        <w:t>3</w:t>
      </w:r>
      <w:r w:rsidR="00556FBB">
        <w:rPr>
          <w:rFonts w:ascii="Book Antiqua" w:hAnsi="Book Antiqua"/>
          <w:sz w:val="24"/>
          <w:szCs w:val="24"/>
        </w:rPr>
        <w:t>0</w:t>
      </w:r>
      <w:r w:rsidRPr="00556FBB">
        <w:rPr>
          <w:rFonts w:ascii="Book Antiqua" w:hAnsi="Book Antiqua"/>
          <w:sz w:val="24"/>
          <w:szCs w:val="24"/>
        </w:rPr>
        <w:t xml:space="preserve"> </w:t>
      </w:r>
      <w:proofErr w:type="spellStart"/>
      <w:r w:rsidRPr="00556FBB">
        <w:rPr>
          <w:rFonts w:ascii="Book Antiqua" w:hAnsi="Book Antiqua"/>
          <w:b/>
          <w:sz w:val="24"/>
          <w:szCs w:val="24"/>
        </w:rPr>
        <w:t>Maetani</w:t>
      </w:r>
      <w:proofErr w:type="spellEnd"/>
      <w:r w:rsidRPr="00556FBB">
        <w:rPr>
          <w:rFonts w:ascii="Book Antiqua" w:hAnsi="Book Antiqua"/>
          <w:b/>
          <w:sz w:val="24"/>
          <w:szCs w:val="24"/>
        </w:rPr>
        <w:t xml:space="preserve"> I</w:t>
      </w:r>
      <w:r w:rsidRPr="00556FBB">
        <w:rPr>
          <w:rFonts w:ascii="Book Antiqua" w:hAnsi="Book Antiqua"/>
          <w:sz w:val="24"/>
          <w:szCs w:val="24"/>
        </w:rPr>
        <w:t xml:space="preserve">, Tada T, </w:t>
      </w:r>
      <w:proofErr w:type="spellStart"/>
      <w:r w:rsidRPr="00556FBB">
        <w:rPr>
          <w:rFonts w:ascii="Book Antiqua" w:hAnsi="Book Antiqua"/>
          <w:sz w:val="24"/>
          <w:szCs w:val="24"/>
        </w:rPr>
        <w:t>Ukita</w:t>
      </w:r>
      <w:proofErr w:type="spellEnd"/>
      <w:r w:rsidRPr="00556FBB">
        <w:rPr>
          <w:rFonts w:ascii="Book Antiqua" w:hAnsi="Book Antiqua"/>
          <w:sz w:val="24"/>
          <w:szCs w:val="24"/>
        </w:rPr>
        <w:t xml:space="preserve"> T, Inoue H, Sakai Y, Yoshikawa M. PEG with introducer or pull method: a prospective randomized comparison. </w:t>
      </w:r>
      <w:proofErr w:type="spellStart"/>
      <w:r w:rsidRPr="00556FBB">
        <w:rPr>
          <w:rFonts w:ascii="Book Antiqua" w:hAnsi="Book Antiqua"/>
          <w:i/>
          <w:sz w:val="24"/>
          <w:szCs w:val="24"/>
        </w:rPr>
        <w:t>Gastrointest</w:t>
      </w:r>
      <w:proofErr w:type="spellEnd"/>
      <w:r w:rsidRPr="00556FBB">
        <w:rPr>
          <w:rFonts w:ascii="Book Antiqua" w:hAnsi="Book Antiqua"/>
          <w:i/>
          <w:sz w:val="24"/>
          <w:szCs w:val="24"/>
        </w:rPr>
        <w:t xml:space="preserve"> </w:t>
      </w:r>
      <w:proofErr w:type="spellStart"/>
      <w:r w:rsidRPr="00556FBB">
        <w:rPr>
          <w:rFonts w:ascii="Book Antiqua" w:hAnsi="Book Antiqua"/>
          <w:i/>
          <w:sz w:val="24"/>
          <w:szCs w:val="24"/>
        </w:rPr>
        <w:t>Endosc</w:t>
      </w:r>
      <w:proofErr w:type="spellEnd"/>
      <w:r w:rsidRPr="00556FBB">
        <w:rPr>
          <w:rFonts w:ascii="Book Antiqua" w:hAnsi="Book Antiqua"/>
          <w:sz w:val="24"/>
          <w:szCs w:val="24"/>
        </w:rPr>
        <w:t xml:space="preserve"> 2003; </w:t>
      </w:r>
      <w:r w:rsidRPr="00556FBB">
        <w:rPr>
          <w:rFonts w:ascii="Book Antiqua" w:hAnsi="Book Antiqua"/>
          <w:b/>
          <w:sz w:val="24"/>
          <w:szCs w:val="24"/>
        </w:rPr>
        <w:t>57</w:t>
      </w:r>
      <w:r w:rsidRPr="00556FBB">
        <w:rPr>
          <w:rFonts w:ascii="Book Antiqua" w:hAnsi="Book Antiqua"/>
          <w:sz w:val="24"/>
          <w:szCs w:val="24"/>
        </w:rPr>
        <w:t>: 837-841 [PMID: 12776029 DOI: 10.1016/S0016-5107(03)70017-0]</w:t>
      </w:r>
    </w:p>
    <w:p w14:paraId="3F53AAB8" w14:textId="77777777" w:rsidR="00A67E91" w:rsidRPr="00556FBB" w:rsidRDefault="00A67E91" w:rsidP="00556FBB">
      <w:pPr>
        <w:spacing w:after="0" w:line="360" w:lineRule="auto"/>
        <w:jc w:val="both"/>
        <w:rPr>
          <w:rFonts w:ascii="Book Antiqua" w:hAnsi="Book Antiqua"/>
          <w:b/>
          <w:sz w:val="24"/>
          <w:szCs w:val="24"/>
        </w:rPr>
      </w:pPr>
      <w:r w:rsidRPr="00556FBB">
        <w:rPr>
          <w:rFonts w:ascii="Book Antiqua" w:hAnsi="Book Antiqua"/>
          <w:b/>
          <w:sz w:val="24"/>
          <w:szCs w:val="24"/>
        </w:rPr>
        <w:br w:type="page"/>
      </w:r>
    </w:p>
    <w:p w14:paraId="4F7252BB" w14:textId="0F976D95" w:rsidR="00A67E91" w:rsidRPr="00556FBB" w:rsidRDefault="00A67E91" w:rsidP="00556FBB">
      <w:pPr>
        <w:adjustRightInd w:val="0"/>
        <w:snapToGrid w:val="0"/>
        <w:spacing w:after="0" w:line="360" w:lineRule="auto"/>
        <w:jc w:val="both"/>
        <w:rPr>
          <w:rFonts w:ascii="Book Antiqua" w:hAnsi="Book Antiqua"/>
          <w:b/>
          <w:sz w:val="24"/>
          <w:szCs w:val="24"/>
        </w:rPr>
      </w:pPr>
      <w:r w:rsidRPr="00556FBB">
        <w:rPr>
          <w:rFonts w:ascii="Book Antiqua" w:hAnsi="Book Antiqua"/>
          <w:b/>
          <w:sz w:val="24"/>
          <w:szCs w:val="24"/>
        </w:rPr>
        <w:lastRenderedPageBreak/>
        <w:t>Footnotes</w:t>
      </w:r>
    </w:p>
    <w:p w14:paraId="6FDCC199" w14:textId="77777777" w:rsidR="00A67E91" w:rsidRPr="00556FBB" w:rsidRDefault="00A67E91" w:rsidP="00556FBB">
      <w:pPr>
        <w:spacing w:after="0" w:line="360" w:lineRule="auto"/>
        <w:jc w:val="both"/>
        <w:rPr>
          <w:rFonts w:ascii="Book Antiqua" w:hAnsi="Book Antiqua" w:cs="Times New Roman"/>
          <w:sz w:val="24"/>
          <w:szCs w:val="24"/>
        </w:rPr>
      </w:pPr>
      <w:r w:rsidRPr="00556FBB">
        <w:rPr>
          <w:rFonts w:ascii="Book Antiqua" w:hAnsi="Book Antiqua"/>
          <w:b/>
          <w:color w:val="000000"/>
          <w:sz w:val="24"/>
          <w:szCs w:val="24"/>
        </w:rPr>
        <w:t>Conflict-of-interest statement</w:t>
      </w:r>
      <w:r w:rsidRPr="00556FBB">
        <w:rPr>
          <w:rFonts w:ascii="Book Antiqua" w:hAnsi="Book Antiqua" w:cs="TimesNewRomanPS-BoldItalicMT"/>
          <w:b/>
          <w:bCs/>
          <w:iCs/>
          <w:color w:val="000000"/>
          <w:sz w:val="24"/>
          <w:szCs w:val="24"/>
          <w:lang w:eastAsia="zh-CN"/>
        </w:rPr>
        <w:t xml:space="preserve">: </w:t>
      </w:r>
      <w:r w:rsidRPr="00556FBB">
        <w:rPr>
          <w:rFonts w:ascii="Book Antiqua" w:hAnsi="Book Antiqua" w:cs="Times New Roman"/>
          <w:sz w:val="24"/>
          <w:szCs w:val="24"/>
        </w:rPr>
        <w:t>All the authors have nothing to disclose.</w:t>
      </w:r>
    </w:p>
    <w:p w14:paraId="02FBF97B" w14:textId="77777777" w:rsidR="00A67E91" w:rsidRPr="00556FBB" w:rsidRDefault="00A67E91" w:rsidP="00556FBB">
      <w:pPr>
        <w:spacing w:after="0" w:line="360" w:lineRule="auto"/>
        <w:jc w:val="both"/>
        <w:rPr>
          <w:rFonts w:ascii="Book Antiqua" w:hAnsi="Book Antiqua" w:cs="Times New Roman"/>
          <w:sz w:val="24"/>
          <w:szCs w:val="24"/>
        </w:rPr>
      </w:pPr>
    </w:p>
    <w:p w14:paraId="179E9092" w14:textId="77777777" w:rsidR="00A67E91" w:rsidRPr="00556FBB" w:rsidRDefault="00A67E91" w:rsidP="00556FBB">
      <w:pPr>
        <w:pStyle w:val="ab"/>
        <w:wordWrap/>
        <w:adjustRightInd w:val="0"/>
        <w:snapToGrid w:val="0"/>
        <w:spacing w:after="0" w:line="360" w:lineRule="auto"/>
        <w:rPr>
          <w:rFonts w:ascii="Book Antiqua" w:hAnsi="Book Antiqua"/>
          <w:sz w:val="24"/>
          <w:szCs w:val="24"/>
          <w:lang w:eastAsia="zh-CN"/>
        </w:rPr>
      </w:pPr>
      <w:r w:rsidRPr="00556FBB">
        <w:rPr>
          <w:rFonts w:ascii="Book Antiqua" w:hAnsi="Book Antiqua"/>
          <w:b/>
          <w:sz w:val="24"/>
          <w:szCs w:val="24"/>
        </w:rPr>
        <w:t xml:space="preserve">Open-Access: </w:t>
      </w:r>
      <w:r w:rsidRPr="00556FB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1CDCF3" w14:textId="77777777" w:rsidR="00A67E91" w:rsidRPr="00556FBB" w:rsidRDefault="00A67E91" w:rsidP="00556FBB">
      <w:pPr>
        <w:spacing w:after="0" w:line="360" w:lineRule="auto"/>
        <w:jc w:val="both"/>
        <w:rPr>
          <w:rFonts w:ascii="Book Antiqua" w:hAnsi="Book Antiqua" w:cs="Arial"/>
          <w:b/>
          <w:sz w:val="24"/>
          <w:szCs w:val="24"/>
        </w:rPr>
      </w:pPr>
    </w:p>
    <w:p w14:paraId="235531B1" w14:textId="55384A5A" w:rsidR="00A67E91" w:rsidRPr="00556FBB" w:rsidRDefault="00A67E91" w:rsidP="00556FBB">
      <w:pPr>
        <w:adjustRightInd w:val="0"/>
        <w:snapToGrid w:val="0"/>
        <w:spacing w:after="0" w:line="360" w:lineRule="auto"/>
        <w:jc w:val="both"/>
        <w:rPr>
          <w:rFonts w:ascii="Book Antiqua" w:hAnsi="Book Antiqua"/>
          <w:bCs/>
          <w:color w:val="000000"/>
          <w:sz w:val="24"/>
          <w:szCs w:val="24"/>
          <w:lang w:eastAsia="zh-CN"/>
        </w:rPr>
      </w:pPr>
      <w:r w:rsidRPr="00556FBB">
        <w:rPr>
          <w:rFonts w:ascii="Book Antiqua" w:hAnsi="Book Antiqua"/>
          <w:b/>
          <w:bCs/>
          <w:color w:val="000000"/>
          <w:sz w:val="24"/>
          <w:szCs w:val="24"/>
          <w:lang w:eastAsia="pl-PL"/>
        </w:rPr>
        <w:t>Manuscript source:</w:t>
      </w:r>
      <w:r w:rsidRPr="00556FBB">
        <w:rPr>
          <w:rFonts w:ascii="Book Antiqua" w:hAnsi="Book Antiqua"/>
          <w:b/>
          <w:bCs/>
          <w:color w:val="000000"/>
          <w:sz w:val="24"/>
          <w:szCs w:val="24"/>
          <w:lang w:eastAsia="zh-CN"/>
        </w:rPr>
        <w:t xml:space="preserve"> </w:t>
      </w:r>
      <w:r w:rsidRPr="00556FBB">
        <w:rPr>
          <w:rFonts w:ascii="Book Antiqua" w:hAnsi="Book Antiqua"/>
          <w:bCs/>
          <w:color w:val="000000"/>
          <w:sz w:val="24"/>
          <w:szCs w:val="24"/>
          <w:lang w:eastAsia="pl-PL"/>
        </w:rPr>
        <w:t>Unsolicited manuscript</w:t>
      </w:r>
    </w:p>
    <w:p w14:paraId="16601DDB" w14:textId="77777777" w:rsidR="00A67E91" w:rsidRPr="00556FBB" w:rsidRDefault="00A67E91" w:rsidP="00556FBB">
      <w:pPr>
        <w:adjustRightInd w:val="0"/>
        <w:snapToGrid w:val="0"/>
        <w:spacing w:after="0" w:line="360" w:lineRule="auto"/>
        <w:jc w:val="both"/>
        <w:rPr>
          <w:rFonts w:ascii="Book Antiqua" w:hAnsi="Book Antiqua"/>
          <w:b/>
          <w:bCs/>
          <w:color w:val="000000"/>
          <w:sz w:val="24"/>
          <w:szCs w:val="24"/>
          <w:lang w:eastAsia="zh-CN"/>
        </w:rPr>
      </w:pPr>
    </w:p>
    <w:p w14:paraId="00662A23" w14:textId="34D0DC6B" w:rsidR="00A67E91" w:rsidRPr="00556FBB" w:rsidRDefault="00A67E91" w:rsidP="00556FBB">
      <w:pPr>
        <w:spacing w:after="0" w:line="360" w:lineRule="auto"/>
        <w:jc w:val="both"/>
        <w:rPr>
          <w:rFonts w:ascii="Book Antiqua" w:eastAsia="宋体" w:hAnsi="Book Antiqua"/>
          <w:sz w:val="24"/>
          <w:szCs w:val="24"/>
          <w:lang w:eastAsia="zh-CN"/>
        </w:rPr>
      </w:pPr>
      <w:r w:rsidRPr="00556FBB">
        <w:rPr>
          <w:rFonts w:ascii="Book Antiqua" w:hAnsi="Book Antiqua"/>
          <w:b/>
          <w:sz w:val="24"/>
          <w:szCs w:val="24"/>
        </w:rPr>
        <w:t>Peer-review started:</w:t>
      </w:r>
      <w:r w:rsidRPr="00556FBB">
        <w:rPr>
          <w:rFonts w:ascii="Book Antiqua" w:eastAsia="宋体" w:hAnsi="Book Antiqua"/>
          <w:sz w:val="24"/>
          <w:szCs w:val="24"/>
          <w:lang w:eastAsia="zh-CN"/>
        </w:rPr>
        <w:t xml:space="preserve"> </w:t>
      </w:r>
      <w:bookmarkStart w:id="22" w:name="OLE_LINK16"/>
      <w:bookmarkStart w:id="23" w:name="OLE_LINK17"/>
      <w:r w:rsidRPr="00556FBB">
        <w:rPr>
          <w:rFonts w:ascii="Book Antiqua" w:eastAsia="宋体" w:hAnsi="Book Antiqua"/>
          <w:sz w:val="24"/>
          <w:szCs w:val="24"/>
          <w:lang w:eastAsia="zh-CN"/>
        </w:rPr>
        <w:t xml:space="preserve">November </w:t>
      </w:r>
      <w:bookmarkEnd w:id="22"/>
      <w:bookmarkEnd w:id="23"/>
      <w:r w:rsidRPr="00556FBB">
        <w:rPr>
          <w:rFonts w:ascii="Book Antiqua" w:eastAsia="宋体" w:hAnsi="Book Antiqua"/>
          <w:sz w:val="24"/>
          <w:szCs w:val="24"/>
          <w:lang w:eastAsia="zh-CN"/>
        </w:rPr>
        <w:t>14, 2019</w:t>
      </w:r>
    </w:p>
    <w:p w14:paraId="6A6B3071" w14:textId="328E1D02" w:rsidR="00A67E91" w:rsidRPr="00556FBB" w:rsidRDefault="00A67E91" w:rsidP="00556FBB">
      <w:pPr>
        <w:spacing w:after="0" w:line="360" w:lineRule="auto"/>
        <w:jc w:val="both"/>
        <w:rPr>
          <w:rFonts w:ascii="Book Antiqua" w:eastAsia="宋体" w:hAnsi="Book Antiqua"/>
          <w:sz w:val="24"/>
          <w:szCs w:val="24"/>
          <w:lang w:eastAsia="zh-CN"/>
        </w:rPr>
      </w:pPr>
      <w:r w:rsidRPr="00556FBB">
        <w:rPr>
          <w:rFonts w:ascii="Book Antiqua" w:hAnsi="Book Antiqua"/>
          <w:b/>
          <w:sz w:val="24"/>
          <w:szCs w:val="24"/>
        </w:rPr>
        <w:t>First decision:</w:t>
      </w:r>
      <w:r w:rsidRPr="00556FBB">
        <w:rPr>
          <w:rFonts w:ascii="Book Antiqua" w:eastAsia="宋体" w:hAnsi="Book Antiqua"/>
          <w:b/>
          <w:sz w:val="24"/>
          <w:szCs w:val="24"/>
          <w:lang w:eastAsia="zh-CN"/>
        </w:rPr>
        <w:t xml:space="preserve"> </w:t>
      </w:r>
      <w:r w:rsidRPr="00556FBB">
        <w:rPr>
          <w:rFonts w:ascii="Book Antiqua" w:eastAsia="宋体" w:hAnsi="Book Antiqua"/>
          <w:sz w:val="24"/>
          <w:szCs w:val="24"/>
          <w:lang w:eastAsia="zh-CN"/>
        </w:rPr>
        <w:t>December 12, 2019</w:t>
      </w:r>
    </w:p>
    <w:p w14:paraId="2D2E53F1" w14:textId="77777777" w:rsidR="00A67E91" w:rsidRPr="00556FBB" w:rsidRDefault="00A67E91" w:rsidP="00556FBB">
      <w:pPr>
        <w:spacing w:after="0" w:line="360" w:lineRule="auto"/>
        <w:jc w:val="both"/>
        <w:rPr>
          <w:rFonts w:ascii="Book Antiqua" w:eastAsia="宋体" w:hAnsi="Book Antiqua"/>
          <w:b/>
          <w:sz w:val="24"/>
          <w:szCs w:val="24"/>
          <w:lang w:eastAsia="zh-CN"/>
        </w:rPr>
      </w:pPr>
      <w:r w:rsidRPr="00556FBB">
        <w:rPr>
          <w:rFonts w:ascii="Book Antiqua" w:hAnsi="Book Antiqua"/>
          <w:b/>
          <w:sz w:val="24"/>
          <w:szCs w:val="24"/>
        </w:rPr>
        <w:t xml:space="preserve">Article in press: </w:t>
      </w:r>
    </w:p>
    <w:p w14:paraId="65571433" w14:textId="77777777" w:rsidR="00A67E91" w:rsidRPr="00556FBB" w:rsidRDefault="00A67E91" w:rsidP="00556FBB">
      <w:pPr>
        <w:spacing w:after="0" w:line="360" w:lineRule="auto"/>
        <w:jc w:val="both"/>
        <w:rPr>
          <w:rFonts w:ascii="Book Antiqua" w:eastAsia="宋体" w:hAnsi="Book Antiqua"/>
          <w:b/>
          <w:sz w:val="24"/>
          <w:szCs w:val="24"/>
          <w:lang w:eastAsia="zh-CN"/>
        </w:rPr>
      </w:pPr>
    </w:p>
    <w:p w14:paraId="58AEC596" w14:textId="77777777" w:rsidR="00A67E91" w:rsidRPr="00556FBB" w:rsidRDefault="00A67E91" w:rsidP="00556FBB">
      <w:pPr>
        <w:adjustRightInd w:val="0"/>
        <w:snapToGrid w:val="0"/>
        <w:spacing w:after="0" w:line="360" w:lineRule="auto"/>
        <w:jc w:val="both"/>
        <w:rPr>
          <w:rFonts w:ascii="Book Antiqua" w:eastAsia="微软雅黑" w:hAnsi="Book Antiqua" w:cs="宋体"/>
          <w:sz w:val="24"/>
          <w:szCs w:val="24"/>
          <w:lang w:eastAsia="zh-CN"/>
        </w:rPr>
      </w:pPr>
      <w:r w:rsidRPr="00556FBB">
        <w:rPr>
          <w:rFonts w:ascii="Book Antiqua" w:hAnsi="Book Antiqua" w:cs="宋体"/>
          <w:b/>
          <w:sz w:val="24"/>
          <w:szCs w:val="24"/>
          <w:lang w:eastAsia="zh-CN"/>
        </w:rPr>
        <w:t xml:space="preserve">Specialty type: </w:t>
      </w:r>
      <w:r w:rsidRPr="00556FBB">
        <w:rPr>
          <w:rFonts w:ascii="Book Antiqua" w:eastAsia="微软雅黑" w:hAnsi="Book Antiqua" w:cs="宋体"/>
          <w:sz w:val="24"/>
          <w:szCs w:val="24"/>
          <w:lang w:val="it-IT"/>
        </w:rPr>
        <w:t>Gastroenterology and hepatology</w:t>
      </w:r>
    </w:p>
    <w:p w14:paraId="43DEFC42" w14:textId="40FE591A" w:rsidR="00A67E91" w:rsidRPr="00556FBB" w:rsidRDefault="00A67E91" w:rsidP="00556FBB">
      <w:pPr>
        <w:adjustRightInd w:val="0"/>
        <w:snapToGrid w:val="0"/>
        <w:spacing w:after="0" w:line="360" w:lineRule="auto"/>
        <w:jc w:val="both"/>
        <w:rPr>
          <w:rFonts w:ascii="Book Antiqua" w:eastAsia="宋体" w:hAnsi="Book Antiqua" w:cs="宋体"/>
          <w:sz w:val="24"/>
          <w:szCs w:val="24"/>
          <w:lang w:eastAsia="zh-CN"/>
        </w:rPr>
      </w:pPr>
      <w:r w:rsidRPr="00556FBB">
        <w:rPr>
          <w:rFonts w:ascii="Book Antiqua" w:hAnsi="Book Antiqua" w:cs="宋体"/>
          <w:b/>
          <w:sz w:val="24"/>
          <w:szCs w:val="24"/>
          <w:lang w:eastAsia="zh-CN"/>
        </w:rPr>
        <w:t xml:space="preserve">Country of origin: </w:t>
      </w:r>
      <w:r w:rsidRPr="00556FBB">
        <w:rPr>
          <w:rFonts w:ascii="Book Antiqua" w:eastAsia="宋体" w:hAnsi="Book Antiqua" w:cs="宋体"/>
          <w:sz w:val="24"/>
          <w:szCs w:val="24"/>
          <w:lang w:eastAsia="zh-CN"/>
        </w:rPr>
        <w:t>United States</w:t>
      </w:r>
    </w:p>
    <w:p w14:paraId="5C8057FA" w14:textId="77777777" w:rsidR="00A67E91" w:rsidRPr="00556FBB" w:rsidRDefault="00A67E91" w:rsidP="00556FBB">
      <w:pPr>
        <w:adjustRightInd w:val="0"/>
        <w:snapToGrid w:val="0"/>
        <w:spacing w:after="0" w:line="360" w:lineRule="auto"/>
        <w:jc w:val="both"/>
        <w:rPr>
          <w:rFonts w:ascii="Book Antiqua" w:hAnsi="Book Antiqua" w:cs="宋体"/>
          <w:b/>
          <w:sz w:val="24"/>
          <w:szCs w:val="24"/>
          <w:lang w:eastAsia="zh-CN"/>
        </w:rPr>
      </w:pPr>
      <w:r w:rsidRPr="00556FBB">
        <w:rPr>
          <w:rFonts w:ascii="Book Antiqua" w:hAnsi="Book Antiqua" w:cs="宋体"/>
          <w:b/>
          <w:sz w:val="24"/>
          <w:szCs w:val="24"/>
          <w:lang w:eastAsia="zh-CN"/>
        </w:rPr>
        <w:t>Peer-review report classification</w:t>
      </w:r>
    </w:p>
    <w:p w14:paraId="42BBF028" w14:textId="77777777" w:rsidR="00A67E91" w:rsidRPr="00556FBB" w:rsidRDefault="00A67E91" w:rsidP="00556FBB">
      <w:pPr>
        <w:adjustRightInd w:val="0"/>
        <w:snapToGrid w:val="0"/>
        <w:spacing w:after="0" w:line="360" w:lineRule="auto"/>
        <w:jc w:val="both"/>
        <w:rPr>
          <w:rFonts w:ascii="Book Antiqua" w:hAnsi="Book Antiqua" w:cs="宋体"/>
          <w:sz w:val="24"/>
          <w:szCs w:val="24"/>
          <w:lang w:eastAsia="zh-CN"/>
        </w:rPr>
      </w:pPr>
      <w:r w:rsidRPr="00556FBB">
        <w:rPr>
          <w:rFonts w:ascii="Book Antiqua" w:hAnsi="Book Antiqua" w:cs="宋体"/>
          <w:sz w:val="24"/>
          <w:szCs w:val="24"/>
          <w:lang w:eastAsia="zh-CN"/>
        </w:rPr>
        <w:t>Grade A (Excellent): 0</w:t>
      </w:r>
    </w:p>
    <w:p w14:paraId="3EF8FC4F" w14:textId="77777777" w:rsidR="00A67E91" w:rsidRPr="00556FBB" w:rsidRDefault="00A67E91" w:rsidP="00556FBB">
      <w:pPr>
        <w:adjustRightInd w:val="0"/>
        <w:snapToGrid w:val="0"/>
        <w:spacing w:after="0" w:line="360" w:lineRule="auto"/>
        <w:jc w:val="both"/>
        <w:rPr>
          <w:rFonts w:ascii="Book Antiqua" w:eastAsia="宋体" w:hAnsi="Book Antiqua" w:cs="宋体"/>
          <w:sz w:val="24"/>
          <w:szCs w:val="24"/>
          <w:lang w:eastAsia="zh-CN"/>
        </w:rPr>
      </w:pPr>
      <w:r w:rsidRPr="00556FBB">
        <w:rPr>
          <w:rFonts w:ascii="Book Antiqua" w:hAnsi="Book Antiqua" w:cs="宋体"/>
          <w:sz w:val="24"/>
          <w:szCs w:val="24"/>
          <w:lang w:eastAsia="zh-CN"/>
        </w:rPr>
        <w:t xml:space="preserve">Grade B (Very good): </w:t>
      </w:r>
      <w:r w:rsidRPr="00556FBB">
        <w:rPr>
          <w:rFonts w:ascii="Book Antiqua" w:eastAsia="宋体" w:hAnsi="Book Antiqua" w:cs="宋体"/>
          <w:sz w:val="24"/>
          <w:szCs w:val="24"/>
          <w:lang w:eastAsia="zh-CN"/>
        </w:rPr>
        <w:t>B</w:t>
      </w:r>
    </w:p>
    <w:p w14:paraId="70F42B01" w14:textId="20EA9D79" w:rsidR="00A67E91" w:rsidRPr="00556FBB" w:rsidRDefault="00A67E91" w:rsidP="00556FBB">
      <w:pPr>
        <w:adjustRightInd w:val="0"/>
        <w:snapToGrid w:val="0"/>
        <w:spacing w:after="0" w:line="360" w:lineRule="auto"/>
        <w:jc w:val="both"/>
        <w:rPr>
          <w:rFonts w:ascii="Book Antiqua" w:hAnsi="Book Antiqua" w:cs="宋体"/>
          <w:sz w:val="24"/>
          <w:szCs w:val="24"/>
          <w:lang w:eastAsia="zh-CN"/>
        </w:rPr>
      </w:pPr>
      <w:r w:rsidRPr="00556FBB">
        <w:rPr>
          <w:rFonts w:ascii="Book Antiqua" w:hAnsi="Book Antiqua" w:cs="宋体"/>
          <w:sz w:val="24"/>
          <w:szCs w:val="24"/>
          <w:lang w:eastAsia="zh-CN"/>
        </w:rPr>
        <w:t>Grade C (Good): C</w:t>
      </w:r>
    </w:p>
    <w:p w14:paraId="6222AA11" w14:textId="77777777" w:rsidR="00A67E91" w:rsidRPr="00556FBB" w:rsidRDefault="00A67E91" w:rsidP="00556FBB">
      <w:pPr>
        <w:adjustRightInd w:val="0"/>
        <w:snapToGrid w:val="0"/>
        <w:spacing w:after="0" w:line="360" w:lineRule="auto"/>
        <w:jc w:val="both"/>
        <w:rPr>
          <w:rFonts w:ascii="Book Antiqua" w:hAnsi="Book Antiqua" w:cs="宋体"/>
          <w:sz w:val="24"/>
          <w:szCs w:val="24"/>
          <w:lang w:eastAsia="zh-CN"/>
        </w:rPr>
      </w:pPr>
      <w:r w:rsidRPr="00556FBB">
        <w:rPr>
          <w:rFonts w:ascii="Book Antiqua" w:hAnsi="Book Antiqua" w:cs="宋体"/>
          <w:sz w:val="24"/>
          <w:szCs w:val="24"/>
          <w:lang w:eastAsia="zh-CN"/>
        </w:rPr>
        <w:t>Grade D (Fair): 0</w:t>
      </w:r>
    </w:p>
    <w:p w14:paraId="66E32CCF" w14:textId="77777777" w:rsidR="00A67E91" w:rsidRPr="00556FBB" w:rsidRDefault="00A67E91" w:rsidP="00556FBB">
      <w:pPr>
        <w:adjustRightInd w:val="0"/>
        <w:snapToGrid w:val="0"/>
        <w:spacing w:after="0" w:line="360" w:lineRule="auto"/>
        <w:jc w:val="both"/>
        <w:rPr>
          <w:rFonts w:ascii="Book Antiqua" w:eastAsia="等线" w:hAnsi="Book Antiqua"/>
          <w:sz w:val="24"/>
          <w:szCs w:val="24"/>
          <w:lang w:val="hu-HU" w:eastAsia="zh-CN"/>
        </w:rPr>
      </w:pPr>
      <w:r w:rsidRPr="00556FBB">
        <w:rPr>
          <w:rFonts w:ascii="Book Antiqua" w:hAnsi="Book Antiqua" w:cs="宋体"/>
          <w:sz w:val="24"/>
          <w:szCs w:val="24"/>
          <w:lang w:eastAsia="zh-CN"/>
        </w:rPr>
        <w:t>Grade E (Poor): 0</w:t>
      </w:r>
    </w:p>
    <w:p w14:paraId="343AEAD9" w14:textId="77777777" w:rsidR="00A67E91" w:rsidRPr="00556FBB" w:rsidRDefault="00A67E91" w:rsidP="00556FBB">
      <w:pPr>
        <w:spacing w:after="0" w:line="360" w:lineRule="auto"/>
        <w:jc w:val="both"/>
        <w:rPr>
          <w:rFonts w:ascii="Book Antiqua" w:eastAsia="宋体" w:hAnsi="Book Antiqua"/>
          <w:sz w:val="24"/>
          <w:szCs w:val="24"/>
          <w:lang w:val="hu-HU" w:eastAsia="zh-CN"/>
        </w:rPr>
      </w:pPr>
    </w:p>
    <w:p w14:paraId="53506504" w14:textId="23CA68DD" w:rsidR="00A67E91" w:rsidRPr="00556FBB" w:rsidRDefault="00A67E91" w:rsidP="00556FBB">
      <w:pPr>
        <w:spacing w:after="0" w:line="360" w:lineRule="auto"/>
        <w:jc w:val="both"/>
        <w:rPr>
          <w:rFonts w:ascii="Book Antiqua" w:eastAsia="宋体" w:hAnsi="Book Antiqua"/>
          <w:b/>
          <w:sz w:val="24"/>
          <w:szCs w:val="24"/>
          <w:lang w:eastAsia="zh-CN"/>
        </w:rPr>
      </w:pPr>
      <w:r w:rsidRPr="00556FBB">
        <w:rPr>
          <w:rFonts w:ascii="Book Antiqua" w:hAnsi="Book Antiqua"/>
          <w:b/>
          <w:sz w:val="24"/>
          <w:szCs w:val="24"/>
        </w:rPr>
        <w:t xml:space="preserve">P- Reviewer: </w:t>
      </w:r>
      <w:proofErr w:type="spellStart"/>
      <w:r w:rsidRPr="00556FBB">
        <w:rPr>
          <w:rFonts w:ascii="Book Antiqua" w:hAnsi="Book Antiqua"/>
          <w:sz w:val="24"/>
          <w:szCs w:val="24"/>
        </w:rPr>
        <w:t>Kotzampassi</w:t>
      </w:r>
      <w:proofErr w:type="spellEnd"/>
      <w:r w:rsidRPr="00556FBB">
        <w:rPr>
          <w:rFonts w:ascii="Book Antiqua" w:hAnsi="Book Antiqua"/>
          <w:sz w:val="24"/>
          <w:szCs w:val="24"/>
        </w:rPr>
        <w:t xml:space="preserve"> K, </w:t>
      </w:r>
      <w:proofErr w:type="spellStart"/>
      <w:r w:rsidRPr="00556FBB">
        <w:rPr>
          <w:rFonts w:ascii="Book Antiqua" w:hAnsi="Book Antiqua"/>
          <w:sz w:val="24"/>
          <w:szCs w:val="24"/>
        </w:rPr>
        <w:t>Jinga</w:t>
      </w:r>
      <w:proofErr w:type="spellEnd"/>
      <w:r w:rsidRPr="00556FBB">
        <w:rPr>
          <w:rFonts w:ascii="Book Antiqua" w:hAnsi="Book Antiqua"/>
          <w:sz w:val="24"/>
          <w:szCs w:val="24"/>
        </w:rPr>
        <w:t xml:space="preserve"> M</w:t>
      </w:r>
      <w:r w:rsidRPr="00556FBB">
        <w:rPr>
          <w:rFonts w:ascii="Book Antiqua" w:hAnsi="Book Antiqua"/>
          <w:b/>
          <w:sz w:val="24"/>
          <w:szCs w:val="24"/>
        </w:rPr>
        <w:t xml:space="preserve"> S- Editor: </w:t>
      </w:r>
      <w:r w:rsidRPr="00556FBB">
        <w:rPr>
          <w:rFonts w:ascii="Book Antiqua" w:eastAsia="宋体" w:hAnsi="Book Antiqua"/>
          <w:sz w:val="24"/>
          <w:szCs w:val="24"/>
          <w:lang w:eastAsia="zh-CN"/>
        </w:rPr>
        <w:t>Dou Y</w:t>
      </w:r>
      <w:r w:rsidRPr="00556FBB">
        <w:rPr>
          <w:rFonts w:ascii="Book Antiqua" w:hAnsi="Book Antiqua"/>
          <w:sz w:val="24"/>
          <w:szCs w:val="24"/>
        </w:rPr>
        <w:t xml:space="preserve"> </w:t>
      </w:r>
      <w:r w:rsidRPr="00556FBB">
        <w:rPr>
          <w:rFonts w:ascii="Book Antiqua" w:hAnsi="Book Antiqua"/>
          <w:b/>
          <w:sz w:val="24"/>
          <w:szCs w:val="24"/>
        </w:rPr>
        <w:t>L- Editor:</w:t>
      </w:r>
      <w:r w:rsidRPr="00556FBB">
        <w:rPr>
          <w:rFonts w:ascii="Book Antiqua" w:hAnsi="Book Antiqua"/>
          <w:sz w:val="24"/>
          <w:szCs w:val="24"/>
        </w:rPr>
        <w:t xml:space="preserve"> </w:t>
      </w:r>
      <w:r w:rsidRPr="00556FBB">
        <w:rPr>
          <w:rFonts w:ascii="Book Antiqua" w:hAnsi="Book Antiqua"/>
          <w:b/>
          <w:sz w:val="24"/>
          <w:szCs w:val="24"/>
        </w:rPr>
        <w:t xml:space="preserve">E- Editor: </w:t>
      </w:r>
    </w:p>
    <w:p w14:paraId="4E4030A8" w14:textId="77777777" w:rsidR="00A67E91" w:rsidRPr="00556FBB" w:rsidRDefault="00A67E91" w:rsidP="00556FBB">
      <w:pPr>
        <w:spacing w:after="0" w:line="360" w:lineRule="auto"/>
        <w:jc w:val="both"/>
        <w:rPr>
          <w:rFonts w:ascii="Book Antiqua" w:eastAsia="Calibri" w:hAnsi="Book Antiqua"/>
          <w:b/>
          <w:bCs/>
          <w:sz w:val="24"/>
          <w:szCs w:val="24"/>
        </w:rPr>
      </w:pPr>
      <w:r w:rsidRPr="00556FBB">
        <w:rPr>
          <w:rFonts w:ascii="Book Antiqua" w:eastAsia="Calibri" w:hAnsi="Book Antiqua"/>
          <w:b/>
          <w:bCs/>
          <w:sz w:val="24"/>
          <w:szCs w:val="24"/>
        </w:rPr>
        <w:br w:type="page"/>
      </w:r>
    </w:p>
    <w:p w14:paraId="6D995FA9" w14:textId="77777777" w:rsidR="00A67E91" w:rsidRPr="00556FBB" w:rsidRDefault="00A67E91" w:rsidP="00556FBB">
      <w:pPr>
        <w:snapToGrid w:val="0"/>
        <w:spacing w:after="0" w:line="360" w:lineRule="auto"/>
        <w:jc w:val="both"/>
        <w:rPr>
          <w:rFonts w:ascii="Book Antiqua" w:hAnsi="Book Antiqua"/>
          <w:b/>
          <w:bCs/>
          <w:sz w:val="24"/>
          <w:szCs w:val="24"/>
          <w:lang w:val="it-IT"/>
        </w:rPr>
      </w:pPr>
      <w:r w:rsidRPr="00556FBB">
        <w:rPr>
          <w:rFonts w:ascii="Book Antiqua" w:hAnsi="Book Antiqua"/>
          <w:b/>
          <w:bCs/>
          <w:sz w:val="24"/>
          <w:szCs w:val="24"/>
          <w:lang w:val="it-IT"/>
        </w:rPr>
        <w:lastRenderedPageBreak/>
        <w:t>Figure Legends</w:t>
      </w:r>
    </w:p>
    <w:p w14:paraId="7D59C432" w14:textId="1144CB50" w:rsidR="00372435" w:rsidRPr="00556FBB" w:rsidRDefault="00372435" w:rsidP="00556FBB">
      <w:pPr>
        <w:spacing w:after="0" w:line="360" w:lineRule="auto"/>
        <w:contextualSpacing/>
        <w:jc w:val="both"/>
        <w:rPr>
          <w:rFonts w:ascii="Book Antiqua" w:hAnsi="Book Antiqua" w:cs="Times New Roman"/>
          <w:b/>
          <w:sz w:val="24"/>
          <w:szCs w:val="24"/>
        </w:rPr>
      </w:pPr>
      <w:r w:rsidRPr="00556FBB">
        <w:rPr>
          <w:rFonts w:ascii="Book Antiqua" w:hAnsi="Book Antiqua"/>
          <w:noProof/>
          <w:sz w:val="24"/>
          <w:szCs w:val="24"/>
          <w:lang w:eastAsia="zh-CN"/>
        </w:rPr>
        <w:drawing>
          <wp:inline distT="0" distB="0" distL="0" distR="0" wp14:anchorId="738E7B79" wp14:editId="5E8EBAB6">
            <wp:extent cx="5943600" cy="467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676775"/>
                    </a:xfrm>
                    <a:prstGeom prst="rect">
                      <a:avLst/>
                    </a:prstGeom>
                    <a:noFill/>
                    <a:ln>
                      <a:noFill/>
                    </a:ln>
                  </pic:spPr>
                </pic:pic>
              </a:graphicData>
            </a:graphic>
          </wp:inline>
        </w:drawing>
      </w:r>
    </w:p>
    <w:p w14:paraId="0EA4FC04" w14:textId="6BE81C83" w:rsidR="004D0241" w:rsidRPr="00556FBB" w:rsidRDefault="004D0241"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b/>
          <w:bCs/>
          <w:sz w:val="24"/>
          <w:szCs w:val="24"/>
        </w:rPr>
        <w:t>Figure 1</w:t>
      </w:r>
      <w:r w:rsidR="00A67E91" w:rsidRPr="00556FBB">
        <w:rPr>
          <w:rFonts w:ascii="Book Antiqua" w:hAnsi="Book Antiqua" w:cs="Times New Roman"/>
          <w:b/>
          <w:bCs/>
          <w:sz w:val="24"/>
          <w:szCs w:val="24"/>
          <w:lang w:eastAsia="zh-CN"/>
        </w:rPr>
        <w:t xml:space="preserve"> </w:t>
      </w:r>
      <w:r w:rsidRPr="00556FBB">
        <w:rPr>
          <w:rFonts w:ascii="Book Antiqua" w:hAnsi="Book Antiqua" w:cs="Times New Roman"/>
          <w:b/>
          <w:bCs/>
          <w:sz w:val="24"/>
          <w:szCs w:val="24"/>
        </w:rPr>
        <w:t xml:space="preserve">Schematic drawing of procedure planning for T-fasteners and </w:t>
      </w:r>
      <w:r w:rsidR="00A67E91" w:rsidRPr="00556FBB">
        <w:rPr>
          <w:rFonts w:ascii="Book Antiqua" w:hAnsi="Book Antiqua" w:cs="Times New Roman"/>
          <w:b/>
          <w:bCs/>
          <w:sz w:val="24"/>
          <w:szCs w:val="24"/>
        </w:rPr>
        <w:t xml:space="preserve">percutaneous endoscopic gastrostomy </w:t>
      </w:r>
      <w:r w:rsidRPr="00556FBB">
        <w:rPr>
          <w:rFonts w:ascii="Book Antiqua" w:hAnsi="Book Antiqua" w:cs="Times New Roman"/>
          <w:b/>
          <w:bCs/>
          <w:sz w:val="24"/>
          <w:szCs w:val="24"/>
        </w:rPr>
        <w:t>entry sites.</w:t>
      </w:r>
      <w:r w:rsidRPr="00556FBB">
        <w:rPr>
          <w:rFonts w:ascii="Book Antiqua" w:hAnsi="Book Antiqua" w:cs="Times New Roman"/>
          <w:sz w:val="24"/>
          <w:szCs w:val="24"/>
        </w:rPr>
        <w:t xml:space="preserve"> T-fasteners are positioned triangularly 1 inch away from each other. The ideal position should be half way between the lesser and greater curvatures. Catheter should enter in the center of the triangle and aim towards the pylorus. </w:t>
      </w:r>
    </w:p>
    <w:p w14:paraId="5287013E" w14:textId="0D89BBDF" w:rsidR="00372435" w:rsidRPr="00556FBB" w:rsidRDefault="00372435" w:rsidP="00556FBB">
      <w:pPr>
        <w:spacing w:after="0" w:line="360" w:lineRule="auto"/>
        <w:contextualSpacing/>
        <w:jc w:val="both"/>
        <w:rPr>
          <w:rFonts w:ascii="Book Antiqua" w:hAnsi="Book Antiqua" w:cs="Times New Roman"/>
          <w:sz w:val="24"/>
          <w:szCs w:val="24"/>
        </w:rPr>
      </w:pPr>
      <w:r w:rsidRPr="00556FBB">
        <w:rPr>
          <w:rFonts w:ascii="Book Antiqua" w:hAnsi="Book Antiqua"/>
          <w:noProof/>
          <w:sz w:val="24"/>
          <w:szCs w:val="24"/>
          <w:lang w:eastAsia="zh-CN"/>
        </w:rPr>
        <w:lastRenderedPageBreak/>
        <w:drawing>
          <wp:inline distT="0" distB="0" distL="0" distR="0" wp14:anchorId="6AACEC1C" wp14:editId="52F7A960">
            <wp:extent cx="4372708" cy="407741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6744" cy="4081178"/>
                    </a:xfrm>
                    <a:prstGeom prst="rect">
                      <a:avLst/>
                    </a:prstGeom>
                    <a:noFill/>
                    <a:ln>
                      <a:noFill/>
                    </a:ln>
                  </pic:spPr>
                </pic:pic>
              </a:graphicData>
            </a:graphic>
          </wp:inline>
        </w:drawing>
      </w:r>
    </w:p>
    <w:p w14:paraId="34F95336" w14:textId="5EC3866A" w:rsidR="0045356F" w:rsidRPr="00556FBB" w:rsidRDefault="0045356F"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b/>
          <w:bCs/>
          <w:sz w:val="24"/>
          <w:szCs w:val="24"/>
        </w:rPr>
        <w:t xml:space="preserve">Figure </w:t>
      </w:r>
      <w:r w:rsidR="004D0241" w:rsidRPr="00556FBB">
        <w:rPr>
          <w:rFonts w:ascii="Book Antiqua" w:hAnsi="Book Antiqua" w:cs="Times New Roman"/>
          <w:b/>
          <w:bCs/>
          <w:sz w:val="24"/>
          <w:szCs w:val="24"/>
        </w:rPr>
        <w:t>2</w:t>
      </w:r>
      <w:r w:rsidR="00A67E91" w:rsidRPr="00556FBB">
        <w:rPr>
          <w:rFonts w:ascii="Book Antiqua" w:hAnsi="Book Antiqua" w:cs="Times New Roman"/>
          <w:b/>
          <w:bCs/>
          <w:sz w:val="24"/>
          <w:szCs w:val="24"/>
          <w:lang w:eastAsia="zh-CN"/>
        </w:rPr>
        <w:t xml:space="preserve"> </w:t>
      </w:r>
      <w:r w:rsidR="00A67E91" w:rsidRPr="00556FBB">
        <w:rPr>
          <w:rFonts w:ascii="Book Antiqua" w:hAnsi="Book Antiqua" w:cs="Times New Roman"/>
          <w:b/>
          <w:bCs/>
          <w:sz w:val="24"/>
          <w:szCs w:val="24"/>
        </w:rPr>
        <w:t>Eighty-one</w:t>
      </w:r>
      <w:r w:rsidR="00604526" w:rsidRPr="00556FBB">
        <w:rPr>
          <w:rFonts w:ascii="Book Antiqua" w:hAnsi="Book Antiqua" w:cs="Times New Roman"/>
          <w:b/>
          <w:bCs/>
          <w:sz w:val="24"/>
          <w:szCs w:val="24"/>
        </w:rPr>
        <w:t>-</w:t>
      </w:r>
      <w:r w:rsidR="00A22A57" w:rsidRPr="00556FBB">
        <w:rPr>
          <w:rFonts w:ascii="Book Antiqua" w:hAnsi="Book Antiqua" w:cs="Times New Roman"/>
          <w:b/>
          <w:bCs/>
          <w:sz w:val="24"/>
          <w:szCs w:val="24"/>
        </w:rPr>
        <w:t>year-old male with a past medical history of diabetes mellitus, hypertension, perforated diverticulitis status post resection with colostomy and adenocarcinoma of the esophagus status post neoadjuvant chemotherapy.</w:t>
      </w:r>
      <w:r w:rsidR="00A22A57" w:rsidRPr="00556FBB">
        <w:rPr>
          <w:rFonts w:ascii="Book Antiqua" w:hAnsi="Book Antiqua" w:cs="Times New Roman"/>
          <w:sz w:val="24"/>
          <w:szCs w:val="24"/>
        </w:rPr>
        <w:t xml:space="preserve"> Patient was admitted for failure to thrive and percutane</w:t>
      </w:r>
      <w:r w:rsidR="0001590F" w:rsidRPr="00556FBB">
        <w:rPr>
          <w:rFonts w:ascii="Book Antiqua" w:hAnsi="Book Antiqua" w:cs="Times New Roman"/>
          <w:sz w:val="24"/>
          <w:szCs w:val="24"/>
        </w:rPr>
        <w:t xml:space="preserve">ous gastrostomy tube placement </w:t>
      </w:r>
      <w:r w:rsidR="00A22A57" w:rsidRPr="00556FBB">
        <w:rPr>
          <w:rFonts w:ascii="Book Antiqua" w:hAnsi="Book Antiqua" w:cs="Times New Roman"/>
          <w:sz w:val="24"/>
          <w:szCs w:val="24"/>
        </w:rPr>
        <w:t xml:space="preserve">was requested. An 18-French </w:t>
      </w:r>
      <w:proofErr w:type="spellStart"/>
      <w:r w:rsidR="00A22A57" w:rsidRPr="00556FBB">
        <w:rPr>
          <w:rFonts w:ascii="Book Antiqua" w:hAnsi="Book Antiqua" w:cs="Times New Roman"/>
          <w:sz w:val="24"/>
          <w:szCs w:val="24"/>
        </w:rPr>
        <w:t>Entuit</w:t>
      </w:r>
      <w:proofErr w:type="spellEnd"/>
      <w:r w:rsidR="00A22A57" w:rsidRPr="00556FBB">
        <w:rPr>
          <w:rFonts w:ascii="Book Antiqua" w:hAnsi="Book Antiqua" w:cs="Times New Roman"/>
          <w:sz w:val="24"/>
          <w:szCs w:val="24"/>
        </w:rPr>
        <w:t xml:space="preserve"> gastrostomy tube was placed within a 22-French peel-away sheath. The procedure time was 44 min. Fluoroscopy time was 8 min 6 s and Air </w:t>
      </w:r>
      <w:proofErr w:type="spellStart"/>
      <w:r w:rsidR="00A22A57" w:rsidRPr="00556FBB">
        <w:rPr>
          <w:rFonts w:ascii="Book Antiqua" w:hAnsi="Book Antiqua" w:cs="Times New Roman"/>
          <w:sz w:val="24"/>
          <w:szCs w:val="24"/>
        </w:rPr>
        <w:t>Kerma</w:t>
      </w:r>
      <w:proofErr w:type="spellEnd"/>
      <w:r w:rsidR="00A22A57" w:rsidRPr="00556FBB">
        <w:rPr>
          <w:rFonts w:ascii="Book Antiqua" w:hAnsi="Book Antiqua" w:cs="Times New Roman"/>
          <w:sz w:val="24"/>
          <w:szCs w:val="24"/>
        </w:rPr>
        <w:t xml:space="preserve"> was 280 </w:t>
      </w:r>
      <w:proofErr w:type="spellStart"/>
      <w:r w:rsidR="00A22A57" w:rsidRPr="00556FBB">
        <w:rPr>
          <w:rFonts w:ascii="Book Antiqua" w:hAnsi="Book Antiqua" w:cs="Times New Roman"/>
          <w:sz w:val="24"/>
          <w:szCs w:val="24"/>
        </w:rPr>
        <w:t>mGy</w:t>
      </w:r>
      <w:proofErr w:type="spellEnd"/>
      <w:r w:rsidR="00A22A57" w:rsidRPr="00556FBB">
        <w:rPr>
          <w:rFonts w:ascii="Book Antiqua" w:hAnsi="Book Antiqua" w:cs="Times New Roman"/>
          <w:sz w:val="24"/>
          <w:szCs w:val="24"/>
        </w:rPr>
        <w:t>. This procedure was challenging due to the inability to</w:t>
      </w:r>
      <w:r w:rsidR="0001590F" w:rsidRPr="00556FBB">
        <w:rPr>
          <w:rFonts w:ascii="Book Antiqua" w:hAnsi="Book Antiqua" w:cs="Times New Roman"/>
          <w:sz w:val="24"/>
          <w:szCs w:val="24"/>
        </w:rPr>
        <w:t xml:space="preserve"> keep the stomach inflated and g</w:t>
      </w:r>
      <w:r w:rsidR="00A22A57" w:rsidRPr="00556FBB">
        <w:rPr>
          <w:rFonts w:ascii="Book Antiqua" w:hAnsi="Book Antiqua" w:cs="Times New Roman"/>
          <w:sz w:val="24"/>
          <w:szCs w:val="24"/>
        </w:rPr>
        <w:t>lucagon was avoided given the medical history of diabetes mellitus. The gastrostomy tube was started to be used for enteral feeding 24 h after the procedure. A</w:t>
      </w:r>
      <w:r w:rsidR="00556FBB" w:rsidRPr="00556FBB">
        <w:rPr>
          <w:rFonts w:ascii="Book Antiqua" w:hAnsi="Book Antiqua" w:cs="Times New Roman"/>
          <w:sz w:val="24"/>
          <w:szCs w:val="24"/>
        </w:rPr>
        <w:t>:</w:t>
      </w:r>
      <w:r w:rsidR="009C4ADB" w:rsidRPr="00556FBB">
        <w:rPr>
          <w:rFonts w:ascii="Book Antiqua" w:hAnsi="Book Antiqua" w:cs="Times New Roman"/>
          <w:sz w:val="24"/>
          <w:szCs w:val="24"/>
        </w:rPr>
        <w:t xml:space="preserve"> Advancement of a</w:t>
      </w:r>
      <w:r w:rsidR="00A22A57" w:rsidRPr="00556FBB">
        <w:rPr>
          <w:rFonts w:ascii="Book Antiqua" w:hAnsi="Book Antiqua" w:cs="Times New Roman"/>
          <w:sz w:val="24"/>
          <w:szCs w:val="24"/>
        </w:rPr>
        <w:t xml:space="preserve"> 5-French MPA catheter (arrow) into the stomach along with a 0.035 </w:t>
      </w:r>
      <w:proofErr w:type="spellStart"/>
      <w:r w:rsidR="00A22A57" w:rsidRPr="00556FBB">
        <w:rPr>
          <w:rFonts w:ascii="Book Antiqua" w:hAnsi="Book Antiqua" w:cs="Times New Roman"/>
          <w:sz w:val="24"/>
          <w:szCs w:val="24"/>
        </w:rPr>
        <w:t>Glidewire</w:t>
      </w:r>
      <w:proofErr w:type="spellEnd"/>
      <w:r w:rsidR="00A22A57" w:rsidRPr="00556FBB">
        <w:rPr>
          <w:rFonts w:ascii="Book Antiqua" w:hAnsi="Book Antiqua" w:cs="Times New Roman"/>
          <w:sz w:val="24"/>
          <w:szCs w:val="24"/>
        </w:rPr>
        <w:t>. The position of the MPA catheter was confirmed with a small amount of iodinated contrast injection</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B</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Insufflation of the stomach with air though the MPA catheter. A hemostat was used to mark the entry site</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C</w:t>
      </w:r>
      <w:r w:rsidR="00556FBB" w:rsidRPr="00556FBB">
        <w:rPr>
          <w:rFonts w:ascii="Book Antiqua" w:hAnsi="Book Antiqua" w:cs="Times New Roman"/>
          <w:sz w:val="24"/>
          <w:szCs w:val="24"/>
        </w:rPr>
        <w:t xml:space="preserve">: </w:t>
      </w:r>
      <w:r w:rsidR="00A22A57" w:rsidRPr="00556FBB">
        <w:rPr>
          <w:rFonts w:ascii="Book Antiqua" w:hAnsi="Book Antiqua" w:cs="Times New Roman"/>
          <w:sz w:val="24"/>
          <w:szCs w:val="24"/>
        </w:rPr>
        <w:t xml:space="preserve">Placement of the three T-bar fasteners (arrows) as well as the gastrostomy tube with balloon inflated using a </w:t>
      </w:r>
      <w:r w:rsidR="00A22A57" w:rsidRPr="00556FBB">
        <w:rPr>
          <w:rFonts w:ascii="Book Antiqua" w:hAnsi="Book Antiqua" w:cs="Times New Roman"/>
          <w:sz w:val="24"/>
          <w:szCs w:val="24"/>
        </w:rPr>
        <w:lastRenderedPageBreak/>
        <w:t>mixtures of sterile water with minimal amount of contrast (arrowhead)</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D</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A post-procedural cone-beam </w:t>
      </w:r>
      <w:r w:rsidR="00556FBB" w:rsidRPr="00556FBB">
        <w:rPr>
          <w:rFonts w:ascii="Book Antiqua" w:hAnsi="Book Antiqua" w:cs="Times New Roman"/>
          <w:sz w:val="24"/>
          <w:szCs w:val="24"/>
        </w:rPr>
        <w:t xml:space="preserve">computed tomography </w:t>
      </w:r>
      <w:r w:rsidR="00A22A57" w:rsidRPr="00556FBB">
        <w:rPr>
          <w:rFonts w:ascii="Book Antiqua" w:hAnsi="Book Antiqua" w:cs="Times New Roman"/>
          <w:sz w:val="24"/>
          <w:szCs w:val="24"/>
        </w:rPr>
        <w:t xml:space="preserve">was performed due to the challenge of keeping the stomach insufflated with air. The cone beam </w:t>
      </w:r>
      <w:r w:rsidR="00556FBB" w:rsidRPr="00556FBB">
        <w:rPr>
          <w:rFonts w:ascii="Book Antiqua" w:hAnsi="Book Antiqua" w:cs="Times New Roman"/>
          <w:sz w:val="24"/>
          <w:szCs w:val="24"/>
        </w:rPr>
        <w:t xml:space="preserve">computed tomography </w:t>
      </w:r>
      <w:r w:rsidR="00A22A57" w:rsidRPr="00556FBB">
        <w:rPr>
          <w:rFonts w:ascii="Book Antiqua" w:hAnsi="Book Antiqua" w:cs="Times New Roman"/>
          <w:sz w:val="24"/>
          <w:szCs w:val="24"/>
        </w:rPr>
        <w:t xml:space="preserve">showed the gastrostomy tube with the inflated balloon (arrow) in the gastric body. Of note the gastrostomy balloon appears slightly radiopaque due to inflation using a </w:t>
      </w:r>
      <w:r w:rsidR="00556FBB" w:rsidRPr="00556FBB">
        <w:rPr>
          <w:rFonts w:ascii="Book Antiqua" w:hAnsi="Book Antiqua" w:cs="Times New Roman"/>
          <w:sz w:val="24"/>
          <w:szCs w:val="24"/>
        </w:rPr>
        <w:t>mixture of sterile water</w:t>
      </w:r>
      <w:r w:rsidR="00A22A57" w:rsidRPr="00556FBB">
        <w:rPr>
          <w:rFonts w:ascii="Book Antiqua" w:hAnsi="Book Antiqua" w:cs="Times New Roman"/>
          <w:sz w:val="24"/>
          <w:szCs w:val="24"/>
        </w:rPr>
        <w:t xml:space="preserve"> with minimal amount of contrast. After completion of the procedure the 5-French MPA catheter was removed.</w:t>
      </w:r>
    </w:p>
    <w:p w14:paraId="6D7257B5" w14:textId="77777777" w:rsidR="00556FBB" w:rsidRPr="00556FBB" w:rsidRDefault="00556FBB" w:rsidP="00556FBB">
      <w:pPr>
        <w:spacing w:after="0" w:line="360" w:lineRule="auto"/>
        <w:jc w:val="both"/>
        <w:rPr>
          <w:rFonts w:ascii="Book Antiqua" w:hAnsi="Book Antiqua" w:cs="Times New Roman"/>
          <w:sz w:val="24"/>
          <w:szCs w:val="24"/>
        </w:rPr>
      </w:pPr>
      <w:r w:rsidRPr="00556FBB">
        <w:rPr>
          <w:rFonts w:ascii="Book Antiqua" w:hAnsi="Book Antiqua" w:cs="Times New Roman"/>
          <w:sz w:val="24"/>
          <w:szCs w:val="24"/>
        </w:rPr>
        <w:br w:type="page"/>
      </w:r>
    </w:p>
    <w:p w14:paraId="12F1325C" w14:textId="0CC144A0" w:rsidR="00372435" w:rsidRPr="00556FBB" w:rsidRDefault="00372435" w:rsidP="00556FBB">
      <w:pPr>
        <w:spacing w:after="0" w:line="360" w:lineRule="auto"/>
        <w:contextualSpacing/>
        <w:jc w:val="both"/>
        <w:rPr>
          <w:rFonts w:ascii="Book Antiqua" w:hAnsi="Book Antiqua" w:cs="Times New Roman"/>
          <w:sz w:val="24"/>
          <w:szCs w:val="24"/>
        </w:rPr>
      </w:pPr>
      <w:r w:rsidRPr="00556FBB">
        <w:rPr>
          <w:rFonts w:ascii="Book Antiqua" w:hAnsi="Book Antiqua"/>
          <w:noProof/>
          <w:sz w:val="24"/>
          <w:szCs w:val="24"/>
          <w:lang w:eastAsia="zh-CN"/>
        </w:rPr>
        <w:lastRenderedPageBreak/>
        <w:drawing>
          <wp:inline distT="0" distB="0" distL="0" distR="0" wp14:anchorId="4BA5D17E" wp14:editId="713BFEEC">
            <wp:extent cx="4747846" cy="3632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7271" cy="3639661"/>
                    </a:xfrm>
                    <a:prstGeom prst="rect">
                      <a:avLst/>
                    </a:prstGeom>
                    <a:noFill/>
                    <a:ln>
                      <a:noFill/>
                    </a:ln>
                  </pic:spPr>
                </pic:pic>
              </a:graphicData>
            </a:graphic>
          </wp:inline>
        </w:drawing>
      </w:r>
    </w:p>
    <w:p w14:paraId="0C9871B8" w14:textId="0BBAA534" w:rsidR="00A22A57" w:rsidRPr="00556FBB" w:rsidRDefault="00C06B3F"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b/>
          <w:bCs/>
          <w:sz w:val="24"/>
          <w:szCs w:val="24"/>
        </w:rPr>
        <w:t xml:space="preserve">Figure </w:t>
      </w:r>
      <w:r w:rsidR="004D0241" w:rsidRPr="00556FBB">
        <w:rPr>
          <w:rFonts w:ascii="Book Antiqua" w:hAnsi="Book Antiqua" w:cs="Times New Roman"/>
          <w:b/>
          <w:bCs/>
          <w:sz w:val="24"/>
          <w:szCs w:val="24"/>
        </w:rPr>
        <w:t>3</w:t>
      </w:r>
      <w:r w:rsidR="00556FBB" w:rsidRPr="00556FBB">
        <w:rPr>
          <w:rFonts w:ascii="Book Antiqua" w:hAnsi="Book Antiqua" w:cs="Times New Roman"/>
          <w:b/>
          <w:bCs/>
          <w:sz w:val="24"/>
          <w:szCs w:val="24"/>
          <w:lang w:eastAsia="zh-CN"/>
        </w:rPr>
        <w:t xml:space="preserve"> </w:t>
      </w:r>
      <w:r w:rsidR="00556FBB" w:rsidRPr="00556FBB">
        <w:rPr>
          <w:rFonts w:ascii="Book Antiqua" w:hAnsi="Book Antiqua" w:cs="Times New Roman"/>
          <w:b/>
          <w:bCs/>
          <w:sz w:val="24"/>
          <w:szCs w:val="24"/>
        </w:rPr>
        <w:t>Seventy-six</w:t>
      </w:r>
      <w:r w:rsidR="00604526" w:rsidRPr="00556FBB">
        <w:rPr>
          <w:rFonts w:ascii="Book Antiqua" w:hAnsi="Book Antiqua" w:cs="Times New Roman"/>
          <w:b/>
          <w:bCs/>
          <w:sz w:val="24"/>
          <w:szCs w:val="24"/>
        </w:rPr>
        <w:t>-</w:t>
      </w:r>
      <w:r w:rsidR="00A22A57" w:rsidRPr="00556FBB">
        <w:rPr>
          <w:rFonts w:ascii="Book Antiqua" w:hAnsi="Book Antiqua" w:cs="Times New Roman"/>
          <w:b/>
          <w:bCs/>
          <w:sz w:val="24"/>
          <w:szCs w:val="24"/>
        </w:rPr>
        <w:t>year-old female with a history of upper extremity edema, intracranial hemorrhage and dysphagia referred for placement of percutaneous gastrostomy tube due to dysphagia with high aspiration risk.</w:t>
      </w:r>
      <w:r w:rsidR="00A22A57" w:rsidRPr="00556FBB">
        <w:rPr>
          <w:rFonts w:ascii="Book Antiqua" w:hAnsi="Book Antiqua" w:cs="Times New Roman"/>
          <w:sz w:val="24"/>
          <w:szCs w:val="24"/>
        </w:rPr>
        <w:t xml:space="preserve"> A 16-French gastrostomy tube was placed through a 20-French peel-away sheath. The procedure time was 23 min. Fluoroscopy time was 3 min 24 s and Air </w:t>
      </w:r>
      <w:proofErr w:type="spellStart"/>
      <w:r w:rsidR="00A22A57" w:rsidRPr="00556FBB">
        <w:rPr>
          <w:rFonts w:ascii="Book Antiqua" w:hAnsi="Book Antiqua" w:cs="Times New Roman"/>
          <w:sz w:val="24"/>
          <w:szCs w:val="24"/>
        </w:rPr>
        <w:t>Kerma</w:t>
      </w:r>
      <w:proofErr w:type="spellEnd"/>
      <w:r w:rsidR="00A22A57" w:rsidRPr="00556FBB">
        <w:rPr>
          <w:rFonts w:ascii="Book Antiqua" w:hAnsi="Book Antiqua" w:cs="Times New Roman"/>
          <w:sz w:val="24"/>
          <w:szCs w:val="24"/>
        </w:rPr>
        <w:t xml:space="preserve"> was 43 </w:t>
      </w:r>
      <w:proofErr w:type="spellStart"/>
      <w:r w:rsidR="00A22A57" w:rsidRPr="00556FBB">
        <w:rPr>
          <w:rFonts w:ascii="Book Antiqua" w:hAnsi="Book Antiqua" w:cs="Times New Roman"/>
          <w:sz w:val="24"/>
          <w:szCs w:val="24"/>
        </w:rPr>
        <w:t>mGy</w:t>
      </w:r>
      <w:proofErr w:type="spellEnd"/>
      <w:r w:rsidR="00A22A57" w:rsidRPr="00556FBB">
        <w:rPr>
          <w:rFonts w:ascii="Book Antiqua" w:hAnsi="Book Antiqua" w:cs="Times New Roman"/>
          <w:sz w:val="24"/>
          <w:szCs w:val="24"/>
        </w:rPr>
        <w:t xml:space="preserve">. </w:t>
      </w:r>
      <w:r w:rsidR="009C4ADB" w:rsidRPr="00556FBB">
        <w:rPr>
          <w:rFonts w:ascii="Book Antiqua" w:hAnsi="Book Antiqua" w:cs="Times New Roman"/>
          <w:sz w:val="24"/>
          <w:szCs w:val="24"/>
        </w:rPr>
        <w:t>No</w:t>
      </w:r>
      <w:r w:rsidR="00A22A57" w:rsidRPr="00556FBB">
        <w:rPr>
          <w:rFonts w:ascii="Book Antiqua" w:hAnsi="Book Antiqua" w:cs="Times New Roman"/>
          <w:sz w:val="24"/>
          <w:szCs w:val="24"/>
        </w:rPr>
        <w:t xml:space="preserve"> challenge </w:t>
      </w:r>
      <w:r w:rsidR="009C4ADB" w:rsidRPr="00556FBB">
        <w:rPr>
          <w:rFonts w:ascii="Book Antiqua" w:hAnsi="Book Antiqua" w:cs="Times New Roman"/>
          <w:sz w:val="24"/>
          <w:szCs w:val="24"/>
        </w:rPr>
        <w:t xml:space="preserve">was encountered </w:t>
      </w:r>
      <w:r w:rsidR="00A22A57" w:rsidRPr="00556FBB">
        <w:rPr>
          <w:rFonts w:ascii="Book Antiqua" w:hAnsi="Book Antiqua" w:cs="Times New Roman"/>
          <w:sz w:val="24"/>
          <w:szCs w:val="24"/>
        </w:rPr>
        <w:t>during the procedure and the gastrostomy tube was started to be used for enteral feeding 24 h after the procedure. A</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w:t>
      </w:r>
      <w:proofErr w:type="spellStart"/>
      <w:r w:rsidR="00A22A57" w:rsidRPr="00556FBB">
        <w:rPr>
          <w:rFonts w:ascii="Book Antiqua" w:hAnsi="Book Antiqua" w:cs="Times New Roman"/>
          <w:sz w:val="24"/>
          <w:szCs w:val="24"/>
        </w:rPr>
        <w:t>Dobhoff</w:t>
      </w:r>
      <w:proofErr w:type="spellEnd"/>
      <w:r w:rsidR="00A22A57" w:rsidRPr="00556FBB">
        <w:rPr>
          <w:rFonts w:ascii="Book Antiqua" w:hAnsi="Book Antiqua" w:cs="Times New Roman"/>
          <w:sz w:val="24"/>
          <w:szCs w:val="24"/>
        </w:rPr>
        <w:t xml:space="preserve"> tube (arrowhead) with its tip in the gastric body was placed before the patient came to the procedure suite. The stomach was manually inflated with air. T-bar fasteners (white arrow) were advanced into the gastric body. Note the connected tubing (black arrow) which contained iodinated contrast</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B</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w:t>
      </w:r>
      <w:r w:rsidR="00556FBB" w:rsidRPr="00556FBB">
        <w:rPr>
          <w:rFonts w:ascii="Book Antiqua" w:hAnsi="Book Antiqua" w:cs="Times New Roman"/>
          <w:sz w:val="24"/>
          <w:szCs w:val="24"/>
        </w:rPr>
        <w:t xml:space="preserve">Iodinated </w:t>
      </w:r>
      <w:r w:rsidR="00A22A57" w:rsidRPr="00556FBB">
        <w:rPr>
          <w:rFonts w:ascii="Book Antiqua" w:hAnsi="Book Antiqua" w:cs="Times New Roman"/>
          <w:sz w:val="24"/>
          <w:szCs w:val="24"/>
        </w:rPr>
        <w:t>contrast was injected into the gastric body through the T-bar fastener to confirm intraluminal location. Note the outlines of gastric rugae (black arrowheads)</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C</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The three T-bar fasteners (white arrows) are positioned in a triangular fashion. Note the gastrostomy tube (black arrow) was angulated towards the antrum and pylorus facilitating later conversion to a gastrojejunostomy tube</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D</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Contrast injection through the gastrostomy tube ascertains the intragastric placement of the tube.</w:t>
      </w:r>
    </w:p>
    <w:p w14:paraId="5CDF30D9" w14:textId="25AF9ADF" w:rsidR="006B6895" w:rsidRPr="00556FBB" w:rsidRDefault="006B6895" w:rsidP="00556FBB">
      <w:pPr>
        <w:spacing w:after="0" w:line="360" w:lineRule="auto"/>
        <w:contextualSpacing/>
        <w:jc w:val="both"/>
        <w:rPr>
          <w:rFonts w:ascii="Book Antiqua" w:hAnsi="Book Antiqua" w:cs="Times New Roman"/>
          <w:sz w:val="24"/>
          <w:szCs w:val="24"/>
        </w:rPr>
      </w:pPr>
    </w:p>
    <w:p w14:paraId="5CD52FA8" w14:textId="5AAD3A54" w:rsidR="00372435" w:rsidRPr="00556FBB" w:rsidRDefault="00372435" w:rsidP="00556FBB">
      <w:pPr>
        <w:spacing w:after="0" w:line="360" w:lineRule="auto"/>
        <w:contextualSpacing/>
        <w:jc w:val="both"/>
        <w:rPr>
          <w:rFonts w:ascii="Book Antiqua" w:hAnsi="Book Antiqua" w:cs="Times New Roman"/>
          <w:sz w:val="24"/>
          <w:szCs w:val="24"/>
        </w:rPr>
      </w:pPr>
      <w:r w:rsidRPr="00556FBB">
        <w:rPr>
          <w:rFonts w:ascii="Book Antiqua" w:hAnsi="Book Antiqua"/>
          <w:noProof/>
          <w:sz w:val="24"/>
          <w:szCs w:val="24"/>
          <w:lang w:eastAsia="zh-CN"/>
        </w:rPr>
        <w:drawing>
          <wp:inline distT="0" distB="0" distL="0" distR="0" wp14:anchorId="6F69E932" wp14:editId="0CC0E1E0">
            <wp:extent cx="5503985" cy="2470462"/>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470" cy="2476515"/>
                    </a:xfrm>
                    <a:prstGeom prst="rect">
                      <a:avLst/>
                    </a:prstGeom>
                    <a:noFill/>
                    <a:ln>
                      <a:noFill/>
                    </a:ln>
                  </pic:spPr>
                </pic:pic>
              </a:graphicData>
            </a:graphic>
          </wp:inline>
        </w:drawing>
      </w:r>
    </w:p>
    <w:p w14:paraId="3E2136B2" w14:textId="6040E256" w:rsidR="00313BA1" w:rsidRPr="00556FBB" w:rsidRDefault="006B6895" w:rsidP="00556FBB">
      <w:pPr>
        <w:spacing w:after="0" w:line="360" w:lineRule="auto"/>
        <w:contextualSpacing/>
        <w:jc w:val="both"/>
        <w:rPr>
          <w:rFonts w:ascii="Book Antiqua" w:hAnsi="Book Antiqua" w:cs="Times New Roman"/>
          <w:sz w:val="24"/>
          <w:szCs w:val="24"/>
        </w:rPr>
      </w:pPr>
      <w:r w:rsidRPr="00556FBB">
        <w:rPr>
          <w:rFonts w:ascii="Book Antiqua" w:hAnsi="Book Antiqua" w:cs="Times New Roman"/>
          <w:sz w:val="24"/>
          <w:szCs w:val="24"/>
        </w:rPr>
        <w:t xml:space="preserve">Figure </w:t>
      </w:r>
      <w:r w:rsidR="004D0241" w:rsidRPr="00556FBB">
        <w:rPr>
          <w:rFonts w:ascii="Book Antiqua" w:hAnsi="Book Antiqua" w:cs="Times New Roman"/>
          <w:sz w:val="24"/>
          <w:szCs w:val="24"/>
        </w:rPr>
        <w:t>4</w:t>
      </w:r>
      <w:r w:rsidR="00556FBB" w:rsidRPr="00556FBB">
        <w:rPr>
          <w:rFonts w:ascii="Book Antiqua" w:hAnsi="Book Antiqua" w:cs="Times New Roman"/>
          <w:sz w:val="24"/>
          <w:szCs w:val="24"/>
          <w:lang w:eastAsia="zh-CN"/>
        </w:rPr>
        <w:t xml:space="preserve"> </w:t>
      </w:r>
      <w:r w:rsidR="00556FBB" w:rsidRPr="00556FBB">
        <w:rPr>
          <w:rFonts w:ascii="Book Antiqua" w:hAnsi="Book Antiqua" w:cs="Times New Roman"/>
          <w:sz w:val="24"/>
          <w:szCs w:val="24"/>
        </w:rPr>
        <w:t>Ninety-four</w:t>
      </w:r>
      <w:r w:rsidR="009C4ADB" w:rsidRPr="00556FBB">
        <w:rPr>
          <w:rFonts w:ascii="Book Antiqua" w:hAnsi="Book Antiqua" w:cs="Times New Roman"/>
          <w:sz w:val="24"/>
          <w:szCs w:val="24"/>
        </w:rPr>
        <w:t>-</w:t>
      </w:r>
      <w:r w:rsidR="00A22A57" w:rsidRPr="00556FBB">
        <w:rPr>
          <w:rFonts w:ascii="Book Antiqua" w:hAnsi="Book Antiqua" w:cs="Times New Roman"/>
          <w:sz w:val="24"/>
          <w:szCs w:val="24"/>
        </w:rPr>
        <w:t xml:space="preserve">year-old female with a history of moderately differentiated adenocarcinoma of the esophagus referred for percutaneous gastrostomy tube placement. A 16-French gastrostomy tube was placed through a 20-French peel-away sheath. Procedure time was 21 min. Fluoroscopy time was 6 min 18 s and Air </w:t>
      </w:r>
      <w:proofErr w:type="spellStart"/>
      <w:r w:rsidR="00A22A57" w:rsidRPr="00556FBB">
        <w:rPr>
          <w:rFonts w:ascii="Book Antiqua" w:hAnsi="Book Antiqua" w:cs="Times New Roman"/>
          <w:sz w:val="24"/>
          <w:szCs w:val="24"/>
        </w:rPr>
        <w:t>Kerma</w:t>
      </w:r>
      <w:proofErr w:type="spellEnd"/>
      <w:r w:rsidR="00A22A57" w:rsidRPr="00556FBB">
        <w:rPr>
          <w:rFonts w:ascii="Book Antiqua" w:hAnsi="Book Antiqua" w:cs="Times New Roman"/>
          <w:sz w:val="24"/>
          <w:szCs w:val="24"/>
        </w:rPr>
        <w:t xml:space="preserve"> was 81.5 </w:t>
      </w:r>
      <w:proofErr w:type="spellStart"/>
      <w:r w:rsidR="00A22A57" w:rsidRPr="00556FBB">
        <w:rPr>
          <w:rFonts w:ascii="Book Antiqua" w:hAnsi="Book Antiqua" w:cs="Times New Roman"/>
          <w:sz w:val="24"/>
          <w:szCs w:val="24"/>
        </w:rPr>
        <w:t>mGy</w:t>
      </w:r>
      <w:proofErr w:type="spellEnd"/>
      <w:r w:rsidR="00A22A57" w:rsidRPr="00556FBB">
        <w:rPr>
          <w:rFonts w:ascii="Book Antiqua" w:hAnsi="Book Antiqua" w:cs="Times New Roman"/>
          <w:sz w:val="24"/>
          <w:szCs w:val="24"/>
        </w:rPr>
        <w:t>. The gastrostomy tube was started to be used for enteral feeding 24 h after the procedure. A</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A pre-procedural cone-beam CT was obtained since no CT abdomen was available. A 5-French MPA catheter was placed along with a 0.035 </w:t>
      </w:r>
      <w:proofErr w:type="spellStart"/>
      <w:r w:rsidR="00A22A57" w:rsidRPr="00556FBB">
        <w:rPr>
          <w:rFonts w:ascii="Book Antiqua" w:hAnsi="Book Antiqua" w:cs="Times New Roman"/>
          <w:sz w:val="24"/>
          <w:szCs w:val="24"/>
        </w:rPr>
        <w:t>Glidewire</w:t>
      </w:r>
      <w:proofErr w:type="spellEnd"/>
      <w:r w:rsidR="00A22A57" w:rsidRPr="00556FBB">
        <w:rPr>
          <w:rFonts w:ascii="Book Antiqua" w:hAnsi="Book Antiqua" w:cs="Times New Roman"/>
          <w:sz w:val="24"/>
          <w:szCs w:val="24"/>
        </w:rPr>
        <w:t>. The stomach was manually inflated with air. Arrowhead points to 21-gauge short local anesthetic needle left in place for entry site planning</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B</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Placement of the first T-bar fastener (white arrow). </w:t>
      </w:r>
      <w:r w:rsidR="00556FBB" w:rsidRPr="00556FBB">
        <w:rPr>
          <w:rFonts w:ascii="Book Antiqua" w:hAnsi="Book Antiqua" w:cs="Times New Roman"/>
          <w:sz w:val="24"/>
          <w:szCs w:val="24"/>
        </w:rPr>
        <w:t>Again,</w:t>
      </w:r>
      <w:r w:rsidR="00A22A57" w:rsidRPr="00556FBB">
        <w:rPr>
          <w:rFonts w:ascii="Book Antiqua" w:hAnsi="Book Antiqua" w:cs="Times New Roman"/>
          <w:sz w:val="24"/>
          <w:szCs w:val="24"/>
        </w:rPr>
        <w:t xml:space="preserve"> note the inflated stomach (arrowheads)</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C</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Note the three T-bar fasteners as linear densities (white arrows). An 18-French needle was visualized at the access site in the </w:t>
      </w:r>
      <w:r w:rsidR="00556FBB" w:rsidRPr="00556FBB">
        <w:rPr>
          <w:rStyle w:val="fontstyle01"/>
          <w:rFonts w:ascii="Book Antiqua" w:hAnsi="Book Antiqua" w:cs="Times New Roman"/>
          <w:color w:val="auto"/>
          <w:sz w:val="24"/>
          <w:szCs w:val="24"/>
        </w:rPr>
        <w:t>left anterior oblique</w:t>
      </w:r>
      <w:r w:rsidR="00556FBB" w:rsidRPr="00556FBB">
        <w:rPr>
          <w:rFonts w:ascii="Book Antiqua" w:hAnsi="Book Antiqua" w:cs="Times New Roman"/>
          <w:sz w:val="24"/>
          <w:szCs w:val="24"/>
        </w:rPr>
        <w:t xml:space="preserve"> </w:t>
      </w:r>
      <w:r w:rsidR="00A22A57" w:rsidRPr="00556FBB">
        <w:rPr>
          <w:rFonts w:ascii="Book Antiqua" w:hAnsi="Book Antiqua" w:cs="Times New Roman"/>
          <w:sz w:val="24"/>
          <w:szCs w:val="24"/>
        </w:rPr>
        <w:t>projection lined. The needle (black arrow) was in line with the radiation beam and was aiming towards the antrum and pylorus</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D</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In the </w:t>
      </w:r>
      <w:r w:rsidR="00556FBB" w:rsidRPr="00556FBB">
        <w:rPr>
          <w:rStyle w:val="fontstyle01"/>
          <w:rFonts w:ascii="Book Antiqua" w:hAnsi="Book Antiqua" w:cs="Times New Roman"/>
          <w:color w:val="auto"/>
          <w:sz w:val="24"/>
          <w:szCs w:val="24"/>
        </w:rPr>
        <w:t>right anterior oblique</w:t>
      </w:r>
      <w:r w:rsidR="00556FBB" w:rsidRPr="00556FBB">
        <w:rPr>
          <w:rFonts w:ascii="Book Antiqua" w:hAnsi="Book Antiqua" w:cs="Times New Roman"/>
          <w:sz w:val="24"/>
          <w:szCs w:val="24"/>
        </w:rPr>
        <w:t xml:space="preserve"> </w:t>
      </w:r>
      <w:r w:rsidR="00A22A57" w:rsidRPr="00556FBB">
        <w:rPr>
          <w:rFonts w:ascii="Book Antiqua" w:hAnsi="Book Antiqua" w:cs="Times New Roman"/>
          <w:sz w:val="24"/>
          <w:szCs w:val="24"/>
        </w:rPr>
        <w:t>projection, the depth of the needle (black arrow) can be visualized penetrating the gastric wall</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E, F</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With iodinated contrast injection, the gastric rugae (arrowheads) could be visualized, thus confirming the intragastric location of the needle</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G</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The advancement of the 0.035 </w:t>
      </w:r>
      <w:proofErr w:type="spellStart"/>
      <w:r w:rsidR="00A22A57" w:rsidRPr="00556FBB">
        <w:rPr>
          <w:rFonts w:ascii="Book Antiqua" w:hAnsi="Book Antiqua" w:cs="Times New Roman"/>
          <w:sz w:val="24"/>
          <w:szCs w:val="24"/>
        </w:rPr>
        <w:t>Amplatz</w:t>
      </w:r>
      <w:proofErr w:type="spellEnd"/>
      <w:r w:rsidR="00A22A57" w:rsidRPr="00556FBB">
        <w:rPr>
          <w:rFonts w:ascii="Book Antiqua" w:hAnsi="Book Antiqua" w:cs="Times New Roman"/>
          <w:sz w:val="24"/>
          <w:szCs w:val="24"/>
        </w:rPr>
        <w:t xml:space="preserve"> wire (arrowheads) over the needle was pursued. After subsequent tract dilatation the peel-way sheath (arrow) was advanced </w:t>
      </w:r>
      <w:r w:rsidR="00A22A57" w:rsidRPr="00556FBB">
        <w:rPr>
          <w:rFonts w:ascii="Book Antiqua" w:hAnsi="Book Antiqua" w:cs="Times New Roman"/>
          <w:sz w:val="24"/>
          <w:szCs w:val="24"/>
        </w:rPr>
        <w:lastRenderedPageBreak/>
        <w:t xml:space="preserve">over the </w:t>
      </w:r>
      <w:proofErr w:type="spellStart"/>
      <w:r w:rsidR="00A22A57" w:rsidRPr="00556FBB">
        <w:rPr>
          <w:rFonts w:ascii="Book Antiqua" w:hAnsi="Book Antiqua" w:cs="Times New Roman"/>
          <w:sz w:val="24"/>
          <w:szCs w:val="24"/>
        </w:rPr>
        <w:t>Amplatz</w:t>
      </w:r>
      <w:proofErr w:type="spellEnd"/>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H</w:t>
      </w:r>
      <w:r w:rsidR="00556FBB" w:rsidRPr="00556FBB">
        <w:rPr>
          <w:rFonts w:ascii="Book Antiqua" w:hAnsi="Book Antiqua" w:cs="Times New Roman"/>
          <w:sz w:val="24"/>
          <w:szCs w:val="24"/>
        </w:rPr>
        <w:t>:</w:t>
      </w:r>
      <w:r w:rsidR="00A22A57" w:rsidRPr="00556FBB">
        <w:rPr>
          <w:rFonts w:ascii="Book Antiqua" w:hAnsi="Book Antiqua" w:cs="Times New Roman"/>
          <w:sz w:val="24"/>
          <w:szCs w:val="24"/>
        </w:rPr>
        <w:t xml:space="preserve"> The gastrostomy tube (arrow) was advanced through the peel-away sheath. After completion of the procedure the MPA catheter was removed. </w:t>
      </w:r>
    </w:p>
    <w:sectPr w:rsidR="00313BA1" w:rsidRPr="00556FBB">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7B688" w14:textId="77777777" w:rsidR="005C554D" w:rsidRDefault="005C554D" w:rsidP="00643C9C">
      <w:pPr>
        <w:spacing w:after="0" w:line="240" w:lineRule="auto"/>
      </w:pPr>
      <w:r>
        <w:separator/>
      </w:r>
    </w:p>
  </w:endnote>
  <w:endnote w:type="continuationSeparator" w:id="0">
    <w:p w14:paraId="25794BEC" w14:textId="77777777" w:rsidR="005C554D" w:rsidRDefault="005C554D" w:rsidP="0064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rebuchetMS">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imesNewRomanPS-BoldItalicMT">
    <w:altName w:val="Segoe Prin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A4E6E" w14:textId="77777777" w:rsidR="005C554D" w:rsidRDefault="005C554D" w:rsidP="00643C9C">
      <w:pPr>
        <w:spacing w:after="0" w:line="240" w:lineRule="auto"/>
      </w:pPr>
      <w:r>
        <w:separator/>
      </w:r>
    </w:p>
  </w:footnote>
  <w:footnote w:type="continuationSeparator" w:id="0">
    <w:p w14:paraId="0061D9E3" w14:textId="77777777" w:rsidR="005C554D" w:rsidRDefault="005C554D" w:rsidP="00643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429900"/>
      <w:docPartObj>
        <w:docPartGallery w:val="Page Numbers (Top of Page)"/>
        <w:docPartUnique/>
      </w:docPartObj>
    </w:sdtPr>
    <w:sdtEndPr>
      <w:rPr>
        <w:noProof/>
      </w:rPr>
    </w:sdtEndPr>
    <w:sdtContent>
      <w:p w14:paraId="49FED511" w14:textId="1370C41B" w:rsidR="00643C9C" w:rsidRDefault="00643C9C">
        <w:pPr>
          <w:pStyle w:val="a7"/>
          <w:jc w:val="right"/>
        </w:pPr>
        <w:r>
          <w:fldChar w:fldCharType="begin"/>
        </w:r>
        <w:r>
          <w:instrText xml:space="preserve"> PAGE   \* MERGEFORMAT </w:instrText>
        </w:r>
        <w:r>
          <w:fldChar w:fldCharType="separate"/>
        </w:r>
        <w:r w:rsidR="00056577">
          <w:rPr>
            <w:noProof/>
          </w:rPr>
          <w:t>17</w:t>
        </w:r>
        <w:r>
          <w:rPr>
            <w:noProof/>
          </w:rPr>
          <w:fldChar w:fldCharType="end"/>
        </w:r>
      </w:p>
    </w:sdtContent>
  </w:sdt>
  <w:p w14:paraId="134FB1F7" w14:textId="77777777" w:rsidR="00643C9C" w:rsidRDefault="00643C9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D8A"/>
    <w:rsid w:val="0000474E"/>
    <w:rsid w:val="00005F68"/>
    <w:rsid w:val="00010017"/>
    <w:rsid w:val="00012505"/>
    <w:rsid w:val="0001306C"/>
    <w:rsid w:val="0001590F"/>
    <w:rsid w:val="0002611D"/>
    <w:rsid w:val="00056376"/>
    <w:rsid w:val="00056577"/>
    <w:rsid w:val="000636F7"/>
    <w:rsid w:val="000646B4"/>
    <w:rsid w:val="00067B1D"/>
    <w:rsid w:val="00071FD5"/>
    <w:rsid w:val="00080821"/>
    <w:rsid w:val="000828E2"/>
    <w:rsid w:val="00085EDB"/>
    <w:rsid w:val="00095E1E"/>
    <w:rsid w:val="000A3240"/>
    <w:rsid w:val="000C4F3B"/>
    <w:rsid w:val="000D265F"/>
    <w:rsid w:val="000F41B6"/>
    <w:rsid w:val="00100384"/>
    <w:rsid w:val="001060A0"/>
    <w:rsid w:val="00125CBA"/>
    <w:rsid w:val="001301D8"/>
    <w:rsid w:val="001319B2"/>
    <w:rsid w:val="001344A2"/>
    <w:rsid w:val="001407C8"/>
    <w:rsid w:val="001411E9"/>
    <w:rsid w:val="00143163"/>
    <w:rsid w:val="001531D5"/>
    <w:rsid w:val="00157FCC"/>
    <w:rsid w:val="00187257"/>
    <w:rsid w:val="001B4382"/>
    <w:rsid w:val="001B6A27"/>
    <w:rsid w:val="001B7DB5"/>
    <w:rsid w:val="001C4A14"/>
    <w:rsid w:val="001C714C"/>
    <w:rsid w:val="001E3AF9"/>
    <w:rsid w:val="001E6033"/>
    <w:rsid w:val="00205E09"/>
    <w:rsid w:val="00227EA5"/>
    <w:rsid w:val="00234641"/>
    <w:rsid w:val="0026080A"/>
    <w:rsid w:val="00261D59"/>
    <w:rsid w:val="00296F22"/>
    <w:rsid w:val="002A2718"/>
    <w:rsid w:val="002A28A9"/>
    <w:rsid w:val="002A5BA7"/>
    <w:rsid w:val="002D00CF"/>
    <w:rsid w:val="002D1DF1"/>
    <w:rsid w:val="002F31B1"/>
    <w:rsid w:val="00301631"/>
    <w:rsid w:val="00313BA1"/>
    <w:rsid w:val="0031455F"/>
    <w:rsid w:val="00316547"/>
    <w:rsid w:val="003216A0"/>
    <w:rsid w:val="003440AC"/>
    <w:rsid w:val="003461C6"/>
    <w:rsid w:val="00372435"/>
    <w:rsid w:val="00376EE7"/>
    <w:rsid w:val="00383378"/>
    <w:rsid w:val="003B1272"/>
    <w:rsid w:val="0040426D"/>
    <w:rsid w:val="0042081C"/>
    <w:rsid w:val="00431383"/>
    <w:rsid w:val="0043768E"/>
    <w:rsid w:val="00445F42"/>
    <w:rsid w:val="0045356F"/>
    <w:rsid w:val="0048031D"/>
    <w:rsid w:val="004A59BD"/>
    <w:rsid w:val="004B55B9"/>
    <w:rsid w:val="004B5A4C"/>
    <w:rsid w:val="004C5BC3"/>
    <w:rsid w:val="004C7FB9"/>
    <w:rsid w:val="004D0241"/>
    <w:rsid w:val="004E3BAF"/>
    <w:rsid w:val="004F2E89"/>
    <w:rsid w:val="005231CA"/>
    <w:rsid w:val="005254AD"/>
    <w:rsid w:val="0053592D"/>
    <w:rsid w:val="00547848"/>
    <w:rsid w:val="00556FBB"/>
    <w:rsid w:val="00587D8A"/>
    <w:rsid w:val="005A11F8"/>
    <w:rsid w:val="005A6C82"/>
    <w:rsid w:val="005B73EF"/>
    <w:rsid w:val="005B74ED"/>
    <w:rsid w:val="005C554D"/>
    <w:rsid w:val="005E32DB"/>
    <w:rsid w:val="005F7EFE"/>
    <w:rsid w:val="00604526"/>
    <w:rsid w:val="00615CE2"/>
    <w:rsid w:val="006256D2"/>
    <w:rsid w:val="00643C9C"/>
    <w:rsid w:val="00652EE5"/>
    <w:rsid w:val="00662599"/>
    <w:rsid w:val="006738FD"/>
    <w:rsid w:val="0068600D"/>
    <w:rsid w:val="0069033F"/>
    <w:rsid w:val="006B5001"/>
    <w:rsid w:val="006B6895"/>
    <w:rsid w:val="006F0192"/>
    <w:rsid w:val="007157EE"/>
    <w:rsid w:val="00722984"/>
    <w:rsid w:val="00723131"/>
    <w:rsid w:val="0074415A"/>
    <w:rsid w:val="0078715A"/>
    <w:rsid w:val="007941CA"/>
    <w:rsid w:val="007965E3"/>
    <w:rsid w:val="007A4678"/>
    <w:rsid w:val="007A4FEC"/>
    <w:rsid w:val="007B5D1F"/>
    <w:rsid w:val="007D7622"/>
    <w:rsid w:val="007E7A4C"/>
    <w:rsid w:val="00810BFB"/>
    <w:rsid w:val="0081756A"/>
    <w:rsid w:val="00847C49"/>
    <w:rsid w:val="00857101"/>
    <w:rsid w:val="008609A0"/>
    <w:rsid w:val="0087286E"/>
    <w:rsid w:val="008832C5"/>
    <w:rsid w:val="008951F7"/>
    <w:rsid w:val="008E1322"/>
    <w:rsid w:val="008E1336"/>
    <w:rsid w:val="008F1878"/>
    <w:rsid w:val="00904DA9"/>
    <w:rsid w:val="009267BD"/>
    <w:rsid w:val="0092771E"/>
    <w:rsid w:val="00942F74"/>
    <w:rsid w:val="009813AF"/>
    <w:rsid w:val="0099245E"/>
    <w:rsid w:val="00994984"/>
    <w:rsid w:val="009B0111"/>
    <w:rsid w:val="009B23ED"/>
    <w:rsid w:val="009C4ADB"/>
    <w:rsid w:val="009D39EF"/>
    <w:rsid w:val="009D7CBA"/>
    <w:rsid w:val="00A22A57"/>
    <w:rsid w:val="00A414B8"/>
    <w:rsid w:val="00A4418E"/>
    <w:rsid w:val="00A55B31"/>
    <w:rsid w:val="00A572C6"/>
    <w:rsid w:val="00A573DE"/>
    <w:rsid w:val="00A6504E"/>
    <w:rsid w:val="00A67E91"/>
    <w:rsid w:val="00A76696"/>
    <w:rsid w:val="00A76698"/>
    <w:rsid w:val="00A853C4"/>
    <w:rsid w:val="00A9504C"/>
    <w:rsid w:val="00A959D0"/>
    <w:rsid w:val="00AA6CB2"/>
    <w:rsid w:val="00AA6E2A"/>
    <w:rsid w:val="00AD01A9"/>
    <w:rsid w:val="00AD43B6"/>
    <w:rsid w:val="00B00117"/>
    <w:rsid w:val="00B04600"/>
    <w:rsid w:val="00B07726"/>
    <w:rsid w:val="00B17737"/>
    <w:rsid w:val="00B233E6"/>
    <w:rsid w:val="00B31922"/>
    <w:rsid w:val="00B62D02"/>
    <w:rsid w:val="00B84EFD"/>
    <w:rsid w:val="00BC3E92"/>
    <w:rsid w:val="00BD2F58"/>
    <w:rsid w:val="00BE6B82"/>
    <w:rsid w:val="00C01870"/>
    <w:rsid w:val="00C04CC4"/>
    <w:rsid w:val="00C06B3F"/>
    <w:rsid w:val="00C15451"/>
    <w:rsid w:val="00C15BCC"/>
    <w:rsid w:val="00C2410A"/>
    <w:rsid w:val="00C244FD"/>
    <w:rsid w:val="00C440A7"/>
    <w:rsid w:val="00C54A15"/>
    <w:rsid w:val="00C61A3F"/>
    <w:rsid w:val="00C860B2"/>
    <w:rsid w:val="00C94467"/>
    <w:rsid w:val="00CB0021"/>
    <w:rsid w:val="00CB0A3D"/>
    <w:rsid w:val="00CB40A7"/>
    <w:rsid w:val="00CC0AA3"/>
    <w:rsid w:val="00CE099A"/>
    <w:rsid w:val="00D26E29"/>
    <w:rsid w:val="00D27370"/>
    <w:rsid w:val="00D34251"/>
    <w:rsid w:val="00D44D37"/>
    <w:rsid w:val="00D61BCE"/>
    <w:rsid w:val="00D63BF7"/>
    <w:rsid w:val="00D703C2"/>
    <w:rsid w:val="00D911C5"/>
    <w:rsid w:val="00D91C9C"/>
    <w:rsid w:val="00D92363"/>
    <w:rsid w:val="00D938D1"/>
    <w:rsid w:val="00DB04E8"/>
    <w:rsid w:val="00DC3EB5"/>
    <w:rsid w:val="00DD56E1"/>
    <w:rsid w:val="00DE65B7"/>
    <w:rsid w:val="00DE71F1"/>
    <w:rsid w:val="00DF17D2"/>
    <w:rsid w:val="00DF3F6F"/>
    <w:rsid w:val="00E0240D"/>
    <w:rsid w:val="00E32B92"/>
    <w:rsid w:val="00E3489C"/>
    <w:rsid w:val="00E521E7"/>
    <w:rsid w:val="00E5743D"/>
    <w:rsid w:val="00E738ED"/>
    <w:rsid w:val="00EE40E9"/>
    <w:rsid w:val="00EF425C"/>
    <w:rsid w:val="00F07F22"/>
    <w:rsid w:val="00F105DC"/>
    <w:rsid w:val="00F60DCE"/>
    <w:rsid w:val="00F63244"/>
    <w:rsid w:val="00F70697"/>
    <w:rsid w:val="00F7299A"/>
    <w:rsid w:val="00F934A3"/>
    <w:rsid w:val="00F977B8"/>
    <w:rsid w:val="00FA02D0"/>
    <w:rsid w:val="00FA0E49"/>
    <w:rsid w:val="00FB441B"/>
    <w:rsid w:val="00FC23D9"/>
    <w:rsid w:val="00FC7D0E"/>
    <w:rsid w:val="00FE3AD2"/>
    <w:rsid w:val="00FF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90BAC"/>
  <w15:chartTrackingRefBased/>
  <w15:docId w15:val="{05C924C1-C271-4976-87B6-705A3C73B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5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5BA7"/>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2A5BA7"/>
    <w:rPr>
      <w:rFonts w:ascii="Segoe UI" w:hAnsi="Segoe UI" w:cs="Segoe UI"/>
      <w:sz w:val="18"/>
      <w:szCs w:val="18"/>
    </w:rPr>
  </w:style>
  <w:style w:type="character" w:customStyle="1" w:styleId="fontstyle01">
    <w:name w:val="fontstyle01"/>
    <w:basedOn w:val="a0"/>
    <w:rsid w:val="00A9504C"/>
    <w:rPr>
      <w:rFonts w:ascii="TimesNewRomanPSMT" w:hAnsi="TimesNewRomanPSMT" w:hint="default"/>
      <w:b w:val="0"/>
      <w:bCs w:val="0"/>
      <w:i w:val="0"/>
      <w:iCs w:val="0"/>
      <w:color w:val="000000"/>
      <w:sz w:val="22"/>
      <w:szCs w:val="22"/>
    </w:rPr>
  </w:style>
  <w:style w:type="character" w:customStyle="1" w:styleId="fontstyle21">
    <w:name w:val="fontstyle21"/>
    <w:basedOn w:val="a0"/>
    <w:rsid w:val="00A9504C"/>
    <w:rPr>
      <w:rFonts w:ascii="TrebuchetMS" w:hAnsi="TrebuchetMS" w:hint="default"/>
      <w:b w:val="0"/>
      <w:bCs w:val="0"/>
      <w:i w:val="0"/>
      <w:iCs w:val="0"/>
      <w:color w:val="000000"/>
      <w:sz w:val="22"/>
      <w:szCs w:val="22"/>
    </w:rPr>
  </w:style>
  <w:style w:type="paragraph" w:customStyle="1" w:styleId="Default">
    <w:name w:val="Default"/>
    <w:rsid w:val="00A22A57"/>
    <w:pPr>
      <w:pBdr>
        <w:top w:val="nil"/>
        <w:left w:val="nil"/>
        <w:bottom w:val="nil"/>
        <w:right w:val="nil"/>
        <w:between w:val="nil"/>
        <w:bar w:val="nil"/>
      </w:pBdr>
      <w:spacing w:after="0" w:line="240" w:lineRule="auto"/>
    </w:pPr>
    <w:rPr>
      <w:rFonts w:ascii="Helvetica" w:eastAsia="Helvetica" w:hAnsi="Helvetica" w:cs="Helvetica"/>
      <w:color w:val="000000"/>
      <w:bdr w:val="nil"/>
      <w:lang w:eastAsia="zh-CN"/>
    </w:rPr>
  </w:style>
  <w:style w:type="character" w:styleId="a5">
    <w:name w:val="annotation reference"/>
    <w:basedOn w:val="a0"/>
    <w:uiPriority w:val="99"/>
    <w:semiHidden/>
    <w:unhideWhenUsed/>
    <w:rsid w:val="00A22A57"/>
    <w:rPr>
      <w:sz w:val="16"/>
      <w:szCs w:val="16"/>
    </w:rPr>
  </w:style>
  <w:style w:type="character" w:styleId="a6">
    <w:name w:val="Hyperlink"/>
    <w:basedOn w:val="a0"/>
    <w:rsid w:val="001407C8"/>
    <w:rPr>
      <w:color w:val="0563C1" w:themeColor="hyperlink"/>
      <w:u w:val="single"/>
    </w:rPr>
  </w:style>
  <w:style w:type="paragraph" w:styleId="a7">
    <w:name w:val="header"/>
    <w:basedOn w:val="a"/>
    <w:link w:val="a8"/>
    <w:uiPriority w:val="99"/>
    <w:unhideWhenUsed/>
    <w:rsid w:val="00643C9C"/>
    <w:pPr>
      <w:tabs>
        <w:tab w:val="center" w:pos="4680"/>
        <w:tab w:val="right" w:pos="9360"/>
      </w:tabs>
      <w:spacing w:after="0" w:line="240" w:lineRule="auto"/>
    </w:pPr>
  </w:style>
  <w:style w:type="character" w:customStyle="1" w:styleId="a8">
    <w:name w:val="页眉 字符"/>
    <w:basedOn w:val="a0"/>
    <w:link w:val="a7"/>
    <w:uiPriority w:val="99"/>
    <w:rsid w:val="00643C9C"/>
  </w:style>
  <w:style w:type="paragraph" w:styleId="a9">
    <w:name w:val="footer"/>
    <w:basedOn w:val="a"/>
    <w:link w:val="aa"/>
    <w:uiPriority w:val="99"/>
    <w:unhideWhenUsed/>
    <w:rsid w:val="00643C9C"/>
    <w:pPr>
      <w:tabs>
        <w:tab w:val="center" w:pos="4680"/>
        <w:tab w:val="right" w:pos="9360"/>
      </w:tabs>
      <w:spacing w:after="0" w:line="240" w:lineRule="auto"/>
    </w:pPr>
  </w:style>
  <w:style w:type="character" w:customStyle="1" w:styleId="aa">
    <w:name w:val="页脚 字符"/>
    <w:basedOn w:val="a0"/>
    <w:link w:val="a9"/>
    <w:uiPriority w:val="99"/>
    <w:rsid w:val="00643C9C"/>
  </w:style>
  <w:style w:type="paragraph" w:customStyle="1" w:styleId="1">
    <w:name w:val="正文1"/>
    <w:uiPriority w:val="99"/>
    <w:rsid w:val="00CE099A"/>
    <w:pPr>
      <w:spacing w:after="0" w:line="276" w:lineRule="auto"/>
    </w:pPr>
    <w:rPr>
      <w:rFonts w:ascii="Arial" w:eastAsia="宋体" w:hAnsi="Arial" w:cs="Arial"/>
      <w:color w:val="000000"/>
      <w:szCs w:val="20"/>
      <w:lang w:val="pl-PL" w:eastAsia="pl-PL"/>
    </w:rPr>
  </w:style>
  <w:style w:type="paragraph" w:styleId="ab">
    <w:name w:val="annotation text"/>
    <w:basedOn w:val="a"/>
    <w:link w:val="ac"/>
    <w:unhideWhenUsed/>
    <w:rsid w:val="00A67E91"/>
    <w:pPr>
      <w:widowControl w:val="0"/>
      <w:wordWrap w:val="0"/>
      <w:autoSpaceDE w:val="0"/>
      <w:autoSpaceDN w:val="0"/>
      <w:spacing w:line="240" w:lineRule="auto"/>
      <w:jc w:val="both"/>
    </w:pPr>
    <w:rPr>
      <w:kern w:val="2"/>
      <w:sz w:val="20"/>
      <w:szCs w:val="20"/>
      <w:lang w:eastAsia="ko-KR"/>
    </w:rPr>
  </w:style>
  <w:style w:type="character" w:customStyle="1" w:styleId="ac">
    <w:name w:val="批注文字 字符"/>
    <w:basedOn w:val="a0"/>
    <w:link w:val="ab"/>
    <w:rsid w:val="00A67E91"/>
    <w:rPr>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18813">
      <w:bodyDiv w:val="1"/>
      <w:marLeft w:val="0"/>
      <w:marRight w:val="0"/>
      <w:marTop w:val="0"/>
      <w:marBottom w:val="0"/>
      <w:divBdr>
        <w:top w:val="none" w:sz="0" w:space="0" w:color="auto"/>
        <w:left w:val="none" w:sz="0" w:space="0" w:color="auto"/>
        <w:bottom w:val="none" w:sz="0" w:space="0" w:color="auto"/>
        <w:right w:val="none" w:sz="0" w:space="0" w:color="auto"/>
      </w:divBdr>
    </w:div>
    <w:div w:id="813717638">
      <w:bodyDiv w:val="1"/>
      <w:marLeft w:val="0"/>
      <w:marRight w:val="0"/>
      <w:marTop w:val="0"/>
      <w:marBottom w:val="0"/>
      <w:divBdr>
        <w:top w:val="none" w:sz="0" w:space="0" w:color="auto"/>
        <w:left w:val="none" w:sz="0" w:space="0" w:color="auto"/>
        <w:bottom w:val="none" w:sz="0" w:space="0" w:color="auto"/>
        <w:right w:val="none" w:sz="0" w:space="0" w:color="auto"/>
      </w:divBdr>
    </w:div>
    <w:div w:id="952441219">
      <w:bodyDiv w:val="1"/>
      <w:marLeft w:val="0"/>
      <w:marRight w:val="0"/>
      <w:marTop w:val="0"/>
      <w:marBottom w:val="0"/>
      <w:divBdr>
        <w:top w:val="none" w:sz="0" w:space="0" w:color="auto"/>
        <w:left w:val="none" w:sz="0" w:space="0" w:color="auto"/>
        <w:bottom w:val="none" w:sz="0" w:space="0" w:color="auto"/>
        <w:right w:val="none" w:sz="0" w:space="0" w:color="auto"/>
      </w:divBdr>
    </w:div>
    <w:div w:id="1604068155">
      <w:bodyDiv w:val="1"/>
      <w:marLeft w:val="0"/>
      <w:marRight w:val="0"/>
      <w:marTop w:val="0"/>
      <w:marBottom w:val="0"/>
      <w:divBdr>
        <w:top w:val="none" w:sz="0" w:space="0" w:color="auto"/>
        <w:left w:val="none" w:sz="0" w:space="0" w:color="auto"/>
        <w:bottom w:val="none" w:sz="0" w:space="0" w:color="auto"/>
        <w:right w:val="none" w:sz="0" w:space="0" w:color="auto"/>
      </w:divBdr>
      <w:divsChild>
        <w:div w:id="1211842370">
          <w:marLeft w:val="0"/>
          <w:marRight w:val="0"/>
          <w:marTop w:val="0"/>
          <w:marBottom w:val="30"/>
          <w:divBdr>
            <w:top w:val="none" w:sz="0" w:space="0" w:color="auto"/>
            <w:left w:val="none" w:sz="0" w:space="0" w:color="auto"/>
            <w:bottom w:val="none" w:sz="0" w:space="0" w:color="auto"/>
            <w:right w:val="none" w:sz="0" w:space="0" w:color="auto"/>
          </w:divBdr>
          <w:divsChild>
            <w:div w:id="14300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0CF7620-8053-4073-B932-5A395D89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22413</Words>
  <Characters>127755</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149869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Xin</dc:creator>
  <cp:keywords/>
  <dc:description/>
  <cp:lastModifiedBy>Liansheng Ma</cp:lastModifiedBy>
  <cp:revision>2</cp:revision>
  <dcterms:created xsi:type="dcterms:W3CDTF">2020-01-11T01:54:00Z</dcterms:created>
  <dcterms:modified xsi:type="dcterms:W3CDTF">2020-01-11T01:54:00Z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http://www.zotero.org/styles/emergency-radiology</vt:lpwstr>
  </property>
  <property fmtid="{D5CDD505-2E9C-101B-9397-08002B2CF9AE}" pid="13" name="Mendeley Recent Style Name 5_1">
    <vt:lpwstr>Emergency Radiology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ee3ad7aa-ceed-38d7-be4d-b7ec48a1ffd4</vt:lpwstr>
  </property>
  <property fmtid="{D5CDD505-2E9C-101B-9397-08002B2CF9AE}" pid="24" name="Mendeley Citation Style_1">
    <vt:lpwstr>http://www.zotero.org/styles/world-journal-of-gastroenterology</vt:lpwstr>
  </property>
</Properties>
</file>