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B09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Name of Journal: </w:t>
      </w:r>
      <w:r w:rsidRPr="00ED01BB">
        <w:rPr>
          <w:rFonts w:ascii="Book Antiqua" w:eastAsia="Book Antiqua" w:hAnsi="Book Antiqua" w:cs="Book Antiqua"/>
          <w:i/>
          <w:color w:val="000000"/>
        </w:rPr>
        <w:t>World Journal of Hepatology</w:t>
      </w:r>
    </w:p>
    <w:p w14:paraId="651B18FA"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Manuscript NO: </w:t>
      </w:r>
      <w:r w:rsidRPr="00ED01BB">
        <w:rPr>
          <w:rFonts w:ascii="Book Antiqua" w:eastAsia="Book Antiqua" w:hAnsi="Book Antiqua" w:cs="Book Antiqua"/>
          <w:color w:val="000000"/>
        </w:rPr>
        <w:t>57138</w:t>
      </w:r>
    </w:p>
    <w:p w14:paraId="5B9A1386"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Manuscript Type: </w:t>
      </w:r>
      <w:r w:rsidRPr="00ED01BB">
        <w:rPr>
          <w:rFonts w:ascii="Book Antiqua" w:eastAsia="Book Antiqua" w:hAnsi="Book Antiqua" w:cs="Book Antiqua"/>
          <w:color w:val="000000"/>
        </w:rPr>
        <w:t>META-ANALYSIS</w:t>
      </w:r>
    </w:p>
    <w:p w14:paraId="40EBDA50" w14:textId="77777777" w:rsidR="00A77B3E" w:rsidRPr="00ED01BB" w:rsidRDefault="00A77B3E" w:rsidP="00ED01BB">
      <w:pPr>
        <w:adjustRightInd w:val="0"/>
        <w:spacing w:line="360" w:lineRule="auto"/>
        <w:jc w:val="both"/>
        <w:rPr>
          <w:rFonts w:ascii="Book Antiqua" w:hAnsi="Book Antiqua"/>
        </w:rPr>
      </w:pPr>
    </w:p>
    <w:p w14:paraId="332318B6" w14:textId="77777777" w:rsidR="00A77B3E" w:rsidRPr="00ED01BB" w:rsidRDefault="00C07E1E" w:rsidP="00ED01BB">
      <w:pPr>
        <w:adjustRightInd w:val="0"/>
        <w:spacing w:line="360" w:lineRule="auto"/>
        <w:jc w:val="both"/>
        <w:rPr>
          <w:rFonts w:ascii="Book Antiqua" w:hAnsi="Book Antiqua"/>
        </w:rPr>
      </w:pPr>
      <w:bookmarkStart w:id="0" w:name="OLE_LINK1"/>
      <w:bookmarkStart w:id="1" w:name="OLE_LINK2"/>
      <w:bookmarkStart w:id="2" w:name="OLE_LINK9"/>
      <w:bookmarkStart w:id="3" w:name="OLE_LINK14"/>
      <w:r w:rsidRPr="00ED01BB">
        <w:rPr>
          <w:rFonts w:ascii="Book Antiqua" w:eastAsia="Book Antiqua" w:hAnsi="Book Antiqua" w:cs="Book Antiqua"/>
          <w:b/>
          <w:bCs/>
          <w:color w:val="000000"/>
        </w:rPr>
        <w:t>Efficacy and safety of once daily tacrolimus compared to twice daily tacrolimus after liver transplantation</w:t>
      </w:r>
    </w:p>
    <w:bookmarkEnd w:id="0"/>
    <w:bookmarkEnd w:id="1"/>
    <w:bookmarkEnd w:id="2"/>
    <w:bookmarkEnd w:id="3"/>
    <w:p w14:paraId="6477DC4D" w14:textId="77777777" w:rsidR="00A77B3E" w:rsidRPr="00ED01BB" w:rsidRDefault="00A77B3E" w:rsidP="00ED01BB">
      <w:pPr>
        <w:adjustRightInd w:val="0"/>
        <w:spacing w:line="360" w:lineRule="auto"/>
        <w:jc w:val="both"/>
        <w:rPr>
          <w:rFonts w:ascii="Book Antiqua" w:hAnsi="Book Antiqua"/>
        </w:rPr>
      </w:pPr>
    </w:p>
    <w:p w14:paraId="654B5C2C" w14:textId="4764C0C7" w:rsidR="00A77B3E" w:rsidRPr="00ED01BB" w:rsidRDefault="005B08A2"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color w:val="000000"/>
        </w:rPr>
        <w:t>Bzeizi</w:t>
      </w:r>
      <w:proofErr w:type="spellEnd"/>
      <w:r w:rsidRPr="00ED01BB">
        <w:rPr>
          <w:rFonts w:ascii="Book Antiqua" w:eastAsia="Book Antiqua" w:hAnsi="Book Antiqua" w:cs="Book Antiqua"/>
          <w:color w:val="000000"/>
        </w:rPr>
        <w:t xml:space="preserve"> K</w:t>
      </w:r>
      <w:r w:rsidR="00943AB9">
        <w:rPr>
          <w:rFonts w:ascii="Book Antiqua" w:eastAsia="Book Antiqua" w:hAnsi="Book Antiqua" w:cs="Book Antiqua"/>
          <w:color w:val="000000"/>
        </w:rPr>
        <w:t>I</w:t>
      </w:r>
      <w:r w:rsidRPr="00ED01BB">
        <w:rPr>
          <w:rFonts w:ascii="Book Antiqua" w:eastAsia="Book Antiqua" w:hAnsi="Book Antiqua" w:cs="Book Antiqua"/>
          <w:i/>
          <w:iCs/>
          <w:color w:val="000000"/>
        </w:rPr>
        <w:t xml:space="preserve"> et al</w:t>
      </w:r>
      <w:r w:rsidRPr="00ED01BB">
        <w:rPr>
          <w:rFonts w:ascii="Book Antiqua" w:eastAsia="Book Antiqua" w:hAnsi="Book Antiqua" w:cs="Book Antiqua"/>
          <w:color w:val="000000"/>
        </w:rPr>
        <w:t xml:space="preserve">. </w:t>
      </w:r>
      <w:bookmarkStart w:id="4" w:name="OLE_LINK15"/>
      <w:bookmarkStart w:id="5" w:name="OLE_LINK16"/>
      <w:r w:rsidR="00C07E1E" w:rsidRPr="00ED01BB">
        <w:rPr>
          <w:rFonts w:ascii="Book Antiqua" w:eastAsia="Book Antiqua" w:hAnsi="Book Antiqua" w:cs="Book Antiqua"/>
          <w:color w:val="000000"/>
        </w:rPr>
        <w:t>Prolonged tacrolimus for liver transplantation</w:t>
      </w:r>
    </w:p>
    <w:bookmarkEnd w:id="4"/>
    <w:bookmarkEnd w:id="5"/>
    <w:p w14:paraId="171BFAE6" w14:textId="77777777" w:rsidR="00A77B3E" w:rsidRPr="00ED01BB" w:rsidRDefault="00A77B3E" w:rsidP="00ED01BB">
      <w:pPr>
        <w:adjustRightInd w:val="0"/>
        <w:spacing w:line="360" w:lineRule="auto"/>
        <w:jc w:val="both"/>
        <w:rPr>
          <w:rFonts w:ascii="Book Antiqua" w:hAnsi="Book Antiqua"/>
        </w:rPr>
      </w:pPr>
    </w:p>
    <w:p w14:paraId="27750726"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 xml:space="preserve">Khalid Ibrahim </w:t>
      </w:r>
      <w:proofErr w:type="spellStart"/>
      <w:r w:rsidRPr="00ED01BB">
        <w:rPr>
          <w:rFonts w:ascii="Book Antiqua" w:eastAsia="Book Antiqua" w:hAnsi="Book Antiqua" w:cs="Book Antiqua"/>
          <w:color w:val="000000"/>
        </w:rPr>
        <w:t>Bzeizi</w:t>
      </w:r>
      <w:proofErr w:type="spellEnd"/>
      <w:r w:rsidRPr="00ED01BB">
        <w:rPr>
          <w:rFonts w:ascii="Book Antiqua" w:eastAsia="Book Antiqua" w:hAnsi="Book Antiqua" w:cs="Book Antiqua"/>
          <w:color w:val="000000"/>
        </w:rPr>
        <w:t xml:space="preserve">, Ali </w:t>
      </w:r>
      <w:proofErr w:type="spellStart"/>
      <w:r w:rsidRPr="00ED01BB">
        <w:rPr>
          <w:rFonts w:ascii="Book Antiqua" w:eastAsia="Book Antiqua" w:hAnsi="Book Antiqua" w:cs="Book Antiqua"/>
          <w:color w:val="000000"/>
        </w:rPr>
        <w:t>Albenmousa</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Abdulhaleem</w:t>
      </w:r>
      <w:proofErr w:type="spellEnd"/>
      <w:r w:rsidRPr="00ED01BB">
        <w:rPr>
          <w:rFonts w:ascii="Book Antiqua" w:eastAsia="Book Antiqua" w:hAnsi="Book Antiqua" w:cs="Book Antiqua"/>
          <w:color w:val="000000"/>
        </w:rPr>
        <w:t xml:space="preserve"> Mohamed </w:t>
      </w:r>
      <w:proofErr w:type="spellStart"/>
      <w:r w:rsidRPr="00ED01BB">
        <w:rPr>
          <w:rFonts w:ascii="Book Antiqua" w:eastAsia="Book Antiqua" w:hAnsi="Book Antiqua" w:cs="Book Antiqua"/>
          <w:color w:val="000000"/>
        </w:rPr>
        <w:t>Shawkat</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Zidan</w:t>
      </w:r>
      <w:proofErr w:type="spellEnd"/>
      <w:r w:rsidRPr="00ED01BB">
        <w:rPr>
          <w:rFonts w:ascii="Book Antiqua" w:eastAsia="Book Antiqua" w:hAnsi="Book Antiqua" w:cs="Book Antiqua"/>
          <w:color w:val="000000"/>
        </w:rPr>
        <w:t xml:space="preserve"> Ahmed, Saleh </w:t>
      </w:r>
      <w:proofErr w:type="spellStart"/>
      <w:r w:rsidRPr="00ED01BB">
        <w:rPr>
          <w:rFonts w:ascii="Book Antiqua" w:eastAsia="Book Antiqua" w:hAnsi="Book Antiqua" w:cs="Book Antiqua"/>
          <w:color w:val="000000"/>
        </w:rPr>
        <w:t>Alabbad</w:t>
      </w:r>
      <w:proofErr w:type="spellEnd"/>
      <w:r w:rsidRPr="00ED01BB">
        <w:rPr>
          <w:rFonts w:ascii="Book Antiqua" w:eastAsia="Book Antiqua" w:hAnsi="Book Antiqua" w:cs="Book Antiqua"/>
          <w:color w:val="000000"/>
        </w:rPr>
        <w:t xml:space="preserve">, Waleed </w:t>
      </w:r>
      <w:proofErr w:type="spellStart"/>
      <w:r w:rsidRPr="00ED01BB">
        <w:rPr>
          <w:rFonts w:ascii="Book Antiqua" w:eastAsia="Book Antiqua" w:hAnsi="Book Antiqua" w:cs="Book Antiqua"/>
          <w:color w:val="000000"/>
        </w:rPr>
        <w:t>Alhamoudi</w:t>
      </w:r>
      <w:proofErr w:type="spellEnd"/>
      <w:r w:rsidRPr="00ED01BB">
        <w:rPr>
          <w:rFonts w:ascii="Book Antiqua" w:eastAsia="Book Antiqua" w:hAnsi="Book Antiqua" w:cs="Book Antiqua"/>
          <w:color w:val="000000"/>
        </w:rPr>
        <w:t xml:space="preserve">, Roberto </w:t>
      </w:r>
      <w:proofErr w:type="spellStart"/>
      <w:r w:rsidRPr="00ED01BB">
        <w:rPr>
          <w:rFonts w:ascii="Book Antiqua" w:eastAsia="Book Antiqua" w:hAnsi="Book Antiqua" w:cs="Book Antiqua"/>
          <w:color w:val="000000"/>
        </w:rPr>
        <w:t>Troisi</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Deiter</w:t>
      </w:r>
      <w:proofErr w:type="spellEnd"/>
      <w:r w:rsidRPr="00ED01BB">
        <w:rPr>
          <w:rFonts w:ascii="Book Antiqua" w:eastAsia="Book Antiqua" w:hAnsi="Book Antiqua" w:cs="Book Antiqua"/>
          <w:color w:val="000000"/>
        </w:rPr>
        <w:t xml:space="preserve"> </w:t>
      </w:r>
      <w:proofErr w:type="spellStart"/>
      <w:r w:rsidRPr="00ED01BB">
        <w:rPr>
          <w:rFonts w:ascii="Book Antiqua" w:eastAsia="Book Antiqua" w:hAnsi="Book Antiqua" w:cs="Book Antiqua"/>
          <w:color w:val="000000"/>
        </w:rPr>
        <w:t>Broering</w:t>
      </w:r>
      <w:proofErr w:type="spellEnd"/>
    </w:p>
    <w:p w14:paraId="4F9FFC1E" w14:textId="77777777" w:rsidR="00A77B3E" w:rsidRPr="00ED01BB" w:rsidRDefault="00A77B3E" w:rsidP="00ED01BB">
      <w:pPr>
        <w:adjustRightInd w:val="0"/>
        <w:spacing w:line="360" w:lineRule="auto"/>
        <w:jc w:val="both"/>
        <w:rPr>
          <w:rFonts w:ascii="Book Antiqua" w:hAnsi="Book Antiqua"/>
        </w:rPr>
      </w:pPr>
    </w:p>
    <w:p w14:paraId="4797F765"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Khalid Ibrahim </w:t>
      </w:r>
      <w:proofErr w:type="spellStart"/>
      <w:r w:rsidRPr="00ED01BB">
        <w:rPr>
          <w:rFonts w:ascii="Book Antiqua" w:eastAsia="Book Antiqua" w:hAnsi="Book Antiqua" w:cs="Book Antiqua"/>
          <w:b/>
          <w:bCs/>
          <w:color w:val="000000"/>
        </w:rPr>
        <w:t>Bzeizi</w:t>
      </w:r>
      <w:proofErr w:type="spellEnd"/>
      <w:r w:rsidRPr="00ED01BB">
        <w:rPr>
          <w:rFonts w:ascii="Book Antiqua" w:eastAsia="Book Antiqua" w:hAnsi="Book Antiqua" w:cs="Book Antiqua"/>
          <w:b/>
          <w:bCs/>
          <w:color w:val="000000"/>
        </w:rPr>
        <w:t xml:space="preserve">, Ali </w:t>
      </w:r>
      <w:proofErr w:type="spellStart"/>
      <w:r w:rsidRPr="00ED01BB">
        <w:rPr>
          <w:rFonts w:ascii="Book Antiqua" w:eastAsia="Book Antiqua" w:hAnsi="Book Antiqua" w:cs="Book Antiqua"/>
          <w:b/>
          <w:bCs/>
          <w:color w:val="000000"/>
        </w:rPr>
        <w:t>Albenmousa</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Department of Liver Transplantation, King Faisal Specialist Hospital and Research Center, Riyadh 12713, Saudi Arabia</w:t>
      </w:r>
    </w:p>
    <w:p w14:paraId="2BFAB822" w14:textId="77777777" w:rsidR="00A77B3E" w:rsidRPr="00ED01BB" w:rsidRDefault="00A77B3E" w:rsidP="00ED01BB">
      <w:pPr>
        <w:adjustRightInd w:val="0"/>
        <w:spacing w:line="360" w:lineRule="auto"/>
        <w:jc w:val="both"/>
        <w:rPr>
          <w:rFonts w:ascii="Book Antiqua" w:hAnsi="Book Antiqua"/>
        </w:rPr>
      </w:pPr>
    </w:p>
    <w:p w14:paraId="4C76AD0B" w14:textId="77777777" w:rsidR="00A77B3E" w:rsidRPr="00ED01BB" w:rsidRDefault="00C07E1E"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b/>
          <w:bCs/>
          <w:color w:val="000000"/>
        </w:rPr>
        <w:t>Abdulhaleem</w:t>
      </w:r>
      <w:proofErr w:type="spellEnd"/>
      <w:r w:rsidRPr="00ED01BB">
        <w:rPr>
          <w:rFonts w:ascii="Book Antiqua" w:eastAsia="Book Antiqua" w:hAnsi="Book Antiqua" w:cs="Book Antiqua"/>
          <w:b/>
          <w:bCs/>
          <w:color w:val="000000"/>
        </w:rPr>
        <w:t xml:space="preserve"> Mohamed </w:t>
      </w:r>
      <w:proofErr w:type="spellStart"/>
      <w:r w:rsidRPr="00ED01BB">
        <w:rPr>
          <w:rFonts w:ascii="Book Antiqua" w:eastAsia="Book Antiqua" w:hAnsi="Book Antiqua" w:cs="Book Antiqua"/>
          <w:b/>
          <w:bCs/>
          <w:color w:val="000000"/>
        </w:rPr>
        <w:t>Shawkat</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 xml:space="preserve">Department on Internal medicine, Faculty of Medicine, </w:t>
      </w:r>
      <w:proofErr w:type="spellStart"/>
      <w:r w:rsidRPr="00ED01BB">
        <w:rPr>
          <w:rFonts w:ascii="Book Antiqua" w:eastAsia="Book Antiqua" w:hAnsi="Book Antiqua" w:cs="Book Antiqua"/>
          <w:color w:val="000000"/>
        </w:rPr>
        <w:t>Minia</w:t>
      </w:r>
      <w:proofErr w:type="spellEnd"/>
      <w:r w:rsidRPr="00ED01BB">
        <w:rPr>
          <w:rFonts w:ascii="Book Antiqua" w:eastAsia="Book Antiqua" w:hAnsi="Book Antiqua" w:cs="Book Antiqua"/>
          <w:color w:val="000000"/>
        </w:rPr>
        <w:t xml:space="preserve"> University, Mina 1234, Egypt</w:t>
      </w:r>
    </w:p>
    <w:p w14:paraId="7FD95DC7" w14:textId="77777777" w:rsidR="00A77B3E" w:rsidRPr="00ED01BB" w:rsidRDefault="00A77B3E" w:rsidP="00ED01BB">
      <w:pPr>
        <w:adjustRightInd w:val="0"/>
        <w:spacing w:line="360" w:lineRule="auto"/>
        <w:jc w:val="both"/>
        <w:rPr>
          <w:rFonts w:ascii="Book Antiqua" w:hAnsi="Book Antiqua"/>
        </w:rPr>
      </w:pPr>
    </w:p>
    <w:p w14:paraId="50EF92E1" w14:textId="77777777" w:rsidR="00A77B3E" w:rsidRPr="00ED01BB" w:rsidRDefault="00C07E1E"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b/>
          <w:bCs/>
          <w:color w:val="000000"/>
        </w:rPr>
        <w:t>Zidan</w:t>
      </w:r>
      <w:proofErr w:type="spellEnd"/>
      <w:r w:rsidRPr="00ED01BB">
        <w:rPr>
          <w:rFonts w:ascii="Book Antiqua" w:eastAsia="Book Antiqua" w:hAnsi="Book Antiqua" w:cs="Book Antiqua"/>
          <w:b/>
          <w:bCs/>
          <w:color w:val="000000"/>
        </w:rPr>
        <w:t xml:space="preserve"> Ahmed, Saleh </w:t>
      </w:r>
      <w:proofErr w:type="spellStart"/>
      <w:r w:rsidRPr="00ED01BB">
        <w:rPr>
          <w:rFonts w:ascii="Book Antiqua" w:eastAsia="Book Antiqua" w:hAnsi="Book Antiqua" w:cs="Book Antiqua"/>
          <w:b/>
          <w:bCs/>
          <w:color w:val="000000"/>
        </w:rPr>
        <w:t>Alabbad</w:t>
      </w:r>
      <w:proofErr w:type="spellEnd"/>
      <w:r w:rsidRPr="00ED01BB">
        <w:rPr>
          <w:rFonts w:ascii="Book Antiqua" w:eastAsia="Book Antiqua" w:hAnsi="Book Antiqua" w:cs="Book Antiqua"/>
          <w:b/>
          <w:bCs/>
          <w:color w:val="000000"/>
        </w:rPr>
        <w:t xml:space="preserve">, Waleed </w:t>
      </w:r>
      <w:proofErr w:type="spellStart"/>
      <w:r w:rsidRPr="00ED01BB">
        <w:rPr>
          <w:rFonts w:ascii="Book Antiqua" w:eastAsia="Book Antiqua" w:hAnsi="Book Antiqua" w:cs="Book Antiqua"/>
          <w:b/>
          <w:bCs/>
          <w:color w:val="000000"/>
        </w:rPr>
        <w:t>Alhamoudi</w:t>
      </w:r>
      <w:proofErr w:type="spellEnd"/>
      <w:r w:rsidRPr="00ED01BB">
        <w:rPr>
          <w:rFonts w:ascii="Book Antiqua" w:eastAsia="Book Antiqua" w:hAnsi="Book Antiqua" w:cs="Book Antiqua"/>
          <w:b/>
          <w:bCs/>
          <w:color w:val="000000"/>
        </w:rPr>
        <w:t xml:space="preserve">, Roberto </w:t>
      </w:r>
      <w:proofErr w:type="spellStart"/>
      <w:r w:rsidRPr="00ED01BB">
        <w:rPr>
          <w:rFonts w:ascii="Book Antiqua" w:eastAsia="Book Antiqua" w:hAnsi="Book Antiqua" w:cs="Book Antiqua"/>
          <w:b/>
          <w:bCs/>
          <w:color w:val="000000"/>
        </w:rPr>
        <w:t>Troisi</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Department of Liver and Small Bowel Transplantation and Hepatobiliary-Pancreatic Surgery, King Faisal Specialist Hospital and Research Center, Riyadh 12713, Saudi Arabia</w:t>
      </w:r>
    </w:p>
    <w:p w14:paraId="11E297AF" w14:textId="77777777" w:rsidR="00A77B3E" w:rsidRPr="00ED01BB" w:rsidRDefault="00A77B3E" w:rsidP="00ED01BB">
      <w:pPr>
        <w:adjustRightInd w:val="0"/>
        <w:spacing w:line="360" w:lineRule="auto"/>
        <w:jc w:val="both"/>
        <w:rPr>
          <w:rFonts w:ascii="Book Antiqua" w:hAnsi="Book Antiqua"/>
        </w:rPr>
      </w:pPr>
    </w:p>
    <w:p w14:paraId="3CE1D52A" w14:textId="0122CCF0" w:rsidR="00A77B3E" w:rsidRPr="00ED01BB" w:rsidRDefault="00C07E1E" w:rsidP="00ED01BB">
      <w:pPr>
        <w:adjustRightInd w:val="0"/>
        <w:spacing w:line="360" w:lineRule="auto"/>
        <w:jc w:val="both"/>
        <w:rPr>
          <w:rFonts w:ascii="Book Antiqua" w:hAnsi="Book Antiqua"/>
        </w:rPr>
      </w:pPr>
      <w:proofErr w:type="spellStart"/>
      <w:r w:rsidRPr="00ED01BB">
        <w:rPr>
          <w:rFonts w:ascii="Book Antiqua" w:eastAsia="Book Antiqua" w:hAnsi="Book Antiqua" w:cs="Book Antiqua"/>
          <w:b/>
          <w:bCs/>
          <w:color w:val="000000"/>
        </w:rPr>
        <w:t>Deiter</w:t>
      </w:r>
      <w:proofErr w:type="spellEnd"/>
      <w:r w:rsidRPr="00ED01BB">
        <w:rPr>
          <w:rFonts w:ascii="Book Antiqua" w:eastAsia="Book Antiqua" w:hAnsi="Book Antiqua" w:cs="Book Antiqua"/>
          <w:b/>
          <w:bCs/>
          <w:color w:val="000000"/>
        </w:rPr>
        <w:t xml:space="preserve"> </w:t>
      </w:r>
      <w:proofErr w:type="spellStart"/>
      <w:r w:rsidRPr="00ED01BB">
        <w:rPr>
          <w:rFonts w:ascii="Book Antiqua" w:eastAsia="Book Antiqua" w:hAnsi="Book Antiqua" w:cs="Book Antiqua"/>
          <w:b/>
          <w:bCs/>
          <w:color w:val="000000"/>
        </w:rPr>
        <w:t>Broering</w:t>
      </w:r>
      <w:proofErr w:type="spellEnd"/>
      <w:r w:rsidRPr="00ED01BB">
        <w:rPr>
          <w:rFonts w:ascii="Book Antiqua" w:eastAsia="Book Antiqua" w:hAnsi="Book Antiqua" w:cs="Book Antiqua"/>
          <w:b/>
          <w:bCs/>
          <w:color w:val="000000"/>
        </w:rPr>
        <w:t xml:space="preserve">, </w:t>
      </w:r>
      <w:r w:rsidRPr="00ED01BB">
        <w:rPr>
          <w:rFonts w:ascii="Book Antiqua" w:eastAsia="Book Antiqua" w:hAnsi="Book Antiqua" w:cs="Book Antiqua"/>
          <w:color w:val="000000"/>
        </w:rPr>
        <w:t>Organ Transplant Center, King Fais</w:t>
      </w:r>
      <w:r w:rsidR="00943AB9">
        <w:rPr>
          <w:rFonts w:ascii="Book Antiqua" w:eastAsia="Book Antiqua" w:hAnsi="Book Antiqua" w:cs="Book Antiqua"/>
          <w:color w:val="000000"/>
        </w:rPr>
        <w:t>al Specialist Hosp and Res Ctr,</w:t>
      </w:r>
      <w:r w:rsidRPr="00ED01BB">
        <w:rPr>
          <w:rFonts w:ascii="Book Antiqua" w:eastAsia="Book Antiqua" w:hAnsi="Book Antiqua" w:cs="Book Antiqua"/>
          <w:color w:val="000000"/>
        </w:rPr>
        <w:t xml:space="preserve"> Riyadh 11211, Saudi Arabia</w:t>
      </w:r>
    </w:p>
    <w:p w14:paraId="3EBB75C3" w14:textId="77777777" w:rsidR="00A77B3E" w:rsidRPr="00ED01BB" w:rsidRDefault="00A77B3E" w:rsidP="00ED01BB">
      <w:pPr>
        <w:adjustRightInd w:val="0"/>
        <w:spacing w:line="360" w:lineRule="auto"/>
        <w:jc w:val="both"/>
        <w:rPr>
          <w:rFonts w:ascii="Book Antiqua" w:hAnsi="Book Antiqua"/>
        </w:rPr>
      </w:pPr>
    </w:p>
    <w:p w14:paraId="38A19AF3"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Author contributions: </w:t>
      </w:r>
      <w:bookmarkStart w:id="6" w:name="OLE_LINK17"/>
      <w:bookmarkStart w:id="7" w:name="OLE_LINK18"/>
      <w:proofErr w:type="spellStart"/>
      <w:r w:rsidRPr="00ED01BB">
        <w:rPr>
          <w:rFonts w:ascii="Book Antiqua" w:eastAsia="Book Antiqua" w:hAnsi="Book Antiqua" w:cs="Book Antiqua"/>
          <w:color w:val="000000"/>
        </w:rPr>
        <w:t>Bzeizi</w:t>
      </w:r>
      <w:proofErr w:type="spellEnd"/>
      <w:r w:rsidRPr="00ED01BB">
        <w:rPr>
          <w:rFonts w:ascii="Book Antiqua" w:eastAsia="Book Antiqua" w:hAnsi="Book Antiqua" w:cs="Book Antiqua"/>
          <w:color w:val="000000"/>
        </w:rPr>
        <w:t xml:space="preserve"> K contributed to the conceptualization, data curation methodology, validation and writing both the original and revised manuscript; </w:t>
      </w:r>
      <w:proofErr w:type="spellStart"/>
      <w:r w:rsidRPr="00ED01BB">
        <w:rPr>
          <w:rFonts w:ascii="Book Antiqua" w:eastAsia="Book Antiqua" w:hAnsi="Book Antiqua" w:cs="Book Antiqua"/>
          <w:color w:val="000000"/>
        </w:rPr>
        <w:t>Alhamoudi</w:t>
      </w:r>
      <w:proofErr w:type="spellEnd"/>
      <w:r w:rsidRPr="00ED01BB">
        <w:rPr>
          <w:rFonts w:ascii="Book Antiqua" w:eastAsia="Book Antiqua" w:hAnsi="Book Antiqua" w:cs="Book Antiqua"/>
          <w:color w:val="000000"/>
        </w:rPr>
        <w:t xml:space="preserve"> W and </w:t>
      </w:r>
      <w:proofErr w:type="spellStart"/>
      <w:r w:rsidRPr="00ED01BB">
        <w:rPr>
          <w:rFonts w:ascii="Book Antiqua" w:eastAsia="Book Antiqua" w:hAnsi="Book Antiqua" w:cs="Book Antiqua"/>
          <w:color w:val="000000"/>
        </w:rPr>
        <w:t>Troisi</w:t>
      </w:r>
      <w:proofErr w:type="spellEnd"/>
      <w:r w:rsidRPr="00ED01BB">
        <w:rPr>
          <w:rFonts w:ascii="Book Antiqua" w:eastAsia="Book Antiqua" w:hAnsi="Book Antiqua" w:cs="Book Antiqua"/>
          <w:color w:val="000000"/>
        </w:rPr>
        <w:t xml:space="preserve"> R contributed to the conceptualization, validation and editing of the original manuscript; </w:t>
      </w:r>
      <w:proofErr w:type="spellStart"/>
      <w:r w:rsidRPr="00ED01BB">
        <w:rPr>
          <w:rFonts w:ascii="Book Antiqua" w:eastAsia="Book Antiqua" w:hAnsi="Book Antiqua" w:cs="Book Antiqua"/>
          <w:color w:val="000000"/>
        </w:rPr>
        <w:t>Shawakt</w:t>
      </w:r>
      <w:proofErr w:type="spellEnd"/>
      <w:r w:rsidRPr="00ED01BB">
        <w:rPr>
          <w:rFonts w:ascii="Book Antiqua" w:eastAsia="Book Antiqua" w:hAnsi="Book Antiqua" w:cs="Book Antiqua"/>
          <w:color w:val="000000"/>
        </w:rPr>
        <w:t xml:space="preserve"> M and </w:t>
      </w:r>
      <w:proofErr w:type="spellStart"/>
      <w:r w:rsidRPr="00ED01BB">
        <w:rPr>
          <w:rFonts w:ascii="Book Antiqua" w:eastAsia="Book Antiqua" w:hAnsi="Book Antiqua" w:cs="Book Antiqua"/>
          <w:color w:val="000000"/>
        </w:rPr>
        <w:t>Zidan</w:t>
      </w:r>
      <w:proofErr w:type="spellEnd"/>
      <w:r w:rsidRPr="00ED01BB">
        <w:rPr>
          <w:rFonts w:ascii="Book Antiqua" w:eastAsia="Book Antiqua" w:hAnsi="Book Antiqua" w:cs="Book Antiqua"/>
          <w:color w:val="000000"/>
        </w:rPr>
        <w:t xml:space="preserve"> A contributed to the data curation methodology, validation and editing of the original manuscript; </w:t>
      </w:r>
      <w:proofErr w:type="spellStart"/>
      <w:r w:rsidRPr="00ED01BB">
        <w:rPr>
          <w:rFonts w:ascii="Book Antiqua" w:eastAsia="Book Antiqua" w:hAnsi="Book Antiqua" w:cs="Book Antiqua"/>
          <w:color w:val="000000"/>
        </w:rPr>
        <w:t>Alabad</w:t>
      </w:r>
      <w:proofErr w:type="spellEnd"/>
      <w:r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lastRenderedPageBreak/>
        <w:t xml:space="preserve">S contributed to the validation and editing of the original manuscript; </w:t>
      </w:r>
      <w:proofErr w:type="spellStart"/>
      <w:r w:rsidRPr="00ED01BB">
        <w:rPr>
          <w:rFonts w:ascii="Book Antiqua" w:eastAsia="Book Antiqua" w:hAnsi="Book Antiqua" w:cs="Book Antiqua"/>
          <w:color w:val="000000"/>
        </w:rPr>
        <w:t>Albenmousa</w:t>
      </w:r>
      <w:proofErr w:type="spellEnd"/>
      <w:r w:rsidRPr="00ED01BB">
        <w:rPr>
          <w:rFonts w:ascii="Book Antiqua" w:eastAsia="Book Antiqua" w:hAnsi="Book Antiqua" w:cs="Book Antiqua"/>
          <w:color w:val="000000"/>
        </w:rPr>
        <w:t xml:space="preserve"> A contributed to the data curation methodology, validation and editing of the original manuscript; </w:t>
      </w:r>
      <w:proofErr w:type="spellStart"/>
      <w:r w:rsidRPr="00ED01BB">
        <w:rPr>
          <w:rFonts w:ascii="Book Antiqua" w:eastAsia="Book Antiqua" w:hAnsi="Book Antiqua" w:cs="Book Antiqua"/>
          <w:color w:val="000000"/>
        </w:rPr>
        <w:t>Broering</w:t>
      </w:r>
      <w:proofErr w:type="spellEnd"/>
      <w:r w:rsidRPr="00ED01BB">
        <w:rPr>
          <w:rFonts w:ascii="Book Antiqua" w:eastAsia="Book Antiqua" w:hAnsi="Book Antiqua" w:cs="Book Antiqua"/>
          <w:color w:val="000000"/>
        </w:rPr>
        <w:t xml:space="preserve"> D contributed to the conceptualization, validation and in the writing original manuscript; and all authors have read and approve the final manuscript.</w:t>
      </w:r>
    </w:p>
    <w:p w14:paraId="2AC21F57" w14:textId="77777777" w:rsidR="00A77B3E" w:rsidRPr="00ED01BB" w:rsidRDefault="00A77B3E" w:rsidP="00ED01BB">
      <w:pPr>
        <w:adjustRightInd w:val="0"/>
        <w:spacing w:line="360" w:lineRule="auto"/>
        <w:jc w:val="both"/>
        <w:rPr>
          <w:rFonts w:ascii="Book Antiqua" w:hAnsi="Book Antiqua"/>
        </w:rPr>
      </w:pPr>
    </w:p>
    <w:bookmarkEnd w:id="6"/>
    <w:bookmarkEnd w:id="7"/>
    <w:p w14:paraId="743915E2" w14:textId="59D5858B"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Corresponding author: Khalid Ibrahim </w:t>
      </w:r>
      <w:proofErr w:type="spellStart"/>
      <w:r w:rsidRPr="00ED01BB">
        <w:rPr>
          <w:rFonts w:ascii="Book Antiqua" w:eastAsia="Book Antiqua" w:hAnsi="Book Antiqua" w:cs="Book Antiqua"/>
          <w:b/>
          <w:bCs/>
          <w:color w:val="000000"/>
        </w:rPr>
        <w:t>Bzeizi</w:t>
      </w:r>
      <w:proofErr w:type="spellEnd"/>
      <w:r w:rsidRPr="00ED01BB">
        <w:rPr>
          <w:rFonts w:ascii="Book Antiqua" w:eastAsia="Book Antiqua" w:hAnsi="Book Antiqua" w:cs="Book Antiqua"/>
          <w:b/>
          <w:bCs/>
          <w:color w:val="000000"/>
        </w:rPr>
        <w:t xml:space="preserve">, FRCP, Doctor, </w:t>
      </w:r>
      <w:r w:rsidRPr="00ED01BB">
        <w:rPr>
          <w:rFonts w:ascii="Book Antiqua" w:eastAsia="Book Antiqua" w:hAnsi="Book Antiqua" w:cs="Book Antiqua"/>
          <w:color w:val="000000"/>
        </w:rPr>
        <w:t xml:space="preserve">Department of Liver Transplantation, King Faisal Specialist Hospital and Research Center, </w:t>
      </w:r>
      <w:proofErr w:type="spellStart"/>
      <w:r w:rsidRPr="00ED01BB">
        <w:rPr>
          <w:rFonts w:ascii="Book Antiqua" w:eastAsia="Book Antiqua" w:hAnsi="Book Antiqua" w:cs="Book Antiqua"/>
          <w:color w:val="000000"/>
        </w:rPr>
        <w:t>Zahrawi</w:t>
      </w:r>
      <w:proofErr w:type="spellEnd"/>
      <w:r w:rsidRPr="00ED01BB">
        <w:rPr>
          <w:rFonts w:ascii="Book Antiqua" w:eastAsia="Book Antiqua" w:hAnsi="Book Antiqua" w:cs="Book Antiqua"/>
          <w:color w:val="000000"/>
        </w:rPr>
        <w:t xml:space="preserve"> St</w:t>
      </w:r>
      <w:r w:rsidR="00943AB9">
        <w:rPr>
          <w:rFonts w:ascii="Book Antiqua" w:eastAsia="Book Antiqua" w:hAnsi="Book Antiqua" w:cs="Book Antiqua"/>
          <w:color w:val="000000"/>
        </w:rPr>
        <w:t>reet</w:t>
      </w:r>
      <w:r w:rsidRPr="00ED01BB">
        <w:rPr>
          <w:rFonts w:ascii="Book Antiqua" w:eastAsia="Book Antiqua" w:hAnsi="Book Antiqua" w:cs="Book Antiqua"/>
          <w:color w:val="000000"/>
        </w:rPr>
        <w:t xml:space="preserve">, Al </w:t>
      </w:r>
      <w:proofErr w:type="spellStart"/>
      <w:r w:rsidRPr="00ED01BB">
        <w:rPr>
          <w:rFonts w:ascii="Book Antiqua" w:eastAsia="Book Antiqua" w:hAnsi="Book Antiqua" w:cs="Book Antiqua"/>
          <w:color w:val="000000"/>
        </w:rPr>
        <w:t>Maather</w:t>
      </w:r>
      <w:proofErr w:type="spellEnd"/>
      <w:r w:rsidR="00F9457D">
        <w:rPr>
          <w:rFonts w:ascii="Book Antiqua" w:eastAsia="Book Antiqua" w:hAnsi="Book Antiqua" w:cs="Book Antiqua"/>
          <w:color w:val="000000"/>
        </w:rPr>
        <w:t>,</w:t>
      </w:r>
      <w:r w:rsidRPr="00ED01BB">
        <w:rPr>
          <w:rFonts w:ascii="Book Antiqua" w:eastAsia="Book Antiqua" w:hAnsi="Book Antiqua" w:cs="Book Antiqua"/>
          <w:color w:val="000000"/>
        </w:rPr>
        <w:t xml:space="preserve"> Riyadh 12713, Saudi Arabia. kbzeizi@kfshrc.edu.sa</w:t>
      </w:r>
    </w:p>
    <w:p w14:paraId="4D0971AB" w14:textId="77777777" w:rsidR="00A77B3E" w:rsidRPr="00ED01BB" w:rsidRDefault="00A77B3E" w:rsidP="00ED01BB">
      <w:pPr>
        <w:adjustRightInd w:val="0"/>
        <w:spacing w:line="360" w:lineRule="auto"/>
        <w:jc w:val="both"/>
        <w:rPr>
          <w:rFonts w:ascii="Book Antiqua" w:hAnsi="Book Antiqua"/>
        </w:rPr>
      </w:pPr>
    </w:p>
    <w:p w14:paraId="7E5A7C9E"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Received: </w:t>
      </w:r>
      <w:r w:rsidRPr="00ED01BB">
        <w:rPr>
          <w:rFonts w:ascii="Book Antiqua" w:eastAsia="Book Antiqua" w:hAnsi="Book Antiqua" w:cs="Book Antiqua"/>
          <w:color w:val="000000"/>
        </w:rPr>
        <w:t>November 5, 2020</w:t>
      </w:r>
    </w:p>
    <w:p w14:paraId="706BAEE2"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Revised: </w:t>
      </w:r>
      <w:r w:rsidRPr="00ED01BB">
        <w:rPr>
          <w:rFonts w:ascii="Book Antiqua" w:eastAsia="Book Antiqua" w:hAnsi="Book Antiqua" w:cs="Book Antiqua"/>
          <w:color w:val="000000"/>
        </w:rPr>
        <w:t>January 4, 2021</w:t>
      </w:r>
    </w:p>
    <w:p w14:paraId="6E210D1C" w14:textId="651715E3"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Accepted: </w:t>
      </w:r>
      <w:r w:rsidR="006F4A9B" w:rsidRPr="006F4A9B">
        <w:rPr>
          <w:rFonts w:ascii="Book Antiqua" w:eastAsia="Book Antiqua" w:hAnsi="Book Antiqua" w:cs="Book Antiqua"/>
          <w:color w:val="000000"/>
        </w:rPr>
        <w:t>February 18, 2021</w:t>
      </w:r>
    </w:p>
    <w:p w14:paraId="0500D280"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Published online: </w:t>
      </w:r>
    </w:p>
    <w:p w14:paraId="0B983E90" w14:textId="77777777" w:rsidR="00A77B3E" w:rsidRPr="00ED01BB" w:rsidRDefault="00A77B3E" w:rsidP="00ED01BB">
      <w:pPr>
        <w:adjustRightInd w:val="0"/>
        <w:spacing w:line="360" w:lineRule="auto"/>
        <w:jc w:val="both"/>
        <w:rPr>
          <w:rFonts w:ascii="Book Antiqua" w:hAnsi="Book Antiqua"/>
        </w:rPr>
        <w:sectPr w:rsidR="00A77B3E" w:rsidRPr="00ED01BB" w:rsidSect="00943AB9">
          <w:footerReference w:type="default" r:id="rId6"/>
          <w:type w:val="continuous"/>
          <w:pgSz w:w="12240" w:h="15840"/>
          <w:pgMar w:top="1440" w:right="1800" w:bottom="1440" w:left="1800" w:header="720" w:footer="720" w:gutter="0"/>
          <w:cols w:space="720"/>
          <w:docGrid w:linePitch="360"/>
        </w:sectPr>
      </w:pPr>
    </w:p>
    <w:p w14:paraId="6AA4C76B" w14:textId="2F1CCC5C" w:rsidR="00A77B3E" w:rsidRPr="00ED01BB" w:rsidRDefault="00943AB9" w:rsidP="00ED01BB">
      <w:pPr>
        <w:adjustRightInd w:val="0"/>
        <w:spacing w:line="360" w:lineRule="auto"/>
        <w:jc w:val="both"/>
        <w:rPr>
          <w:rFonts w:ascii="Book Antiqua" w:hAnsi="Book Antiqua"/>
        </w:rPr>
      </w:pPr>
      <w:r>
        <w:rPr>
          <w:rFonts w:ascii="Book Antiqua" w:eastAsia="Book Antiqua" w:hAnsi="Book Antiqua" w:cs="Book Antiqua"/>
          <w:b/>
          <w:color w:val="000000"/>
        </w:rPr>
        <w:br w:type="page"/>
      </w:r>
      <w:r w:rsidR="00C07E1E" w:rsidRPr="00ED01BB">
        <w:rPr>
          <w:rFonts w:ascii="Book Antiqua" w:eastAsia="Book Antiqua" w:hAnsi="Book Antiqua" w:cs="Book Antiqua"/>
          <w:b/>
          <w:color w:val="000000"/>
        </w:rPr>
        <w:lastRenderedPageBreak/>
        <w:t>Abstract</w:t>
      </w:r>
    </w:p>
    <w:p w14:paraId="4E833B0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BACKGROUND</w:t>
      </w:r>
    </w:p>
    <w:p w14:paraId="1B7D19C6" w14:textId="4549CC8D" w:rsidR="00A77B3E" w:rsidRPr="00ED01BB" w:rsidRDefault="00C07E1E" w:rsidP="00ED01BB">
      <w:pPr>
        <w:adjustRightInd w:val="0"/>
        <w:spacing w:line="360" w:lineRule="auto"/>
        <w:jc w:val="both"/>
        <w:rPr>
          <w:rFonts w:ascii="Book Antiqua" w:hAnsi="Book Antiqua"/>
        </w:rPr>
      </w:pPr>
      <w:bookmarkStart w:id="8" w:name="OLE_LINK19"/>
      <w:bookmarkStart w:id="9" w:name="OLE_LINK20"/>
      <w:r w:rsidRPr="00ED01BB">
        <w:rPr>
          <w:rFonts w:ascii="Book Antiqua" w:eastAsia="Book Antiqua" w:hAnsi="Book Antiqua" w:cs="Book Antiqua"/>
          <w:color w:val="000000"/>
        </w:rPr>
        <w:t>Once daily tacrolimus regimen was found to exhibits similar bioavailability, safety and efficacy properties compared to twice-daily tacrolimus in kidney transplantation patients.</w:t>
      </w:r>
    </w:p>
    <w:bookmarkEnd w:id="8"/>
    <w:bookmarkEnd w:id="9"/>
    <w:p w14:paraId="29526F50" w14:textId="77777777" w:rsidR="00A77B3E" w:rsidRPr="00ED01BB" w:rsidRDefault="00A77B3E" w:rsidP="00ED01BB">
      <w:pPr>
        <w:adjustRightInd w:val="0"/>
        <w:spacing w:line="360" w:lineRule="auto"/>
        <w:jc w:val="both"/>
        <w:rPr>
          <w:rFonts w:ascii="Book Antiqua" w:hAnsi="Book Antiqua"/>
        </w:rPr>
      </w:pPr>
    </w:p>
    <w:p w14:paraId="5A85143F"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AIM</w:t>
      </w:r>
    </w:p>
    <w:p w14:paraId="3E6699F7" w14:textId="3B3913EA"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To compare the efficacy and safety of once-daily prolonged release tacrolimus compared to twice-daily tacrolimus in liver transplantation patients.</w:t>
      </w:r>
    </w:p>
    <w:p w14:paraId="012D73D9" w14:textId="77777777" w:rsidR="00A77B3E" w:rsidRPr="00ED01BB" w:rsidRDefault="00A77B3E" w:rsidP="00ED01BB">
      <w:pPr>
        <w:adjustRightInd w:val="0"/>
        <w:spacing w:line="360" w:lineRule="auto"/>
        <w:jc w:val="both"/>
        <w:rPr>
          <w:rFonts w:ascii="Book Antiqua" w:hAnsi="Book Antiqua"/>
        </w:rPr>
      </w:pPr>
    </w:p>
    <w:p w14:paraId="47C1FA83"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METHODS</w:t>
      </w:r>
    </w:p>
    <w:p w14:paraId="77B453A5" w14:textId="6384A6B3" w:rsidR="00A77B3E" w:rsidRPr="00ED01BB" w:rsidRDefault="00943AB9" w:rsidP="00ED01BB">
      <w:pPr>
        <w:adjustRightInd w:val="0"/>
        <w:spacing w:line="360" w:lineRule="auto"/>
        <w:jc w:val="both"/>
        <w:rPr>
          <w:rFonts w:ascii="Book Antiqua" w:hAnsi="Book Antiqua"/>
        </w:rPr>
      </w:pPr>
      <w:bookmarkStart w:id="10" w:name="OLE_LINK21"/>
      <w:bookmarkStart w:id="11" w:name="OLE_LINK22"/>
      <w:r w:rsidRPr="00ED01BB">
        <w:rPr>
          <w:rFonts w:ascii="Book Antiqua" w:eastAsia="Book Antiqua" w:hAnsi="Book Antiqua" w:cs="Book Antiqua"/>
          <w:color w:val="000000"/>
        </w:rPr>
        <w:t>MEDLINE</w:t>
      </w:r>
      <w:r w:rsidR="00C07E1E" w:rsidRPr="00ED01BB">
        <w:rPr>
          <w:rFonts w:ascii="Book Antiqua" w:eastAsia="Book Antiqua" w:hAnsi="Book Antiqua" w:cs="Book Antiqua"/>
          <w:color w:val="000000"/>
        </w:rPr>
        <w:t>, EMBASE, CENTRAL databases were searched for clinical trials until December 2020. Efficacy outcome measured as the rate of treatment failure indicated by biopsy-proven acute rejection, Serum creatinine, graft loss, or death. Two reviewers independently selected studies, collected data and assessed risk of bias. The results are reported as risk ratio</w:t>
      </w:r>
      <w:r w:rsidR="005B08A2" w:rsidRPr="00ED01BB">
        <w:rPr>
          <w:rFonts w:ascii="Book Antiqua" w:eastAsia="Book Antiqua" w:hAnsi="Book Antiqua" w:cs="Book Antiqua"/>
          <w:color w:val="000000"/>
        </w:rPr>
        <w:t xml:space="preserve"> </w:t>
      </w:r>
      <w:r w:rsidR="00C07E1E" w:rsidRPr="00ED01BB">
        <w:rPr>
          <w:rFonts w:ascii="Book Antiqua" w:eastAsia="Book Antiqua" w:hAnsi="Book Antiqua" w:cs="Book Antiqua"/>
          <w:color w:val="000000"/>
        </w:rPr>
        <w:t>with 95% confidence interval (CI) for dichotomous data.</w:t>
      </w:r>
    </w:p>
    <w:bookmarkEnd w:id="10"/>
    <w:bookmarkEnd w:id="11"/>
    <w:p w14:paraId="5BF9E75D" w14:textId="77777777" w:rsidR="00A77B3E" w:rsidRPr="00ED01BB" w:rsidRDefault="00A77B3E" w:rsidP="00ED01BB">
      <w:pPr>
        <w:adjustRightInd w:val="0"/>
        <w:spacing w:line="360" w:lineRule="auto"/>
        <w:jc w:val="both"/>
        <w:rPr>
          <w:rFonts w:ascii="Book Antiqua" w:hAnsi="Book Antiqua"/>
        </w:rPr>
      </w:pPr>
    </w:p>
    <w:p w14:paraId="1D2DAF88"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RESULTS</w:t>
      </w:r>
    </w:p>
    <w:p w14:paraId="7CB3B896" w14:textId="66B7491A" w:rsidR="00A77B3E" w:rsidRPr="00ED01BB" w:rsidRDefault="00C07E1E" w:rsidP="00ED01BB">
      <w:pPr>
        <w:adjustRightInd w:val="0"/>
        <w:spacing w:line="360" w:lineRule="auto"/>
        <w:jc w:val="both"/>
        <w:rPr>
          <w:rFonts w:ascii="Book Antiqua" w:hAnsi="Book Antiqua"/>
        </w:rPr>
      </w:pPr>
      <w:bookmarkStart w:id="12" w:name="OLE_LINK23"/>
      <w:bookmarkStart w:id="13" w:name="OLE_LINK24"/>
      <w:r w:rsidRPr="00ED01BB">
        <w:rPr>
          <w:rFonts w:ascii="Book Antiqua" w:eastAsia="Book Antiqua" w:hAnsi="Book Antiqua" w:cs="Book Antiqua"/>
          <w:color w:val="000000"/>
        </w:rPr>
        <w:t xml:space="preserve">Seven studies included with 965 patients. All the included studies were of moderate quality according to the risk of bias assessment using Cochrane Risk of Bias tool. </w:t>
      </w:r>
      <w:r w:rsidR="005B08A2" w:rsidRPr="00ED01BB">
        <w:rPr>
          <w:rFonts w:ascii="Book Antiqua" w:eastAsia="Book Antiqua" w:hAnsi="Book Antiqua" w:cs="Book Antiqua"/>
          <w:color w:val="000000"/>
        </w:rPr>
        <w:t>Biopsy-proven acute rejection</w:t>
      </w:r>
      <w:r w:rsidRPr="00ED01BB">
        <w:rPr>
          <w:rFonts w:ascii="Book Antiqua" w:eastAsia="Book Antiqua" w:hAnsi="Book Antiqua" w:cs="Book Antiqua"/>
          <w:color w:val="000000"/>
        </w:rPr>
        <w:t xml:space="preserve"> was reported in four studies, and pooled analysis of those studies indicated similar rejections in both twice daily and once daily tacrolimus groups (risk ratio</w:t>
      </w:r>
      <w:r w:rsidR="00943AB9">
        <w:rPr>
          <w:rFonts w:ascii="Book Antiqua" w:eastAsia="Book Antiqua" w:hAnsi="Book Antiqua" w:cs="Book Antiqua"/>
          <w:color w:val="000000"/>
        </w:rPr>
        <w:t>:</w:t>
      </w:r>
      <w:r w:rsidRPr="00ED01BB">
        <w:rPr>
          <w:rFonts w:ascii="Book Antiqua" w:eastAsia="Book Antiqua" w:hAnsi="Book Antiqua" w:cs="Book Antiqua"/>
          <w:color w:val="000000"/>
        </w:rPr>
        <w:t xml:space="preserve"> 1.06, 95%CI</w:t>
      </w:r>
      <w:r w:rsidR="00943AB9">
        <w:rPr>
          <w:rFonts w:ascii="Book Antiqua" w:eastAsia="Book Antiqua" w:hAnsi="Book Antiqua" w:cs="Book Antiqua"/>
          <w:color w:val="000000"/>
        </w:rPr>
        <w:t>:</w:t>
      </w:r>
      <w:r w:rsidRPr="00ED01BB">
        <w:rPr>
          <w:rFonts w:ascii="Book Antiqua" w:eastAsia="Book Antiqua" w:hAnsi="Book Antiqua" w:cs="Book Antiqua"/>
          <w:color w:val="000000"/>
        </w:rPr>
        <w:t xml:space="preserve"> 0.84</w:t>
      </w:r>
      <w:r w:rsidR="00B1449A">
        <w:rPr>
          <w:rFonts w:ascii="Book Antiqua" w:eastAsia="Book Antiqua" w:hAnsi="Book Antiqua" w:cs="Book Antiqua"/>
          <w:color w:val="000000"/>
        </w:rPr>
        <w:t>-</w:t>
      </w:r>
      <w:r w:rsidRPr="00ED01BB">
        <w:rPr>
          <w:rFonts w:ascii="Book Antiqua" w:eastAsia="Book Antiqua" w:hAnsi="Book Antiqua" w:cs="Book Antiqua"/>
          <w:color w:val="000000"/>
        </w:rPr>
        <w:t xml:space="preserve">1.34,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758, </w:t>
      </w:r>
      <w:r w:rsidRPr="00ED01BB">
        <w:rPr>
          <w:rFonts w:ascii="Book Antiqua" w:eastAsia="Book Antiqua" w:hAnsi="Book Antiqua" w:cs="Book Antiqua"/>
          <w:i/>
          <w:iCs/>
          <w:color w:val="000000"/>
        </w:rPr>
        <w:t>I</w:t>
      </w:r>
      <w:r w:rsidRPr="00ED01BB">
        <w:rPr>
          <w:rFonts w:ascii="Book Antiqua" w:eastAsia="Book Antiqua" w:hAnsi="Book Antiqua" w:cs="Book Antiqua"/>
          <w:i/>
          <w:iCs/>
          <w:color w:val="000000"/>
          <w:vertAlign w:val="superscript"/>
        </w:rPr>
        <w:t xml:space="preserve">2 </w:t>
      </w:r>
      <w:r w:rsidRPr="00ED01BB">
        <w:rPr>
          <w:rFonts w:ascii="Book Antiqua" w:eastAsia="Book Antiqua" w:hAnsi="Book Antiqua" w:cs="Book Antiqua"/>
          <w:color w:val="000000"/>
        </w:rPr>
        <w:t>= 0%) and also we found no significant difference between both groups for renal outcome (serum creatinine; mean difference, 0.001 mg/dL, 95%CI</w:t>
      </w:r>
      <w:r w:rsidR="00943AB9">
        <w:rPr>
          <w:rFonts w:ascii="Book Antiqua" w:eastAsia="Book Antiqua" w:hAnsi="Book Antiqua" w:cs="Book Antiqua"/>
          <w:color w:val="000000"/>
        </w:rPr>
        <w:t>:</w:t>
      </w:r>
      <w:r w:rsidRPr="00ED01BB">
        <w:rPr>
          <w:rFonts w:ascii="Book Antiqua" w:eastAsia="Book Antiqua" w:hAnsi="Book Antiqua" w:cs="Book Antiqua"/>
          <w:color w:val="000000"/>
        </w:rPr>
        <w:t xml:space="preserve"> -0.042 to 0.043,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846, </w:t>
      </w:r>
      <w:r w:rsidRPr="00ED01BB">
        <w:rPr>
          <w:rFonts w:ascii="Book Antiqua" w:eastAsia="Book Antiqua" w:hAnsi="Book Antiqua" w:cs="Book Antiqua"/>
          <w:i/>
          <w:iCs/>
          <w:color w:val="000000"/>
        </w:rPr>
        <w:t>I</w:t>
      </w:r>
      <w:r w:rsidRPr="00ED01BB">
        <w:rPr>
          <w:rFonts w:ascii="Book Antiqua" w:eastAsia="Book Antiqua" w:hAnsi="Book Antiqua" w:cs="Book Antiqua"/>
          <w:i/>
          <w:iCs/>
          <w:color w:val="000000"/>
          <w:vertAlign w:val="superscript"/>
        </w:rPr>
        <w:t>2</w:t>
      </w:r>
      <w:r w:rsidRPr="00ED01BB">
        <w:rPr>
          <w:rFonts w:ascii="Book Antiqua" w:eastAsia="Book Antiqua" w:hAnsi="Book Antiqua" w:cs="Book Antiqua"/>
          <w:color w:val="000000"/>
          <w:vertAlign w:val="superscript"/>
        </w:rPr>
        <w:t xml:space="preserve"> </w:t>
      </w:r>
      <w:r w:rsidRPr="00ED01BB">
        <w:rPr>
          <w:rFonts w:ascii="Book Antiqua" w:eastAsia="Book Antiqua" w:hAnsi="Book Antiqua" w:cs="Book Antiqua"/>
          <w:color w:val="000000"/>
        </w:rPr>
        <w:t>= 18.6%). Similarly, there was similar number of adverse events such as hypertension, headache, back pain, blood related disorders, infections and nausea observed in both groups.</w:t>
      </w:r>
    </w:p>
    <w:bookmarkEnd w:id="12"/>
    <w:bookmarkEnd w:id="13"/>
    <w:p w14:paraId="15BD5DF0" w14:textId="77777777" w:rsidR="00A77B3E" w:rsidRPr="00ED01BB" w:rsidRDefault="00A77B3E" w:rsidP="00ED01BB">
      <w:pPr>
        <w:adjustRightInd w:val="0"/>
        <w:spacing w:line="360" w:lineRule="auto"/>
        <w:jc w:val="both"/>
        <w:rPr>
          <w:rFonts w:ascii="Book Antiqua" w:hAnsi="Book Antiqua"/>
        </w:rPr>
      </w:pPr>
    </w:p>
    <w:p w14:paraId="1CC97504"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lastRenderedPageBreak/>
        <w:t>CONCLUSION</w:t>
      </w:r>
    </w:p>
    <w:p w14:paraId="779AD019" w14:textId="6D6758B4"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The analysis findings confirm that both once daily and twice daily tacrolimus formulations are comparable in terms of efficacy and safety outcomes.</w:t>
      </w:r>
    </w:p>
    <w:p w14:paraId="092E5163" w14:textId="77777777" w:rsidR="00A77B3E" w:rsidRPr="00ED01BB" w:rsidRDefault="00A77B3E" w:rsidP="00ED01BB">
      <w:pPr>
        <w:adjustRightInd w:val="0"/>
        <w:spacing w:line="360" w:lineRule="auto"/>
        <w:jc w:val="both"/>
        <w:rPr>
          <w:rFonts w:ascii="Book Antiqua" w:hAnsi="Book Antiqua"/>
        </w:rPr>
      </w:pPr>
    </w:p>
    <w:p w14:paraId="50F4F1A5"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Key Words: </w:t>
      </w:r>
      <w:r w:rsidRPr="00ED01BB">
        <w:rPr>
          <w:rFonts w:ascii="Book Antiqua" w:eastAsia="Book Antiqua" w:hAnsi="Book Antiqua" w:cs="Book Antiqua"/>
          <w:color w:val="000000"/>
        </w:rPr>
        <w:t>Prolonged release; Tacrolimus; Liver transplantation; Graft rejection; Renal impairment; FK level</w:t>
      </w:r>
    </w:p>
    <w:p w14:paraId="5FE726FF" w14:textId="77777777" w:rsidR="00A77B3E" w:rsidRPr="00ED01BB" w:rsidRDefault="00A77B3E" w:rsidP="00ED01BB">
      <w:pPr>
        <w:adjustRightInd w:val="0"/>
        <w:spacing w:line="360" w:lineRule="auto"/>
        <w:jc w:val="both"/>
        <w:rPr>
          <w:rFonts w:ascii="Book Antiqua" w:hAnsi="Book Antiqua"/>
        </w:rPr>
      </w:pPr>
    </w:p>
    <w:p w14:paraId="41CFFF98" w14:textId="77777777" w:rsidR="00A77B3E" w:rsidRPr="00ED01BB" w:rsidRDefault="00C07E1E" w:rsidP="00ED01BB">
      <w:pPr>
        <w:adjustRightInd w:val="0"/>
        <w:spacing w:line="360" w:lineRule="auto"/>
        <w:jc w:val="both"/>
        <w:rPr>
          <w:rFonts w:ascii="Book Antiqua" w:hAnsi="Book Antiqua"/>
        </w:rPr>
      </w:pPr>
      <w:bookmarkStart w:id="14" w:name="OLE_LINK10"/>
      <w:bookmarkStart w:id="15" w:name="OLE_LINK11"/>
      <w:proofErr w:type="spellStart"/>
      <w:r w:rsidRPr="00ED01BB">
        <w:rPr>
          <w:rFonts w:ascii="Book Antiqua" w:eastAsia="Book Antiqua" w:hAnsi="Book Antiqua" w:cs="Book Antiqua"/>
          <w:color w:val="000000"/>
        </w:rPr>
        <w:t>Bzeizi</w:t>
      </w:r>
      <w:proofErr w:type="spellEnd"/>
      <w:r w:rsidRPr="00ED01BB">
        <w:rPr>
          <w:rFonts w:ascii="Book Antiqua" w:eastAsia="Book Antiqua" w:hAnsi="Book Antiqua" w:cs="Book Antiqua"/>
          <w:color w:val="000000"/>
        </w:rPr>
        <w:t xml:space="preserve"> KI, </w:t>
      </w:r>
      <w:proofErr w:type="spellStart"/>
      <w:r w:rsidRPr="00ED01BB">
        <w:rPr>
          <w:rFonts w:ascii="Book Antiqua" w:eastAsia="Book Antiqua" w:hAnsi="Book Antiqua" w:cs="Book Antiqua"/>
          <w:color w:val="000000"/>
        </w:rPr>
        <w:t>Albenmousa</w:t>
      </w:r>
      <w:proofErr w:type="spellEnd"/>
      <w:r w:rsidRPr="00ED01BB">
        <w:rPr>
          <w:rFonts w:ascii="Book Antiqua" w:eastAsia="Book Antiqua" w:hAnsi="Book Antiqua" w:cs="Book Antiqua"/>
          <w:color w:val="000000"/>
        </w:rPr>
        <w:t xml:space="preserve"> A, </w:t>
      </w:r>
      <w:proofErr w:type="spellStart"/>
      <w:r w:rsidRPr="00ED01BB">
        <w:rPr>
          <w:rFonts w:ascii="Book Antiqua" w:eastAsia="Book Antiqua" w:hAnsi="Book Antiqua" w:cs="Book Antiqua"/>
          <w:color w:val="000000"/>
        </w:rPr>
        <w:t>Shawkat</w:t>
      </w:r>
      <w:proofErr w:type="spellEnd"/>
      <w:r w:rsidRPr="00ED01BB">
        <w:rPr>
          <w:rFonts w:ascii="Book Antiqua" w:eastAsia="Book Antiqua" w:hAnsi="Book Antiqua" w:cs="Book Antiqua"/>
          <w:color w:val="000000"/>
        </w:rPr>
        <w:t xml:space="preserve"> AM, Ahmed Z, </w:t>
      </w:r>
      <w:proofErr w:type="spellStart"/>
      <w:r w:rsidRPr="00ED01BB">
        <w:rPr>
          <w:rFonts w:ascii="Book Antiqua" w:eastAsia="Book Antiqua" w:hAnsi="Book Antiqua" w:cs="Book Antiqua"/>
          <w:color w:val="000000"/>
        </w:rPr>
        <w:t>Alabbad</w:t>
      </w:r>
      <w:proofErr w:type="spellEnd"/>
      <w:r w:rsidRPr="00ED01BB">
        <w:rPr>
          <w:rFonts w:ascii="Book Antiqua" w:eastAsia="Book Antiqua" w:hAnsi="Book Antiqua" w:cs="Book Antiqua"/>
          <w:color w:val="000000"/>
        </w:rPr>
        <w:t xml:space="preserve"> S, </w:t>
      </w:r>
      <w:proofErr w:type="spellStart"/>
      <w:r w:rsidRPr="00ED01BB">
        <w:rPr>
          <w:rFonts w:ascii="Book Antiqua" w:eastAsia="Book Antiqua" w:hAnsi="Book Antiqua" w:cs="Book Antiqua"/>
          <w:color w:val="000000"/>
        </w:rPr>
        <w:t>Alhamoudi</w:t>
      </w:r>
      <w:proofErr w:type="spellEnd"/>
      <w:r w:rsidRPr="00ED01BB">
        <w:rPr>
          <w:rFonts w:ascii="Book Antiqua" w:eastAsia="Book Antiqua" w:hAnsi="Book Antiqua" w:cs="Book Antiqua"/>
          <w:color w:val="000000"/>
        </w:rPr>
        <w:t xml:space="preserve"> W, </w:t>
      </w:r>
      <w:proofErr w:type="spellStart"/>
      <w:r w:rsidRPr="00ED01BB">
        <w:rPr>
          <w:rFonts w:ascii="Book Antiqua" w:eastAsia="Book Antiqua" w:hAnsi="Book Antiqua" w:cs="Book Antiqua"/>
          <w:color w:val="000000"/>
        </w:rPr>
        <w:t>Troisi</w:t>
      </w:r>
      <w:proofErr w:type="spellEnd"/>
      <w:r w:rsidRPr="00ED01BB">
        <w:rPr>
          <w:rFonts w:ascii="Book Antiqua" w:eastAsia="Book Antiqua" w:hAnsi="Book Antiqua" w:cs="Book Antiqua"/>
          <w:color w:val="000000"/>
        </w:rPr>
        <w:t xml:space="preserve"> R, </w:t>
      </w:r>
      <w:proofErr w:type="spellStart"/>
      <w:r w:rsidRPr="00ED01BB">
        <w:rPr>
          <w:rFonts w:ascii="Book Antiqua" w:eastAsia="Book Antiqua" w:hAnsi="Book Antiqua" w:cs="Book Antiqua"/>
          <w:color w:val="000000"/>
        </w:rPr>
        <w:t>Broering</w:t>
      </w:r>
      <w:proofErr w:type="spellEnd"/>
      <w:r w:rsidRPr="00ED01BB">
        <w:rPr>
          <w:rFonts w:ascii="Book Antiqua" w:eastAsia="Book Antiqua" w:hAnsi="Book Antiqua" w:cs="Book Antiqua"/>
          <w:color w:val="000000"/>
        </w:rPr>
        <w:t xml:space="preserve"> D. Efficacy and safety of once daily tacrolimus compared to twice daily tacrolimus after liver transplantation. </w:t>
      </w:r>
      <w:r w:rsidRPr="00ED01BB">
        <w:rPr>
          <w:rFonts w:ascii="Book Antiqua" w:eastAsia="Book Antiqua" w:hAnsi="Book Antiqua" w:cs="Book Antiqua"/>
          <w:i/>
          <w:iCs/>
          <w:color w:val="000000"/>
        </w:rPr>
        <w:t>World J Hepatol</w:t>
      </w:r>
      <w:r w:rsidRPr="00ED01BB">
        <w:rPr>
          <w:rFonts w:ascii="Book Antiqua" w:eastAsia="Book Antiqua" w:hAnsi="Book Antiqua" w:cs="Book Antiqua"/>
          <w:color w:val="000000"/>
        </w:rPr>
        <w:t xml:space="preserve"> 2021; In press</w:t>
      </w:r>
    </w:p>
    <w:bookmarkEnd w:id="14"/>
    <w:bookmarkEnd w:id="15"/>
    <w:p w14:paraId="638D46D4" w14:textId="77777777" w:rsidR="00A77B3E" w:rsidRPr="00ED01BB" w:rsidRDefault="00A77B3E" w:rsidP="00ED01BB">
      <w:pPr>
        <w:adjustRightInd w:val="0"/>
        <w:spacing w:line="360" w:lineRule="auto"/>
        <w:jc w:val="both"/>
        <w:rPr>
          <w:rFonts w:ascii="Book Antiqua" w:hAnsi="Book Antiqua"/>
        </w:rPr>
      </w:pPr>
    </w:p>
    <w:p w14:paraId="3DE32056"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Core Tip: </w:t>
      </w:r>
      <w:bookmarkStart w:id="16" w:name="OLE_LINK12"/>
      <w:bookmarkStart w:id="17" w:name="OLE_LINK13"/>
      <w:r w:rsidRPr="00ED01BB">
        <w:rPr>
          <w:rFonts w:ascii="Book Antiqua" w:eastAsia="Book Antiqua" w:hAnsi="Book Antiqua" w:cs="Book Antiqua"/>
          <w:color w:val="000000"/>
        </w:rPr>
        <w:t>Tacrolimus, a calcineurin inhibitor is an important component of the immunosuppressive regimens post liver transplantation. Compliance to immunosuppression treatment generally is important and non-adherence is a major risk factor of graft rejection and loss. Compliance to medication declines over the course of time in patients after liver transplantation due to several factors and this contributes to about 20% of late acute rejection. The efficacy of once daily tacrolimus regimens has been reported in many studies and this systematic review/meta-analysis confirmed the evidence of comparable efficacy and safety of prolonged release tacrolimus to the twice daily immediate release formulation.</w:t>
      </w:r>
    </w:p>
    <w:bookmarkEnd w:id="16"/>
    <w:bookmarkEnd w:id="17"/>
    <w:p w14:paraId="4D5C5D9B" w14:textId="77777777" w:rsidR="00A77B3E" w:rsidRPr="00ED01BB" w:rsidRDefault="00A77B3E" w:rsidP="00ED01BB">
      <w:pPr>
        <w:adjustRightInd w:val="0"/>
        <w:spacing w:line="360" w:lineRule="auto"/>
        <w:jc w:val="both"/>
        <w:rPr>
          <w:rFonts w:ascii="Book Antiqua" w:hAnsi="Book Antiqua"/>
        </w:rPr>
      </w:pPr>
    </w:p>
    <w:p w14:paraId="6B7FDF65" w14:textId="30C2F052" w:rsidR="00A77B3E" w:rsidRPr="00ED01BB" w:rsidRDefault="005B08A2"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br w:type="page"/>
      </w:r>
      <w:r w:rsidR="00C07E1E" w:rsidRPr="00ED01BB">
        <w:rPr>
          <w:rFonts w:ascii="Book Antiqua" w:eastAsia="Book Antiqua" w:hAnsi="Book Antiqua" w:cs="Book Antiqua"/>
          <w:b/>
          <w:caps/>
          <w:color w:val="000000"/>
          <w:u w:val="single"/>
        </w:rPr>
        <w:lastRenderedPageBreak/>
        <w:t>INTRODUCTION</w:t>
      </w:r>
    </w:p>
    <w:p w14:paraId="23AA0899" w14:textId="7B7E33E6" w:rsidR="00A77B3E" w:rsidRPr="00ED01BB" w:rsidRDefault="00C07E1E" w:rsidP="00ED01BB">
      <w:pPr>
        <w:adjustRightInd w:val="0"/>
        <w:spacing w:line="360" w:lineRule="auto"/>
        <w:jc w:val="both"/>
        <w:rPr>
          <w:rFonts w:ascii="Book Antiqua" w:hAnsi="Book Antiqua"/>
        </w:rPr>
      </w:pPr>
      <w:bookmarkStart w:id="18" w:name="OLE_LINK25"/>
      <w:bookmarkStart w:id="19" w:name="OLE_LINK26"/>
      <w:r w:rsidRPr="00ED01BB">
        <w:rPr>
          <w:rFonts w:ascii="Book Antiqua" w:eastAsia="Book Antiqua" w:hAnsi="Book Antiqua" w:cs="Book Antiqua"/>
          <w:color w:val="000000"/>
        </w:rPr>
        <w:t xml:space="preserve">Advances in immunosuppression regimens after solid-organ transplantation have significantly improved patient and graft survival. Tacrolimus, a calcineurin inhibitor is an important component of the immunosuppressive regimens widely used following liver transplantation (LT). Compliance to immunosuppression treatment however is important and non-adherence is a recognized contributing factor in rejection and graft </w:t>
      </w:r>
      <w:proofErr w:type="gramStart"/>
      <w:r w:rsidRPr="00ED01BB">
        <w:rPr>
          <w:rFonts w:ascii="Book Antiqua" w:eastAsia="Book Antiqua" w:hAnsi="Book Antiqua" w:cs="Book Antiqua"/>
          <w:color w:val="000000"/>
        </w:rPr>
        <w:t>loss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1,2]</w:t>
      </w:r>
      <w:r w:rsidRPr="00ED01BB">
        <w:rPr>
          <w:rFonts w:ascii="Book Antiqua" w:eastAsia="Book Antiqua" w:hAnsi="Book Antiqua" w:cs="Book Antiqua"/>
          <w:color w:val="000000"/>
        </w:rPr>
        <w:t>.</w:t>
      </w:r>
    </w:p>
    <w:p w14:paraId="4D18A66E" w14:textId="7063E4C6" w:rsidR="00A77B3E" w:rsidRPr="00ED01BB" w:rsidRDefault="00C07E1E" w:rsidP="00ED01B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t>Compliance to medication declines over the course of time in patients after LT due to several factors including the number of drugs to consume and the rate of rejection/infections increases. Previous reviews directed at recipients transplanted between the late 1980s and mid-2000s showed that the prevalence of non-adherence to immunosup</w:t>
      </w:r>
      <w:r w:rsidRPr="00ED01BB">
        <w:rPr>
          <w:rFonts w:ascii="Book Antiqua" w:eastAsia="Book Antiqua" w:hAnsi="Book Antiqua" w:cs="Book Antiqua"/>
          <w:color w:val="000000"/>
        </w:rPr>
        <w:softHyphen/>
        <w:t>pressive medications averaged about 25%. This non-adher</w:t>
      </w:r>
      <w:r w:rsidRPr="00ED01BB">
        <w:rPr>
          <w:rFonts w:ascii="Book Antiqua" w:eastAsia="Book Antiqua" w:hAnsi="Book Antiqua" w:cs="Book Antiqua"/>
          <w:color w:val="000000"/>
        </w:rPr>
        <w:softHyphen/>
        <w:t>ence to medications was felt to contribute to about 20% of late acute rejection episodes and 16%</w:t>
      </w:r>
      <w:r w:rsidR="00A1116C">
        <w:rPr>
          <w:rFonts w:ascii="Book Antiqua" w:eastAsia="Book Antiqua" w:hAnsi="Book Antiqua" w:cs="Book Antiqua"/>
          <w:color w:val="000000"/>
        </w:rPr>
        <w:t>-</w:t>
      </w:r>
      <w:r w:rsidRPr="00ED01BB">
        <w:rPr>
          <w:rFonts w:ascii="Book Antiqua" w:eastAsia="Book Antiqua" w:hAnsi="Book Antiqua" w:cs="Book Antiqua"/>
          <w:color w:val="000000"/>
        </w:rPr>
        <w:t xml:space="preserve">36% of graft </w:t>
      </w:r>
      <w:proofErr w:type="gramStart"/>
      <w:r w:rsidRPr="00ED01BB">
        <w:rPr>
          <w:rFonts w:ascii="Book Antiqua" w:eastAsia="Book Antiqua" w:hAnsi="Book Antiqua" w:cs="Book Antiqua"/>
          <w:color w:val="000000"/>
        </w:rPr>
        <w:t>losses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3]</w:t>
      </w:r>
      <w:r w:rsidRPr="00ED01BB">
        <w:rPr>
          <w:rFonts w:ascii="Book Antiqua" w:eastAsia="Book Antiqua" w:hAnsi="Book Antiqua" w:cs="Book Antiqua"/>
          <w:color w:val="000000"/>
        </w:rPr>
        <w:t xml:space="preserve">. To maintain good adherence, less frequently administering regimen were proved to be </w:t>
      </w:r>
      <w:proofErr w:type="gramStart"/>
      <w:r w:rsidRPr="00ED01BB">
        <w:rPr>
          <w:rFonts w:ascii="Book Antiqua" w:eastAsia="Book Antiqua" w:hAnsi="Book Antiqua" w:cs="Book Antiqua"/>
          <w:color w:val="000000"/>
        </w:rPr>
        <w:t>effective</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4]</w:t>
      </w:r>
      <w:r w:rsidRPr="00ED01BB">
        <w:rPr>
          <w:rFonts w:ascii="Book Antiqua" w:eastAsia="Book Antiqua" w:hAnsi="Book Antiqua" w:cs="Book Antiqua"/>
          <w:color w:val="000000"/>
        </w:rPr>
        <w:t>.</w:t>
      </w:r>
    </w:p>
    <w:p w14:paraId="45B5A36D" w14:textId="1DFF4BC4" w:rsidR="00A77B3E" w:rsidRPr="00ED01BB" w:rsidRDefault="00C07E1E" w:rsidP="00ED01B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t xml:space="preserve">Recently, tacrolimus once-daily prolonged-release (PR) formulation was developed. Based on the previous literature, it was evident that conversion from the twice-daily, immediate release (IR) to PR tacrolimus was well tolerated, safe and conveniently used in stable patients after </w:t>
      </w:r>
      <w:proofErr w:type="gramStart"/>
      <w:r w:rsidRPr="00ED01BB">
        <w:rPr>
          <w:rFonts w:ascii="Book Antiqua" w:eastAsia="Book Antiqua" w:hAnsi="Book Antiqua" w:cs="Book Antiqua"/>
          <w:color w:val="000000"/>
        </w:rPr>
        <w:t>LT</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5,6]</w:t>
      </w:r>
      <w:r w:rsidRPr="00ED01BB">
        <w:rPr>
          <w:rFonts w:ascii="Book Antiqua" w:eastAsia="Book Antiqua" w:hAnsi="Book Antiqua" w:cs="Book Antiqua"/>
          <w:color w:val="000000"/>
        </w:rPr>
        <w:t>. However, there is no systematic review that has been conducted till date to confirm the efficacy and safety of PR tacrolimus compared to IR tacrolimus.</w:t>
      </w:r>
    </w:p>
    <w:bookmarkEnd w:id="18"/>
    <w:bookmarkEnd w:id="19"/>
    <w:p w14:paraId="644B61CA" w14:textId="77777777" w:rsidR="00A77B3E" w:rsidRPr="00ED01BB" w:rsidRDefault="00A77B3E" w:rsidP="00ED01BB">
      <w:pPr>
        <w:adjustRightInd w:val="0"/>
        <w:spacing w:line="360" w:lineRule="auto"/>
        <w:jc w:val="both"/>
        <w:rPr>
          <w:rFonts w:ascii="Book Antiqua" w:hAnsi="Book Antiqua"/>
        </w:rPr>
      </w:pPr>
    </w:p>
    <w:p w14:paraId="0E29FA90" w14:textId="7CBA1321" w:rsidR="00D4122D"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MATERIALS AND METHODS</w:t>
      </w:r>
    </w:p>
    <w:p w14:paraId="15824F38" w14:textId="72227120" w:rsidR="00A77B3E" w:rsidRDefault="00C07E1E" w:rsidP="00ED01BB">
      <w:pPr>
        <w:adjustRightInd w:val="0"/>
        <w:spacing w:line="360" w:lineRule="auto"/>
        <w:jc w:val="both"/>
        <w:rPr>
          <w:rFonts w:ascii="Book Antiqua" w:eastAsia="Book Antiqua" w:hAnsi="Book Antiqua" w:cs="Book Antiqua"/>
          <w:b/>
          <w:bCs/>
          <w:i/>
          <w:iCs/>
          <w:color w:val="000000"/>
        </w:rPr>
      </w:pPr>
      <w:bookmarkStart w:id="20" w:name="OLE_LINK27"/>
      <w:bookmarkStart w:id="21" w:name="OLE_LINK28"/>
      <w:r w:rsidRPr="00ED01BB">
        <w:rPr>
          <w:rFonts w:ascii="Book Antiqua" w:eastAsia="Book Antiqua" w:hAnsi="Book Antiqua" w:cs="Book Antiqua"/>
          <w:b/>
          <w:bCs/>
          <w:i/>
          <w:iCs/>
          <w:color w:val="000000"/>
        </w:rPr>
        <w:t xml:space="preserve">Database </w:t>
      </w:r>
      <w:r w:rsidR="00943AB9" w:rsidRPr="00ED01BB">
        <w:rPr>
          <w:rFonts w:ascii="Book Antiqua" w:eastAsia="Book Antiqua" w:hAnsi="Book Antiqua" w:cs="Book Antiqua"/>
          <w:b/>
          <w:bCs/>
          <w:i/>
          <w:iCs/>
          <w:color w:val="000000"/>
        </w:rPr>
        <w:t>search</w:t>
      </w:r>
    </w:p>
    <w:p w14:paraId="15D8BC39" w14:textId="77777777" w:rsidR="00943AB9" w:rsidRPr="00ED01BB" w:rsidRDefault="00943AB9" w:rsidP="00943AB9">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This systematic review and meta-analysis was performed according to Cochrane </w:t>
      </w:r>
      <w:proofErr w:type="gramStart"/>
      <w:r w:rsidRPr="00ED01BB">
        <w:rPr>
          <w:rFonts w:ascii="Book Antiqua" w:eastAsia="Book Antiqua" w:hAnsi="Book Antiqua" w:cs="Book Antiqua"/>
          <w:color w:val="000000"/>
        </w:rPr>
        <w:t>Collaboration</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7]</w:t>
      </w:r>
      <w:r w:rsidRPr="00ED01BB">
        <w:rPr>
          <w:rFonts w:ascii="Book Antiqua" w:eastAsia="Book Antiqua" w:hAnsi="Book Antiqua" w:cs="Book Antiqua"/>
          <w:color w:val="000000"/>
        </w:rPr>
        <w:t xml:space="preserve"> and Preferred Reporting Items for Systematic Reviews and Meta-Analyses</w:t>
      </w:r>
      <w:r>
        <w:rPr>
          <w:rFonts w:ascii="Book Antiqua" w:eastAsia="Book Antiqua" w:hAnsi="Book Antiqua" w:cs="Book Antiqua"/>
          <w:color w:val="000000"/>
        </w:rPr>
        <w:t xml:space="preserve"> </w:t>
      </w:r>
      <w:r w:rsidRPr="00ED01BB">
        <w:rPr>
          <w:rFonts w:ascii="Book Antiqua" w:eastAsia="Book Antiqua" w:hAnsi="Book Antiqua" w:cs="Book Antiqua"/>
          <w:color w:val="000000"/>
        </w:rPr>
        <w:t>Statement</w:t>
      </w:r>
      <w:r w:rsidRPr="00ED01BB">
        <w:rPr>
          <w:rFonts w:ascii="Book Antiqua" w:eastAsia="Book Antiqua" w:hAnsi="Book Antiqua" w:cs="Book Antiqua"/>
          <w:color w:val="000000"/>
          <w:vertAlign w:val="superscript"/>
        </w:rPr>
        <w:t>[8]</w:t>
      </w:r>
      <w:r w:rsidRPr="00ED01BB">
        <w:rPr>
          <w:rFonts w:ascii="Book Antiqua" w:eastAsia="Book Antiqua" w:hAnsi="Book Antiqua" w:cs="Book Antiqua"/>
          <w:color w:val="000000"/>
        </w:rPr>
        <w:t>.</w:t>
      </w:r>
    </w:p>
    <w:p w14:paraId="4325D742" w14:textId="6BA22CC3" w:rsidR="00A77B3E" w:rsidRPr="00ED01BB" w:rsidRDefault="00C07E1E" w:rsidP="00943AB9">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We searched </w:t>
      </w:r>
      <w:r w:rsidR="00943AB9" w:rsidRPr="00ED01BB">
        <w:rPr>
          <w:rFonts w:ascii="Book Antiqua" w:eastAsia="Book Antiqua" w:hAnsi="Book Antiqua" w:cs="Book Antiqua"/>
          <w:color w:val="000000"/>
        </w:rPr>
        <w:t>MEDLINE</w:t>
      </w:r>
      <w:r w:rsidRPr="00ED01BB">
        <w:rPr>
          <w:rFonts w:ascii="Book Antiqua" w:eastAsia="Book Antiqua" w:hAnsi="Book Antiqua" w:cs="Book Antiqua"/>
          <w:color w:val="000000"/>
        </w:rPr>
        <w:t xml:space="preserve">, EMBASE, CENTRAL databases since inception to December 2020 using an extensive search strategy to identify relevant literature. We used the following terms: tacrolimus, liver transplantation and dosage forms </w:t>
      </w:r>
      <w:r w:rsidRPr="00ED01BB">
        <w:rPr>
          <w:rFonts w:ascii="Book Antiqua" w:eastAsia="Book Antiqua" w:hAnsi="Book Antiqua" w:cs="Book Antiqua"/>
          <w:color w:val="000000"/>
        </w:rPr>
        <w:lastRenderedPageBreak/>
        <w:t>(Supplementary file) while searching databases with human and English language restrictions. In addition, we also searched clinicaltrials.gov.in and Google Scholar and references of previously published relevant papers to find more relevant trials.</w:t>
      </w:r>
    </w:p>
    <w:p w14:paraId="0BE683B9" w14:textId="77777777" w:rsidR="00D4122D" w:rsidRPr="00ED01BB" w:rsidRDefault="00D4122D" w:rsidP="00ED01BB">
      <w:pPr>
        <w:adjustRightInd w:val="0"/>
        <w:spacing w:line="360" w:lineRule="auto"/>
        <w:jc w:val="both"/>
        <w:rPr>
          <w:rFonts w:ascii="Book Antiqua" w:eastAsia="Book Antiqua" w:hAnsi="Book Antiqua" w:cs="Book Antiqua"/>
          <w:color w:val="000000"/>
        </w:rPr>
      </w:pPr>
    </w:p>
    <w:p w14:paraId="1DBFD67F" w14:textId="77777777"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Eligibility criteria</w:t>
      </w:r>
    </w:p>
    <w:p w14:paraId="52F0435C" w14:textId="6F0326A4"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Clinical trials conducted on adult (&gt;</w:t>
      </w:r>
      <w:r w:rsidR="00D4122D"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18 years) patients who received a primary LT from a deceased or living donor, having an average serum tacrolimus level of 1-10 ng/mL for more than 6 </w:t>
      </w:r>
      <w:proofErr w:type="spellStart"/>
      <w:r w:rsidRPr="00ED01BB">
        <w:rPr>
          <w:rFonts w:ascii="Book Antiqua" w:eastAsia="Book Antiqua" w:hAnsi="Book Antiqua" w:cs="Book Antiqua"/>
          <w:color w:val="000000"/>
        </w:rPr>
        <w:t>wk</w:t>
      </w:r>
      <w:proofErr w:type="spellEnd"/>
      <w:r w:rsidRPr="00ED01BB">
        <w:rPr>
          <w:rFonts w:ascii="Book Antiqua" w:eastAsia="Book Antiqua" w:hAnsi="Book Antiqua" w:cs="Book Antiqua"/>
          <w:color w:val="000000"/>
        </w:rPr>
        <w:t>, that compared once daily tacrolimus to twice daily tacrolimus in LT patients were included.</w:t>
      </w:r>
    </w:p>
    <w:p w14:paraId="66EE63F4" w14:textId="77777777" w:rsidR="00D4122D" w:rsidRPr="00ED01BB" w:rsidRDefault="00D4122D" w:rsidP="00ED01BB">
      <w:pPr>
        <w:adjustRightInd w:val="0"/>
        <w:spacing w:line="360" w:lineRule="auto"/>
        <w:jc w:val="both"/>
        <w:rPr>
          <w:rFonts w:ascii="Book Antiqua" w:hAnsi="Book Antiqua"/>
        </w:rPr>
      </w:pPr>
    </w:p>
    <w:p w14:paraId="66550965" w14:textId="77777777"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Exclusion criteria</w:t>
      </w:r>
    </w:p>
    <w:p w14:paraId="675653E3" w14:textId="22054719"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Studies were excluded if they had patients with a previous organ transplant other than liver and multiple organ transplantations. Studies also conducted on </w:t>
      </w:r>
      <w:proofErr w:type="spellStart"/>
      <w:r w:rsidRPr="00ED01BB">
        <w:rPr>
          <w:rFonts w:ascii="Book Antiqua" w:eastAsia="Book Antiqua" w:hAnsi="Book Antiqua" w:cs="Book Antiqua"/>
          <w:color w:val="000000"/>
        </w:rPr>
        <w:t>paediatric</w:t>
      </w:r>
      <w:proofErr w:type="spellEnd"/>
      <w:r w:rsidRPr="00ED01BB">
        <w:rPr>
          <w:rFonts w:ascii="Book Antiqua" w:eastAsia="Book Antiqua" w:hAnsi="Book Antiqua" w:cs="Book Antiqua"/>
          <w:color w:val="000000"/>
        </w:rPr>
        <w:t xml:space="preserve"> population and lack of a control group (the study had only included patients who received once daily tacrolimus. We also excluded studies only assessed pharmacokinetics of tacrolimus. Finally, studies without full-text such as conference proceedings, editorials, reviews, secondary analyses and letters excluded.</w:t>
      </w:r>
    </w:p>
    <w:p w14:paraId="3F854D25" w14:textId="77777777" w:rsidR="00985626" w:rsidRPr="00ED01BB" w:rsidRDefault="00985626" w:rsidP="00ED01BB">
      <w:pPr>
        <w:adjustRightInd w:val="0"/>
        <w:spacing w:line="360" w:lineRule="auto"/>
        <w:jc w:val="both"/>
        <w:rPr>
          <w:rFonts w:ascii="Book Antiqua" w:eastAsia="Book Antiqua" w:hAnsi="Book Antiqua" w:cs="Book Antiqua"/>
          <w:color w:val="000000"/>
        </w:rPr>
      </w:pPr>
    </w:p>
    <w:p w14:paraId="75DD1064" w14:textId="365ECCC3" w:rsidR="00A77B3E" w:rsidRPr="00ED01BB" w:rsidRDefault="00C07E1E" w:rsidP="00ED01BB">
      <w:pPr>
        <w:adjustRightInd w:val="0"/>
        <w:spacing w:line="360" w:lineRule="auto"/>
        <w:jc w:val="both"/>
        <w:rPr>
          <w:rFonts w:ascii="Book Antiqua" w:hAnsi="Book Antiqua" w:cs="Book Antiqua"/>
          <w:b/>
          <w:bCs/>
          <w:color w:val="000000"/>
          <w:lang w:eastAsia="zh-CN"/>
        </w:rPr>
      </w:pPr>
      <w:r w:rsidRPr="00ED01BB">
        <w:rPr>
          <w:rFonts w:ascii="Book Antiqua" w:eastAsia="Book Antiqua" w:hAnsi="Book Antiqua" w:cs="Book Antiqua"/>
          <w:b/>
          <w:bCs/>
          <w:color w:val="000000"/>
        </w:rPr>
        <w:t>Outcomes</w:t>
      </w:r>
      <w:r w:rsidR="00985626" w:rsidRPr="00ED01BB">
        <w:rPr>
          <w:rFonts w:ascii="Book Antiqua" w:hAnsi="Book Antiqua" w:cs="Book Antiqua"/>
          <w:b/>
          <w:bCs/>
          <w:color w:val="000000"/>
          <w:lang w:eastAsia="zh-CN"/>
        </w:rPr>
        <w:t xml:space="preserve">: </w:t>
      </w:r>
      <w:r w:rsidRPr="00ED01BB">
        <w:rPr>
          <w:rFonts w:ascii="Book Antiqua" w:eastAsia="Book Antiqua" w:hAnsi="Book Antiqua" w:cs="Book Antiqua"/>
          <w:color w:val="000000"/>
        </w:rPr>
        <w:t>Efficacy was measured as the rate of treatment failure indicated by biopsy-proven acute rejection (BPAR), liver graft loss, or death while safety was assessed by the incidence of adverse events.</w:t>
      </w:r>
    </w:p>
    <w:p w14:paraId="229362DA" w14:textId="77777777" w:rsidR="00E44A25" w:rsidRPr="00ED01BB" w:rsidRDefault="00E44A25" w:rsidP="00ED01BB">
      <w:pPr>
        <w:adjustRightInd w:val="0"/>
        <w:spacing w:line="360" w:lineRule="auto"/>
        <w:jc w:val="both"/>
        <w:rPr>
          <w:rFonts w:ascii="Book Antiqua" w:eastAsia="Book Antiqua" w:hAnsi="Book Antiqua" w:cs="Book Antiqua"/>
          <w:b/>
          <w:bCs/>
          <w:color w:val="000000"/>
        </w:rPr>
      </w:pPr>
    </w:p>
    <w:p w14:paraId="3CCABFDE" w14:textId="0C7E1E70"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 xml:space="preserve">Study selection </w:t>
      </w:r>
      <w:r w:rsidR="00E44A25" w:rsidRPr="00ED01BB">
        <w:rPr>
          <w:rFonts w:ascii="Book Antiqua" w:eastAsia="Book Antiqua" w:hAnsi="Book Antiqua" w:cs="Book Antiqua"/>
          <w:b/>
          <w:bCs/>
          <w:i/>
          <w:iCs/>
          <w:color w:val="000000"/>
        </w:rPr>
        <w:t>and</w:t>
      </w:r>
      <w:r w:rsidRPr="00ED01BB">
        <w:rPr>
          <w:rFonts w:ascii="Book Antiqua" w:eastAsia="Book Antiqua" w:hAnsi="Book Antiqua" w:cs="Book Antiqua"/>
          <w:b/>
          <w:bCs/>
          <w:i/>
          <w:iCs/>
          <w:color w:val="000000"/>
        </w:rPr>
        <w:t xml:space="preserve"> </w:t>
      </w:r>
      <w:r w:rsidR="00E44A25" w:rsidRPr="00ED01BB">
        <w:rPr>
          <w:rFonts w:ascii="Book Antiqua" w:eastAsia="Book Antiqua" w:hAnsi="Book Antiqua" w:cs="Book Antiqua"/>
          <w:b/>
          <w:bCs/>
          <w:i/>
          <w:iCs/>
          <w:color w:val="000000"/>
        </w:rPr>
        <w:t>d</w:t>
      </w:r>
      <w:r w:rsidRPr="00ED01BB">
        <w:rPr>
          <w:rFonts w:ascii="Book Antiqua" w:eastAsia="Book Antiqua" w:hAnsi="Book Antiqua" w:cs="Book Antiqua"/>
          <w:b/>
          <w:bCs/>
          <w:i/>
          <w:iCs/>
          <w:color w:val="000000"/>
        </w:rPr>
        <w:t>ata extraction</w:t>
      </w:r>
    </w:p>
    <w:p w14:paraId="492F8515" w14:textId="1574F290"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Two reviewers independently (KB </w:t>
      </w:r>
      <w:r w:rsidR="00E44A25" w:rsidRPr="00ED01BB">
        <w:rPr>
          <w:rFonts w:ascii="Book Antiqua" w:eastAsia="Book Antiqua" w:hAnsi="Book Antiqua" w:cs="Book Antiqua"/>
          <w:color w:val="000000"/>
        </w:rPr>
        <w:t>and</w:t>
      </w:r>
      <w:r w:rsidRPr="00ED01BB">
        <w:rPr>
          <w:rFonts w:ascii="Book Antiqua" w:eastAsia="Book Antiqua" w:hAnsi="Book Antiqua" w:cs="Book Antiqua"/>
          <w:color w:val="000000"/>
        </w:rPr>
        <w:t xml:space="preserve"> RT) screened the identified studies according to the aforementioned criteria and excluded studies that were found to be clearly irrelevant. We</w:t>
      </w:r>
      <w:r w:rsidR="00E44A25"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obtained the full text of the remaining studies and the same two</w:t>
      </w:r>
      <w:r w:rsidR="00E44A25"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reviewers screened full texts and selected trials for inclusion. The same two reviewers independently extracted data from included trials into the </w:t>
      </w:r>
      <w:r w:rsidRPr="00ED01BB">
        <w:rPr>
          <w:rFonts w:ascii="Book Antiqua" w:eastAsia="Book Antiqua" w:hAnsi="Book Antiqua" w:cs="Book Antiqua"/>
          <w:color w:val="000000"/>
        </w:rPr>
        <w:lastRenderedPageBreak/>
        <w:t>predesigned and validated data collection form. Disagreements were resolved by arbitration, and consensus was reached after discussion. We collected study characteristics (type of design with duration of intervention and methods), baseline demographics, and efficacy and safety outcome data from each included trial.</w:t>
      </w:r>
    </w:p>
    <w:p w14:paraId="428A3BD4" w14:textId="77777777" w:rsidR="00E44A25" w:rsidRPr="00ED01BB" w:rsidRDefault="00E44A25" w:rsidP="00ED01BB">
      <w:pPr>
        <w:adjustRightInd w:val="0"/>
        <w:spacing w:line="360" w:lineRule="auto"/>
        <w:jc w:val="both"/>
        <w:rPr>
          <w:rFonts w:ascii="Book Antiqua" w:hAnsi="Book Antiqua"/>
        </w:rPr>
      </w:pPr>
    </w:p>
    <w:p w14:paraId="3F1163E0" w14:textId="77777777"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Quality assessment</w:t>
      </w:r>
    </w:p>
    <w:p w14:paraId="19315BC6" w14:textId="139FF636"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Two reviewers (KB </w:t>
      </w:r>
      <w:r w:rsidR="00E44A25" w:rsidRPr="00ED01BB">
        <w:rPr>
          <w:rFonts w:ascii="Book Antiqua" w:eastAsia="Book Antiqua" w:hAnsi="Book Antiqua" w:cs="Book Antiqua"/>
          <w:color w:val="000000"/>
        </w:rPr>
        <w:t>and</w:t>
      </w:r>
      <w:r w:rsidRPr="00ED01BB">
        <w:rPr>
          <w:rFonts w:ascii="Book Antiqua" w:eastAsia="Book Antiqua" w:hAnsi="Book Antiqua" w:cs="Book Antiqua"/>
          <w:color w:val="000000"/>
        </w:rPr>
        <w:t xml:space="preserve"> RT) independently assessed quality of included studies using Cochrane Risk of Bias </w:t>
      </w:r>
      <w:proofErr w:type="gramStart"/>
      <w:r w:rsidRPr="00ED01BB">
        <w:rPr>
          <w:rFonts w:ascii="Book Antiqua" w:eastAsia="Book Antiqua" w:hAnsi="Book Antiqua" w:cs="Book Antiqua"/>
          <w:color w:val="000000"/>
        </w:rPr>
        <w:t>tool</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9]</w:t>
      </w:r>
      <w:r w:rsidRPr="00ED01BB">
        <w:rPr>
          <w:rFonts w:ascii="Book Antiqua" w:eastAsia="Book Antiqua" w:hAnsi="Book Antiqua" w:cs="Book Antiqua"/>
          <w:color w:val="000000"/>
        </w:rPr>
        <w:t>, and disagreements were resolved by discussion. If a consensus could not be reached, any discrepancy was resolved by a senior author. Seven domains of quality assessment included random sequence generation, allocation concealment, blinding of participants and personnel, blinding of outcome assessment, incomplete outcome data, selective reporting, and other sources of bias.</w:t>
      </w:r>
    </w:p>
    <w:p w14:paraId="7AB52A37" w14:textId="77777777" w:rsidR="00E44A25" w:rsidRPr="00ED01BB" w:rsidRDefault="00E44A25" w:rsidP="00ED01BB">
      <w:pPr>
        <w:adjustRightInd w:val="0"/>
        <w:spacing w:line="360" w:lineRule="auto"/>
        <w:jc w:val="both"/>
        <w:rPr>
          <w:rFonts w:ascii="Book Antiqua" w:hAnsi="Book Antiqua"/>
        </w:rPr>
      </w:pPr>
    </w:p>
    <w:p w14:paraId="159A74C7" w14:textId="1071FB7A"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 xml:space="preserve">Statistical </w:t>
      </w:r>
      <w:r w:rsidR="00943AB9" w:rsidRPr="00ED01BB">
        <w:rPr>
          <w:rFonts w:ascii="Book Antiqua" w:eastAsia="Book Antiqua" w:hAnsi="Book Antiqua" w:cs="Book Antiqua"/>
          <w:b/>
          <w:bCs/>
          <w:i/>
          <w:iCs/>
          <w:color w:val="000000"/>
        </w:rPr>
        <w:t>analysis</w:t>
      </w:r>
    </w:p>
    <w:p w14:paraId="617EB275" w14:textId="0894C4C6" w:rsidR="00A77B3E" w:rsidRPr="00ED01BB" w:rsidRDefault="00C07E1E"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t>We performed statistical analysis using Comprehensive Meta-analysis Version 3.0</w:t>
      </w:r>
      <w:r w:rsidRPr="00ED01BB">
        <w:rPr>
          <w:rFonts w:ascii="Book Antiqua" w:eastAsia="Book Antiqua" w:hAnsi="Book Antiqua" w:cs="Book Antiqua"/>
          <w:color w:val="000000"/>
          <w:vertAlign w:val="superscript"/>
        </w:rPr>
        <w:t>[10]</w:t>
      </w:r>
      <w:r w:rsidRPr="00ED01BB">
        <w:rPr>
          <w:rFonts w:ascii="Book Antiqua" w:eastAsia="Book Antiqua" w:hAnsi="Book Antiqua" w:cs="Book Antiqua"/>
          <w:color w:val="000000"/>
        </w:rPr>
        <w:t>. We reported the results as risk ratio</w:t>
      </w:r>
      <w:r w:rsidR="00E44A25"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with 95% confidence interval</w:t>
      </w:r>
      <w:r w:rsidR="00E44A25" w:rsidRPr="00ED01BB">
        <w:rPr>
          <w:rFonts w:ascii="Book Antiqua" w:eastAsia="Book Antiqua" w:hAnsi="Book Antiqua" w:cs="Book Antiqua"/>
          <w:color w:val="000000"/>
        </w:rPr>
        <w:t xml:space="preserve"> </w:t>
      </w:r>
      <w:r w:rsidR="00A1116C">
        <w:rPr>
          <w:rFonts w:ascii="Book Antiqua" w:eastAsia="Book Antiqua" w:hAnsi="Book Antiqua" w:cs="Book Antiqua"/>
          <w:color w:val="000000"/>
        </w:rPr>
        <w:t xml:space="preserve">(CI) </w:t>
      </w:r>
      <w:r w:rsidRPr="00ED01BB">
        <w:rPr>
          <w:rFonts w:ascii="Book Antiqua" w:eastAsia="Book Antiqua" w:hAnsi="Book Antiqua" w:cs="Book Antiqua"/>
          <w:color w:val="000000"/>
        </w:rPr>
        <w:t xml:space="preserve">for dichotomous data and continuous data as mean difference. We used a random-effects model to combine individual results regardless whether there was significant heterogeneity or not. We tested heterogeneity among trial results using the </w:t>
      </w:r>
      <w:r w:rsidRPr="00ED01BB">
        <w:rPr>
          <w:rFonts w:ascii="Book Antiqua" w:eastAsia="Book Antiqua" w:hAnsi="Book Antiqua" w:cs="Book Antiqua"/>
          <w:i/>
          <w:iCs/>
          <w:color w:val="000000"/>
        </w:rPr>
        <w:t>I</w:t>
      </w:r>
      <w:r w:rsidRPr="00ED01BB">
        <w:rPr>
          <w:rFonts w:ascii="Book Antiqua" w:eastAsia="Book Antiqua" w:hAnsi="Book Antiqua" w:cs="Book Antiqua"/>
          <w:i/>
          <w:iCs/>
          <w:color w:val="000000"/>
          <w:vertAlign w:val="superscript"/>
        </w:rPr>
        <w:t>2</w:t>
      </w:r>
      <w:r w:rsidRPr="00ED01BB">
        <w:rPr>
          <w:rFonts w:ascii="Book Antiqua" w:eastAsia="Book Antiqua" w:hAnsi="Book Antiqua" w:cs="Book Antiqua"/>
          <w:color w:val="000000"/>
        </w:rPr>
        <w:t xml:space="preserve"> </w:t>
      </w:r>
      <w:proofErr w:type="gramStart"/>
      <w:r w:rsidRPr="00ED01BB">
        <w:rPr>
          <w:rFonts w:ascii="Book Antiqua" w:eastAsia="Book Antiqua" w:hAnsi="Book Antiqua" w:cs="Book Antiqua"/>
          <w:color w:val="000000"/>
        </w:rPr>
        <w:t>statistic</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7]</w:t>
      </w:r>
      <w:r w:rsidRPr="00ED01BB">
        <w:rPr>
          <w:rFonts w:ascii="Book Antiqua" w:eastAsia="Book Antiqua" w:hAnsi="Book Antiqua" w:cs="Book Antiqua"/>
          <w:color w:val="000000"/>
        </w:rPr>
        <w:t>. We considered a value greater than 50% as substantial heterogeneity. Publication bias was not assessed due to limited number of included studies in this review.</w:t>
      </w:r>
    </w:p>
    <w:bookmarkEnd w:id="20"/>
    <w:bookmarkEnd w:id="21"/>
    <w:p w14:paraId="608144DD" w14:textId="77777777" w:rsidR="00A77B3E" w:rsidRPr="00ED01BB" w:rsidRDefault="00A77B3E" w:rsidP="00ED01BB">
      <w:pPr>
        <w:adjustRightInd w:val="0"/>
        <w:spacing w:line="360" w:lineRule="auto"/>
        <w:jc w:val="both"/>
        <w:rPr>
          <w:rFonts w:ascii="Book Antiqua" w:hAnsi="Book Antiqua"/>
        </w:rPr>
      </w:pPr>
    </w:p>
    <w:p w14:paraId="5A3BCBF8"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RESULTS</w:t>
      </w:r>
    </w:p>
    <w:p w14:paraId="430CC255" w14:textId="5F997EF4" w:rsidR="00A77B3E" w:rsidRPr="00ED01BB" w:rsidRDefault="00C07E1E" w:rsidP="00ED01BB">
      <w:pPr>
        <w:adjustRightInd w:val="0"/>
        <w:spacing w:line="360" w:lineRule="auto"/>
        <w:jc w:val="both"/>
        <w:rPr>
          <w:rFonts w:ascii="Book Antiqua" w:eastAsia="Book Antiqua" w:hAnsi="Book Antiqua" w:cs="Book Antiqua"/>
          <w:color w:val="000000"/>
        </w:rPr>
      </w:pPr>
      <w:bookmarkStart w:id="22" w:name="OLE_LINK29"/>
      <w:bookmarkStart w:id="23" w:name="OLE_LINK30"/>
      <w:r w:rsidRPr="00ED01BB">
        <w:rPr>
          <w:rFonts w:ascii="Book Antiqua" w:eastAsia="Book Antiqua" w:hAnsi="Book Antiqua" w:cs="Book Antiqua"/>
          <w:color w:val="000000"/>
        </w:rPr>
        <w:t xml:space="preserve">A total of 701 articles from databases search and 15 from additional searches identified. After removing duplicates 543 studies remained for screening. Upon screening titles and abstracts, 490 clearly irrelevant articles removed. The remaining 48 articles subjected to full text screening. Finally, seven clinical trials </w:t>
      </w:r>
      <w:r w:rsidRPr="00ED01BB">
        <w:rPr>
          <w:rFonts w:ascii="Book Antiqua" w:eastAsia="Book Antiqua" w:hAnsi="Book Antiqua" w:cs="Book Antiqua"/>
          <w:color w:val="000000"/>
        </w:rPr>
        <w:lastRenderedPageBreak/>
        <w:t xml:space="preserve">met the inclusion </w:t>
      </w:r>
      <w:proofErr w:type="gramStart"/>
      <w:r w:rsidRPr="00ED01BB">
        <w:rPr>
          <w:rFonts w:ascii="Book Antiqua" w:eastAsia="Book Antiqua" w:hAnsi="Book Antiqua" w:cs="Book Antiqua"/>
          <w:color w:val="000000"/>
        </w:rPr>
        <w:t>criteria</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11-17]</w:t>
      </w:r>
      <w:r w:rsidRPr="00ED01BB">
        <w:rPr>
          <w:rFonts w:ascii="Book Antiqua" w:eastAsia="Book Antiqua" w:hAnsi="Book Antiqua" w:cs="Book Antiqua"/>
          <w:color w:val="000000"/>
        </w:rPr>
        <w:t xml:space="preserve">. The flow of the </w:t>
      </w:r>
      <w:proofErr w:type="spellStart"/>
      <w:r w:rsidR="000E055A" w:rsidRPr="000E055A">
        <w:rPr>
          <w:rFonts w:ascii="Book Antiqua" w:eastAsia="Book Antiqua" w:hAnsi="Book Antiqua" w:cs="Book Antiqua"/>
          <w:color w:val="000000"/>
        </w:rPr>
        <w:t>randomised</w:t>
      </w:r>
      <w:proofErr w:type="spellEnd"/>
      <w:r w:rsidR="000E055A" w:rsidRPr="000E055A">
        <w:rPr>
          <w:rFonts w:ascii="Book Antiqua" w:eastAsia="Book Antiqua" w:hAnsi="Book Antiqua" w:cs="Book Antiqua"/>
          <w:color w:val="000000"/>
        </w:rPr>
        <w:t xml:space="preserve"> controlled trial</w:t>
      </w:r>
      <w:r w:rsidRPr="00ED01BB">
        <w:rPr>
          <w:rFonts w:ascii="Book Antiqua" w:eastAsia="Book Antiqua" w:hAnsi="Book Antiqua" w:cs="Book Antiqua"/>
          <w:color w:val="000000"/>
        </w:rPr>
        <w:t xml:space="preserve"> included in our analysis is shown in Figure 1.</w:t>
      </w:r>
    </w:p>
    <w:p w14:paraId="6FAE3F4C" w14:textId="77777777" w:rsidR="00985626" w:rsidRPr="00ED01BB" w:rsidRDefault="00985626" w:rsidP="00ED01BB">
      <w:pPr>
        <w:adjustRightInd w:val="0"/>
        <w:spacing w:line="360" w:lineRule="auto"/>
        <w:jc w:val="both"/>
        <w:rPr>
          <w:rFonts w:ascii="Book Antiqua" w:hAnsi="Book Antiqua"/>
        </w:rPr>
      </w:pPr>
    </w:p>
    <w:p w14:paraId="5B881D88" w14:textId="7FC93D26"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Study characteristics</w:t>
      </w:r>
    </w:p>
    <w:p w14:paraId="0FE1BE67" w14:textId="15F4D910"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 xml:space="preserve">A total of seven clinical trials were included with 965 patients. Study characteristics were summarized in Table 1. Studies included are conducted in various countries including </w:t>
      </w:r>
      <w:r w:rsidR="00985626" w:rsidRPr="00ED01BB">
        <w:rPr>
          <w:rFonts w:ascii="Book Antiqua" w:eastAsia="Book Antiqua" w:hAnsi="Book Antiqua" w:cs="Book Antiqua"/>
          <w:color w:val="000000"/>
        </w:rPr>
        <w:t>United States</w:t>
      </w:r>
      <w:r w:rsidRPr="00ED01BB">
        <w:rPr>
          <w:rFonts w:ascii="Book Antiqua" w:eastAsia="Book Antiqua" w:hAnsi="Book Antiqua" w:cs="Book Antiqua"/>
          <w:color w:val="000000"/>
        </w:rPr>
        <w:t xml:space="preserve">, Japan, </w:t>
      </w:r>
      <w:r w:rsidR="00985626" w:rsidRPr="00ED01BB">
        <w:rPr>
          <w:rFonts w:ascii="Book Antiqua" w:eastAsia="Book Antiqua" w:hAnsi="Book Antiqua" w:cs="Book Antiqua"/>
          <w:color w:val="000000"/>
        </w:rPr>
        <w:t>United Kingdom</w:t>
      </w:r>
      <w:r w:rsidRPr="00ED01BB">
        <w:rPr>
          <w:rFonts w:ascii="Book Antiqua" w:eastAsia="Book Antiqua" w:hAnsi="Book Antiqua" w:cs="Book Antiqua"/>
          <w:color w:val="000000"/>
        </w:rPr>
        <w:t>, and one study in another 16 countries.</w:t>
      </w:r>
    </w:p>
    <w:p w14:paraId="625240A5" w14:textId="58E1F93A" w:rsidR="00A77B3E" w:rsidRDefault="00C07E1E" w:rsidP="00ED01BB">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The mean age of included patients was 52.8 years and majority (71%) of them were males. Four studies had follow-up for one year while the other two had follow up for 3 and 6 mo. In four studies, concomitant treatment with mycophenolate mofetil and steroids was allowed. All the included studies were of moderate quality according to the risk of bias assessment using Cochrane Risk of Bias tool (Figure </w:t>
      </w:r>
      <w:r w:rsidR="000E055A">
        <w:rPr>
          <w:rFonts w:ascii="Book Antiqua" w:eastAsia="Book Antiqua" w:hAnsi="Book Antiqua" w:cs="Book Antiqua"/>
          <w:color w:val="000000"/>
        </w:rPr>
        <w:t>2</w:t>
      </w:r>
      <w:r w:rsidRPr="00ED01BB">
        <w:rPr>
          <w:rFonts w:ascii="Book Antiqua" w:eastAsia="Book Antiqua" w:hAnsi="Book Antiqua" w:cs="Book Antiqua"/>
          <w:color w:val="000000"/>
        </w:rPr>
        <w:t>).</w:t>
      </w:r>
    </w:p>
    <w:p w14:paraId="5E68B629" w14:textId="77777777" w:rsidR="000E055A" w:rsidRPr="00ED01BB" w:rsidRDefault="000E055A" w:rsidP="000E055A">
      <w:pPr>
        <w:adjustRightInd w:val="0"/>
        <w:spacing w:line="360" w:lineRule="auto"/>
        <w:jc w:val="both"/>
        <w:rPr>
          <w:rFonts w:ascii="Book Antiqua" w:hAnsi="Book Antiqua"/>
        </w:rPr>
      </w:pPr>
    </w:p>
    <w:p w14:paraId="0886E1DF" w14:textId="77777777" w:rsidR="00A77B3E" w:rsidRPr="00A6420B" w:rsidRDefault="00C07E1E" w:rsidP="00ED01BB">
      <w:pPr>
        <w:adjustRightInd w:val="0"/>
        <w:spacing w:line="360" w:lineRule="auto"/>
        <w:jc w:val="both"/>
        <w:rPr>
          <w:rFonts w:ascii="Book Antiqua" w:hAnsi="Book Antiqua"/>
          <w:i/>
          <w:iCs/>
        </w:rPr>
      </w:pPr>
      <w:r w:rsidRPr="00A6420B">
        <w:rPr>
          <w:rFonts w:ascii="Book Antiqua" w:eastAsia="Book Antiqua" w:hAnsi="Book Antiqua" w:cs="Book Antiqua"/>
          <w:b/>
          <w:bCs/>
          <w:i/>
          <w:iCs/>
          <w:color w:val="000000"/>
        </w:rPr>
        <w:t>Efficacy outcomes</w:t>
      </w:r>
    </w:p>
    <w:p w14:paraId="3993D904" w14:textId="2489A21D"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 xml:space="preserve">Acute rejection confirmed by biopsy was reported in four </w:t>
      </w:r>
      <w:proofErr w:type="gramStart"/>
      <w:r w:rsidRPr="00ED01BB">
        <w:rPr>
          <w:rFonts w:ascii="Book Antiqua" w:eastAsia="Book Antiqua" w:hAnsi="Book Antiqua" w:cs="Book Antiqua"/>
          <w:color w:val="000000"/>
        </w:rPr>
        <w:t>studies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12,15-17]</w:t>
      </w:r>
      <w:r w:rsidRPr="00ED01BB">
        <w:rPr>
          <w:rFonts w:ascii="Book Antiqua" w:eastAsia="Book Antiqua" w:hAnsi="Book Antiqua" w:cs="Book Antiqua"/>
          <w:color w:val="000000"/>
        </w:rPr>
        <w:t>, and pooled analysis of those studies indicated similar rejection rate in both twice daily and once daily tacrolimus groups (risk ratio</w:t>
      </w:r>
      <w:r w:rsidR="000E055A">
        <w:rPr>
          <w:rFonts w:ascii="Book Antiqua" w:eastAsia="Book Antiqua" w:hAnsi="Book Antiqua" w:cs="Book Antiqua"/>
          <w:color w:val="000000"/>
        </w:rPr>
        <w:t xml:space="preserve"> </w:t>
      </w:r>
      <w:r w:rsidRPr="00ED01BB">
        <w:rPr>
          <w:rFonts w:ascii="Book Antiqua" w:eastAsia="Book Antiqua" w:hAnsi="Book Antiqua" w:cs="Book Antiqua"/>
          <w:color w:val="000000"/>
        </w:rPr>
        <w:t>1.06, 95%</w:t>
      </w:r>
      <w:r w:rsidR="00A1116C">
        <w:rPr>
          <w:rFonts w:ascii="Book Antiqua" w:eastAsia="Book Antiqua" w:hAnsi="Book Antiqua" w:cs="Book Antiqua"/>
          <w:color w:val="000000"/>
        </w:rPr>
        <w:t>CI:</w:t>
      </w:r>
      <w:r w:rsidRPr="00ED01BB">
        <w:rPr>
          <w:rFonts w:ascii="Book Antiqua" w:eastAsia="Book Antiqua" w:hAnsi="Book Antiqua" w:cs="Book Antiqua"/>
          <w:color w:val="000000"/>
        </w:rPr>
        <w:t xml:space="preserve"> 0.84</w:t>
      </w:r>
      <w:r w:rsidR="00A1116C">
        <w:rPr>
          <w:rFonts w:ascii="Book Antiqua" w:eastAsia="Book Antiqua" w:hAnsi="Book Antiqua" w:cs="Book Antiqua"/>
          <w:color w:val="000000"/>
        </w:rPr>
        <w:t>-</w:t>
      </w:r>
      <w:r w:rsidRPr="00ED01BB">
        <w:rPr>
          <w:rFonts w:ascii="Book Antiqua" w:eastAsia="Book Antiqua" w:hAnsi="Book Antiqua" w:cs="Book Antiqua"/>
          <w:color w:val="000000"/>
        </w:rPr>
        <w:t xml:space="preserve">1.34,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758, </w:t>
      </w:r>
      <w:r w:rsidRPr="00F9457D">
        <w:rPr>
          <w:rFonts w:ascii="Book Antiqua" w:eastAsia="Book Antiqua" w:hAnsi="Book Antiqua" w:cs="Book Antiqua"/>
          <w:i/>
          <w:iCs/>
          <w:color w:val="000000"/>
        </w:rPr>
        <w:t>I</w:t>
      </w:r>
      <w:r w:rsidRPr="00F9457D">
        <w:rPr>
          <w:rFonts w:ascii="Book Antiqua" w:eastAsia="Book Antiqua" w:hAnsi="Book Antiqua" w:cs="Book Antiqua"/>
          <w:i/>
          <w:iCs/>
          <w:color w:val="000000"/>
          <w:vertAlign w:val="superscript"/>
        </w:rPr>
        <w:t>2</w:t>
      </w:r>
      <w:r w:rsidR="00A1116C">
        <w:rPr>
          <w:rFonts w:ascii="Book Antiqua" w:eastAsia="Book Antiqua" w:hAnsi="Book Antiqua" w:cs="Book Antiqua"/>
          <w:i/>
          <w:iCs/>
          <w:color w:val="000000"/>
          <w:vertAlign w:val="superscript"/>
        </w:rPr>
        <w:t xml:space="preserve"> </w:t>
      </w:r>
      <w:r w:rsidRPr="00ED01BB">
        <w:rPr>
          <w:rFonts w:ascii="Book Antiqua" w:eastAsia="Book Antiqua" w:hAnsi="Book Antiqua" w:cs="Book Antiqua"/>
          <w:color w:val="000000"/>
        </w:rPr>
        <w:t>=</w:t>
      </w:r>
      <w:r w:rsidR="00A1116C">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0%; Figure </w:t>
      </w:r>
      <w:r w:rsidR="000E055A">
        <w:rPr>
          <w:rFonts w:ascii="Book Antiqua" w:eastAsia="Book Antiqua" w:hAnsi="Book Antiqua" w:cs="Book Antiqua"/>
          <w:color w:val="000000"/>
        </w:rPr>
        <w:t>3</w:t>
      </w:r>
      <w:r w:rsidRPr="00ED01BB">
        <w:rPr>
          <w:rFonts w:ascii="Book Antiqua" w:eastAsia="Book Antiqua" w:hAnsi="Book Antiqua" w:cs="Book Antiqua"/>
          <w:color w:val="000000"/>
        </w:rPr>
        <w:t>).</w:t>
      </w:r>
    </w:p>
    <w:bookmarkEnd w:id="22"/>
    <w:bookmarkEnd w:id="23"/>
    <w:p w14:paraId="77F94059" w14:textId="77777777" w:rsidR="00A77B3E" w:rsidRPr="00ED01BB" w:rsidRDefault="00A77B3E" w:rsidP="00ED01BB">
      <w:pPr>
        <w:adjustRightInd w:val="0"/>
        <w:spacing w:line="360" w:lineRule="auto"/>
        <w:jc w:val="both"/>
        <w:rPr>
          <w:rFonts w:ascii="Book Antiqua" w:hAnsi="Book Antiqua"/>
        </w:rPr>
      </w:pPr>
    </w:p>
    <w:p w14:paraId="302684A1"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DISCUSSION</w:t>
      </w:r>
    </w:p>
    <w:p w14:paraId="50BAD659" w14:textId="3509A3BD" w:rsidR="00A77B3E" w:rsidRPr="00ED01BB" w:rsidRDefault="00C07E1E" w:rsidP="00ED01BB">
      <w:pPr>
        <w:adjustRightInd w:val="0"/>
        <w:spacing w:line="360" w:lineRule="auto"/>
        <w:jc w:val="both"/>
        <w:rPr>
          <w:rFonts w:ascii="Book Antiqua" w:hAnsi="Book Antiqua"/>
        </w:rPr>
      </w:pPr>
      <w:bookmarkStart w:id="24" w:name="OLE_LINK31"/>
      <w:bookmarkStart w:id="25" w:name="OLE_LINK32"/>
      <w:r w:rsidRPr="00ED01BB">
        <w:rPr>
          <w:rFonts w:ascii="Book Antiqua" w:eastAsia="Book Antiqua" w:hAnsi="Book Antiqua" w:cs="Book Antiqua"/>
          <w:color w:val="000000"/>
        </w:rPr>
        <w:t>This systematic review and meta-analysis compared PR tacrolimus to IR tacrolimus in LT recipients. The efficacy and safety outcomes were found to be similar for both regimens.</w:t>
      </w:r>
    </w:p>
    <w:p w14:paraId="2ABE0793" w14:textId="4DDB5650" w:rsidR="00A77B3E" w:rsidRPr="00ED01BB" w:rsidRDefault="00C07E1E" w:rsidP="00A6420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t>Adherence to the immunosuppressant regimen post-LT is important for preventing rejection and graft loss. The reported rate of non-adherence to immunosuppressant regimens is 15</w:t>
      </w:r>
      <w:r w:rsidR="00726A63">
        <w:rPr>
          <w:rFonts w:ascii="Book Antiqua" w:eastAsia="Book Antiqua" w:hAnsi="Book Antiqua" w:cs="Book Antiqua"/>
          <w:color w:val="000000"/>
        </w:rPr>
        <w:t>%</w:t>
      </w:r>
      <w:r w:rsidRPr="00ED01BB">
        <w:rPr>
          <w:rFonts w:ascii="Book Antiqua" w:eastAsia="Book Antiqua" w:hAnsi="Book Antiqua" w:cs="Book Antiqua"/>
          <w:color w:val="000000"/>
        </w:rPr>
        <w:t xml:space="preserve">-40%, which could lead to significantly higher rate of graft rejection, graft loss and severe impact on long-term </w:t>
      </w:r>
      <w:proofErr w:type="gramStart"/>
      <w:r w:rsidRPr="00ED01BB">
        <w:rPr>
          <w:rFonts w:ascii="Book Antiqua" w:eastAsia="Book Antiqua" w:hAnsi="Book Antiqua" w:cs="Book Antiqua"/>
          <w:color w:val="000000"/>
        </w:rPr>
        <w:t>survival</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w:t>
      </w:r>
      <w:r w:rsidR="00A6420B">
        <w:rPr>
          <w:rFonts w:ascii="Book Antiqua" w:eastAsia="Book Antiqua" w:hAnsi="Book Antiqua" w:cs="Book Antiqua"/>
          <w:color w:val="000000"/>
          <w:vertAlign w:val="superscript"/>
        </w:rPr>
        <w:t>8</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lastRenderedPageBreak/>
        <w:t xml:space="preserve">It was observed that once daily tacrolimus is safe and is associated with better adherence and low variability of liver function </w:t>
      </w:r>
      <w:proofErr w:type="gramStart"/>
      <w:r w:rsidRPr="00ED01BB">
        <w:rPr>
          <w:rFonts w:ascii="Book Antiqua" w:eastAsia="Book Antiqua" w:hAnsi="Book Antiqua" w:cs="Book Antiqua"/>
          <w:color w:val="000000"/>
        </w:rPr>
        <w:t>tests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w:t>
      </w:r>
      <w:r w:rsidR="00A6420B">
        <w:rPr>
          <w:rFonts w:ascii="Book Antiqua" w:eastAsia="Book Antiqua" w:hAnsi="Book Antiqua" w:cs="Book Antiqua"/>
          <w:color w:val="000000"/>
          <w:vertAlign w:val="superscript"/>
        </w:rPr>
        <w:t>8</w:t>
      </w:r>
      <w:r w:rsidRPr="00ED01BB">
        <w:rPr>
          <w:rFonts w:ascii="Book Antiqua" w:eastAsia="Book Antiqua" w:hAnsi="Book Antiqua" w:cs="Book Antiqua"/>
          <w:color w:val="000000"/>
          <w:vertAlign w:val="superscript"/>
        </w:rPr>
        <w:t>,</w:t>
      </w:r>
      <w:r w:rsidR="00A6420B">
        <w:rPr>
          <w:rFonts w:ascii="Book Antiqua" w:eastAsia="Book Antiqua" w:hAnsi="Book Antiqua" w:cs="Book Antiqua"/>
          <w:color w:val="000000"/>
          <w:vertAlign w:val="superscript"/>
        </w:rPr>
        <w:t>19</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w:t>
      </w:r>
    </w:p>
    <w:p w14:paraId="573553D0" w14:textId="5D76F13F" w:rsidR="00A77B3E" w:rsidRPr="00ED01BB" w:rsidRDefault="00C07E1E" w:rsidP="00A6420B">
      <w:pPr>
        <w:adjustRightInd w:val="0"/>
        <w:spacing w:line="360" w:lineRule="auto"/>
        <w:ind w:firstLineChars="100" w:firstLine="240"/>
        <w:jc w:val="both"/>
        <w:rPr>
          <w:rFonts w:ascii="Book Antiqua" w:hAnsi="Book Antiqua"/>
        </w:rPr>
      </w:pPr>
      <w:r w:rsidRPr="00ED01BB">
        <w:rPr>
          <w:rFonts w:ascii="Book Antiqua" w:eastAsia="Book Antiqua" w:hAnsi="Book Antiqua" w:cs="Book Antiqua"/>
          <w:color w:val="000000"/>
        </w:rPr>
        <w:t xml:space="preserve">A study by </w:t>
      </w:r>
      <w:proofErr w:type="spellStart"/>
      <w:r w:rsidRPr="00ED01BB">
        <w:rPr>
          <w:rFonts w:ascii="Book Antiqua" w:eastAsia="Book Antiqua" w:hAnsi="Book Antiqua" w:cs="Book Antiqua"/>
          <w:color w:val="000000"/>
        </w:rPr>
        <w:t>M</w:t>
      </w:r>
      <w:r w:rsidR="00B02426" w:rsidRPr="00B02426">
        <w:rPr>
          <w:rFonts w:ascii="Book Antiqua" w:hAnsi="Book Antiqua" w:cs="Book Antiqua"/>
          <w:color w:val="000000"/>
          <w:lang w:eastAsia="zh-CN"/>
        </w:rPr>
        <w:t>u</w:t>
      </w:r>
      <w:r w:rsidRPr="00ED01BB">
        <w:rPr>
          <w:rFonts w:ascii="Book Antiqua" w:eastAsia="Book Antiqua" w:hAnsi="Book Antiqua" w:cs="Book Antiqua"/>
          <w:color w:val="000000"/>
        </w:rPr>
        <w:t>duma</w:t>
      </w:r>
      <w:proofErr w:type="spellEnd"/>
      <w:r w:rsidRPr="00ED01BB">
        <w:rPr>
          <w:rFonts w:ascii="Book Antiqua" w:eastAsia="Book Antiqua" w:hAnsi="Book Antiqua" w:cs="Book Antiqua"/>
          <w:color w:val="000000"/>
        </w:rPr>
        <w:t xml:space="preserve"> </w:t>
      </w:r>
      <w:r w:rsidRPr="00ED01BB">
        <w:rPr>
          <w:rFonts w:ascii="Book Antiqua" w:eastAsia="Book Antiqua" w:hAnsi="Book Antiqua" w:cs="Book Antiqua"/>
          <w:i/>
          <w:iCs/>
          <w:color w:val="000000"/>
        </w:rPr>
        <w:t xml:space="preserve">et </w:t>
      </w:r>
      <w:proofErr w:type="gramStart"/>
      <w:r w:rsidRPr="00ED01BB">
        <w:rPr>
          <w:rFonts w:ascii="Book Antiqua" w:eastAsia="Book Antiqua" w:hAnsi="Book Antiqua" w:cs="Book Antiqua"/>
          <w:i/>
          <w:iCs/>
          <w:color w:val="000000"/>
        </w:rPr>
        <w:t>al</w:t>
      </w:r>
      <w:r w:rsidR="00A6420B" w:rsidRPr="00ED01BB">
        <w:rPr>
          <w:rFonts w:ascii="Book Antiqua" w:eastAsia="Book Antiqua" w:hAnsi="Book Antiqua" w:cs="Book Antiqua"/>
          <w:color w:val="000000"/>
          <w:vertAlign w:val="superscript"/>
        </w:rPr>
        <w:t>[</w:t>
      </w:r>
      <w:proofErr w:type="gramEnd"/>
      <w:r w:rsidR="00A6420B"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0</w:t>
      </w:r>
      <w:r w:rsidR="00A6420B"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looked at the cost effectiveness of PR tacrolimus in LT recipients. Based on a United Kingdom specific analysis of the projected cost-utility of PR tacrolimus relative to IR tacrolimus and cyclosporin, once daily tacrolimus was cost-effective, improved life expectancy and quality adjusted life year</w:t>
      </w:r>
      <w:r w:rsidR="00A6420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and incremental cost effectiveness ratio below £20000 per a </w:t>
      </w:r>
      <w:r w:rsidR="00A6420B" w:rsidRPr="00ED01BB">
        <w:rPr>
          <w:rFonts w:ascii="Book Antiqua" w:eastAsia="Book Antiqua" w:hAnsi="Book Antiqua" w:cs="Book Antiqua"/>
          <w:color w:val="000000"/>
        </w:rPr>
        <w:t>quality adjusted life year</w:t>
      </w:r>
      <w:r w:rsidRPr="00ED01BB">
        <w:rPr>
          <w:rFonts w:ascii="Book Antiqua" w:eastAsia="Book Antiqua" w:hAnsi="Book Antiqua" w:cs="Book Antiqua"/>
          <w:color w:val="000000"/>
        </w:rPr>
        <w:t xml:space="preserve"> gained. Over a 3-year time horizon, one graft would be saved for every 14 patients treated with PR tacrolimus with minimal impact on cost when compared to IR tacrolimus</w:t>
      </w:r>
      <w:r w:rsidR="0087455B" w:rsidRPr="0087455B">
        <w:rPr>
          <w:rFonts w:ascii="Book Antiqua" w:eastAsia="Book Antiqua" w:hAnsi="Book Antiqua" w:cs="Book Antiqua"/>
          <w:color w:val="000000"/>
        </w:rPr>
        <w:t>.</w:t>
      </w:r>
    </w:p>
    <w:p w14:paraId="33DD425B" w14:textId="7D231000" w:rsidR="00A77B3E" w:rsidRPr="0087455B" w:rsidRDefault="00C07E1E" w:rsidP="0087455B">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 xml:space="preserve">The results of recently published systematic review showed that PR tacrolimus when compared to the IR tacrolimus resulted in no significant difference in the glomerular filtration rate, BPAR and the safety outcomes among the kidney transplant </w:t>
      </w:r>
      <w:proofErr w:type="gramStart"/>
      <w:r w:rsidRPr="00ED01BB">
        <w:rPr>
          <w:rFonts w:ascii="Book Antiqua" w:eastAsia="Book Antiqua" w:hAnsi="Book Antiqua" w:cs="Book Antiqua"/>
          <w:color w:val="000000"/>
        </w:rPr>
        <w:t>recipients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1</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The findings of our review are also in congruent with the previous review. </w:t>
      </w:r>
      <w:r w:rsidRPr="0087455B">
        <w:rPr>
          <w:rFonts w:ascii="Book Antiqua" w:eastAsia="Book Antiqua" w:hAnsi="Book Antiqua" w:cs="Book Antiqua"/>
          <w:color w:val="000000"/>
        </w:rPr>
        <w:t xml:space="preserve">In contrast, another meta-analysis based on combination of two clinical trials and four observational studies found that once daily tacrolimus is effective for the first year after liver transplantation, however, there was no significant difference in 1-year mortality and adverse events between once daily and twice daily tacrolimus </w:t>
      </w:r>
      <w:proofErr w:type="gramStart"/>
      <w:r w:rsidRPr="0087455B">
        <w:rPr>
          <w:rFonts w:ascii="Book Antiqua" w:eastAsia="Book Antiqua" w:hAnsi="Book Antiqua" w:cs="Book Antiqua"/>
          <w:color w:val="000000"/>
        </w:rPr>
        <w:t>groups</w:t>
      </w:r>
      <w:r w:rsidRPr="0087455B">
        <w:rPr>
          <w:rFonts w:ascii="Book Antiqua" w:eastAsia="Book Antiqua" w:hAnsi="Book Antiqua" w:cs="Book Antiqua"/>
          <w:color w:val="000000"/>
          <w:vertAlign w:val="superscript"/>
        </w:rPr>
        <w:t>[</w:t>
      </w:r>
      <w:proofErr w:type="gramEnd"/>
      <w:r w:rsidRPr="0087455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2</w:t>
      </w:r>
      <w:r w:rsidRPr="0087455B">
        <w:rPr>
          <w:rFonts w:ascii="Book Antiqua" w:eastAsia="Book Antiqua" w:hAnsi="Book Antiqua" w:cs="Book Antiqua"/>
          <w:color w:val="000000"/>
          <w:vertAlign w:val="superscript"/>
        </w:rPr>
        <w:t>]</w:t>
      </w:r>
      <w:r w:rsidR="0087455B">
        <w:rPr>
          <w:rFonts w:ascii="Book Antiqua" w:eastAsia="Book Antiqua" w:hAnsi="Book Antiqua" w:cs="Book Antiqua"/>
          <w:color w:val="000000"/>
        </w:rPr>
        <w:t>.</w:t>
      </w:r>
    </w:p>
    <w:p w14:paraId="4A477732" w14:textId="36BABC97" w:rsidR="00A77B3E" w:rsidRPr="00ED01BB" w:rsidRDefault="00C07E1E" w:rsidP="0087455B">
      <w:pPr>
        <w:adjustRightInd w:val="0"/>
        <w:spacing w:line="360" w:lineRule="auto"/>
        <w:ind w:firstLineChars="100" w:firstLine="240"/>
        <w:jc w:val="both"/>
        <w:rPr>
          <w:rFonts w:ascii="Book Antiqua" w:eastAsia="Book Antiqua" w:hAnsi="Book Antiqua" w:cs="Book Antiqua"/>
          <w:color w:val="000000"/>
        </w:rPr>
      </w:pPr>
      <w:r w:rsidRPr="00ED01BB">
        <w:rPr>
          <w:rFonts w:ascii="Book Antiqua" w:eastAsia="Book Antiqua" w:hAnsi="Book Antiqua" w:cs="Book Antiqua"/>
          <w:color w:val="000000"/>
        </w:rPr>
        <w:t>PR tacrolimus has been introduced as helpful therapeutic option to increase the patient adherence to immunosuppressive treatment. Studies with short follow-up and pharmacokinetic</w:t>
      </w:r>
      <w:r w:rsidR="0087455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evaluation were not included in this review, however one study which evaluated </w:t>
      </w:r>
      <w:r w:rsidR="0087455B" w:rsidRPr="00ED01BB">
        <w:rPr>
          <w:rFonts w:ascii="Book Antiqua" w:eastAsia="Book Antiqua" w:hAnsi="Book Antiqua" w:cs="Book Antiqua"/>
          <w:color w:val="000000"/>
        </w:rPr>
        <w:t>pharmacokinetic</w:t>
      </w:r>
      <w:r w:rsidRPr="00ED01BB">
        <w:rPr>
          <w:rFonts w:ascii="Book Antiqua" w:eastAsia="Book Antiqua" w:hAnsi="Book Antiqua" w:cs="Book Antiqua"/>
          <w:color w:val="000000"/>
        </w:rPr>
        <w:t xml:space="preserve"> outcomes along with efficacy outcomes showed similar BPAR, graft losses and safety outcomes such as hypertension, infections and blood related </w:t>
      </w:r>
      <w:proofErr w:type="gramStart"/>
      <w:r w:rsidRPr="00ED01BB">
        <w:rPr>
          <w:rFonts w:ascii="Book Antiqua" w:eastAsia="Book Antiqua" w:hAnsi="Book Antiqua" w:cs="Book Antiqua"/>
          <w:color w:val="000000"/>
        </w:rPr>
        <w:t>disorders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16]</w:t>
      </w:r>
      <w:r w:rsidRPr="00ED01BB">
        <w:rPr>
          <w:rFonts w:ascii="Book Antiqua" w:eastAsia="Book Antiqua" w:hAnsi="Book Antiqua" w:cs="Book Antiqua"/>
          <w:color w:val="000000"/>
        </w:rPr>
        <w:t xml:space="preserve"> between groups. Of the included studies in our systematic review, four reported concomitant immunosuppressant therapies administration such as corticosteroids, and mycophenolate mofetil. It was evident that those concomitant drugs have negative association with occurred adverse events with </w:t>
      </w:r>
      <w:proofErr w:type="gramStart"/>
      <w:r w:rsidRPr="00ED01BB">
        <w:rPr>
          <w:rFonts w:ascii="Book Antiqua" w:eastAsia="Book Antiqua" w:hAnsi="Book Antiqua" w:cs="Book Antiqua"/>
          <w:color w:val="000000"/>
        </w:rPr>
        <w:t>tacrolimus</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3</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xml:space="preserve">. An eight years long-term follow up study based on European Liver Transplant Registry has recently been published study and the </w:t>
      </w:r>
      <w:r w:rsidRPr="00ED01BB">
        <w:rPr>
          <w:rFonts w:ascii="Book Antiqua" w:eastAsia="Book Antiqua" w:hAnsi="Book Antiqua" w:cs="Book Antiqua"/>
          <w:color w:val="000000"/>
        </w:rPr>
        <w:lastRenderedPageBreak/>
        <w:t xml:space="preserve">findings were in </w:t>
      </w:r>
      <w:proofErr w:type="spellStart"/>
      <w:r w:rsidRPr="00ED01BB">
        <w:rPr>
          <w:rFonts w:ascii="Book Antiqua" w:eastAsia="Book Antiqua" w:hAnsi="Book Antiqua" w:cs="Book Antiqua"/>
          <w:color w:val="000000"/>
        </w:rPr>
        <w:t>favour</w:t>
      </w:r>
      <w:proofErr w:type="spellEnd"/>
      <w:r w:rsidRPr="00ED01BB">
        <w:rPr>
          <w:rFonts w:ascii="Book Antiqua" w:eastAsia="Book Antiqua" w:hAnsi="Book Antiqua" w:cs="Book Antiqua"/>
          <w:color w:val="000000"/>
        </w:rPr>
        <w:t xml:space="preserve"> of PR in terms of graft losses and acute rejections. This very large population study also reported better outcome in those converted from IR to PR tacrolimus after 1 </w:t>
      </w:r>
      <w:proofErr w:type="spellStart"/>
      <w:r w:rsidRPr="00ED01BB">
        <w:rPr>
          <w:rFonts w:ascii="Book Antiqua" w:eastAsia="Book Antiqua" w:hAnsi="Book Antiqua" w:cs="Book Antiqua"/>
          <w:color w:val="000000"/>
        </w:rPr>
        <w:t>mo</w:t>
      </w:r>
      <w:proofErr w:type="spellEnd"/>
      <w:r w:rsidRPr="00ED01BB">
        <w:rPr>
          <w:rFonts w:ascii="Book Antiqua" w:eastAsia="Book Antiqua" w:hAnsi="Book Antiqua" w:cs="Book Antiqua"/>
          <w:color w:val="000000"/>
        </w:rPr>
        <w:t xml:space="preserve"> compared to those maintained on IR tacrolimus-based immunosuppression. They concluded that patients on PR tacrolimus continues to provide ongoing benefits for graft and patient survival beyond 3 years post </w:t>
      </w:r>
      <w:proofErr w:type="gramStart"/>
      <w:r w:rsidRPr="00ED01BB">
        <w:rPr>
          <w:rFonts w:ascii="Book Antiqua" w:eastAsia="Book Antiqua" w:hAnsi="Book Antiqua" w:cs="Book Antiqua"/>
          <w:color w:val="000000"/>
        </w:rPr>
        <w:t>transplantation</w:t>
      </w:r>
      <w:r w:rsidRPr="00ED01BB">
        <w:rPr>
          <w:rFonts w:ascii="Book Antiqua" w:eastAsia="Book Antiqua" w:hAnsi="Book Antiqua" w:cs="Book Antiqua"/>
          <w:color w:val="000000"/>
          <w:vertAlign w:val="superscript"/>
        </w:rPr>
        <w:t>[</w:t>
      </w:r>
      <w:proofErr w:type="gramEnd"/>
      <w:r w:rsidRPr="00ED01BB">
        <w:rPr>
          <w:rFonts w:ascii="Book Antiqua" w:eastAsia="Book Antiqua" w:hAnsi="Book Antiqua" w:cs="Book Antiqua"/>
          <w:color w:val="000000"/>
          <w:vertAlign w:val="superscript"/>
        </w:rPr>
        <w:t>2</w:t>
      </w:r>
      <w:r w:rsidR="00A6420B">
        <w:rPr>
          <w:rFonts w:ascii="Book Antiqua" w:eastAsia="Book Antiqua" w:hAnsi="Book Antiqua" w:cs="Book Antiqua"/>
          <w:color w:val="000000"/>
          <w:vertAlign w:val="superscript"/>
        </w:rPr>
        <w:t>4</w:t>
      </w:r>
      <w:r w:rsidRPr="00ED01BB">
        <w:rPr>
          <w:rFonts w:ascii="Book Antiqua" w:eastAsia="Book Antiqua" w:hAnsi="Book Antiqua" w:cs="Book Antiqua"/>
          <w:color w:val="000000"/>
          <w:vertAlign w:val="superscript"/>
        </w:rPr>
        <w:t>]</w:t>
      </w:r>
      <w:r w:rsidRPr="00ED01BB">
        <w:rPr>
          <w:rFonts w:ascii="Book Antiqua" w:eastAsia="Book Antiqua" w:hAnsi="Book Antiqua" w:cs="Book Antiqua"/>
          <w:color w:val="000000"/>
        </w:rPr>
        <w:t>. The major limitation of the study, were the lack of data on the dosages and the trough levels of tacrolimus were not captured. In addition, the lack of clarity on the IR tacrolimus preparations the cohort received. The retrospective design of the study was the main reason for its exclusion in our analyses as it did not meet the eligibility criteria.</w:t>
      </w:r>
    </w:p>
    <w:p w14:paraId="1A3DADCE" w14:textId="77777777" w:rsidR="00985626" w:rsidRPr="00ED01BB" w:rsidRDefault="00985626" w:rsidP="00ED01BB">
      <w:pPr>
        <w:adjustRightInd w:val="0"/>
        <w:spacing w:line="360" w:lineRule="auto"/>
        <w:jc w:val="both"/>
        <w:rPr>
          <w:rFonts w:ascii="Book Antiqua" w:hAnsi="Book Antiqua"/>
        </w:rPr>
      </w:pPr>
    </w:p>
    <w:p w14:paraId="32B4A6B6" w14:textId="285ECF43" w:rsidR="00A77B3E" w:rsidRPr="00ED01BB" w:rsidRDefault="00C07E1E" w:rsidP="00ED01BB">
      <w:pPr>
        <w:adjustRightInd w:val="0"/>
        <w:spacing w:line="360" w:lineRule="auto"/>
        <w:jc w:val="both"/>
        <w:rPr>
          <w:rFonts w:ascii="Book Antiqua" w:hAnsi="Book Antiqua"/>
          <w:i/>
          <w:iCs/>
        </w:rPr>
      </w:pPr>
      <w:r w:rsidRPr="00ED01BB">
        <w:rPr>
          <w:rFonts w:ascii="Book Antiqua" w:eastAsia="Book Antiqua" w:hAnsi="Book Antiqua" w:cs="Book Antiqua"/>
          <w:b/>
          <w:bCs/>
          <w:i/>
          <w:iCs/>
          <w:color w:val="000000"/>
        </w:rPr>
        <w:t xml:space="preserve">Strengths </w:t>
      </w:r>
      <w:r w:rsidR="00E44A25" w:rsidRPr="00ED01BB">
        <w:rPr>
          <w:rFonts w:ascii="Book Antiqua" w:eastAsia="Book Antiqua" w:hAnsi="Book Antiqua" w:cs="Book Antiqua"/>
          <w:b/>
          <w:bCs/>
          <w:i/>
          <w:iCs/>
          <w:color w:val="000000"/>
        </w:rPr>
        <w:t>and</w:t>
      </w:r>
      <w:r w:rsidR="00985626" w:rsidRPr="00ED01BB">
        <w:rPr>
          <w:rFonts w:ascii="Book Antiqua" w:eastAsia="Book Antiqua" w:hAnsi="Book Antiqua" w:cs="Book Antiqua"/>
          <w:b/>
          <w:bCs/>
          <w:i/>
          <w:iCs/>
          <w:color w:val="000000"/>
        </w:rPr>
        <w:t xml:space="preserve"> l</w:t>
      </w:r>
      <w:r w:rsidRPr="00ED01BB">
        <w:rPr>
          <w:rFonts w:ascii="Book Antiqua" w:eastAsia="Book Antiqua" w:hAnsi="Book Antiqua" w:cs="Book Antiqua"/>
          <w:b/>
          <w:bCs/>
          <w:i/>
          <w:iCs/>
          <w:color w:val="000000"/>
        </w:rPr>
        <w:t>imitations</w:t>
      </w:r>
    </w:p>
    <w:p w14:paraId="576C5D05" w14:textId="58421365"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The major strength of our study is that, we have only included clinical trials of long-term follow-up to address efficacy and safety of PR tacrolimus. There was no heterogeneity found for all the outcomes assessed, except for any adverse events. One of the limitations of our review is that, we have only included studies published in English language, which means some of the studies published in other language might have been missed. Publication bias assessment was also not assessed due to less than ten studies included in the analysis, however due to our intense search effort it was evident that we did not miss any study meeting this review’s eligibility criteria. Majority of the studies were of open-label design, that could have introduced bias, however this could not be avoided due to the nature of administration. In addition, the paucity of studies of PR tacrolimus in Asian patients renders data from this review of high interest to the transplant community.</w:t>
      </w:r>
    </w:p>
    <w:bookmarkEnd w:id="24"/>
    <w:bookmarkEnd w:id="25"/>
    <w:p w14:paraId="73397EE7" w14:textId="77777777" w:rsidR="00A77B3E" w:rsidRPr="00ED01BB" w:rsidRDefault="00A77B3E" w:rsidP="00ED01BB">
      <w:pPr>
        <w:adjustRightInd w:val="0"/>
        <w:spacing w:line="360" w:lineRule="auto"/>
        <w:jc w:val="both"/>
        <w:rPr>
          <w:rFonts w:ascii="Book Antiqua" w:hAnsi="Book Antiqua"/>
        </w:rPr>
      </w:pPr>
    </w:p>
    <w:p w14:paraId="7FC647F2"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CONCLUSION</w:t>
      </w:r>
    </w:p>
    <w:p w14:paraId="74C2FBA2" w14:textId="79EEE7E9" w:rsidR="00A77B3E" w:rsidRPr="00ED01BB" w:rsidRDefault="00C07E1E" w:rsidP="00ED01BB">
      <w:pPr>
        <w:adjustRightInd w:val="0"/>
        <w:spacing w:line="360" w:lineRule="auto"/>
        <w:jc w:val="both"/>
        <w:rPr>
          <w:rFonts w:ascii="Book Antiqua" w:hAnsi="Book Antiqua"/>
        </w:rPr>
      </w:pPr>
      <w:bookmarkStart w:id="26" w:name="OLE_LINK33"/>
      <w:bookmarkStart w:id="27" w:name="OLE_LINK34"/>
      <w:r w:rsidRPr="00ED01BB">
        <w:rPr>
          <w:rFonts w:ascii="Book Antiqua" w:eastAsia="Book Antiqua" w:hAnsi="Book Antiqua" w:cs="Book Antiqua"/>
          <w:color w:val="000000"/>
        </w:rPr>
        <w:t xml:space="preserve">Our systematic review and meta-analysis indicate that both PR and IR tacrolimus formulations are comparable in terms of efficacy and safety outcomes. However, to confirm these findings, long-term follow-up randomized controlled trials with </w:t>
      </w:r>
      <w:r w:rsidRPr="00ED01BB">
        <w:rPr>
          <w:rFonts w:ascii="Book Antiqua" w:eastAsia="Book Antiqua" w:hAnsi="Book Antiqua" w:cs="Book Antiqua"/>
          <w:color w:val="000000"/>
        </w:rPr>
        <w:lastRenderedPageBreak/>
        <w:t>large sample sizes are required. Also, to assess acceptability by patients, quality of life and economic evaluations should be conducted.</w:t>
      </w:r>
    </w:p>
    <w:bookmarkEnd w:id="26"/>
    <w:bookmarkEnd w:id="27"/>
    <w:p w14:paraId="773C6544" w14:textId="77777777" w:rsidR="00A77B3E" w:rsidRPr="00ED01BB" w:rsidRDefault="00A77B3E" w:rsidP="00ED01BB">
      <w:pPr>
        <w:adjustRightInd w:val="0"/>
        <w:spacing w:line="360" w:lineRule="auto"/>
        <w:jc w:val="both"/>
        <w:rPr>
          <w:rFonts w:ascii="Book Antiqua" w:hAnsi="Book Antiqua"/>
        </w:rPr>
      </w:pPr>
    </w:p>
    <w:p w14:paraId="6305E5CD"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aps/>
          <w:color w:val="000000"/>
          <w:u w:val="single"/>
        </w:rPr>
        <w:t>ARTICLE HIGHLIGHTS</w:t>
      </w:r>
    </w:p>
    <w:p w14:paraId="744DCC4D"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background</w:t>
      </w:r>
    </w:p>
    <w:p w14:paraId="67A39637" w14:textId="1C443179" w:rsidR="00A77B3E" w:rsidRPr="00ED01BB" w:rsidRDefault="00C07E1E" w:rsidP="00ED01BB">
      <w:pPr>
        <w:adjustRightInd w:val="0"/>
        <w:spacing w:line="360" w:lineRule="auto"/>
        <w:jc w:val="both"/>
        <w:rPr>
          <w:rFonts w:ascii="Book Antiqua" w:hAnsi="Book Antiqua"/>
        </w:rPr>
      </w:pPr>
      <w:bookmarkStart w:id="28" w:name="OLE_LINK35"/>
      <w:bookmarkStart w:id="29" w:name="OLE_LINK36"/>
      <w:r w:rsidRPr="00ED01BB">
        <w:rPr>
          <w:rFonts w:ascii="Book Antiqua" w:eastAsia="Book Antiqua" w:hAnsi="Book Antiqua" w:cs="Book Antiqua"/>
          <w:color w:val="000000"/>
        </w:rPr>
        <w:t>Tacrolimus, a calcineurin inhibitor is an important immunosuppressive medication post liver transplantation. Compliance to immunosuppression is important and non-adherence can lead to rejection and graft loss. To maintain good adherence, less frequently administering regimen were proved to be effective.</w:t>
      </w:r>
    </w:p>
    <w:bookmarkEnd w:id="28"/>
    <w:bookmarkEnd w:id="29"/>
    <w:p w14:paraId="09C699B8" w14:textId="77777777" w:rsidR="00A77B3E" w:rsidRPr="00ED01BB" w:rsidRDefault="00A77B3E" w:rsidP="00ED01BB">
      <w:pPr>
        <w:adjustRightInd w:val="0"/>
        <w:spacing w:line="360" w:lineRule="auto"/>
        <w:jc w:val="both"/>
        <w:rPr>
          <w:rFonts w:ascii="Book Antiqua" w:hAnsi="Book Antiqua"/>
        </w:rPr>
      </w:pPr>
    </w:p>
    <w:p w14:paraId="2303E43D"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motivation</w:t>
      </w:r>
    </w:p>
    <w:p w14:paraId="6757BB12" w14:textId="35340D7D" w:rsidR="00A77B3E" w:rsidRPr="00ED01BB" w:rsidRDefault="00C07E1E" w:rsidP="00ED01BB">
      <w:pPr>
        <w:adjustRightInd w:val="0"/>
        <w:spacing w:line="360" w:lineRule="auto"/>
        <w:jc w:val="both"/>
        <w:rPr>
          <w:rFonts w:ascii="Book Antiqua" w:hAnsi="Book Antiqua"/>
        </w:rPr>
      </w:pPr>
      <w:bookmarkStart w:id="30" w:name="OLE_LINK37"/>
      <w:bookmarkStart w:id="31" w:name="OLE_LINK38"/>
      <w:r w:rsidRPr="00ED01BB">
        <w:rPr>
          <w:rFonts w:ascii="Book Antiqua" w:eastAsia="Book Antiqua" w:hAnsi="Book Antiqua" w:cs="Book Antiqua"/>
          <w:color w:val="000000"/>
        </w:rPr>
        <w:t>Recently, tacrolimus once-daily prolonged-release (PR) formulation was developed. Several studies have shown evidence that conversion from the twice-daily, immediate release</w:t>
      </w:r>
      <w:r w:rsidR="009C3086"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 xml:space="preserve">to PR tacrolimus was well tolerated, safe and conveniently used in stable patients after </w:t>
      </w:r>
      <w:r w:rsidR="00985626" w:rsidRPr="00ED01BB">
        <w:rPr>
          <w:rFonts w:ascii="Book Antiqua" w:eastAsia="Book Antiqua" w:hAnsi="Book Antiqua" w:cs="Book Antiqua"/>
          <w:color w:val="000000"/>
        </w:rPr>
        <w:t>liver transplantation</w:t>
      </w:r>
      <w:r w:rsidRPr="00ED01BB">
        <w:rPr>
          <w:rFonts w:ascii="Book Antiqua" w:eastAsia="Book Antiqua" w:hAnsi="Book Antiqua" w:cs="Book Antiqua"/>
          <w:color w:val="000000"/>
        </w:rPr>
        <w:t>.</w:t>
      </w:r>
    </w:p>
    <w:bookmarkEnd w:id="30"/>
    <w:bookmarkEnd w:id="31"/>
    <w:p w14:paraId="2BB0833F" w14:textId="77777777" w:rsidR="00A77B3E" w:rsidRPr="00ED01BB" w:rsidRDefault="00A77B3E" w:rsidP="00ED01BB">
      <w:pPr>
        <w:adjustRightInd w:val="0"/>
        <w:spacing w:line="360" w:lineRule="auto"/>
        <w:jc w:val="both"/>
        <w:rPr>
          <w:rFonts w:ascii="Book Antiqua" w:hAnsi="Book Antiqua"/>
        </w:rPr>
      </w:pPr>
    </w:p>
    <w:p w14:paraId="2DA7DC55"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objectives</w:t>
      </w:r>
    </w:p>
    <w:p w14:paraId="1BBC778E" w14:textId="52FAAFBE" w:rsidR="00A77B3E" w:rsidRPr="00ED01BB" w:rsidRDefault="00C07E1E" w:rsidP="00ED01BB">
      <w:pPr>
        <w:adjustRightInd w:val="0"/>
        <w:spacing w:line="360" w:lineRule="auto"/>
        <w:jc w:val="both"/>
        <w:rPr>
          <w:rFonts w:ascii="Book Antiqua" w:hAnsi="Book Antiqua"/>
        </w:rPr>
      </w:pPr>
      <w:bookmarkStart w:id="32" w:name="OLE_LINK39"/>
      <w:bookmarkStart w:id="33" w:name="OLE_LINK40"/>
      <w:r w:rsidRPr="00ED01BB">
        <w:rPr>
          <w:rFonts w:ascii="Book Antiqua" w:eastAsia="Book Antiqua" w:hAnsi="Book Antiqua" w:cs="Book Antiqua"/>
          <w:color w:val="000000"/>
        </w:rPr>
        <w:t xml:space="preserve">Our objective was to conduct a metanalysis and systematic review of the published clinical trials that studied the safety and efficacy of PR tacrolimus compared to </w:t>
      </w:r>
      <w:r w:rsidR="009C3086" w:rsidRPr="00ED01BB">
        <w:rPr>
          <w:rFonts w:ascii="Book Antiqua" w:eastAsia="Book Antiqua" w:hAnsi="Book Antiqua" w:cs="Book Antiqua"/>
          <w:color w:val="000000"/>
        </w:rPr>
        <w:t>immediate release</w:t>
      </w:r>
      <w:r w:rsidRPr="00ED01BB">
        <w:rPr>
          <w:rFonts w:ascii="Book Antiqua" w:eastAsia="Book Antiqua" w:hAnsi="Book Antiqua" w:cs="Book Antiqua"/>
          <w:color w:val="000000"/>
        </w:rPr>
        <w:t xml:space="preserve"> tacrolimus.</w:t>
      </w:r>
    </w:p>
    <w:bookmarkEnd w:id="32"/>
    <w:bookmarkEnd w:id="33"/>
    <w:p w14:paraId="284351C9" w14:textId="77777777" w:rsidR="00A77B3E" w:rsidRPr="00ED01BB" w:rsidRDefault="00A77B3E" w:rsidP="00ED01BB">
      <w:pPr>
        <w:adjustRightInd w:val="0"/>
        <w:spacing w:line="360" w:lineRule="auto"/>
        <w:jc w:val="both"/>
        <w:rPr>
          <w:rFonts w:ascii="Book Antiqua" w:hAnsi="Book Antiqua"/>
        </w:rPr>
      </w:pPr>
    </w:p>
    <w:p w14:paraId="39A565A2"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methods</w:t>
      </w:r>
    </w:p>
    <w:p w14:paraId="1938DAFC" w14:textId="12BB1F78" w:rsidR="00A77B3E" w:rsidRPr="00ED01BB" w:rsidRDefault="00943AB9" w:rsidP="00ED01BB">
      <w:pPr>
        <w:adjustRightInd w:val="0"/>
        <w:spacing w:line="360" w:lineRule="auto"/>
        <w:jc w:val="both"/>
        <w:rPr>
          <w:rFonts w:ascii="Book Antiqua" w:hAnsi="Book Antiqua"/>
        </w:rPr>
      </w:pPr>
      <w:bookmarkStart w:id="34" w:name="OLE_LINK41"/>
      <w:bookmarkStart w:id="35" w:name="OLE_LINK42"/>
      <w:r w:rsidRPr="00ED01BB">
        <w:rPr>
          <w:rFonts w:ascii="Book Antiqua" w:eastAsia="Book Antiqua" w:hAnsi="Book Antiqua" w:cs="Book Antiqua"/>
          <w:color w:val="000000"/>
        </w:rPr>
        <w:t>MEDLINE</w:t>
      </w:r>
      <w:r w:rsidR="00C07E1E" w:rsidRPr="00ED01BB">
        <w:rPr>
          <w:rFonts w:ascii="Book Antiqua" w:eastAsia="Book Antiqua" w:hAnsi="Book Antiqua" w:cs="Book Antiqua"/>
          <w:color w:val="000000"/>
        </w:rPr>
        <w:t>, EMBASE, CENTRAL databases were searched for clinical trials until December 2020. Efficacy outcome measured as the rate of treatment failure indicated by biopsy-proven acute rejection, Serum creatinine, graft loss, or death. Two reviewers independently selected studies, collected data and assessed risk of bias. The results are reported as risk ratio</w:t>
      </w:r>
      <w:r w:rsidR="009C3086" w:rsidRPr="00ED01BB">
        <w:rPr>
          <w:rFonts w:ascii="Book Antiqua" w:eastAsia="Book Antiqua" w:hAnsi="Book Antiqua" w:cs="Book Antiqua"/>
          <w:color w:val="000000"/>
        </w:rPr>
        <w:t xml:space="preserve"> </w:t>
      </w:r>
      <w:r w:rsidR="00C07E1E" w:rsidRPr="00ED01BB">
        <w:rPr>
          <w:rFonts w:ascii="Book Antiqua" w:eastAsia="Book Antiqua" w:hAnsi="Book Antiqua" w:cs="Book Antiqua"/>
          <w:color w:val="000000"/>
        </w:rPr>
        <w:t>with 95%</w:t>
      </w:r>
      <w:r w:rsidR="00A1116C">
        <w:rPr>
          <w:rFonts w:ascii="Book Antiqua" w:eastAsia="Book Antiqua" w:hAnsi="Book Antiqua" w:cs="Book Antiqua"/>
          <w:color w:val="000000"/>
        </w:rPr>
        <w:t>CI</w:t>
      </w:r>
      <w:r w:rsidR="00C07E1E" w:rsidRPr="00ED01BB">
        <w:rPr>
          <w:rFonts w:ascii="Book Antiqua" w:eastAsia="Book Antiqua" w:hAnsi="Book Antiqua" w:cs="Book Antiqua"/>
          <w:color w:val="000000"/>
        </w:rPr>
        <w:t xml:space="preserve"> for dichotomous data.</w:t>
      </w:r>
    </w:p>
    <w:bookmarkEnd w:id="34"/>
    <w:bookmarkEnd w:id="35"/>
    <w:p w14:paraId="3535B4F0" w14:textId="77777777" w:rsidR="00A77B3E" w:rsidRPr="00ED01BB" w:rsidRDefault="00A77B3E" w:rsidP="00ED01BB">
      <w:pPr>
        <w:adjustRightInd w:val="0"/>
        <w:spacing w:line="360" w:lineRule="auto"/>
        <w:jc w:val="both"/>
        <w:rPr>
          <w:rFonts w:ascii="Book Antiqua" w:hAnsi="Book Antiqua"/>
        </w:rPr>
      </w:pPr>
    </w:p>
    <w:p w14:paraId="686B2849"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results</w:t>
      </w:r>
    </w:p>
    <w:p w14:paraId="71F57533" w14:textId="7101453E" w:rsidR="00A77B3E" w:rsidRPr="00ED01BB" w:rsidRDefault="00C07E1E" w:rsidP="00ED01BB">
      <w:pPr>
        <w:adjustRightInd w:val="0"/>
        <w:spacing w:line="360" w:lineRule="auto"/>
        <w:jc w:val="both"/>
        <w:rPr>
          <w:rFonts w:ascii="Book Antiqua" w:hAnsi="Book Antiqua"/>
        </w:rPr>
      </w:pPr>
      <w:bookmarkStart w:id="36" w:name="OLE_LINK43"/>
      <w:bookmarkStart w:id="37" w:name="OLE_LINK44"/>
      <w:r w:rsidRPr="00ED01BB">
        <w:rPr>
          <w:rFonts w:ascii="Book Antiqua" w:eastAsia="Book Antiqua" w:hAnsi="Book Antiqua" w:cs="Book Antiqua"/>
          <w:color w:val="000000"/>
        </w:rPr>
        <w:lastRenderedPageBreak/>
        <w:t xml:space="preserve">Seven studies included with 965 patients. All the included studies were of moderate quality according to the risk of bias assessment using Cochrane Risk of Bias tool. </w:t>
      </w:r>
      <w:r w:rsidR="009C3086" w:rsidRPr="00ED01BB">
        <w:rPr>
          <w:rFonts w:ascii="Book Antiqua" w:eastAsia="Book Antiqua" w:hAnsi="Book Antiqua" w:cs="Book Antiqua"/>
          <w:color w:val="000000"/>
        </w:rPr>
        <w:t>Biopsy-proven acute rejection</w:t>
      </w:r>
      <w:r w:rsidRPr="00ED01BB">
        <w:rPr>
          <w:rFonts w:ascii="Book Antiqua" w:eastAsia="Book Antiqua" w:hAnsi="Book Antiqua" w:cs="Book Antiqua"/>
          <w:color w:val="000000"/>
        </w:rPr>
        <w:t xml:space="preserve"> was reported in four studies, and pooled analysis of those studies indicated similar rejections in both twice daily and once daily tacrolimus groups. We also found no significant difference between both groups for renal outcome (serum creatinine; mean difference, 0.001 mg/dL, 95%</w:t>
      </w:r>
      <w:r w:rsidR="00A1116C">
        <w:rPr>
          <w:rFonts w:ascii="Book Antiqua" w:eastAsia="Book Antiqua" w:hAnsi="Book Antiqua" w:cs="Book Antiqua"/>
          <w:color w:val="000000"/>
        </w:rPr>
        <w:t>CI</w:t>
      </w:r>
      <w:r w:rsidR="00943AB9" w:rsidRPr="00943AB9">
        <w:rPr>
          <w:rFonts w:ascii="Book Antiqua" w:hAnsi="Book Antiqua" w:cs="Book Antiqua"/>
          <w:color w:val="000000"/>
          <w:lang w:eastAsia="zh-CN"/>
        </w:rPr>
        <w:t>:</w:t>
      </w:r>
      <w:r w:rsidRPr="00ED01BB">
        <w:rPr>
          <w:rFonts w:ascii="Book Antiqua" w:eastAsia="Book Antiqua" w:hAnsi="Book Antiqua" w:cs="Book Antiqua"/>
          <w:color w:val="000000"/>
        </w:rPr>
        <w:t xml:space="preserve"> -0.042 to 0.043, </w:t>
      </w:r>
      <w:r w:rsidRPr="00ED01BB">
        <w:rPr>
          <w:rFonts w:ascii="Book Antiqua" w:eastAsia="Book Antiqua" w:hAnsi="Book Antiqua" w:cs="Book Antiqua"/>
          <w:i/>
          <w:iCs/>
          <w:color w:val="000000"/>
        </w:rPr>
        <w:t>n</w:t>
      </w:r>
      <w:r w:rsidRPr="00ED01BB">
        <w:rPr>
          <w:rFonts w:ascii="Book Antiqua" w:eastAsia="Book Antiqua" w:hAnsi="Book Antiqua" w:cs="Book Antiqua"/>
          <w:color w:val="000000"/>
        </w:rPr>
        <w:t xml:space="preserve"> = 846, </w:t>
      </w:r>
      <w:r w:rsidRPr="00ED01BB">
        <w:rPr>
          <w:rFonts w:ascii="Book Antiqua" w:eastAsia="Book Antiqua" w:hAnsi="Book Antiqua" w:cs="Book Antiqua"/>
          <w:i/>
          <w:iCs/>
          <w:color w:val="000000"/>
        </w:rPr>
        <w:t>I</w:t>
      </w:r>
      <w:r w:rsidRPr="00ED01BB">
        <w:rPr>
          <w:rFonts w:ascii="Book Antiqua" w:eastAsia="Book Antiqua" w:hAnsi="Book Antiqua" w:cs="Book Antiqua"/>
          <w:i/>
          <w:iCs/>
          <w:color w:val="000000"/>
          <w:vertAlign w:val="superscript"/>
        </w:rPr>
        <w:t>2</w:t>
      </w:r>
      <w:r w:rsidR="009C3086" w:rsidRPr="00ED01BB">
        <w:rPr>
          <w:rFonts w:ascii="Book Antiqua" w:eastAsia="Book Antiqua" w:hAnsi="Book Antiqua" w:cs="Book Antiqua"/>
          <w:i/>
          <w:iCs/>
          <w:color w:val="000000"/>
          <w:vertAlign w:val="superscript"/>
        </w:rPr>
        <w:t xml:space="preserve"> </w:t>
      </w:r>
      <w:r w:rsidRPr="00ED01BB">
        <w:rPr>
          <w:rFonts w:ascii="Book Antiqua" w:eastAsia="Book Antiqua" w:hAnsi="Book Antiqua" w:cs="Book Antiqua"/>
          <w:color w:val="000000"/>
        </w:rPr>
        <w:t>=</w:t>
      </w:r>
      <w:r w:rsidR="009C3086" w:rsidRPr="00ED01BB">
        <w:rPr>
          <w:rFonts w:ascii="Book Antiqua" w:eastAsia="Book Antiqua" w:hAnsi="Book Antiqua" w:cs="Book Antiqua"/>
          <w:color w:val="000000"/>
        </w:rPr>
        <w:t xml:space="preserve"> </w:t>
      </w:r>
      <w:r w:rsidRPr="00ED01BB">
        <w:rPr>
          <w:rFonts w:ascii="Book Antiqua" w:eastAsia="Book Antiqua" w:hAnsi="Book Antiqua" w:cs="Book Antiqua"/>
          <w:color w:val="000000"/>
        </w:rPr>
        <w:t>18.6%). Similarly, there was similar number of adverse events such as hypertension, headache, back pain, blood related disorders, infections and nausea observed in both groups.</w:t>
      </w:r>
    </w:p>
    <w:bookmarkEnd w:id="36"/>
    <w:bookmarkEnd w:id="37"/>
    <w:p w14:paraId="709E08F4" w14:textId="77777777" w:rsidR="00A77B3E" w:rsidRPr="00ED01BB" w:rsidRDefault="00A77B3E" w:rsidP="00ED01BB">
      <w:pPr>
        <w:adjustRightInd w:val="0"/>
        <w:spacing w:line="360" w:lineRule="auto"/>
        <w:jc w:val="both"/>
        <w:rPr>
          <w:rFonts w:ascii="Book Antiqua" w:hAnsi="Book Antiqua"/>
        </w:rPr>
      </w:pPr>
    </w:p>
    <w:p w14:paraId="79CA7A57"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conclusions</w:t>
      </w:r>
    </w:p>
    <w:p w14:paraId="67C445A0" w14:textId="0F36E5A1" w:rsidR="00A77B3E" w:rsidRPr="00ED01BB" w:rsidRDefault="00C07E1E" w:rsidP="00ED01BB">
      <w:pPr>
        <w:adjustRightInd w:val="0"/>
        <w:spacing w:line="360" w:lineRule="auto"/>
        <w:jc w:val="both"/>
        <w:rPr>
          <w:rFonts w:ascii="Book Antiqua" w:hAnsi="Book Antiqua"/>
        </w:rPr>
      </w:pPr>
      <w:bookmarkStart w:id="38" w:name="OLE_LINK45"/>
      <w:bookmarkStart w:id="39" w:name="OLE_LINK46"/>
      <w:r w:rsidRPr="00ED01BB">
        <w:rPr>
          <w:rFonts w:ascii="Book Antiqua" w:eastAsia="Book Antiqua" w:hAnsi="Book Antiqua" w:cs="Book Antiqua"/>
          <w:color w:val="000000"/>
        </w:rPr>
        <w:t>The analysis findings confirm that both once daily and twice daily tacrolimus formulations are comparable in terms of efficacy and safety outcomes.</w:t>
      </w:r>
    </w:p>
    <w:bookmarkEnd w:id="38"/>
    <w:bookmarkEnd w:id="39"/>
    <w:p w14:paraId="6FB00C39" w14:textId="77777777" w:rsidR="00A77B3E" w:rsidRPr="00ED01BB" w:rsidRDefault="00A77B3E" w:rsidP="00ED01BB">
      <w:pPr>
        <w:adjustRightInd w:val="0"/>
        <w:spacing w:line="360" w:lineRule="auto"/>
        <w:jc w:val="both"/>
        <w:rPr>
          <w:rFonts w:ascii="Book Antiqua" w:hAnsi="Book Antiqua"/>
        </w:rPr>
      </w:pPr>
    </w:p>
    <w:p w14:paraId="4FD1E5A3"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i/>
          <w:color w:val="000000"/>
        </w:rPr>
        <w:t>Research perspectives</w:t>
      </w:r>
    </w:p>
    <w:p w14:paraId="42636CAA" w14:textId="481410F4"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Long-term follow-up randomized controlled trials with large sample sizes are required. Also, to assess acceptability by patients, quality of life and economic evaluations should be conducted.</w:t>
      </w:r>
    </w:p>
    <w:p w14:paraId="7B4C9669" w14:textId="77777777" w:rsidR="00A77B3E" w:rsidRPr="00ED01BB" w:rsidRDefault="00A77B3E" w:rsidP="00ED01BB">
      <w:pPr>
        <w:adjustRightInd w:val="0"/>
        <w:spacing w:line="360" w:lineRule="auto"/>
        <w:jc w:val="both"/>
        <w:rPr>
          <w:rFonts w:ascii="Book Antiqua" w:hAnsi="Book Antiqua"/>
        </w:rPr>
      </w:pPr>
    </w:p>
    <w:p w14:paraId="4433467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REFERENCES</w:t>
      </w:r>
    </w:p>
    <w:p w14:paraId="6AA24C0E" w14:textId="77777777" w:rsidR="00ED01BB" w:rsidRPr="00ED01BB" w:rsidRDefault="00ED01BB" w:rsidP="00ED01BB">
      <w:pPr>
        <w:adjustRightInd w:val="0"/>
        <w:spacing w:line="360" w:lineRule="auto"/>
        <w:jc w:val="both"/>
        <w:rPr>
          <w:rFonts w:ascii="Book Antiqua" w:hAnsi="Book Antiqua"/>
        </w:rPr>
      </w:pPr>
      <w:bookmarkStart w:id="40" w:name="OLE_LINK47"/>
      <w:r w:rsidRPr="00ED01BB">
        <w:rPr>
          <w:rFonts w:ascii="Book Antiqua" w:hAnsi="Book Antiqua"/>
        </w:rPr>
        <w:t xml:space="preserve">1 </w:t>
      </w:r>
      <w:r w:rsidRPr="00ED01BB">
        <w:rPr>
          <w:rFonts w:ascii="Book Antiqua" w:hAnsi="Book Antiqua"/>
          <w:b/>
          <w:bCs/>
        </w:rPr>
        <w:t>Busuttil RW</w:t>
      </w:r>
      <w:r w:rsidRPr="00ED01BB">
        <w:rPr>
          <w:rFonts w:ascii="Book Antiqua" w:hAnsi="Book Antiqua"/>
        </w:rPr>
        <w:t xml:space="preserve">, Lake JR. Role of tacrolimus in the evolution of liver transplantation. </w:t>
      </w:r>
      <w:r w:rsidRPr="00ED01BB">
        <w:rPr>
          <w:rFonts w:ascii="Book Antiqua" w:hAnsi="Book Antiqua"/>
          <w:i/>
          <w:iCs/>
        </w:rPr>
        <w:t>Transplantation</w:t>
      </w:r>
      <w:r w:rsidRPr="00ED01BB">
        <w:rPr>
          <w:rFonts w:ascii="Book Antiqua" w:hAnsi="Book Antiqua"/>
        </w:rPr>
        <w:t xml:space="preserve"> 2004; </w:t>
      </w:r>
      <w:r w:rsidRPr="00ED01BB">
        <w:rPr>
          <w:rFonts w:ascii="Book Antiqua" w:hAnsi="Book Antiqua"/>
          <w:b/>
          <w:bCs/>
        </w:rPr>
        <w:t>77</w:t>
      </w:r>
      <w:r w:rsidRPr="00ED01BB">
        <w:rPr>
          <w:rFonts w:ascii="Book Antiqua" w:hAnsi="Book Antiqua"/>
        </w:rPr>
        <w:t>: S44-S51 [PMID: 15201686 DOI: 10.1097/01.tp.0000126927.49589.3f]</w:t>
      </w:r>
    </w:p>
    <w:p w14:paraId="6F4CA5ED"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 </w:t>
      </w:r>
      <w:proofErr w:type="spellStart"/>
      <w:r w:rsidRPr="00ED01BB">
        <w:rPr>
          <w:rFonts w:ascii="Book Antiqua" w:hAnsi="Book Antiqua"/>
          <w:b/>
          <w:bCs/>
        </w:rPr>
        <w:t>Starzl</w:t>
      </w:r>
      <w:proofErr w:type="spellEnd"/>
      <w:r w:rsidRPr="00ED01BB">
        <w:rPr>
          <w:rFonts w:ascii="Book Antiqua" w:hAnsi="Book Antiqua"/>
          <w:b/>
          <w:bCs/>
        </w:rPr>
        <w:t xml:space="preserve"> TE</w:t>
      </w:r>
      <w:r w:rsidRPr="00ED01BB">
        <w:rPr>
          <w:rFonts w:ascii="Book Antiqua" w:hAnsi="Book Antiqua"/>
        </w:rPr>
        <w:t xml:space="preserve">, </w:t>
      </w:r>
      <w:proofErr w:type="spellStart"/>
      <w:r w:rsidRPr="00ED01BB">
        <w:rPr>
          <w:rFonts w:ascii="Book Antiqua" w:hAnsi="Book Antiqua"/>
        </w:rPr>
        <w:t>Todo</w:t>
      </w:r>
      <w:proofErr w:type="spellEnd"/>
      <w:r w:rsidRPr="00ED01BB">
        <w:rPr>
          <w:rFonts w:ascii="Book Antiqua" w:hAnsi="Book Antiqua"/>
        </w:rPr>
        <w:t xml:space="preserve"> S, Fung J, Demetris AJ, </w:t>
      </w:r>
      <w:proofErr w:type="spellStart"/>
      <w:r w:rsidRPr="00ED01BB">
        <w:rPr>
          <w:rFonts w:ascii="Book Antiqua" w:hAnsi="Book Antiqua"/>
        </w:rPr>
        <w:t>Venkataramman</w:t>
      </w:r>
      <w:proofErr w:type="spellEnd"/>
      <w:r w:rsidRPr="00ED01BB">
        <w:rPr>
          <w:rFonts w:ascii="Book Antiqua" w:hAnsi="Book Antiqua"/>
        </w:rPr>
        <w:t xml:space="preserve"> R, Jain A. FK 506 for liver, kidney, and pancreas transplantation. </w:t>
      </w:r>
      <w:r w:rsidRPr="00ED01BB">
        <w:rPr>
          <w:rFonts w:ascii="Book Antiqua" w:hAnsi="Book Antiqua"/>
          <w:i/>
          <w:iCs/>
        </w:rPr>
        <w:t>Lancet</w:t>
      </w:r>
      <w:r w:rsidRPr="00ED01BB">
        <w:rPr>
          <w:rFonts w:ascii="Book Antiqua" w:hAnsi="Book Antiqua"/>
        </w:rPr>
        <w:t xml:space="preserve"> 1989; </w:t>
      </w:r>
      <w:r w:rsidRPr="00ED01BB">
        <w:rPr>
          <w:rFonts w:ascii="Book Antiqua" w:hAnsi="Book Antiqua"/>
          <w:b/>
          <w:bCs/>
        </w:rPr>
        <w:t>2</w:t>
      </w:r>
      <w:r w:rsidRPr="00ED01BB">
        <w:rPr>
          <w:rFonts w:ascii="Book Antiqua" w:hAnsi="Book Antiqua"/>
        </w:rPr>
        <w:t>: 1000-1004 [PMID: 2478846 DOI: 10.1016/s0140-6736(89)91014-3]</w:t>
      </w:r>
    </w:p>
    <w:p w14:paraId="6A866410"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3 </w:t>
      </w:r>
      <w:r w:rsidRPr="00ED01BB">
        <w:rPr>
          <w:rFonts w:ascii="Book Antiqua" w:hAnsi="Book Antiqua"/>
          <w:b/>
          <w:bCs/>
        </w:rPr>
        <w:t>Lieber SR</w:t>
      </w:r>
      <w:r w:rsidRPr="00ED01BB">
        <w:rPr>
          <w:rFonts w:ascii="Book Antiqua" w:hAnsi="Book Antiqua"/>
        </w:rPr>
        <w:t xml:space="preserve">, Volk ML. Non-adherence and graft failure in adult liver transplant recipients. </w:t>
      </w:r>
      <w:r w:rsidRPr="00ED01BB">
        <w:rPr>
          <w:rFonts w:ascii="Book Antiqua" w:hAnsi="Book Antiqua"/>
          <w:i/>
          <w:iCs/>
        </w:rPr>
        <w:t>Dig Dis Sci</w:t>
      </w:r>
      <w:r w:rsidRPr="00ED01BB">
        <w:rPr>
          <w:rFonts w:ascii="Book Antiqua" w:hAnsi="Book Antiqua"/>
        </w:rPr>
        <w:t xml:space="preserve"> 2013; </w:t>
      </w:r>
      <w:r w:rsidRPr="00ED01BB">
        <w:rPr>
          <w:rFonts w:ascii="Book Antiqua" w:hAnsi="Book Antiqua"/>
          <w:b/>
          <w:bCs/>
        </w:rPr>
        <w:t>58</w:t>
      </w:r>
      <w:r w:rsidRPr="00ED01BB">
        <w:rPr>
          <w:rFonts w:ascii="Book Antiqua" w:hAnsi="Book Antiqua"/>
        </w:rPr>
        <w:t>: 824-834 [PMID: 23053889 DOI: 10.1007/s10620-012-2412-0]</w:t>
      </w:r>
    </w:p>
    <w:p w14:paraId="40B9BA77"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lastRenderedPageBreak/>
        <w:t xml:space="preserve">4 </w:t>
      </w:r>
      <w:proofErr w:type="spellStart"/>
      <w:r w:rsidRPr="00ED01BB">
        <w:rPr>
          <w:rFonts w:ascii="Book Antiqua" w:hAnsi="Book Antiqua"/>
          <w:b/>
          <w:bCs/>
        </w:rPr>
        <w:t>Atreja</w:t>
      </w:r>
      <w:proofErr w:type="spellEnd"/>
      <w:r w:rsidRPr="00ED01BB">
        <w:rPr>
          <w:rFonts w:ascii="Book Antiqua" w:hAnsi="Book Antiqua"/>
          <w:b/>
          <w:bCs/>
        </w:rPr>
        <w:t xml:space="preserve"> A</w:t>
      </w:r>
      <w:r w:rsidRPr="00ED01BB">
        <w:rPr>
          <w:rFonts w:ascii="Book Antiqua" w:hAnsi="Book Antiqua"/>
        </w:rPr>
        <w:t xml:space="preserve">, </w:t>
      </w:r>
      <w:proofErr w:type="spellStart"/>
      <w:r w:rsidRPr="00ED01BB">
        <w:rPr>
          <w:rFonts w:ascii="Book Antiqua" w:hAnsi="Book Antiqua"/>
        </w:rPr>
        <w:t>Bellam</w:t>
      </w:r>
      <w:proofErr w:type="spellEnd"/>
      <w:r w:rsidRPr="00ED01BB">
        <w:rPr>
          <w:rFonts w:ascii="Book Antiqua" w:hAnsi="Book Antiqua"/>
        </w:rPr>
        <w:t xml:space="preserve"> N, Levy SR. Strategies to enhance patient adherence: making it simple. </w:t>
      </w:r>
      <w:proofErr w:type="spellStart"/>
      <w:r w:rsidRPr="00ED01BB">
        <w:rPr>
          <w:rFonts w:ascii="Book Antiqua" w:hAnsi="Book Antiqua"/>
          <w:i/>
          <w:iCs/>
        </w:rPr>
        <w:t>MedGenMed</w:t>
      </w:r>
      <w:proofErr w:type="spellEnd"/>
      <w:r w:rsidRPr="00ED01BB">
        <w:rPr>
          <w:rFonts w:ascii="Book Antiqua" w:hAnsi="Book Antiqua"/>
        </w:rPr>
        <w:t xml:space="preserve"> 2005; </w:t>
      </w:r>
      <w:r w:rsidRPr="00ED01BB">
        <w:rPr>
          <w:rFonts w:ascii="Book Antiqua" w:hAnsi="Book Antiqua"/>
          <w:b/>
          <w:bCs/>
        </w:rPr>
        <w:t>7</w:t>
      </w:r>
      <w:r w:rsidRPr="00ED01BB">
        <w:rPr>
          <w:rFonts w:ascii="Book Antiqua" w:hAnsi="Book Antiqua"/>
        </w:rPr>
        <w:t>: 4 [PMID: 16369309]</w:t>
      </w:r>
    </w:p>
    <w:p w14:paraId="30333C5A"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5 </w:t>
      </w:r>
      <w:proofErr w:type="spellStart"/>
      <w:r w:rsidRPr="00ED01BB">
        <w:rPr>
          <w:rFonts w:ascii="Book Antiqua" w:hAnsi="Book Antiqua"/>
          <w:b/>
          <w:bCs/>
        </w:rPr>
        <w:t>Comuzzi</w:t>
      </w:r>
      <w:proofErr w:type="spellEnd"/>
      <w:r w:rsidRPr="00ED01BB">
        <w:rPr>
          <w:rFonts w:ascii="Book Antiqua" w:hAnsi="Book Antiqua"/>
          <w:b/>
          <w:bCs/>
        </w:rPr>
        <w:t xml:space="preserve"> C</w:t>
      </w:r>
      <w:r w:rsidRPr="00ED01BB">
        <w:rPr>
          <w:rFonts w:ascii="Book Antiqua" w:hAnsi="Book Antiqua"/>
        </w:rPr>
        <w:t xml:space="preserve">, </w:t>
      </w:r>
      <w:proofErr w:type="spellStart"/>
      <w:r w:rsidRPr="00ED01BB">
        <w:rPr>
          <w:rFonts w:ascii="Book Antiqua" w:hAnsi="Book Antiqua"/>
        </w:rPr>
        <w:t>Lorenzin</w:t>
      </w:r>
      <w:proofErr w:type="spellEnd"/>
      <w:r w:rsidRPr="00ED01BB">
        <w:rPr>
          <w:rFonts w:ascii="Book Antiqua" w:hAnsi="Book Antiqua"/>
        </w:rPr>
        <w:t xml:space="preserve"> D, </w:t>
      </w:r>
      <w:proofErr w:type="spellStart"/>
      <w:r w:rsidRPr="00ED01BB">
        <w:rPr>
          <w:rFonts w:ascii="Book Antiqua" w:hAnsi="Book Antiqua"/>
        </w:rPr>
        <w:t>Rossetto</w:t>
      </w:r>
      <w:proofErr w:type="spellEnd"/>
      <w:r w:rsidRPr="00ED01BB">
        <w:rPr>
          <w:rFonts w:ascii="Book Antiqua" w:hAnsi="Book Antiqua"/>
        </w:rPr>
        <w:t xml:space="preserve"> A, </w:t>
      </w:r>
      <w:proofErr w:type="spellStart"/>
      <w:r w:rsidRPr="00ED01BB">
        <w:rPr>
          <w:rFonts w:ascii="Book Antiqua" w:hAnsi="Book Antiqua"/>
        </w:rPr>
        <w:t>Faraci</w:t>
      </w:r>
      <w:proofErr w:type="spellEnd"/>
      <w:r w:rsidRPr="00ED01BB">
        <w:rPr>
          <w:rFonts w:ascii="Book Antiqua" w:hAnsi="Book Antiqua"/>
        </w:rPr>
        <w:t xml:space="preserve"> MG, </w:t>
      </w:r>
      <w:proofErr w:type="spellStart"/>
      <w:r w:rsidRPr="00ED01BB">
        <w:rPr>
          <w:rFonts w:ascii="Book Antiqua" w:hAnsi="Book Antiqua"/>
        </w:rPr>
        <w:t>Nicolini</w:t>
      </w:r>
      <w:proofErr w:type="spellEnd"/>
      <w:r w:rsidRPr="00ED01BB">
        <w:rPr>
          <w:rFonts w:ascii="Book Antiqua" w:hAnsi="Book Antiqua"/>
        </w:rPr>
        <w:t xml:space="preserve"> D, </w:t>
      </w:r>
      <w:proofErr w:type="spellStart"/>
      <w:r w:rsidRPr="00ED01BB">
        <w:rPr>
          <w:rFonts w:ascii="Book Antiqua" w:hAnsi="Book Antiqua"/>
        </w:rPr>
        <w:t>Garelli</w:t>
      </w:r>
      <w:proofErr w:type="spellEnd"/>
      <w:r w:rsidRPr="00ED01BB">
        <w:rPr>
          <w:rFonts w:ascii="Book Antiqua" w:hAnsi="Book Antiqua"/>
        </w:rPr>
        <w:t xml:space="preserve"> P, </w:t>
      </w:r>
      <w:proofErr w:type="spellStart"/>
      <w:r w:rsidRPr="00ED01BB">
        <w:rPr>
          <w:rFonts w:ascii="Book Antiqua" w:hAnsi="Book Antiqua"/>
        </w:rPr>
        <w:t>Bresadola</w:t>
      </w:r>
      <w:proofErr w:type="spellEnd"/>
      <w:r w:rsidRPr="00ED01BB">
        <w:rPr>
          <w:rFonts w:ascii="Book Antiqua" w:hAnsi="Book Antiqua"/>
        </w:rPr>
        <w:t xml:space="preserve"> V, </w:t>
      </w:r>
      <w:proofErr w:type="spellStart"/>
      <w:r w:rsidRPr="00ED01BB">
        <w:rPr>
          <w:rFonts w:ascii="Book Antiqua" w:hAnsi="Book Antiqua"/>
        </w:rPr>
        <w:t>Toniutto</w:t>
      </w:r>
      <w:proofErr w:type="spellEnd"/>
      <w:r w:rsidRPr="00ED01BB">
        <w:rPr>
          <w:rFonts w:ascii="Book Antiqua" w:hAnsi="Book Antiqua"/>
        </w:rPr>
        <w:t xml:space="preserve"> P, </w:t>
      </w:r>
      <w:proofErr w:type="spellStart"/>
      <w:r w:rsidRPr="00ED01BB">
        <w:rPr>
          <w:rFonts w:ascii="Book Antiqua" w:hAnsi="Book Antiqua"/>
        </w:rPr>
        <w:t>Soardo</w:t>
      </w:r>
      <w:proofErr w:type="spellEnd"/>
      <w:r w:rsidRPr="00ED01BB">
        <w:rPr>
          <w:rFonts w:ascii="Book Antiqua" w:hAnsi="Book Antiqua"/>
        </w:rPr>
        <w:t xml:space="preserve"> G, Baroni GS, Adani GL, </w:t>
      </w:r>
      <w:proofErr w:type="spellStart"/>
      <w:r w:rsidRPr="00ED01BB">
        <w:rPr>
          <w:rFonts w:ascii="Book Antiqua" w:hAnsi="Book Antiqua"/>
        </w:rPr>
        <w:t>Risaliti</w:t>
      </w:r>
      <w:proofErr w:type="spellEnd"/>
      <w:r w:rsidRPr="00ED01BB">
        <w:rPr>
          <w:rFonts w:ascii="Book Antiqua" w:hAnsi="Book Antiqua"/>
        </w:rPr>
        <w:t xml:space="preserve"> A, </w:t>
      </w:r>
      <w:proofErr w:type="spellStart"/>
      <w:r w:rsidRPr="00ED01BB">
        <w:rPr>
          <w:rFonts w:ascii="Book Antiqua" w:hAnsi="Book Antiqua"/>
        </w:rPr>
        <w:t>Baccarani</w:t>
      </w:r>
      <w:proofErr w:type="spellEnd"/>
      <w:r w:rsidRPr="00ED01BB">
        <w:rPr>
          <w:rFonts w:ascii="Book Antiqua" w:hAnsi="Book Antiqua"/>
        </w:rPr>
        <w:t xml:space="preserve"> U. Safety of conversion from twice-daily tacrolimus (</w:t>
      </w:r>
      <w:proofErr w:type="spellStart"/>
      <w:r w:rsidRPr="00ED01BB">
        <w:rPr>
          <w:rFonts w:ascii="Book Antiqua" w:hAnsi="Book Antiqua"/>
        </w:rPr>
        <w:t>Prograf</w:t>
      </w:r>
      <w:proofErr w:type="spellEnd"/>
      <w:r w:rsidRPr="00ED01BB">
        <w:rPr>
          <w:rFonts w:ascii="Book Antiqua" w:hAnsi="Book Antiqua"/>
        </w:rPr>
        <w:t>) to once-daily prolonged-release tacrolimus (</w:t>
      </w:r>
      <w:proofErr w:type="spellStart"/>
      <w:r w:rsidRPr="00ED01BB">
        <w:rPr>
          <w:rFonts w:ascii="Book Antiqua" w:hAnsi="Book Antiqua"/>
        </w:rPr>
        <w:t>Advagraf</w:t>
      </w:r>
      <w:proofErr w:type="spellEnd"/>
      <w:r w:rsidRPr="00ED01BB">
        <w:rPr>
          <w:rFonts w:ascii="Book Antiqua" w:hAnsi="Book Antiqua"/>
        </w:rPr>
        <w:t xml:space="preserve">) in stable liver transplant recipients. </w:t>
      </w:r>
      <w:r w:rsidRPr="00ED01BB">
        <w:rPr>
          <w:rFonts w:ascii="Book Antiqua" w:hAnsi="Book Antiqua"/>
          <w:i/>
          <w:iCs/>
        </w:rPr>
        <w:t>Transplant Proc</w:t>
      </w:r>
      <w:r w:rsidRPr="00ED01BB">
        <w:rPr>
          <w:rFonts w:ascii="Book Antiqua" w:hAnsi="Book Antiqua"/>
        </w:rPr>
        <w:t xml:space="preserve"> 2010; </w:t>
      </w:r>
      <w:r w:rsidRPr="00ED01BB">
        <w:rPr>
          <w:rFonts w:ascii="Book Antiqua" w:hAnsi="Book Antiqua"/>
          <w:b/>
          <w:bCs/>
        </w:rPr>
        <w:t>42</w:t>
      </w:r>
      <w:r w:rsidRPr="00ED01BB">
        <w:rPr>
          <w:rFonts w:ascii="Book Antiqua" w:hAnsi="Book Antiqua"/>
        </w:rPr>
        <w:t>: 1320-1321 [PMID: 20534291 DOI: 10.1016/j.transproceed.2010.03.106]</w:t>
      </w:r>
    </w:p>
    <w:p w14:paraId="389F095C"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6 </w:t>
      </w:r>
      <w:r w:rsidRPr="00ED01BB">
        <w:rPr>
          <w:rFonts w:ascii="Book Antiqua" w:hAnsi="Book Antiqua"/>
          <w:b/>
          <w:bCs/>
        </w:rPr>
        <w:t>Wu YJ</w:t>
      </w:r>
      <w:r w:rsidRPr="00ED01BB">
        <w:rPr>
          <w:rFonts w:ascii="Book Antiqua" w:hAnsi="Book Antiqua"/>
        </w:rPr>
        <w:t xml:space="preserve">, Lin YH, Yong CC, Li WF, Wang SH, Wang CC, Lin TL, Chen CL, Lin CC. Safe One-to-One Dosage Conversion </w:t>
      </w:r>
      <w:proofErr w:type="gramStart"/>
      <w:r w:rsidRPr="00ED01BB">
        <w:rPr>
          <w:rFonts w:ascii="Book Antiqua" w:hAnsi="Book Antiqua"/>
        </w:rPr>
        <w:t>From</w:t>
      </w:r>
      <w:proofErr w:type="gramEnd"/>
      <w:r w:rsidRPr="00ED01BB">
        <w:rPr>
          <w:rFonts w:ascii="Book Antiqua" w:hAnsi="Book Antiqua"/>
        </w:rPr>
        <w:t xml:space="preserve"> Twice-Daily to Once-Daily Tacrolimus in Long-Term Stable Recipients After Liver Transplantation. </w:t>
      </w:r>
      <w:r w:rsidRPr="00ED01BB">
        <w:rPr>
          <w:rFonts w:ascii="Book Antiqua" w:hAnsi="Book Antiqua"/>
          <w:i/>
          <w:iCs/>
        </w:rPr>
        <w:t>Ann Transplant</w:t>
      </w:r>
      <w:r w:rsidRPr="00ED01BB">
        <w:rPr>
          <w:rFonts w:ascii="Book Antiqua" w:hAnsi="Book Antiqua"/>
        </w:rPr>
        <w:t xml:space="preserve"> 2016; </w:t>
      </w:r>
      <w:r w:rsidRPr="00ED01BB">
        <w:rPr>
          <w:rFonts w:ascii="Book Antiqua" w:hAnsi="Book Antiqua"/>
          <w:b/>
          <w:bCs/>
        </w:rPr>
        <w:t>21</w:t>
      </w:r>
      <w:r w:rsidRPr="00ED01BB">
        <w:rPr>
          <w:rFonts w:ascii="Book Antiqua" w:hAnsi="Book Antiqua"/>
        </w:rPr>
        <w:t>: 30-34 [PMID: 26782179 DOI: 10.12659/aot.895118]</w:t>
      </w:r>
    </w:p>
    <w:p w14:paraId="4836DEE5" w14:textId="0934D40E" w:rsidR="00ED01BB" w:rsidRPr="00ED01BB" w:rsidRDefault="00ED01BB" w:rsidP="00ED01BB">
      <w:pPr>
        <w:adjustRightInd w:val="0"/>
        <w:spacing w:line="360" w:lineRule="auto"/>
        <w:jc w:val="both"/>
        <w:rPr>
          <w:rFonts w:ascii="Book Antiqua" w:hAnsi="Book Antiqua"/>
        </w:rPr>
      </w:pPr>
      <w:r w:rsidRPr="00943AB9">
        <w:rPr>
          <w:rFonts w:ascii="Book Antiqua" w:hAnsi="Book Antiqua"/>
          <w:highlight w:val="yellow"/>
        </w:rPr>
        <w:t xml:space="preserve">7 </w:t>
      </w:r>
      <w:r w:rsidRPr="00943AB9">
        <w:rPr>
          <w:rFonts w:ascii="Book Antiqua" w:hAnsi="Book Antiqua"/>
          <w:b/>
          <w:bCs/>
          <w:highlight w:val="yellow"/>
        </w:rPr>
        <w:t>Higgins,</w:t>
      </w:r>
      <w:r w:rsidRPr="00943AB9">
        <w:rPr>
          <w:rFonts w:ascii="Book Antiqua" w:hAnsi="Book Antiqua"/>
          <w:highlight w:val="yellow"/>
        </w:rPr>
        <w:t xml:space="preserve"> Julian PT, James Thomas, Jacqueline Chandler, Miranda </w:t>
      </w:r>
      <w:proofErr w:type="spellStart"/>
      <w:r w:rsidRPr="00943AB9">
        <w:rPr>
          <w:rFonts w:ascii="Book Antiqua" w:hAnsi="Book Antiqua"/>
          <w:highlight w:val="yellow"/>
        </w:rPr>
        <w:t>Cumpston</w:t>
      </w:r>
      <w:proofErr w:type="spellEnd"/>
      <w:r w:rsidRPr="00943AB9">
        <w:rPr>
          <w:rFonts w:ascii="Book Antiqua" w:hAnsi="Book Antiqua"/>
          <w:highlight w:val="yellow"/>
        </w:rPr>
        <w:t xml:space="preserve">, </w:t>
      </w:r>
      <w:proofErr w:type="spellStart"/>
      <w:r w:rsidRPr="00943AB9">
        <w:rPr>
          <w:rFonts w:ascii="Book Antiqua" w:hAnsi="Book Antiqua"/>
          <w:highlight w:val="yellow"/>
        </w:rPr>
        <w:t>Tianjing</w:t>
      </w:r>
      <w:proofErr w:type="spellEnd"/>
      <w:r w:rsidRPr="00943AB9">
        <w:rPr>
          <w:rFonts w:ascii="Book Antiqua" w:hAnsi="Book Antiqua"/>
          <w:highlight w:val="yellow"/>
        </w:rPr>
        <w:t xml:space="preserve"> Li, Matthew J. Page, and Vivian A. Welch, eds. Cochrane handbook for systematic reviews of interventions. John Wiley and Sons, 2019 [DOI: 10.1002/9781119536604]</w:t>
      </w:r>
    </w:p>
    <w:p w14:paraId="7C11D42D"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8 </w:t>
      </w:r>
      <w:proofErr w:type="spellStart"/>
      <w:r w:rsidRPr="00ED01BB">
        <w:rPr>
          <w:rFonts w:ascii="Book Antiqua" w:hAnsi="Book Antiqua"/>
          <w:b/>
          <w:bCs/>
        </w:rPr>
        <w:t>Liberati</w:t>
      </w:r>
      <w:proofErr w:type="spellEnd"/>
      <w:r w:rsidRPr="00ED01BB">
        <w:rPr>
          <w:rFonts w:ascii="Book Antiqua" w:hAnsi="Book Antiqua"/>
          <w:b/>
          <w:bCs/>
        </w:rPr>
        <w:t xml:space="preserve"> A</w:t>
      </w:r>
      <w:r w:rsidRPr="00ED01BB">
        <w:rPr>
          <w:rFonts w:ascii="Book Antiqua" w:hAnsi="Book Antiqua"/>
        </w:rPr>
        <w:t xml:space="preserve">, Altman DG, </w:t>
      </w:r>
      <w:proofErr w:type="spellStart"/>
      <w:r w:rsidRPr="00ED01BB">
        <w:rPr>
          <w:rFonts w:ascii="Book Antiqua" w:hAnsi="Book Antiqua"/>
        </w:rPr>
        <w:t>Tetzlaff</w:t>
      </w:r>
      <w:proofErr w:type="spellEnd"/>
      <w:r w:rsidRPr="00ED01BB">
        <w:rPr>
          <w:rFonts w:ascii="Book Antiqua" w:hAnsi="Book Antiqua"/>
        </w:rPr>
        <w:t xml:space="preserve"> J, Mulrow C, </w:t>
      </w:r>
      <w:proofErr w:type="spellStart"/>
      <w:r w:rsidRPr="00ED01BB">
        <w:rPr>
          <w:rFonts w:ascii="Book Antiqua" w:hAnsi="Book Antiqua"/>
        </w:rPr>
        <w:t>Gøtzsche</w:t>
      </w:r>
      <w:proofErr w:type="spellEnd"/>
      <w:r w:rsidRPr="00ED01BB">
        <w:rPr>
          <w:rFonts w:ascii="Book Antiqua" w:hAnsi="Book Antiqua"/>
        </w:rPr>
        <w:t xml:space="preserve"> PC, Ioannidis JP, Clarke M, Devereaux PJ, </w:t>
      </w:r>
      <w:proofErr w:type="spellStart"/>
      <w:r w:rsidRPr="00ED01BB">
        <w:rPr>
          <w:rFonts w:ascii="Book Antiqua" w:hAnsi="Book Antiqua"/>
        </w:rPr>
        <w:t>Kleijnen</w:t>
      </w:r>
      <w:proofErr w:type="spellEnd"/>
      <w:r w:rsidRPr="00ED01BB">
        <w:rPr>
          <w:rFonts w:ascii="Book Antiqua" w:hAnsi="Book Antiqua"/>
        </w:rPr>
        <w:t xml:space="preserve"> J, Moher D. The PRISMA statement for reporting systematic reviews and meta-analyses of studies that evaluate healthcare interventions: explanation and elaboration. </w:t>
      </w:r>
      <w:r w:rsidRPr="00ED01BB">
        <w:rPr>
          <w:rFonts w:ascii="Book Antiqua" w:hAnsi="Book Antiqua"/>
          <w:i/>
          <w:iCs/>
        </w:rPr>
        <w:t>BMJ</w:t>
      </w:r>
      <w:r w:rsidRPr="00ED01BB">
        <w:rPr>
          <w:rFonts w:ascii="Book Antiqua" w:hAnsi="Book Antiqua"/>
        </w:rPr>
        <w:t xml:space="preserve"> 2009; </w:t>
      </w:r>
      <w:r w:rsidRPr="00ED01BB">
        <w:rPr>
          <w:rFonts w:ascii="Book Antiqua" w:hAnsi="Book Antiqua"/>
          <w:b/>
          <w:bCs/>
        </w:rPr>
        <w:t>339</w:t>
      </w:r>
      <w:r w:rsidRPr="00ED01BB">
        <w:rPr>
          <w:rFonts w:ascii="Book Antiqua" w:hAnsi="Book Antiqua"/>
        </w:rPr>
        <w:t>: b2700 [PMID: 19622552 DOI: 10.1136/bmj.b2700]</w:t>
      </w:r>
    </w:p>
    <w:p w14:paraId="5305AC25"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9 </w:t>
      </w:r>
      <w:r w:rsidRPr="00ED01BB">
        <w:rPr>
          <w:rFonts w:ascii="Book Antiqua" w:hAnsi="Book Antiqua"/>
          <w:b/>
          <w:bCs/>
        </w:rPr>
        <w:t>Higgins JP</w:t>
      </w:r>
      <w:r w:rsidRPr="00ED01BB">
        <w:rPr>
          <w:rFonts w:ascii="Book Antiqua" w:hAnsi="Book Antiqua"/>
        </w:rPr>
        <w:t xml:space="preserve">, Altman DG, </w:t>
      </w:r>
      <w:proofErr w:type="spellStart"/>
      <w:r w:rsidRPr="00ED01BB">
        <w:rPr>
          <w:rFonts w:ascii="Book Antiqua" w:hAnsi="Book Antiqua"/>
        </w:rPr>
        <w:t>Gøtzsche</w:t>
      </w:r>
      <w:proofErr w:type="spellEnd"/>
      <w:r w:rsidRPr="00ED01BB">
        <w:rPr>
          <w:rFonts w:ascii="Book Antiqua" w:hAnsi="Book Antiqua"/>
        </w:rPr>
        <w:t xml:space="preserve"> PC, </w:t>
      </w:r>
      <w:proofErr w:type="spellStart"/>
      <w:r w:rsidRPr="00ED01BB">
        <w:rPr>
          <w:rFonts w:ascii="Book Antiqua" w:hAnsi="Book Antiqua"/>
        </w:rPr>
        <w:t>Jüni</w:t>
      </w:r>
      <w:proofErr w:type="spellEnd"/>
      <w:r w:rsidRPr="00ED01BB">
        <w:rPr>
          <w:rFonts w:ascii="Book Antiqua" w:hAnsi="Book Antiqua"/>
        </w:rPr>
        <w:t xml:space="preserve"> P, Moher D, </w:t>
      </w:r>
      <w:proofErr w:type="spellStart"/>
      <w:r w:rsidRPr="00ED01BB">
        <w:rPr>
          <w:rFonts w:ascii="Book Antiqua" w:hAnsi="Book Antiqua"/>
        </w:rPr>
        <w:t>Oxman</w:t>
      </w:r>
      <w:proofErr w:type="spellEnd"/>
      <w:r w:rsidRPr="00ED01BB">
        <w:rPr>
          <w:rFonts w:ascii="Book Antiqua" w:hAnsi="Book Antiqua"/>
        </w:rPr>
        <w:t xml:space="preserve"> AD, Savovic J, Schulz KF, Weeks L, Sterne JA; Cochrane Bias Methods Group; Cochrane Statistical Methods Group. The Cochrane Collaboration's tool for assessing risk of bias in </w:t>
      </w:r>
      <w:proofErr w:type="spellStart"/>
      <w:r w:rsidRPr="00ED01BB">
        <w:rPr>
          <w:rFonts w:ascii="Book Antiqua" w:hAnsi="Book Antiqua"/>
        </w:rPr>
        <w:t>randomised</w:t>
      </w:r>
      <w:proofErr w:type="spellEnd"/>
      <w:r w:rsidRPr="00ED01BB">
        <w:rPr>
          <w:rFonts w:ascii="Book Antiqua" w:hAnsi="Book Antiqua"/>
        </w:rPr>
        <w:t xml:space="preserve"> trials. </w:t>
      </w:r>
      <w:r w:rsidRPr="00ED01BB">
        <w:rPr>
          <w:rFonts w:ascii="Book Antiqua" w:hAnsi="Book Antiqua"/>
          <w:i/>
          <w:iCs/>
        </w:rPr>
        <w:t>BMJ</w:t>
      </w:r>
      <w:r w:rsidRPr="00ED01BB">
        <w:rPr>
          <w:rFonts w:ascii="Book Antiqua" w:hAnsi="Book Antiqua"/>
        </w:rPr>
        <w:t xml:space="preserve"> 2011; </w:t>
      </w:r>
      <w:r w:rsidRPr="00ED01BB">
        <w:rPr>
          <w:rFonts w:ascii="Book Antiqua" w:hAnsi="Book Antiqua"/>
          <w:b/>
          <w:bCs/>
        </w:rPr>
        <w:t>343</w:t>
      </w:r>
      <w:r w:rsidRPr="00ED01BB">
        <w:rPr>
          <w:rFonts w:ascii="Book Antiqua" w:hAnsi="Book Antiqua"/>
        </w:rPr>
        <w:t>: d5928 [PMID: 22008217 DOI: 10.1136/bmj.d5928]</w:t>
      </w:r>
    </w:p>
    <w:p w14:paraId="1BA9F391" w14:textId="373C801D" w:rsidR="00ED01BB" w:rsidRPr="00ED01BB" w:rsidRDefault="00ED01BB" w:rsidP="00ED01BB">
      <w:pPr>
        <w:adjustRightInd w:val="0"/>
        <w:spacing w:line="360" w:lineRule="auto"/>
        <w:jc w:val="both"/>
        <w:rPr>
          <w:rFonts w:ascii="Book Antiqua" w:hAnsi="Book Antiqua"/>
        </w:rPr>
      </w:pPr>
      <w:r w:rsidRPr="00DA11C3">
        <w:rPr>
          <w:rFonts w:ascii="Book Antiqua" w:hAnsi="Book Antiqua"/>
          <w:highlight w:val="yellow"/>
        </w:rPr>
        <w:t xml:space="preserve">10 </w:t>
      </w:r>
      <w:bookmarkStart w:id="41" w:name="OLE_LINK7"/>
      <w:bookmarkStart w:id="42" w:name="OLE_LINK8"/>
      <w:proofErr w:type="spellStart"/>
      <w:r w:rsidRPr="00DA11C3">
        <w:rPr>
          <w:rFonts w:ascii="Book Antiqua" w:hAnsi="Book Antiqua"/>
          <w:b/>
          <w:highlight w:val="yellow"/>
        </w:rPr>
        <w:t>Biostat</w:t>
      </w:r>
      <w:proofErr w:type="spellEnd"/>
      <w:r w:rsidRPr="00DA11C3">
        <w:rPr>
          <w:rFonts w:ascii="Book Antiqua" w:hAnsi="Book Antiqua"/>
          <w:b/>
          <w:highlight w:val="yellow"/>
        </w:rPr>
        <w:t xml:space="preserve"> Inc. </w:t>
      </w:r>
      <w:r w:rsidRPr="00DA11C3">
        <w:rPr>
          <w:rFonts w:ascii="Book Antiqua" w:hAnsi="Book Antiqua"/>
          <w:highlight w:val="yellow"/>
        </w:rPr>
        <w:t>Comprehensive meta-analysis version 3</w:t>
      </w:r>
      <w:r w:rsidR="008B65D7" w:rsidRPr="00DA11C3">
        <w:rPr>
          <w:rFonts w:ascii="Book Antiqua" w:hAnsi="Book Antiqua"/>
          <w:highlight w:val="yellow"/>
        </w:rPr>
        <w:t xml:space="preserve"> [cited</w:t>
      </w:r>
      <w:r w:rsidR="00DA11C3" w:rsidRPr="00DA11C3">
        <w:rPr>
          <w:rFonts w:ascii="Book Antiqua" w:hAnsi="Book Antiqua"/>
          <w:highlight w:val="yellow"/>
        </w:rPr>
        <w:t xml:space="preserve"> 3 Feb, 2021</w:t>
      </w:r>
      <w:r w:rsidR="008B65D7" w:rsidRPr="00DA11C3">
        <w:rPr>
          <w:rFonts w:ascii="Book Antiqua" w:hAnsi="Book Antiqua"/>
          <w:highlight w:val="yellow"/>
        </w:rPr>
        <w:t>]</w:t>
      </w:r>
      <w:r w:rsidRPr="00DA11C3">
        <w:rPr>
          <w:rFonts w:ascii="Book Antiqua" w:hAnsi="Book Antiqua"/>
          <w:highlight w:val="yellow"/>
        </w:rPr>
        <w:t>. 2016.</w:t>
      </w:r>
      <w:r w:rsidR="008B65D7" w:rsidRPr="00DA11C3">
        <w:rPr>
          <w:rFonts w:ascii="Book Antiqua" w:hAnsi="Book Antiqua"/>
          <w:highlight w:val="yellow"/>
        </w:rPr>
        <w:t xml:space="preserve"> Available from</w:t>
      </w:r>
      <w:r w:rsidR="008B65D7" w:rsidRPr="00B1449A">
        <w:rPr>
          <w:rFonts w:ascii="Book Antiqua" w:hAnsi="Book Antiqua"/>
          <w:highlight w:val="yellow"/>
        </w:rPr>
        <w:t xml:space="preserve">: </w:t>
      </w:r>
      <w:r w:rsidR="00B1449A" w:rsidRPr="00B1449A">
        <w:rPr>
          <w:rFonts w:ascii="Book Antiqua" w:hAnsi="Book Antiqua"/>
          <w:highlight w:val="yellow"/>
        </w:rPr>
        <w:t>https://</w:t>
      </w:r>
      <w:r w:rsidR="008B65D7" w:rsidRPr="00B1449A">
        <w:rPr>
          <w:rFonts w:ascii="Book Antiqua" w:hAnsi="Book Antiqua"/>
          <w:highlight w:val="yellow"/>
        </w:rPr>
        <w:t>www.Meta-Analysis.com</w:t>
      </w:r>
    </w:p>
    <w:bookmarkEnd w:id="41"/>
    <w:bookmarkEnd w:id="42"/>
    <w:p w14:paraId="61F1B945"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11 </w:t>
      </w:r>
      <w:r w:rsidRPr="00ED01BB">
        <w:rPr>
          <w:rFonts w:ascii="Book Antiqua" w:hAnsi="Book Antiqua"/>
          <w:b/>
          <w:bCs/>
        </w:rPr>
        <w:t>Alloway RR</w:t>
      </w:r>
      <w:r w:rsidRPr="00ED01BB">
        <w:rPr>
          <w:rFonts w:ascii="Book Antiqua" w:hAnsi="Book Antiqua"/>
        </w:rPr>
        <w:t xml:space="preserve">, </w:t>
      </w:r>
      <w:proofErr w:type="spellStart"/>
      <w:r w:rsidRPr="00ED01BB">
        <w:rPr>
          <w:rFonts w:ascii="Book Antiqua" w:hAnsi="Book Antiqua"/>
        </w:rPr>
        <w:t>Eckhoff</w:t>
      </w:r>
      <w:proofErr w:type="spellEnd"/>
      <w:r w:rsidRPr="00ED01BB">
        <w:rPr>
          <w:rFonts w:ascii="Book Antiqua" w:hAnsi="Book Antiqua"/>
        </w:rPr>
        <w:t xml:space="preserve"> DE, Washburn WK, </w:t>
      </w:r>
      <w:proofErr w:type="spellStart"/>
      <w:r w:rsidRPr="00ED01BB">
        <w:rPr>
          <w:rFonts w:ascii="Book Antiqua" w:hAnsi="Book Antiqua"/>
        </w:rPr>
        <w:t>Teperman</w:t>
      </w:r>
      <w:proofErr w:type="spellEnd"/>
      <w:r w:rsidRPr="00ED01BB">
        <w:rPr>
          <w:rFonts w:ascii="Book Antiqua" w:hAnsi="Book Antiqua"/>
        </w:rPr>
        <w:t xml:space="preserve"> LW. Conversion from twice daily tacrolimus capsules to once daily extended-release tacrolimus (LCP-</w:t>
      </w:r>
      <w:proofErr w:type="spellStart"/>
      <w:r w:rsidRPr="00ED01BB">
        <w:rPr>
          <w:rFonts w:ascii="Book Antiqua" w:hAnsi="Book Antiqua"/>
        </w:rPr>
        <w:lastRenderedPageBreak/>
        <w:t>Tacro</w:t>
      </w:r>
      <w:proofErr w:type="spellEnd"/>
      <w:r w:rsidRPr="00ED01BB">
        <w:rPr>
          <w:rFonts w:ascii="Book Antiqua" w:hAnsi="Book Antiqua"/>
        </w:rPr>
        <w:t xml:space="preserve">): phase 2 trial of stable liver transplant recipients. </w:t>
      </w:r>
      <w:r w:rsidRPr="00ED01BB">
        <w:rPr>
          <w:rFonts w:ascii="Book Antiqua" w:hAnsi="Book Antiqua"/>
          <w:i/>
          <w:iCs/>
        </w:rPr>
        <w:t xml:space="preserve">Liver </w:t>
      </w:r>
      <w:proofErr w:type="spellStart"/>
      <w:r w:rsidRPr="00ED01BB">
        <w:rPr>
          <w:rFonts w:ascii="Book Antiqua" w:hAnsi="Book Antiqua"/>
          <w:i/>
          <w:iCs/>
        </w:rPr>
        <w:t>Transpl</w:t>
      </w:r>
      <w:proofErr w:type="spellEnd"/>
      <w:r w:rsidRPr="00ED01BB">
        <w:rPr>
          <w:rFonts w:ascii="Book Antiqua" w:hAnsi="Book Antiqua"/>
        </w:rPr>
        <w:t xml:space="preserve"> 2014; </w:t>
      </w:r>
      <w:r w:rsidRPr="00ED01BB">
        <w:rPr>
          <w:rFonts w:ascii="Book Antiqua" w:hAnsi="Book Antiqua"/>
          <w:b/>
          <w:bCs/>
        </w:rPr>
        <w:t>20</w:t>
      </w:r>
      <w:r w:rsidRPr="00ED01BB">
        <w:rPr>
          <w:rFonts w:ascii="Book Antiqua" w:hAnsi="Book Antiqua"/>
        </w:rPr>
        <w:t>: 564-575 [PMID: 24493215 DOI: 10.1002/lt.23844]</w:t>
      </w:r>
    </w:p>
    <w:p w14:paraId="115D83BB"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12 </w:t>
      </w:r>
      <w:proofErr w:type="spellStart"/>
      <w:r w:rsidRPr="00ED01BB">
        <w:rPr>
          <w:rFonts w:ascii="Book Antiqua" w:hAnsi="Book Antiqua"/>
          <w:b/>
          <w:bCs/>
        </w:rPr>
        <w:t>DuBay</w:t>
      </w:r>
      <w:proofErr w:type="spellEnd"/>
      <w:r w:rsidRPr="00ED01BB">
        <w:rPr>
          <w:rFonts w:ascii="Book Antiqua" w:hAnsi="Book Antiqua"/>
          <w:b/>
          <w:bCs/>
        </w:rPr>
        <w:t xml:space="preserve"> DA</w:t>
      </w:r>
      <w:r w:rsidRPr="00ED01BB">
        <w:rPr>
          <w:rFonts w:ascii="Book Antiqua" w:hAnsi="Book Antiqua"/>
        </w:rPr>
        <w:t xml:space="preserve">, </w:t>
      </w:r>
      <w:proofErr w:type="spellStart"/>
      <w:r w:rsidRPr="00ED01BB">
        <w:rPr>
          <w:rFonts w:ascii="Book Antiqua" w:hAnsi="Book Antiqua"/>
        </w:rPr>
        <w:t>Teperman</w:t>
      </w:r>
      <w:proofErr w:type="spellEnd"/>
      <w:r w:rsidRPr="00ED01BB">
        <w:rPr>
          <w:rFonts w:ascii="Book Antiqua" w:hAnsi="Book Antiqua"/>
        </w:rPr>
        <w:t xml:space="preserve"> L, Ueda K, Silverman A, Chapman W, </w:t>
      </w:r>
      <w:proofErr w:type="spellStart"/>
      <w:r w:rsidRPr="00ED01BB">
        <w:rPr>
          <w:rFonts w:ascii="Book Antiqua" w:hAnsi="Book Antiqua"/>
        </w:rPr>
        <w:t>Alsina</w:t>
      </w:r>
      <w:proofErr w:type="spellEnd"/>
      <w:r w:rsidRPr="00ED01BB">
        <w:rPr>
          <w:rFonts w:ascii="Book Antiqua" w:hAnsi="Book Antiqua"/>
        </w:rPr>
        <w:t xml:space="preserve"> AE, Tyler C, Stevens DR. Pharmacokinetics of Once-Daily Extended-Release Tacrolimus Tablets Versus Twice-Daily Capsules in De Novo Liver Transplant. </w:t>
      </w:r>
      <w:r w:rsidRPr="00ED01BB">
        <w:rPr>
          <w:rFonts w:ascii="Book Antiqua" w:hAnsi="Book Antiqua"/>
          <w:i/>
          <w:iCs/>
        </w:rPr>
        <w:t xml:space="preserve">Clin </w:t>
      </w:r>
      <w:proofErr w:type="spellStart"/>
      <w:r w:rsidRPr="00ED01BB">
        <w:rPr>
          <w:rFonts w:ascii="Book Antiqua" w:hAnsi="Book Antiqua"/>
          <w:i/>
          <w:iCs/>
        </w:rPr>
        <w:t>Pharmacol</w:t>
      </w:r>
      <w:proofErr w:type="spellEnd"/>
      <w:r w:rsidRPr="00ED01BB">
        <w:rPr>
          <w:rFonts w:ascii="Book Antiqua" w:hAnsi="Book Antiqua"/>
          <w:i/>
          <w:iCs/>
        </w:rPr>
        <w:t xml:space="preserve"> Drug Dev</w:t>
      </w:r>
      <w:r w:rsidRPr="00ED01BB">
        <w:rPr>
          <w:rFonts w:ascii="Book Antiqua" w:hAnsi="Book Antiqua"/>
        </w:rPr>
        <w:t xml:space="preserve"> 2019; </w:t>
      </w:r>
      <w:r w:rsidRPr="00ED01BB">
        <w:rPr>
          <w:rFonts w:ascii="Book Antiqua" w:hAnsi="Book Antiqua"/>
          <w:b/>
          <w:bCs/>
        </w:rPr>
        <w:t>8</w:t>
      </w:r>
      <w:r w:rsidRPr="00ED01BB">
        <w:rPr>
          <w:rFonts w:ascii="Book Antiqua" w:hAnsi="Book Antiqua"/>
        </w:rPr>
        <w:t>: 995-1008 [PMID: 30667591 DOI: 10.1002/cpdd.657]</w:t>
      </w:r>
    </w:p>
    <w:p w14:paraId="4B93537B"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13 </w:t>
      </w:r>
      <w:r w:rsidRPr="00ED01BB">
        <w:rPr>
          <w:rFonts w:ascii="Book Antiqua" w:hAnsi="Book Antiqua"/>
          <w:b/>
          <w:bCs/>
        </w:rPr>
        <w:t>Kim JM</w:t>
      </w:r>
      <w:r w:rsidRPr="00ED01BB">
        <w:rPr>
          <w:rFonts w:ascii="Book Antiqua" w:hAnsi="Book Antiqua"/>
        </w:rPr>
        <w:t xml:space="preserve">, Kwon CH, Joh JW, Sinn DH, Lee S, Choi GS, Lee SK. Conversion of once-daily extended-release tacrolimus is safe in stable liver transplant recipients: A randomized prospective study. </w:t>
      </w:r>
      <w:r w:rsidRPr="00ED01BB">
        <w:rPr>
          <w:rFonts w:ascii="Book Antiqua" w:hAnsi="Book Antiqua"/>
          <w:i/>
          <w:iCs/>
        </w:rPr>
        <w:t xml:space="preserve">Liver </w:t>
      </w:r>
      <w:proofErr w:type="spellStart"/>
      <w:r w:rsidRPr="00ED01BB">
        <w:rPr>
          <w:rFonts w:ascii="Book Antiqua" w:hAnsi="Book Antiqua"/>
          <w:i/>
          <w:iCs/>
        </w:rPr>
        <w:t>Transpl</w:t>
      </w:r>
      <w:proofErr w:type="spellEnd"/>
      <w:r w:rsidRPr="00ED01BB">
        <w:rPr>
          <w:rFonts w:ascii="Book Antiqua" w:hAnsi="Book Antiqua"/>
        </w:rPr>
        <w:t xml:space="preserve"> 2016; </w:t>
      </w:r>
      <w:r w:rsidRPr="00ED01BB">
        <w:rPr>
          <w:rFonts w:ascii="Book Antiqua" w:hAnsi="Book Antiqua"/>
          <w:b/>
          <w:bCs/>
        </w:rPr>
        <w:t>22</w:t>
      </w:r>
      <w:r w:rsidRPr="00ED01BB">
        <w:rPr>
          <w:rFonts w:ascii="Book Antiqua" w:hAnsi="Book Antiqua"/>
        </w:rPr>
        <w:t>: 209-216 [PMID: 26360125 DOI: 10.1002/lt.24336]</w:t>
      </w:r>
    </w:p>
    <w:p w14:paraId="6DF67883"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14 </w:t>
      </w:r>
      <w:proofErr w:type="spellStart"/>
      <w:r w:rsidRPr="00ED01BB">
        <w:rPr>
          <w:rFonts w:ascii="Book Antiqua" w:hAnsi="Book Antiqua"/>
          <w:b/>
          <w:bCs/>
        </w:rPr>
        <w:t>Sańko-Resmer</w:t>
      </w:r>
      <w:proofErr w:type="spellEnd"/>
      <w:r w:rsidRPr="00ED01BB">
        <w:rPr>
          <w:rFonts w:ascii="Book Antiqua" w:hAnsi="Book Antiqua"/>
          <w:b/>
          <w:bCs/>
        </w:rPr>
        <w:t xml:space="preserve"> J</w:t>
      </w:r>
      <w:r w:rsidRPr="00ED01BB">
        <w:rPr>
          <w:rFonts w:ascii="Book Antiqua" w:hAnsi="Book Antiqua"/>
        </w:rPr>
        <w:t xml:space="preserve">, </w:t>
      </w:r>
      <w:proofErr w:type="spellStart"/>
      <w:r w:rsidRPr="00ED01BB">
        <w:rPr>
          <w:rFonts w:ascii="Book Antiqua" w:hAnsi="Book Antiqua"/>
        </w:rPr>
        <w:t>Boillot</w:t>
      </w:r>
      <w:proofErr w:type="spellEnd"/>
      <w:r w:rsidRPr="00ED01BB">
        <w:rPr>
          <w:rFonts w:ascii="Book Antiqua" w:hAnsi="Book Antiqua"/>
        </w:rPr>
        <w:t xml:space="preserve"> O, Wolf P, Thorburn D. Renal function, efficacy and safety </w:t>
      </w:r>
      <w:proofErr w:type="spellStart"/>
      <w:r w:rsidRPr="00ED01BB">
        <w:rPr>
          <w:rFonts w:ascii="Book Antiqua" w:hAnsi="Book Antiqua"/>
        </w:rPr>
        <w:t>postconversion</w:t>
      </w:r>
      <w:proofErr w:type="spellEnd"/>
      <w:r w:rsidRPr="00ED01BB">
        <w:rPr>
          <w:rFonts w:ascii="Book Antiqua" w:hAnsi="Book Antiqua"/>
        </w:rPr>
        <w:t xml:space="preserve"> from twice- to once-daily tacrolimus in stable liver recipients: an open-label multicenter study. </w:t>
      </w:r>
      <w:proofErr w:type="spellStart"/>
      <w:r w:rsidRPr="00ED01BB">
        <w:rPr>
          <w:rFonts w:ascii="Book Antiqua" w:hAnsi="Book Antiqua"/>
          <w:i/>
          <w:iCs/>
        </w:rPr>
        <w:t>Transpl</w:t>
      </w:r>
      <w:proofErr w:type="spellEnd"/>
      <w:r w:rsidRPr="00ED01BB">
        <w:rPr>
          <w:rFonts w:ascii="Book Antiqua" w:hAnsi="Book Antiqua"/>
          <w:i/>
          <w:iCs/>
        </w:rPr>
        <w:t xml:space="preserve"> Int</w:t>
      </w:r>
      <w:r w:rsidRPr="00ED01BB">
        <w:rPr>
          <w:rFonts w:ascii="Book Antiqua" w:hAnsi="Book Antiqua"/>
        </w:rPr>
        <w:t xml:space="preserve"> 2012; </w:t>
      </w:r>
      <w:r w:rsidRPr="00ED01BB">
        <w:rPr>
          <w:rFonts w:ascii="Book Antiqua" w:hAnsi="Book Antiqua"/>
          <w:b/>
          <w:bCs/>
        </w:rPr>
        <w:t>25</w:t>
      </w:r>
      <w:r w:rsidRPr="00ED01BB">
        <w:rPr>
          <w:rFonts w:ascii="Book Antiqua" w:hAnsi="Book Antiqua"/>
        </w:rPr>
        <w:t>: 283-293 [PMID: 22239105 DOI: 10.1111/j.1432-2277.2011.01412.x]</w:t>
      </w:r>
    </w:p>
    <w:p w14:paraId="237A29D6"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15 </w:t>
      </w:r>
      <w:proofErr w:type="spellStart"/>
      <w:r w:rsidRPr="00ED01BB">
        <w:rPr>
          <w:rFonts w:ascii="Book Antiqua" w:hAnsi="Book Antiqua"/>
          <w:b/>
          <w:bCs/>
        </w:rPr>
        <w:t>Trunečka</w:t>
      </w:r>
      <w:proofErr w:type="spellEnd"/>
      <w:r w:rsidRPr="00ED01BB">
        <w:rPr>
          <w:rFonts w:ascii="Book Antiqua" w:hAnsi="Book Antiqua"/>
          <w:b/>
          <w:bCs/>
        </w:rPr>
        <w:t xml:space="preserve"> P</w:t>
      </w:r>
      <w:r w:rsidRPr="00ED01BB">
        <w:rPr>
          <w:rFonts w:ascii="Book Antiqua" w:hAnsi="Book Antiqua"/>
        </w:rPr>
        <w:t xml:space="preserve">, </w:t>
      </w:r>
      <w:proofErr w:type="spellStart"/>
      <w:r w:rsidRPr="00ED01BB">
        <w:rPr>
          <w:rFonts w:ascii="Book Antiqua" w:hAnsi="Book Antiqua"/>
        </w:rPr>
        <w:t>Boillot</w:t>
      </w:r>
      <w:proofErr w:type="spellEnd"/>
      <w:r w:rsidRPr="00ED01BB">
        <w:rPr>
          <w:rFonts w:ascii="Book Antiqua" w:hAnsi="Book Antiqua"/>
        </w:rPr>
        <w:t xml:space="preserve"> O, Seehofer D, Pinna AD, Fischer L, </w:t>
      </w:r>
      <w:proofErr w:type="spellStart"/>
      <w:r w:rsidRPr="00ED01BB">
        <w:rPr>
          <w:rFonts w:ascii="Book Antiqua" w:hAnsi="Book Antiqua"/>
        </w:rPr>
        <w:t>Ericzon</w:t>
      </w:r>
      <w:proofErr w:type="spellEnd"/>
      <w:r w:rsidRPr="00ED01BB">
        <w:rPr>
          <w:rFonts w:ascii="Book Antiqua" w:hAnsi="Book Antiqua"/>
        </w:rPr>
        <w:t xml:space="preserve"> BG, </w:t>
      </w:r>
      <w:proofErr w:type="spellStart"/>
      <w:r w:rsidRPr="00ED01BB">
        <w:rPr>
          <w:rFonts w:ascii="Book Antiqua" w:hAnsi="Book Antiqua"/>
        </w:rPr>
        <w:t>Troisi</w:t>
      </w:r>
      <w:proofErr w:type="spellEnd"/>
      <w:r w:rsidRPr="00ED01BB">
        <w:rPr>
          <w:rFonts w:ascii="Book Antiqua" w:hAnsi="Book Antiqua"/>
        </w:rPr>
        <w:t xml:space="preserve"> RI, </w:t>
      </w:r>
      <w:proofErr w:type="spellStart"/>
      <w:r w:rsidRPr="00ED01BB">
        <w:rPr>
          <w:rFonts w:ascii="Book Antiqua" w:hAnsi="Book Antiqua"/>
        </w:rPr>
        <w:t>Baccarani</w:t>
      </w:r>
      <w:proofErr w:type="spellEnd"/>
      <w:r w:rsidRPr="00ED01BB">
        <w:rPr>
          <w:rFonts w:ascii="Book Antiqua" w:hAnsi="Book Antiqua"/>
        </w:rPr>
        <w:t xml:space="preserve"> U, Ortiz de Urbina J, Wall W; Tacrolimus Prolonged Release Liver Study Group. Once-daily prolonged-release tacrolimus (ADVAGRAF) versus twice-daily tacrolimus (PROGRAF) in liver transplantation. </w:t>
      </w:r>
      <w:r w:rsidRPr="00ED01BB">
        <w:rPr>
          <w:rFonts w:ascii="Book Antiqua" w:hAnsi="Book Antiqua"/>
          <w:i/>
          <w:iCs/>
        </w:rPr>
        <w:t>Am J Transplant</w:t>
      </w:r>
      <w:r w:rsidRPr="00ED01BB">
        <w:rPr>
          <w:rFonts w:ascii="Book Antiqua" w:hAnsi="Book Antiqua"/>
        </w:rPr>
        <w:t xml:space="preserve"> 2010; </w:t>
      </w:r>
      <w:r w:rsidRPr="00ED01BB">
        <w:rPr>
          <w:rFonts w:ascii="Book Antiqua" w:hAnsi="Book Antiqua"/>
          <w:b/>
          <w:bCs/>
        </w:rPr>
        <w:t>10</w:t>
      </w:r>
      <w:r w:rsidRPr="00ED01BB">
        <w:rPr>
          <w:rFonts w:ascii="Book Antiqua" w:hAnsi="Book Antiqua"/>
        </w:rPr>
        <w:t>: 2313-2323 [PMID: 20840481 DOI: 10.1111/j.1600-6143.2010.03255.x]</w:t>
      </w:r>
    </w:p>
    <w:p w14:paraId="20A3AE1E"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16 </w:t>
      </w:r>
      <w:r w:rsidRPr="00ED01BB">
        <w:rPr>
          <w:rFonts w:ascii="Book Antiqua" w:hAnsi="Book Antiqua"/>
          <w:b/>
          <w:bCs/>
        </w:rPr>
        <w:t>Fischer L</w:t>
      </w:r>
      <w:r w:rsidRPr="00ED01BB">
        <w:rPr>
          <w:rFonts w:ascii="Book Antiqua" w:hAnsi="Book Antiqua"/>
        </w:rPr>
        <w:t xml:space="preserve">, </w:t>
      </w:r>
      <w:proofErr w:type="spellStart"/>
      <w:r w:rsidRPr="00ED01BB">
        <w:rPr>
          <w:rFonts w:ascii="Book Antiqua" w:hAnsi="Book Antiqua"/>
        </w:rPr>
        <w:t>Trunečka</w:t>
      </w:r>
      <w:proofErr w:type="spellEnd"/>
      <w:r w:rsidRPr="00ED01BB">
        <w:rPr>
          <w:rFonts w:ascii="Book Antiqua" w:hAnsi="Book Antiqua"/>
        </w:rPr>
        <w:t xml:space="preserve"> P, </w:t>
      </w:r>
      <w:proofErr w:type="spellStart"/>
      <w:r w:rsidRPr="00ED01BB">
        <w:rPr>
          <w:rFonts w:ascii="Book Antiqua" w:hAnsi="Book Antiqua"/>
        </w:rPr>
        <w:t>Gridelli</w:t>
      </w:r>
      <w:proofErr w:type="spellEnd"/>
      <w:r w:rsidRPr="00ED01BB">
        <w:rPr>
          <w:rFonts w:ascii="Book Antiqua" w:hAnsi="Book Antiqua"/>
        </w:rPr>
        <w:t xml:space="preserve"> B, Roy A, Vitale A, </w:t>
      </w:r>
      <w:proofErr w:type="spellStart"/>
      <w:r w:rsidRPr="00ED01BB">
        <w:rPr>
          <w:rFonts w:ascii="Book Antiqua" w:hAnsi="Book Antiqua"/>
        </w:rPr>
        <w:t>Valdivieso</w:t>
      </w:r>
      <w:proofErr w:type="spellEnd"/>
      <w:r w:rsidRPr="00ED01BB">
        <w:rPr>
          <w:rFonts w:ascii="Book Antiqua" w:hAnsi="Book Antiqua"/>
        </w:rPr>
        <w:t xml:space="preserve"> A, Varo E, Seehofer D, Lynch S, Samuel D, </w:t>
      </w:r>
      <w:proofErr w:type="spellStart"/>
      <w:r w:rsidRPr="00ED01BB">
        <w:rPr>
          <w:rFonts w:ascii="Book Antiqua" w:hAnsi="Book Antiqua"/>
        </w:rPr>
        <w:t>Ericzon</w:t>
      </w:r>
      <w:proofErr w:type="spellEnd"/>
      <w:r w:rsidRPr="00ED01BB">
        <w:rPr>
          <w:rFonts w:ascii="Book Antiqua" w:hAnsi="Book Antiqua"/>
        </w:rPr>
        <w:t xml:space="preserve"> BG, </w:t>
      </w:r>
      <w:proofErr w:type="spellStart"/>
      <w:r w:rsidRPr="00ED01BB">
        <w:rPr>
          <w:rFonts w:ascii="Book Antiqua" w:hAnsi="Book Antiqua"/>
        </w:rPr>
        <w:t>Boudjema</w:t>
      </w:r>
      <w:proofErr w:type="spellEnd"/>
      <w:r w:rsidRPr="00ED01BB">
        <w:rPr>
          <w:rFonts w:ascii="Book Antiqua" w:hAnsi="Book Antiqua"/>
        </w:rPr>
        <w:t xml:space="preserve"> K, </w:t>
      </w:r>
      <w:proofErr w:type="spellStart"/>
      <w:r w:rsidRPr="00ED01BB">
        <w:rPr>
          <w:rFonts w:ascii="Book Antiqua" w:hAnsi="Book Antiqua"/>
        </w:rPr>
        <w:t>Karpf</w:t>
      </w:r>
      <w:proofErr w:type="spellEnd"/>
      <w:r w:rsidRPr="00ED01BB">
        <w:rPr>
          <w:rFonts w:ascii="Book Antiqua" w:hAnsi="Book Antiqua"/>
        </w:rPr>
        <w:t xml:space="preserve"> C, </w:t>
      </w:r>
      <w:proofErr w:type="spellStart"/>
      <w:r w:rsidRPr="00ED01BB">
        <w:rPr>
          <w:rFonts w:ascii="Book Antiqua" w:hAnsi="Book Antiqua"/>
        </w:rPr>
        <w:t>Undre</w:t>
      </w:r>
      <w:proofErr w:type="spellEnd"/>
      <w:r w:rsidRPr="00ED01BB">
        <w:rPr>
          <w:rFonts w:ascii="Book Antiqua" w:hAnsi="Book Antiqua"/>
        </w:rPr>
        <w:t xml:space="preserve"> N. Pharmacokinetics for once-daily versus twice-daily tacrolimus formulations in de novo liver transplantation: a randomized, open-label trial. </w:t>
      </w:r>
      <w:r w:rsidRPr="00ED01BB">
        <w:rPr>
          <w:rFonts w:ascii="Book Antiqua" w:hAnsi="Book Antiqua"/>
          <w:i/>
          <w:iCs/>
        </w:rPr>
        <w:t xml:space="preserve">Liver </w:t>
      </w:r>
      <w:proofErr w:type="spellStart"/>
      <w:r w:rsidRPr="00ED01BB">
        <w:rPr>
          <w:rFonts w:ascii="Book Antiqua" w:hAnsi="Book Antiqua"/>
          <w:i/>
          <w:iCs/>
        </w:rPr>
        <w:t>Transpl</w:t>
      </w:r>
      <w:proofErr w:type="spellEnd"/>
      <w:r w:rsidRPr="00ED01BB">
        <w:rPr>
          <w:rFonts w:ascii="Book Antiqua" w:hAnsi="Book Antiqua"/>
        </w:rPr>
        <w:t xml:space="preserve"> 2011; </w:t>
      </w:r>
      <w:r w:rsidRPr="00ED01BB">
        <w:rPr>
          <w:rFonts w:ascii="Book Antiqua" w:hAnsi="Book Antiqua"/>
          <w:b/>
          <w:bCs/>
        </w:rPr>
        <w:t>17</w:t>
      </w:r>
      <w:r w:rsidRPr="00ED01BB">
        <w:rPr>
          <w:rFonts w:ascii="Book Antiqua" w:hAnsi="Book Antiqua"/>
        </w:rPr>
        <w:t>: 167-177 [PMID: 21280190 DOI: 10.1002/lt.22211]</w:t>
      </w:r>
    </w:p>
    <w:p w14:paraId="425B714A"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17 </w:t>
      </w:r>
      <w:r w:rsidRPr="00ED01BB">
        <w:rPr>
          <w:rFonts w:ascii="Book Antiqua" w:hAnsi="Book Antiqua"/>
          <w:b/>
          <w:bCs/>
        </w:rPr>
        <w:t>Shin MH</w:t>
      </w:r>
      <w:r w:rsidRPr="00ED01BB">
        <w:rPr>
          <w:rFonts w:ascii="Book Antiqua" w:hAnsi="Book Antiqua"/>
        </w:rPr>
        <w:t xml:space="preserve">, Song GW, Lee SG, Hwang S, Kim KH, </w:t>
      </w:r>
      <w:proofErr w:type="spellStart"/>
      <w:r w:rsidRPr="00ED01BB">
        <w:rPr>
          <w:rFonts w:ascii="Book Antiqua" w:hAnsi="Book Antiqua"/>
        </w:rPr>
        <w:t>Ahn</w:t>
      </w:r>
      <w:proofErr w:type="spellEnd"/>
      <w:r w:rsidRPr="00ED01BB">
        <w:rPr>
          <w:rFonts w:ascii="Book Antiqua" w:hAnsi="Book Antiqua"/>
        </w:rPr>
        <w:t xml:space="preserve"> CS, Moon DB, Ha TY, Jung DH, Park GC, Yun YI, Kim WJ, Kang WH, Kim SH, Jiang H, Lee S, </w:t>
      </w:r>
      <w:proofErr w:type="spellStart"/>
      <w:r w:rsidRPr="00ED01BB">
        <w:rPr>
          <w:rFonts w:ascii="Book Antiqua" w:hAnsi="Book Antiqua"/>
        </w:rPr>
        <w:t>Tak</w:t>
      </w:r>
      <w:proofErr w:type="spellEnd"/>
      <w:r w:rsidRPr="00ED01BB">
        <w:rPr>
          <w:rFonts w:ascii="Book Antiqua" w:hAnsi="Book Antiqua"/>
        </w:rPr>
        <w:t xml:space="preserve"> EY. Once-daily, prolonged-release tacrolimus vs twice-daily, immediate-release tacrolimus in de novo living-donor liver transplantation: A Phase 4, randomized, open-label, comparative, single-center study. </w:t>
      </w:r>
      <w:r w:rsidRPr="00ED01BB">
        <w:rPr>
          <w:rFonts w:ascii="Book Antiqua" w:hAnsi="Book Antiqua"/>
          <w:i/>
          <w:iCs/>
        </w:rPr>
        <w:t>Clin Transplant</w:t>
      </w:r>
      <w:r w:rsidRPr="00ED01BB">
        <w:rPr>
          <w:rFonts w:ascii="Book Antiqua" w:hAnsi="Book Antiqua"/>
        </w:rPr>
        <w:t xml:space="preserve"> 2018; </w:t>
      </w:r>
      <w:r w:rsidRPr="00ED01BB">
        <w:rPr>
          <w:rFonts w:ascii="Book Antiqua" w:hAnsi="Book Antiqua"/>
          <w:b/>
          <w:bCs/>
        </w:rPr>
        <w:t>32</w:t>
      </w:r>
      <w:r w:rsidRPr="00ED01BB">
        <w:rPr>
          <w:rFonts w:ascii="Book Antiqua" w:hAnsi="Book Antiqua"/>
        </w:rPr>
        <w:t>: e13376 [PMID: 30098071 DOI: 10.1111/ctr.13376]</w:t>
      </w:r>
    </w:p>
    <w:p w14:paraId="49160D28"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lastRenderedPageBreak/>
        <w:t xml:space="preserve">18 </w:t>
      </w:r>
      <w:proofErr w:type="spellStart"/>
      <w:r w:rsidRPr="00ED01BB">
        <w:rPr>
          <w:rFonts w:ascii="Book Antiqua" w:hAnsi="Book Antiqua"/>
          <w:b/>
          <w:bCs/>
        </w:rPr>
        <w:t>Beckebaum</w:t>
      </w:r>
      <w:proofErr w:type="spellEnd"/>
      <w:r w:rsidRPr="00ED01BB">
        <w:rPr>
          <w:rFonts w:ascii="Book Antiqua" w:hAnsi="Book Antiqua"/>
          <w:b/>
          <w:bCs/>
        </w:rPr>
        <w:t xml:space="preserve"> S</w:t>
      </w:r>
      <w:r w:rsidRPr="00ED01BB">
        <w:rPr>
          <w:rFonts w:ascii="Book Antiqua" w:hAnsi="Book Antiqua"/>
        </w:rPr>
        <w:t xml:space="preserve">, </w:t>
      </w:r>
      <w:proofErr w:type="spellStart"/>
      <w:r w:rsidRPr="00ED01BB">
        <w:rPr>
          <w:rFonts w:ascii="Book Antiqua" w:hAnsi="Book Antiqua"/>
        </w:rPr>
        <w:t>Iacob</w:t>
      </w:r>
      <w:proofErr w:type="spellEnd"/>
      <w:r w:rsidRPr="00ED01BB">
        <w:rPr>
          <w:rFonts w:ascii="Book Antiqua" w:hAnsi="Book Antiqua"/>
        </w:rPr>
        <w:t xml:space="preserve"> S, </w:t>
      </w:r>
      <w:proofErr w:type="spellStart"/>
      <w:r w:rsidRPr="00ED01BB">
        <w:rPr>
          <w:rFonts w:ascii="Book Antiqua" w:hAnsi="Book Antiqua"/>
        </w:rPr>
        <w:t>Sweid</w:t>
      </w:r>
      <w:proofErr w:type="spellEnd"/>
      <w:r w:rsidRPr="00ED01BB">
        <w:rPr>
          <w:rFonts w:ascii="Book Antiqua" w:hAnsi="Book Antiqua"/>
        </w:rPr>
        <w:t xml:space="preserve"> D, Sotiropoulos GC, Saner F, Kaiser G, Radtke A, Klein CG, </w:t>
      </w:r>
      <w:proofErr w:type="spellStart"/>
      <w:r w:rsidRPr="00ED01BB">
        <w:rPr>
          <w:rFonts w:ascii="Book Antiqua" w:hAnsi="Book Antiqua"/>
        </w:rPr>
        <w:t>Erim</w:t>
      </w:r>
      <w:proofErr w:type="spellEnd"/>
      <w:r w:rsidRPr="00ED01BB">
        <w:rPr>
          <w:rFonts w:ascii="Book Antiqua" w:hAnsi="Book Antiqua"/>
        </w:rPr>
        <w:t xml:space="preserve"> Y, de </w:t>
      </w:r>
      <w:proofErr w:type="spellStart"/>
      <w:r w:rsidRPr="00ED01BB">
        <w:rPr>
          <w:rFonts w:ascii="Book Antiqua" w:hAnsi="Book Antiqua"/>
        </w:rPr>
        <w:t>Geest</w:t>
      </w:r>
      <w:proofErr w:type="spellEnd"/>
      <w:r w:rsidRPr="00ED01BB">
        <w:rPr>
          <w:rFonts w:ascii="Book Antiqua" w:hAnsi="Book Antiqua"/>
        </w:rPr>
        <w:t xml:space="preserve"> S, Paul A, </w:t>
      </w:r>
      <w:proofErr w:type="spellStart"/>
      <w:r w:rsidRPr="00ED01BB">
        <w:rPr>
          <w:rFonts w:ascii="Book Antiqua" w:hAnsi="Book Antiqua"/>
        </w:rPr>
        <w:t>Gerken</w:t>
      </w:r>
      <w:proofErr w:type="spellEnd"/>
      <w:r w:rsidRPr="00ED01BB">
        <w:rPr>
          <w:rFonts w:ascii="Book Antiqua" w:hAnsi="Book Antiqua"/>
        </w:rPr>
        <w:t xml:space="preserve"> G, </w:t>
      </w:r>
      <w:proofErr w:type="spellStart"/>
      <w:r w:rsidRPr="00ED01BB">
        <w:rPr>
          <w:rFonts w:ascii="Book Antiqua" w:hAnsi="Book Antiqua"/>
        </w:rPr>
        <w:t>Cicinnati</w:t>
      </w:r>
      <w:proofErr w:type="spellEnd"/>
      <w:r w:rsidRPr="00ED01BB">
        <w:rPr>
          <w:rFonts w:ascii="Book Antiqua" w:hAnsi="Book Antiqua"/>
        </w:rPr>
        <w:t xml:space="preserve"> VR. Efficacy, safety, and immunosuppressant adherence in stable liver transplant patients converted from a twice-daily tacrolimus-based regimen to once-daily tacrolimus extended-release formulation. </w:t>
      </w:r>
      <w:proofErr w:type="spellStart"/>
      <w:r w:rsidRPr="00ED01BB">
        <w:rPr>
          <w:rFonts w:ascii="Book Antiqua" w:hAnsi="Book Antiqua"/>
          <w:i/>
          <w:iCs/>
        </w:rPr>
        <w:t>Transpl</w:t>
      </w:r>
      <w:proofErr w:type="spellEnd"/>
      <w:r w:rsidRPr="00ED01BB">
        <w:rPr>
          <w:rFonts w:ascii="Book Antiqua" w:hAnsi="Book Antiqua"/>
          <w:i/>
          <w:iCs/>
        </w:rPr>
        <w:t xml:space="preserve"> Int</w:t>
      </w:r>
      <w:r w:rsidRPr="00ED01BB">
        <w:rPr>
          <w:rFonts w:ascii="Book Antiqua" w:hAnsi="Book Antiqua"/>
        </w:rPr>
        <w:t xml:space="preserve"> 2011; </w:t>
      </w:r>
      <w:r w:rsidRPr="00ED01BB">
        <w:rPr>
          <w:rFonts w:ascii="Book Antiqua" w:hAnsi="Book Antiqua"/>
          <w:b/>
          <w:bCs/>
        </w:rPr>
        <w:t>24</w:t>
      </w:r>
      <w:r w:rsidRPr="00ED01BB">
        <w:rPr>
          <w:rFonts w:ascii="Book Antiqua" w:hAnsi="Book Antiqua"/>
        </w:rPr>
        <w:t>: 666-675 [PMID: 21466596 DOI: 10.1111/j.1432-2277.2011.01254.x]</w:t>
      </w:r>
    </w:p>
    <w:p w14:paraId="6E03993C"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19 </w:t>
      </w:r>
      <w:r w:rsidRPr="00ED01BB">
        <w:rPr>
          <w:rFonts w:ascii="Book Antiqua" w:hAnsi="Book Antiqua"/>
          <w:b/>
          <w:bCs/>
        </w:rPr>
        <w:t>Kim SH</w:t>
      </w:r>
      <w:r w:rsidRPr="00ED01BB">
        <w:rPr>
          <w:rFonts w:ascii="Book Antiqua" w:hAnsi="Book Antiqua"/>
        </w:rPr>
        <w:t xml:space="preserve">, Lee SD, Kim YK, Park SJ. Conversion of twice-daily to once-daily tacrolimus is safe in stable adult living donor liver transplant recipients. </w:t>
      </w:r>
      <w:r w:rsidRPr="00ED01BB">
        <w:rPr>
          <w:rFonts w:ascii="Book Antiqua" w:hAnsi="Book Antiqua"/>
          <w:i/>
          <w:iCs/>
        </w:rPr>
        <w:t xml:space="preserve">Hepatobiliary </w:t>
      </w:r>
      <w:proofErr w:type="spellStart"/>
      <w:r w:rsidRPr="00ED01BB">
        <w:rPr>
          <w:rFonts w:ascii="Book Antiqua" w:hAnsi="Book Antiqua"/>
          <w:i/>
          <w:iCs/>
        </w:rPr>
        <w:t>Pancreat</w:t>
      </w:r>
      <w:proofErr w:type="spellEnd"/>
      <w:r w:rsidRPr="00ED01BB">
        <w:rPr>
          <w:rFonts w:ascii="Book Antiqua" w:hAnsi="Book Antiqua"/>
          <w:i/>
          <w:iCs/>
        </w:rPr>
        <w:t xml:space="preserve"> Dis Int</w:t>
      </w:r>
      <w:r w:rsidRPr="00ED01BB">
        <w:rPr>
          <w:rFonts w:ascii="Book Antiqua" w:hAnsi="Book Antiqua"/>
        </w:rPr>
        <w:t xml:space="preserve"> 2015; </w:t>
      </w:r>
      <w:r w:rsidRPr="00ED01BB">
        <w:rPr>
          <w:rFonts w:ascii="Book Antiqua" w:hAnsi="Book Antiqua"/>
          <w:b/>
          <w:bCs/>
        </w:rPr>
        <w:t>14</w:t>
      </w:r>
      <w:r w:rsidRPr="00ED01BB">
        <w:rPr>
          <w:rFonts w:ascii="Book Antiqua" w:hAnsi="Book Antiqua"/>
        </w:rPr>
        <w:t>: 374-379 [PMID: 26256081 DOI: 10.1016/s1499-3872(15)60378-2]</w:t>
      </w:r>
    </w:p>
    <w:p w14:paraId="1B1A8D9B"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20 </w:t>
      </w:r>
      <w:proofErr w:type="spellStart"/>
      <w:r w:rsidRPr="00ED01BB">
        <w:rPr>
          <w:rFonts w:ascii="Book Antiqua" w:hAnsi="Book Antiqua"/>
          <w:b/>
          <w:bCs/>
        </w:rPr>
        <w:t>Muduma</w:t>
      </w:r>
      <w:proofErr w:type="spellEnd"/>
      <w:r w:rsidRPr="00ED01BB">
        <w:rPr>
          <w:rFonts w:ascii="Book Antiqua" w:hAnsi="Book Antiqua"/>
          <w:b/>
          <w:bCs/>
        </w:rPr>
        <w:t xml:space="preserve"> G</w:t>
      </w:r>
      <w:r w:rsidRPr="00ED01BB">
        <w:rPr>
          <w:rFonts w:ascii="Book Antiqua" w:hAnsi="Book Antiqua"/>
        </w:rPr>
        <w:t xml:space="preserve">, </w:t>
      </w:r>
      <w:proofErr w:type="spellStart"/>
      <w:r w:rsidRPr="00ED01BB">
        <w:rPr>
          <w:rFonts w:ascii="Book Antiqua" w:hAnsi="Book Antiqua"/>
        </w:rPr>
        <w:t>Odeyemi</w:t>
      </w:r>
      <w:proofErr w:type="spellEnd"/>
      <w:r w:rsidRPr="00ED01BB">
        <w:rPr>
          <w:rFonts w:ascii="Book Antiqua" w:hAnsi="Book Antiqua"/>
        </w:rPr>
        <w:t xml:space="preserve"> I, Pollock RF. Evaluating the Cost-Effectiveness of Prolonged-Release Tacrolimus Relative to Immediate-Release Tacrolimus in Liver Transplant Patients Based on Data from Routine Clinical Practice. </w:t>
      </w:r>
      <w:r w:rsidRPr="00ED01BB">
        <w:rPr>
          <w:rFonts w:ascii="Book Antiqua" w:hAnsi="Book Antiqua"/>
          <w:i/>
          <w:iCs/>
        </w:rPr>
        <w:t>Drugs Real World Outcomes</w:t>
      </w:r>
      <w:r w:rsidRPr="00ED01BB">
        <w:rPr>
          <w:rFonts w:ascii="Book Antiqua" w:hAnsi="Book Antiqua"/>
        </w:rPr>
        <w:t xml:space="preserve"> 2016; </w:t>
      </w:r>
      <w:r w:rsidRPr="00ED01BB">
        <w:rPr>
          <w:rFonts w:ascii="Book Antiqua" w:hAnsi="Book Antiqua"/>
          <w:b/>
          <w:bCs/>
        </w:rPr>
        <w:t>3</w:t>
      </w:r>
      <w:r w:rsidRPr="00ED01BB">
        <w:rPr>
          <w:rFonts w:ascii="Book Antiqua" w:hAnsi="Book Antiqua"/>
        </w:rPr>
        <w:t>: 61-68 [PMID: 27747802 DOI: 10.1016/j.jval.2015.09.2205]</w:t>
      </w:r>
    </w:p>
    <w:p w14:paraId="64B7420E"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21 </w:t>
      </w:r>
      <w:proofErr w:type="spellStart"/>
      <w:r w:rsidRPr="00ED01BB">
        <w:rPr>
          <w:rFonts w:ascii="Book Antiqua" w:hAnsi="Book Antiqua"/>
          <w:b/>
          <w:bCs/>
        </w:rPr>
        <w:t>Saengram</w:t>
      </w:r>
      <w:proofErr w:type="spellEnd"/>
      <w:r w:rsidRPr="00ED01BB">
        <w:rPr>
          <w:rFonts w:ascii="Book Antiqua" w:hAnsi="Book Antiqua"/>
          <w:b/>
          <w:bCs/>
        </w:rPr>
        <w:t xml:space="preserve"> W</w:t>
      </w:r>
      <w:r w:rsidRPr="00ED01BB">
        <w:rPr>
          <w:rFonts w:ascii="Book Antiqua" w:hAnsi="Book Antiqua"/>
        </w:rPr>
        <w:t xml:space="preserve">, </w:t>
      </w:r>
      <w:proofErr w:type="spellStart"/>
      <w:r w:rsidRPr="00ED01BB">
        <w:rPr>
          <w:rFonts w:ascii="Book Antiqua" w:hAnsi="Book Antiqua"/>
        </w:rPr>
        <w:t>Vadcharavivad</w:t>
      </w:r>
      <w:proofErr w:type="spellEnd"/>
      <w:r w:rsidRPr="00ED01BB">
        <w:rPr>
          <w:rFonts w:ascii="Book Antiqua" w:hAnsi="Book Antiqua"/>
        </w:rPr>
        <w:t xml:space="preserve"> S, </w:t>
      </w:r>
      <w:proofErr w:type="spellStart"/>
      <w:r w:rsidRPr="00ED01BB">
        <w:rPr>
          <w:rFonts w:ascii="Book Antiqua" w:hAnsi="Book Antiqua"/>
        </w:rPr>
        <w:t>Poolsup</w:t>
      </w:r>
      <w:proofErr w:type="spellEnd"/>
      <w:r w:rsidRPr="00ED01BB">
        <w:rPr>
          <w:rFonts w:ascii="Book Antiqua" w:hAnsi="Book Antiqua"/>
        </w:rPr>
        <w:t xml:space="preserve"> N, </w:t>
      </w:r>
      <w:proofErr w:type="spellStart"/>
      <w:r w:rsidRPr="00ED01BB">
        <w:rPr>
          <w:rFonts w:ascii="Book Antiqua" w:hAnsi="Book Antiqua"/>
        </w:rPr>
        <w:t>Chancharoenthana</w:t>
      </w:r>
      <w:proofErr w:type="spellEnd"/>
      <w:r w:rsidRPr="00ED01BB">
        <w:rPr>
          <w:rFonts w:ascii="Book Antiqua" w:hAnsi="Book Antiqua"/>
        </w:rPr>
        <w:t xml:space="preserve"> W. Extended release versus immediate release tacrolimus in kidney transplant recipients: a systematic review and meta-analysis. </w:t>
      </w:r>
      <w:r w:rsidRPr="00ED01BB">
        <w:rPr>
          <w:rFonts w:ascii="Book Antiqua" w:hAnsi="Book Antiqua"/>
          <w:i/>
          <w:iCs/>
        </w:rPr>
        <w:t xml:space="preserve">Eur J Clin </w:t>
      </w:r>
      <w:proofErr w:type="spellStart"/>
      <w:r w:rsidRPr="00ED01BB">
        <w:rPr>
          <w:rFonts w:ascii="Book Antiqua" w:hAnsi="Book Antiqua"/>
          <w:i/>
          <w:iCs/>
        </w:rPr>
        <w:t>Pharmacol</w:t>
      </w:r>
      <w:proofErr w:type="spellEnd"/>
      <w:r w:rsidRPr="00ED01BB">
        <w:rPr>
          <w:rFonts w:ascii="Book Antiqua" w:hAnsi="Book Antiqua"/>
        </w:rPr>
        <w:t xml:space="preserve"> 2018; </w:t>
      </w:r>
      <w:r w:rsidRPr="00ED01BB">
        <w:rPr>
          <w:rFonts w:ascii="Book Antiqua" w:hAnsi="Book Antiqua"/>
          <w:b/>
          <w:bCs/>
        </w:rPr>
        <w:t>74</w:t>
      </w:r>
      <w:r w:rsidRPr="00ED01BB">
        <w:rPr>
          <w:rFonts w:ascii="Book Antiqua" w:hAnsi="Book Antiqua"/>
        </w:rPr>
        <w:t>: 1249-1260 [PMID: 29961086 DOI: 10.1007/s00228-018-2512-7]</w:t>
      </w:r>
    </w:p>
    <w:p w14:paraId="656E0F9D"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22 </w:t>
      </w:r>
      <w:r w:rsidRPr="00ED01BB">
        <w:rPr>
          <w:rFonts w:ascii="Book Antiqua" w:hAnsi="Book Antiqua"/>
          <w:b/>
          <w:bCs/>
        </w:rPr>
        <w:t>Huang B</w:t>
      </w:r>
      <w:r w:rsidRPr="00ED01BB">
        <w:rPr>
          <w:rFonts w:ascii="Book Antiqua" w:hAnsi="Book Antiqua"/>
        </w:rPr>
        <w:t xml:space="preserve">, Liu J, Li J, Schroder PM, Chen M, Deng R, Deng S. Once-daily prolonged-release tacrolimus versus twice-daily tacrolimus in liver transplantation. </w:t>
      </w:r>
      <w:r w:rsidRPr="00ED01BB">
        <w:rPr>
          <w:rFonts w:ascii="Book Antiqua" w:hAnsi="Book Antiqua"/>
          <w:i/>
          <w:iCs/>
        </w:rPr>
        <w:t>J Am Pharm Assoc (2003)</w:t>
      </w:r>
      <w:r w:rsidRPr="00ED01BB">
        <w:rPr>
          <w:rFonts w:ascii="Book Antiqua" w:hAnsi="Book Antiqua"/>
        </w:rPr>
        <w:t xml:space="preserve"> 2019; </w:t>
      </w:r>
      <w:r w:rsidRPr="00ED01BB">
        <w:rPr>
          <w:rFonts w:ascii="Book Antiqua" w:hAnsi="Book Antiqua"/>
          <w:b/>
          <w:bCs/>
        </w:rPr>
        <w:t>59</w:t>
      </w:r>
      <w:r w:rsidRPr="00ED01BB">
        <w:rPr>
          <w:rFonts w:ascii="Book Antiqua" w:hAnsi="Book Antiqua"/>
        </w:rPr>
        <w:t>: 816-823.e2 [PMID: 31521585 DOI: 10.1016/j.japh.2019.08.002]</w:t>
      </w:r>
    </w:p>
    <w:p w14:paraId="4A59F5E4"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23 </w:t>
      </w:r>
      <w:r w:rsidRPr="00ED01BB">
        <w:rPr>
          <w:rFonts w:ascii="Book Antiqua" w:hAnsi="Book Antiqua"/>
          <w:b/>
          <w:bCs/>
        </w:rPr>
        <w:t>Riva N</w:t>
      </w:r>
      <w:r w:rsidRPr="00ED01BB">
        <w:rPr>
          <w:rFonts w:ascii="Book Antiqua" w:hAnsi="Book Antiqua"/>
        </w:rPr>
        <w:t xml:space="preserve">, Dip M, </w:t>
      </w:r>
      <w:proofErr w:type="spellStart"/>
      <w:r w:rsidRPr="00ED01BB">
        <w:rPr>
          <w:rFonts w:ascii="Book Antiqua" w:hAnsi="Book Antiqua"/>
        </w:rPr>
        <w:t>Halac</w:t>
      </w:r>
      <w:proofErr w:type="spellEnd"/>
      <w:r w:rsidRPr="00ED01BB">
        <w:rPr>
          <w:rFonts w:ascii="Book Antiqua" w:hAnsi="Book Antiqua"/>
        </w:rPr>
        <w:t xml:space="preserve"> E, </w:t>
      </w:r>
      <w:proofErr w:type="spellStart"/>
      <w:r w:rsidRPr="00ED01BB">
        <w:rPr>
          <w:rFonts w:ascii="Book Antiqua" w:hAnsi="Book Antiqua"/>
        </w:rPr>
        <w:t>Cáceres</w:t>
      </w:r>
      <w:proofErr w:type="spellEnd"/>
      <w:r w:rsidRPr="00ED01BB">
        <w:rPr>
          <w:rFonts w:ascii="Book Antiqua" w:hAnsi="Book Antiqua"/>
        </w:rPr>
        <w:t xml:space="preserve"> Guido P, </w:t>
      </w:r>
      <w:proofErr w:type="spellStart"/>
      <w:r w:rsidRPr="00ED01BB">
        <w:rPr>
          <w:rFonts w:ascii="Book Antiqua" w:hAnsi="Book Antiqua"/>
        </w:rPr>
        <w:t>Woillard</w:t>
      </w:r>
      <w:proofErr w:type="spellEnd"/>
      <w:r w:rsidRPr="00ED01BB">
        <w:rPr>
          <w:rFonts w:ascii="Book Antiqua" w:hAnsi="Book Antiqua"/>
        </w:rPr>
        <w:t xml:space="preserve"> JB, </w:t>
      </w:r>
      <w:proofErr w:type="spellStart"/>
      <w:r w:rsidRPr="00ED01BB">
        <w:rPr>
          <w:rFonts w:ascii="Book Antiqua" w:hAnsi="Book Antiqua"/>
        </w:rPr>
        <w:t>Licciardone</w:t>
      </w:r>
      <w:proofErr w:type="spellEnd"/>
      <w:r w:rsidRPr="00ED01BB">
        <w:rPr>
          <w:rFonts w:ascii="Book Antiqua" w:hAnsi="Book Antiqua"/>
        </w:rPr>
        <w:t xml:space="preserve"> N, Chan D, </w:t>
      </w:r>
      <w:proofErr w:type="spellStart"/>
      <w:r w:rsidRPr="00ED01BB">
        <w:rPr>
          <w:rFonts w:ascii="Book Antiqua" w:hAnsi="Book Antiqua"/>
        </w:rPr>
        <w:t>Buendía</w:t>
      </w:r>
      <w:proofErr w:type="spellEnd"/>
      <w:r w:rsidRPr="00ED01BB">
        <w:rPr>
          <w:rFonts w:ascii="Book Antiqua" w:hAnsi="Book Antiqua"/>
        </w:rPr>
        <w:t xml:space="preserve"> J, </w:t>
      </w:r>
      <w:proofErr w:type="spellStart"/>
      <w:r w:rsidRPr="00ED01BB">
        <w:rPr>
          <w:rFonts w:ascii="Book Antiqua" w:hAnsi="Book Antiqua"/>
        </w:rPr>
        <w:t>Borgnia</w:t>
      </w:r>
      <w:proofErr w:type="spellEnd"/>
      <w:r w:rsidRPr="00ED01BB">
        <w:rPr>
          <w:rFonts w:ascii="Book Antiqua" w:hAnsi="Book Antiqua"/>
        </w:rPr>
        <w:t xml:space="preserve"> D, </w:t>
      </w:r>
      <w:proofErr w:type="spellStart"/>
      <w:r w:rsidRPr="00ED01BB">
        <w:rPr>
          <w:rFonts w:ascii="Book Antiqua" w:hAnsi="Book Antiqua"/>
        </w:rPr>
        <w:t>Bosaleh</w:t>
      </w:r>
      <w:proofErr w:type="spellEnd"/>
      <w:r w:rsidRPr="00ED01BB">
        <w:rPr>
          <w:rFonts w:ascii="Book Antiqua" w:hAnsi="Book Antiqua"/>
        </w:rPr>
        <w:t xml:space="preserve"> A, de Davila MT, </w:t>
      </w:r>
      <w:proofErr w:type="spellStart"/>
      <w:r w:rsidRPr="00ED01BB">
        <w:rPr>
          <w:rFonts w:ascii="Book Antiqua" w:hAnsi="Book Antiqua"/>
        </w:rPr>
        <w:t>Imventarza</w:t>
      </w:r>
      <w:proofErr w:type="spellEnd"/>
      <w:r w:rsidRPr="00ED01BB">
        <w:rPr>
          <w:rFonts w:ascii="Book Antiqua" w:hAnsi="Book Antiqua"/>
        </w:rPr>
        <w:t xml:space="preserve"> O, </w:t>
      </w:r>
      <w:proofErr w:type="spellStart"/>
      <w:r w:rsidRPr="00ED01BB">
        <w:rPr>
          <w:rFonts w:ascii="Book Antiqua" w:hAnsi="Book Antiqua"/>
        </w:rPr>
        <w:t>Schaiquevich</w:t>
      </w:r>
      <w:proofErr w:type="spellEnd"/>
      <w:r w:rsidRPr="00ED01BB">
        <w:rPr>
          <w:rFonts w:ascii="Book Antiqua" w:hAnsi="Book Antiqua"/>
        </w:rPr>
        <w:t xml:space="preserve"> P. Survival Time to Biopsy-Proven Acute Rejection and Tacrolimus Adverse Drug Reactions in Pediatric Liver Transplantation. </w:t>
      </w:r>
      <w:proofErr w:type="spellStart"/>
      <w:r w:rsidRPr="00ED01BB">
        <w:rPr>
          <w:rFonts w:ascii="Book Antiqua" w:hAnsi="Book Antiqua"/>
          <w:i/>
          <w:iCs/>
        </w:rPr>
        <w:t>Ther</w:t>
      </w:r>
      <w:proofErr w:type="spellEnd"/>
      <w:r w:rsidRPr="00ED01BB">
        <w:rPr>
          <w:rFonts w:ascii="Book Antiqua" w:hAnsi="Book Antiqua"/>
          <w:i/>
          <w:iCs/>
        </w:rPr>
        <w:t xml:space="preserve"> Drug </w:t>
      </w:r>
      <w:proofErr w:type="spellStart"/>
      <w:r w:rsidRPr="00ED01BB">
        <w:rPr>
          <w:rFonts w:ascii="Book Antiqua" w:hAnsi="Book Antiqua"/>
          <w:i/>
          <w:iCs/>
        </w:rPr>
        <w:t>Monit</w:t>
      </w:r>
      <w:proofErr w:type="spellEnd"/>
      <w:r w:rsidRPr="00ED01BB">
        <w:rPr>
          <w:rFonts w:ascii="Book Antiqua" w:hAnsi="Book Antiqua"/>
        </w:rPr>
        <w:t xml:space="preserve"> 2018; </w:t>
      </w:r>
      <w:r w:rsidRPr="00ED01BB">
        <w:rPr>
          <w:rFonts w:ascii="Book Antiqua" w:hAnsi="Book Antiqua"/>
          <w:b/>
          <w:bCs/>
        </w:rPr>
        <w:t>40</w:t>
      </w:r>
      <w:r w:rsidRPr="00ED01BB">
        <w:rPr>
          <w:rFonts w:ascii="Book Antiqua" w:hAnsi="Book Antiqua"/>
        </w:rPr>
        <w:t>: 401-410 [PMID: 29621122 DOI: 10.1097/FTD.0000000000000517]</w:t>
      </w:r>
    </w:p>
    <w:p w14:paraId="783B0F54" w14:textId="77777777" w:rsidR="00ED01BB" w:rsidRPr="00ED01BB" w:rsidRDefault="00ED01BB" w:rsidP="00ED01BB">
      <w:pPr>
        <w:adjustRightInd w:val="0"/>
        <w:spacing w:line="360" w:lineRule="auto"/>
        <w:jc w:val="both"/>
        <w:rPr>
          <w:rFonts w:ascii="Book Antiqua" w:hAnsi="Book Antiqua"/>
        </w:rPr>
      </w:pPr>
      <w:r w:rsidRPr="00ED01BB">
        <w:rPr>
          <w:rFonts w:ascii="Book Antiqua" w:hAnsi="Book Antiqua"/>
        </w:rPr>
        <w:t xml:space="preserve">24 </w:t>
      </w:r>
      <w:r w:rsidRPr="00ED01BB">
        <w:rPr>
          <w:rFonts w:ascii="Book Antiqua" w:hAnsi="Book Antiqua"/>
          <w:b/>
          <w:bCs/>
        </w:rPr>
        <w:t>Adam R</w:t>
      </w:r>
      <w:r w:rsidRPr="00ED01BB">
        <w:rPr>
          <w:rFonts w:ascii="Book Antiqua" w:hAnsi="Book Antiqua"/>
        </w:rPr>
        <w:t xml:space="preserve">, Karam V, </w:t>
      </w:r>
      <w:proofErr w:type="spellStart"/>
      <w:r w:rsidRPr="00ED01BB">
        <w:rPr>
          <w:rFonts w:ascii="Book Antiqua" w:hAnsi="Book Antiqua"/>
        </w:rPr>
        <w:t>Cailliez</w:t>
      </w:r>
      <w:proofErr w:type="spellEnd"/>
      <w:r w:rsidRPr="00ED01BB">
        <w:rPr>
          <w:rFonts w:ascii="Book Antiqua" w:hAnsi="Book Antiqua"/>
        </w:rPr>
        <w:t xml:space="preserve"> V, </w:t>
      </w:r>
      <w:proofErr w:type="spellStart"/>
      <w:r w:rsidRPr="00ED01BB">
        <w:rPr>
          <w:rFonts w:ascii="Book Antiqua" w:hAnsi="Book Antiqua"/>
        </w:rPr>
        <w:t>Trunečka</w:t>
      </w:r>
      <w:proofErr w:type="spellEnd"/>
      <w:r w:rsidRPr="00ED01BB">
        <w:rPr>
          <w:rFonts w:ascii="Book Antiqua" w:hAnsi="Book Antiqua"/>
        </w:rPr>
        <w:t xml:space="preserve"> P, Samuel D, </w:t>
      </w:r>
      <w:proofErr w:type="spellStart"/>
      <w:r w:rsidRPr="00ED01BB">
        <w:rPr>
          <w:rFonts w:ascii="Book Antiqua" w:hAnsi="Book Antiqua"/>
        </w:rPr>
        <w:t>Tisone</w:t>
      </w:r>
      <w:proofErr w:type="spellEnd"/>
      <w:r w:rsidRPr="00ED01BB">
        <w:rPr>
          <w:rFonts w:ascii="Book Antiqua" w:hAnsi="Book Antiqua"/>
        </w:rPr>
        <w:t xml:space="preserve"> G, </w:t>
      </w:r>
      <w:proofErr w:type="spellStart"/>
      <w:r w:rsidRPr="00ED01BB">
        <w:rPr>
          <w:rFonts w:ascii="Book Antiqua" w:hAnsi="Book Antiqua"/>
        </w:rPr>
        <w:t>Němec</w:t>
      </w:r>
      <w:proofErr w:type="spellEnd"/>
      <w:r w:rsidRPr="00ED01BB">
        <w:rPr>
          <w:rFonts w:ascii="Book Antiqua" w:hAnsi="Book Antiqua"/>
        </w:rPr>
        <w:t xml:space="preserve"> P, </w:t>
      </w:r>
      <w:proofErr w:type="spellStart"/>
      <w:r w:rsidRPr="00ED01BB">
        <w:rPr>
          <w:rFonts w:ascii="Book Antiqua" w:hAnsi="Book Antiqua"/>
        </w:rPr>
        <w:t>Soubrane</w:t>
      </w:r>
      <w:proofErr w:type="spellEnd"/>
      <w:r w:rsidRPr="00ED01BB">
        <w:rPr>
          <w:rFonts w:ascii="Book Antiqua" w:hAnsi="Book Antiqua"/>
        </w:rPr>
        <w:t xml:space="preserve"> O, </w:t>
      </w:r>
      <w:proofErr w:type="spellStart"/>
      <w:r w:rsidRPr="00ED01BB">
        <w:rPr>
          <w:rFonts w:ascii="Book Antiqua" w:hAnsi="Book Antiqua"/>
        </w:rPr>
        <w:t>Schneeberger</w:t>
      </w:r>
      <w:proofErr w:type="spellEnd"/>
      <w:r w:rsidRPr="00ED01BB">
        <w:rPr>
          <w:rFonts w:ascii="Book Antiqua" w:hAnsi="Book Antiqua"/>
        </w:rPr>
        <w:t xml:space="preserve"> S, </w:t>
      </w:r>
      <w:proofErr w:type="spellStart"/>
      <w:r w:rsidRPr="00ED01BB">
        <w:rPr>
          <w:rFonts w:ascii="Book Antiqua" w:hAnsi="Book Antiqua"/>
        </w:rPr>
        <w:t>Gridelli</w:t>
      </w:r>
      <w:proofErr w:type="spellEnd"/>
      <w:r w:rsidRPr="00ED01BB">
        <w:rPr>
          <w:rFonts w:ascii="Book Antiqua" w:hAnsi="Book Antiqua"/>
        </w:rPr>
        <w:t xml:space="preserve"> B, </w:t>
      </w:r>
      <w:proofErr w:type="spellStart"/>
      <w:r w:rsidRPr="00ED01BB">
        <w:rPr>
          <w:rFonts w:ascii="Book Antiqua" w:hAnsi="Book Antiqua"/>
        </w:rPr>
        <w:t>Bechstein</w:t>
      </w:r>
      <w:proofErr w:type="spellEnd"/>
      <w:r w:rsidRPr="00ED01BB">
        <w:rPr>
          <w:rFonts w:ascii="Book Antiqua" w:hAnsi="Book Antiqua"/>
        </w:rPr>
        <w:t xml:space="preserve"> WO, </w:t>
      </w:r>
      <w:proofErr w:type="spellStart"/>
      <w:r w:rsidRPr="00ED01BB">
        <w:rPr>
          <w:rFonts w:ascii="Book Antiqua" w:hAnsi="Book Antiqua"/>
        </w:rPr>
        <w:t>Risaliti</w:t>
      </w:r>
      <w:proofErr w:type="spellEnd"/>
      <w:r w:rsidRPr="00ED01BB">
        <w:rPr>
          <w:rFonts w:ascii="Book Antiqua" w:hAnsi="Book Antiqua"/>
        </w:rPr>
        <w:t xml:space="preserve"> A, Line PD, </w:t>
      </w:r>
      <w:proofErr w:type="spellStart"/>
      <w:r w:rsidRPr="00ED01BB">
        <w:rPr>
          <w:rFonts w:ascii="Book Antiqua" w:hAnsi="Book Antiqua"/>
        </w:rPr>
        <w:t>Vivarelli</w:t>
      </w:r>
      <w:proofErr w:type="spellEnd"/>
      <w:r w:rsidRPr="00ED01BB">
        <w:rPr>
          <w:rFonts w:ascii="Book Antiqua" w:hAnsi="Book Antiqua"/>
        </w:rPr>
        <w:t xml:space="preserve"> M, Rossi M, </w:t>
      </w:r>
      <w:proofErr w:type="spellStart"/>
      <w:r w:rsidRPr="00ED01BB">
        <w:rPr>
          <w:rFonts w:ascii="Book Antiqua" w:hAnsi="Book Antiqua"/>
        </w:rPr>
        <w:t>Pirenne</w:t>
      </w:r>
      <w:proofErr w:type="spellEnd"/>
      <w:r w:rsidRPr="00ED01BB">
        <w:rPr>
          <w:rFonts w:ascii="Book Antiqua" w:hAnsi="Book Antiqua"/>
        </w:rPr>
        <w:t xml:space="preserve"> J, </w:t>
      </w:r>
      <w:proofErr w:type="spellStart"/>
      <w:r w:rsidRPr="00ED01BB">
        <w:rPr>
          <w:rFonts w:ascii="Book Antiqua" w:hAnsi="Book Antiqua"/>
        </w:rPr>
        <w:t>Klempnauer</w:t>
      </w:r>
      <w:proofErr w:type="spellEnd"/>
      <w:r w:rsidRPr="00ED01BB">
        <w:rPr>
          <w:rFonts w:ascii="Book Antiqua" w:hAnsi="Book Antiqua"/>
        </w:rPr>
        <w:t xml:space="preserve"> JL, </w:t>
      </w:r>
      <w:proofErr w:type="spellStart"/>
      <w:r w:rsidRPr="00ED01BB">
        <w:rPr>
          <w:rFonts w:ascii="Book Antiqua" w:hAnsi="Book Antiqua"/>
        </w:rPr>
        <w:t>Rummo</w:t>
      </w:r>
      <w:proofErr w:type="spellEnd"/>
      <w:r w:rsidRPr="00ED01BB">
        <w:rPr>
          <w:rFonts w:ascii="Book Antiqua" w:hAnsi="Book Antiqua"/>
        </w:rPr>
        <w:t xml:space="preserve"> A, Di Benedetto F, </w:t>
      </w:r>
      <w:proofErr w:type="spellStart"/>
      <w:r w:rsidRPr="00ED01BB">
        <w:rPr>
          <w:rFonts w:ascii="Book Antiqua" w:hAnsi="Book Antiqua"/>
        </w:rPr>
        <w:lastRenderedPageBreak/>
        <w:t>Zieniewicz</w:t>
      </w:r>
      <w:proofErr w:type="spellEnd"/>
      <w:r w:rsidRPr="00ED01BB">
        <w:rPr>
          <w:rFonts w:ascii="Book Antiqua" w:hAnsi="Book Antiqua"/>
        </w:rPr>
        <w:t xml:space="preserve"> K, </w:t>
      </w:r>
      <w:proofErr w:type="spellStart"/>
      <w:r w:rsidRPr="00ED01BB">
        <w:rPr>
          <w:rFonts w:ascii="Book Antiqua" w:hAnsi="Book Antiqua"/>
        </w:rPr>
        <w:t>Troisi</w:t>
      </w:r>
      <w:proofErr w:type="spellEnd"/>
      <w:r w:rsidRPr="00ED01BB">
        <w:rPr>
          <w:rFonts w:ascii="Book Antiqua" w:hAnsi="Book Antiqua"/>
        </w:rPr>
        <w:t xml:space="preserve"> R, Paul A, Vali T, </w:t>
      </w:r>
      <w:proofErr w:type="spellStart"/>
      <w:r w:rsidRPr="00ED01BB">
        <w:rPr>
          <w:rFonts w:ascii="Book Antiqua" w:hAnsi="Book Antiqua"/>
        </w:rPr>
        <w:t>Kollmar</w:t>
      </w:r>
      <w:proofErr w:type="spellEnd"/>
      <w:r w:rsidRPr="00ED01BB">
        <w:rPr>
          <w:rFonts w:ascii="Book Antiqua" w:hAnsi="Book Antiqua"/>
        </w:rPr>
        <w:t xml:space="preserve"> O, </w:t>
      </w:r>
      <w:proofErr w:type="spellStart"/>
      <w:r w:rsidRPr="00ED01BB">
        <w:rPr>
          <w:rFonts w:ascii="Book Antiqua" w:hAnsi="Book Antiqua"/>
        </w:rPr>
        <w:t>Boudjema</w:t>
      </w:r>
      <w:proofErr w:type="spellEnd"/>
      <w:r w:rsidRPr="00ED01BB">
        <w:rPr>
          <w:rFonts w:ascii="Book Antiqua" w:hAnsi="Book Antiqua"/>
        </w:rPr>
        <w:t xml:space="preserve"> K, </w:t>
      </w:r>
      <w:proofErr w:type="spellStart"/>
      <w:r w:rsidRPr="00ED01BB">
        <w:rPr>
          <w:rFonts w:ascii="Book Antiqua" w:hAnsi="Book Antiqua"/>
        </w:rPr>
        <w:t>Hoti</w:t>
      </w:r>
      <w:proofErr w:type="spellEnd"/>
      <w:r w:rsidRPr="00ED01BB">
        <w:rPr>
          <w:rFonts w:ascii="Book Antiqua" w:hAnsi="Book Antiqua"/>
        </w:rPr>
        <w:t xml:space="preserve"> E, </w:t>
      </w:r>
      <w:proofErr w:type="spellStart"/>
      <w:r w:rsidRPr="00ED01BB">
        <w:rPr>
          <w:rFonts w:ascii="Book Antiqua" w:hAnsi="Book Antiqua"/>
        </w:rPr>
        <w:t>Colledan</w:t>
      </w:r>
      <w:proofErr w:type="spellEnd"/>
      <w:r w:rsidRPr="00ED01BB">
        <w:rPr>
          <w:rFonts w:ascii="Book Antiqua" w:hAnsi="Book Antiqua"/>
        </w:rPr>
        <w:t xml:space="preserve"> M, </w:t>
      </w:r>
      <w:proofErr w:type="spellStart"/>
      <w:r w:rsidRPr="00ED01BB">
        <w:rPr>
          <w:rFonts w:ascii="Book Antiqua" w:hAnsi="Book Antiqua"/>
        </w:rPr>
        <w:t>Pratschke</w:t>
      </w:r>
      <w:proofErr w:type="spellEnd"/>
      <w:r w:rsidRPr="00ED01BB">
        <w:rPr>
          <w:rFonts w:ascii="Book Antiqua" w:hAnsi="Book Antiqua"/>
        </w:rPr>
        <w:t xml:space="preserve"> J, Lang H, Popescu I, </w:t>
      </w:r>
      <w:proofErr w:type="spellStart"/>
      <w:r w:rsidRPr="00ED01BB">
        <w:rPr>
          <w:rFonts w:ascii="Book Antiqua" w:hAnsi="Book Antiqua"/>
        </w:rPr>
        <w:t>Ericzon</w:t>
      </w:r>
      <w:proofErr w:type="spellEnd"/>
      <w:r w:rsidRPr="00ED01BB">
        <w:rPr>
          <w:rFonts w:ascii="Book Antiqua" w:hAnsi="Book Antiqua"/>
        </w:rPr>
        <w:t xml:space="preserve"> BG, </w:t>
      </w:r>
      <w:proofErr w:type="spellStart"/>
      <w:r w:rsidRPr="00ED01BB">
        <w:rPr>
          <w:rFonts w:ascii="Book Antiqua" w:hAnsi="Book Antiqua"/>
        </w:rPr>
        <w:t>Strupas</w:t>
      </w:r>
      <w:proofErr w:type="spellEnd"/>
      <w:r w:rsidRPr="00ED01BB">
        <w:rPr>
          <w:rFonts w:ascii="Book Antiqua" w:hAnsi="Book Antiqua"/>
        </w:rPr>
        <w:t xml:space="preserve"> K, De Simone P, </w:t>
      </w:r>
      <w:proofErr w:type="spellStart"/>
      <w:r w:rsidRPr="00ED01BB">
        <w:rPr>
          <w:rFonts w:ascii="Book Antiqua" w:hAnsi="Book Antiqua"/>
        </w:rPr>
        <w:t>Kochs</w:t>
      </w:r>
      <w:proofErr w:type="spellEnd"/>
      <w:r w:rsidRPr="00ED01BB">
        <w:rPr>
          <w:rFonts w:ascii="Book Antiqua" w:hAnsi="Book Antiqua"/>
        </w:rPr>
        <w:t xml:space="preserve"> E, </w:t>
      </w:r>
      <w:proofErr w:type="spellStart"/>
      <w:r w:rsidRPr="00ED01BB">
        <w:rPr>
          <w:rFonts w:ascii="Book Antiqua" w:hAnsi="Book Antiqua"/>
        </w:rPr>
        <w:t>Heyd</w:t>
      </w:r>
      <w:proofErr w:type="spellEnd"/>
      <w:r w:rsidRPr="00ED01BB">
        <w:rPr>
          <w:rFonts w:ascii="Book Antiqua" w:hAnsi="Book Antiqua"/>
        </w:rPr>
        <w:t xml:space="preserve"> B, </w:t>
      </w:r>
      <w:proofErr w:type="spellStart"/>
      <w:r w:rsidRPr="00ED01BB">
        <w:rPr>
          <w:rFonts w:ascii="Book Antiqua" w:hAnsi="Book Antiqua"/>
        </w:rPr>
        <w:t>Gugenheim</w:t>
      </w:r>
      <w:proofErr w:type="spellEnd"/>
      <w:r w:rsidRPr="00ED01BB">
        <w:rPr>
          <w:rFonts w:ascii="Book Antiqua" w:hAnsi="Book Antiqua"/>
        </w:rPr>
        <w:t xml:space="preserve"> J, Pinna AD, Bennet W, </w:t>
      </w:r>
      <w:proofErr w:type="spellStart"/>
      <w:r w:rsidRPr="00ED01BB">
        <w:rPr>
          <w:rFonts w:ascii="Book Antiqua" w:hAnsi="Book Antiqua"/>
        </w:rPr>
        <w:t>Kazimi</w:t>
      </w:r>
      <w:proofErr w:type="spellEnd"/>
      <w:r w:rsidRPr="00ED01BB">
        <w:rPr>
          <w:rFonts w:ascii="Book Antiqua" w:hAnsi="Book Antiqua"/>
        </w:rPr>
        <w:t xml:space="preserve"> M, </w:t>
      </w:r>
      <w:proofErr w:type="spellStart"/>
      <w:r w:rsidRPr="00ED01BB">
        <w:rPr>
          <w:rFonts w:ascii="Book Antiqua" w:hAnsi="Book Antiqua"/>
        </w:rPr>
        <w:t>Bachellier</w:t>
      </w:r>
      <w:proofErr w:type="spellEnd"/>
      <w:r w:rsidRPr="00ED01BB">
        <w:rPr>
          <w:rFonts w:ascii="Book Antiqua" w:hAnsi="Book Antiqua"/>
        </w:rPr>
        <w:t xml:space="preserve"> P, </w:t>
      </w:r>
      <w:proofErr w:type="spellStart"/>
      <w:r w:rsidRPr="00ED01BB">
        <w:rPr>
          <w:rFonts w:ascii="Book Antiqua" w:hAnsi="Book Antiqua"/>
        </w:rPr>
        <w:t>Wigmore</w:t>
      </w:r>
      <w:proofErr w:type="spellEnd"/>
      <w:r w:rsidRPr="00ED01BB">
        <w:rPr>
          <w:rFonts w:ascii="Book Antiqua" w:hAnsi="Book Antiqua"/>
        </w:rPr>
        <w:t xml:space="preserve"> SJ, Rasmussen A, </w:t>
      </w:r>
      <w:proofErr w:type="spellStart"/>
      <w:r w:rsidRPr="00ED01BB">
        <w:rPr>
          <w:rFonts w:ascii="Book Antiqua" w:hAnsi="Book Antiqua"/>
        </w:rPr>
        <w:t>Clavien</w:t>
      </w:r>
      <w:proofErr w:type="spellEnd"/>
      <w:r w:rsidRPr="00ED01BB">
        <w:rPr>
          <w:rFonts w:ascii="Book Antiqua" w:hAnsi="Book Antiqua"/>
        </w:rPr>
        <w:t xml:space="preserve"> PA, Hidalgo E, O'Grady JG, Zamboni F, </w:t>
      </w:r>
      <w:proofErr w:type="spellStart"/>
      <w:r w:rsidRPr="00ED01BB">
        <w:rPr>
          <w:rFonts w:ascii="Book Antiqua" w:hAnsi="Book Antiqua"/>
        </w:rPr>
        <w:t>Kilic</w:t>
      </w:r>
      <w:proofErr w:type="spellEnd"/>
      <w:r w:rsidRPr="00ED01BB">
        <w:rPr>
          <w:rFonts w:ascii="Book Antiqua" w:hAnsi="Book Antiqua"/>
        </w:rPr>
        <w:t xml:space="preserve"> M, </w:t>
      </w:r>
      <w:proofErr w:type="spellStart"/>
      <w:r w:rsidRPr="00ED01BB">
        <w:rPr>
          <w:rFonts w:ascii="Book Antiqua" w:hAnsi="Book Antiqua"/>
        </w:rPr>
        <w:t>Duvoux</w:t>
      </w:r>
      <w:proofErr w:type="spellEnd"/>
      <w:r w:rsidRPr="00ED01BB">
        <w:rPr>
          <w:rFonts w:ascii="Book Antiqua" w:hAnsi="Book Antiqua"/>
        </w:rPr>
        <w:t xml:space="preserve"> C; all contributing centers (www.eltr.org) and the European Liver and Intestine Transplant Association (ELITA). Improved Survival in Liver Transplant Patients Receiving Prolonged-release Tacrolimus-based Immunosuppression in the European Liver Transplant Registry (ELTR): An Extension Study. </w:t>
      </w:r>
      <w:r w:rsidRPr="00ED01BB">
        <w:rPr>
          <w:rFonts w:ascii="Book Antiqua" w:hAnsi="Book Antiqua"/>
          <w:i/>
          <w:iCs/>
        </w:rPr>
        <w:t>Transplantation</w:t>
      </w:r>
      <w:r w:rsidRPr="00ED01BB">
        <w:rPr>
          <w:rFonts w:ascii="Book Antiqua" w:hAnsi="Book Antiqua"/>
        </w:rPr>
        <w:t xml:space="preserve"> 2019; </w:t>
      </w:r>
      <w:r w:rsidRPr="00ED01BB">
        <w:rPr>
          <w:rFonts w:ascii="Book Antiqua" w:hAnsi="Book Antiqua"/>
          <w:b/>
          <w:bCs/>
        </w:rPr>
        <w:t>103</w:t>
      </w:r>
      <w:r w:rsidRPr="00ED01BB">
        <w:rPr>
          <w:rFonts w:ascii="Book Antiqua" w:hAnsi="Book Antiqua"/>
        </w:rPr>
        <w:t>: 1844-1862 [PMID: 31343568 DOI: 10.1097/TP.0000000000002700]</w:t>
      </w:r>
    </w:p>
    <w:p w14:paraId="7ED2194E" w14:textId="77777777" w:rsidR="00A77B3E" w:rsidRPr="00ED01BB" w:rsidRDefault="00A77B3E" w:rsidP="00ED01BB">
      <w:pPr>
        <w:adjustRightInd w:val="0"/>
        <w:spacing w:line="360" w:lineRule="auto"/>
        <w:jc w:val="both"/>
        <w:rPr>
          <w:rFonts w:ascii="Book Antiqua" w:hAnsi="Book Antiqua"/>
        </w:rPr>
        <w:sectPr w:rsidR="00A77B3E" w:rsidRPr="00ED01BB" w:rsidSect="00943AB9">
          <w:type w:val="continuous"/>
          <w:pgSz w:w="12240" w:h="15840"/>
          <w:pgMar w:top="1440" w:right="1800" w:bottom="1440" w:left="1800" w:header="720" w:footer="720" w:gutter="0"/>
          <w:cols w:space="720"/>
          <w:docGrid w:linePitch="360"/>
        </w:sectPr>
      </w:pPr>
    </w:p>
    <w:bookmarkEnd w:id="40"/>
    <w:p w14:paraId="5D21C47D" w14:textId="4AB7CA6B" w:rsidR="00A77B3E" w:rsidRPr="00ED01BB" w:rsidRDefault="00943AB9" w:rsidP="00ED01BB">
      <w:pPr>
        <w:adjustRightInd w:val="0"/>
        <w:spacing w:line="360" w:lineRule="auto"/>
        <w:jc w:val="both"/>
        <w:rPr>
          <w:rFonts w:ascii="Book Antiqua" w:hAnsi="Book Antiqua"/>
        </w:rPr>
      </w:pPr>
      <w:r>
        <w:rPr>
          <w:rFonts w:ascii="Book Antiqua" w:eastAsia="Book Antiqua" w:hAnsi="Book Antiqua" w:cs="Book Antiqua"/>
          <w:b/>
          <w:color w:val="000000"/>
        </w:rPr>
        <w:br w:type="page"/>
      </w:r>
      <w:r w:rsidR="00C07E1E" w:rsidRPr="00ED01BB">
        <w:rPr>
          <w:rFonts w:ascii="Book Antiqua" w:eastAsia="Book Antiqua" w:hAnsi="Book Antiqua" w:cs="Book Antiqua"/>
          <w:b/>
          <w:color w:val="000000"/>
        </w:rPr>
        <w:lastRenderedPageBreak/>
        <w:t>Footnotes</w:t>
      </w:r>
    </w:p>
    <w:p w14:paraId="737BDE3A"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Conflict-of-interest statement: </w:t>
      </w:r>
      <w:bookmarkStart w:id="43" w:name="OLE_LINK48"/>
      <w:bookmarkStart w:id="44" w:name="OLE_LINK49"/>
      <w:r w:rsidRPr="00ED01BB">
        <w:rPr>
          <w:rFonts w:ascii="Book Antiqua" w:eastAsia="Book Antiqua" w:hAnsi="Book Antiqua" w:cs="Book Antiqua"/>
          <w:color w:val="000000"/>
        </w:rPr>
        <w:t xml:space="preserve">The authors declare that no financial or any other conflict of interest is associated with this work. </w:t>
      </w:r>
    </w:p>
    <w:bookmarkEnd w:id="43"/>
    <w:bookmarkEnd w:id="44"/>
    <w:p w14:paraId="720949B5" w14:textId="77777777" w:rsidR="00A77B3E" w:rsidRPr="00ED01BB" w:rsidRDefault="00A77B3E" w:rsidP="00ED01BB">
      <w:pPr>
        <w:adjustRightInd w:val="0"/>
        <w:spacing w:line="360" w:lineRule="auto"/>
        <w:jc w:val="both"/>
        <w:rPr>
          <w:rFonts w:ascii="Book Antiqua" w:hAnsi="Book Antiqua"/>
        </w:rPr>
      </w:pPr>
    </w:p>
    <w:p w14:paraId="695DA1A8"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PRISMA 2009 Checklist statement: </w:t>
      </w:r>
      <w:bookmarkStart w:id="45" w:name="OLE_LINK50"/>
      <w:bookmarkStart w:id="46" w:name="OLE_LINK51"/>
      <w:r w:rsidRPr="00ED01BB">
        <w:rPr>
          <w:rFonts w:ascii="Book Antiqua" w:eastAsia="Book Antiqua" w:hAnsi="Book Antiqua" w:cs="Book Antiqua"/>
          <w:color w:val="000000"/>
        </w:rPr>
        <w:t>The guidelines of the PRISMA 2009 statement have been adopted.</w:t>
      </w:r>
    </w:p>
    <w:bookmarkEnd w:id="45"/>
    <w:bookmarkEnd w:id="46"/>
    <w:p w14:paraId="480FA271" w14:textId="77777777" w:rsidR="00A77B3E" w:rsidRPr="00ED01BB" w:rsidRDefault="00A77B3E" w:rsidP="00ED01BB">
      <w:pPr>
        <w:adjustRightInd w:val="0"/>
        <w:spacing w:line="360" w:lineRule="auto"/>
        <w:jc w:val="both"/>
        <w:rPr>
          <w:rFonts w:ascii="Book Antiqua" w:hAnsi="Book Antiqua"/>
        </w:rPr>
      </w:pPr>
    </w:p>
    <w:p w14:paraId="1AD79EE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bCs/>
          <w:color w:val="000000"/>
        </w:rPr>
        <w:t xml:space="preserve">Open-Access: </w:t>
      </w:r>
      <w:r w:rsidRPr="00ED01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01BB">
        <w:rPr>
          <w:rFonts w:ascii="Book Antiqua" w:eastAsia="Book Antiqua" w:hAnsi="Book Antiqua" w:cs="Book Antiqua"/>
          <w:color w:val="000000"/>
        </w:rPr>
        <w:t>NonCommercial</w:t>
      </w:r>
      <w:proofErr w:type="spellEnd"/>
      <w:r w:rsidRPr="00ED01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F87D5A" w14:textId="77777777" w:rsidR="00A77B3E" w:rsidRPr="00ED01BB" w:rsidRDefault="00A77B3E" w:rsidP="00ED01BB">
      <w:pPr>
        <w:adjustRightInd w:val="0"/>
        <w:spacing w:line="360" w:lineRule="auto"/>
        <w:jc w:val="both"/>
        <w:rPr>
          <w:rFonts w:ascii="Book Antiqua" w:hAnsi="Book Antiqua"/>
        </w:rPr>
      </w:pPr>
    </w:p>
    <w:p w14:paraId="43EDD9AF" w14:textId="649FFFD2"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Manuscript source: </w:t>
      </w:r>
      <w:r w:rsidRPr="00ED01BB">
        <w:rPr>
          <w:rFonts w:ascii="Book Antiqua" w:eastAsia="Book Antiqua" w:hAnsi="Book Antiqua" w:cs="Book Antiqua"/>
          <w:color w:val="000000"/>
        </w:rPr>
        <w:t xml:space="preserve">Unsolicited </w:t>
      </w:r>
      <w:r w:rsidR="00C44712" w:rsidRPr="00ED01BB">
        <w:rPr>
          <w:rFonts w:ascii="Book Antiqua" w:eastAsia="Book Antiqua" w:hAnsi="Book Antiqua" w:cs="Book Antiqua"/>
          <w:color w:val="000000"/>
        </w:rPr>
        <w:t>manuscript</w:t>
      </w:r>
    </w:p>
    <w:p w14:paraId="16C4EF4F" w14:textId="77777777" w:rsidR="00A77B3E" w:rsidRPr="00ED01BB" w:rsidRDefault="00A77B3E" w:rsidP="00ED01BB">
      <w:pPr>
        <w:adjustRightInd w:val="0"/>
        <w:spacing w:line="360" w:lineRule="auto"/>
        <w:jc w:val="both"/>
        <w:rPr>
          <w:rFonts w:ascii="Book Antiqua" w:hAnsi="Book Antiqua"/>
        </w:rPr>
      </w:pPr>
    </w:p>
    <w:p w14:paraId="1C1D7049"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Peer-review started: </w:t>
      </w:r>
      <w:r w:rsidRPr="00ED01BB">
        <w:rPr>
          <w:rFonts w:ascii="Book Antiqua" w:eastAsia="Book Antiqua" w:hAnsi="Book Antiqua" w:cs="Book Antiqua"/>
          <w:color w:val="000000"/>
        </w:rPr>
        <w:t>November 5, 2020</w:t>
      </w:r>
    </w:p>
    <w:p w14:paraId="3069580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First decision: </w:t>
      </w:r>
      <w:r w:rsidRPr="00ED01BB">
        <w:rPr>
          <w:rFonts w:ascii="Book Antiqua" w:eastAsia="Book Antiqua" w:hAnsi="Book Antiqua" w:cs="Book Antiqua"/>
          <w:color w:val="000000"/>
        </w:rPr>
        <w:t>November 30, 2020</w:t>
      </w:r>
    </w:p>
    <w:p w14:paraId="54636853"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Article in press: </w:t>
      </w:r>
    </w:p>
    <w:p w14:paraId="04A61930" w14:textId="77777777" w:rsidR="00A77B3E" w:rsidRPr="00ED01BB" w:rsidRDefault="00A77B3E" w:rsidP="00ED01BB">
      <w:pPr>
        <w:adjustRightInd w:val="0"/>
        <w:spacing w:line="360" w:lineRule="auto"/>
        <w:jc w:val="both"/>
        <w:rPr>
          <w:rFonts w:ascii="Book Antiqua" w:hAnsi="Book Antiqua"/>
        </w:rPr>
      </w:pPr>
    </w:p>
    <w:p w14:paraId="73210287" w14:textId="4FCA8801"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Specialty type: </w:t>
      </w:r>
      <w:r w:rsidRPr="00ED01BB">
        <w:rPr>
          <w:rFonts w:ascii="Book Antiqua" w:eastAsia="Book Antiqua" w:hAnsi="Book Antiqua" w:cs="Book Antiqua"/>
          <w:color w:val="000000"/>
        </w:rPr>
        <w:t xml:space="preserve">Gastroenterology and </w:t>
      </w:r>
      <w:r w:rsidR="00943AB9" w:rsidRPr="00ED01BB">
        <w:rPr>
          <w:rFonts w:ascii="Book Antiqua" w:eastAsia="Book Antiqua" w:hAnsi="Book Antiqua" w:cs="Book Antiqua"/>
          <w:color w:val="000000"/>
        </w:rPr>
        <w:t>hepatology</w:t>
      </w:r>
    </w:p>
    <w:p w14:paraId="546AE8CE"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 xml:space="preserve">Country/Territory of origin: </w:t>
      </w:r>
      <w:bookmarkStart w:id="47" w:name="OLE_LINK5"/>
      <w:bookmarkStart w:id="48" w:name="OLE_LINK6"/>
      <w:r w:rsidRPr="00ED01BB">
        <w:rPr>
          <w:rFonts w:ascii="Book Antiqua" w:eastAsia="Book Antiqua" w:hAnsi="Book Antiqua" w:cs="Book Antiqua"/>
          <w:color w:val="000000"/>
        </w:rPr>
        <w:t>Saudi Arabia</w:t>
      </w:r>
      <w:bookmarkEnd w:id="47"/>
      <w:bookmarkEnd w:id="48"/>
    </w:p>
    <w:p w14:paraId="2472191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b/>
          <w:color w:val="000000"/>
        </w:rPr>
        <w:t>Peer-review report’s scientific quality classification</w:t>
      </w:r>
    </w:p>
    <w:p w14:paraId="4839D45C"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A (Excellent): 0</w:t>
      </w:r>
    </w:p>
    <w:p w14:paraId="6D94A60F"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B (Very good): 0</w:t>
      </w:r>
    </w:p>
    <w:p w14:paraId="7AB38914"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C (Good): C</w:t>
      </w:r>
    </w:p>
    <w:p w14:paraId="549EB961"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D (Fair): 0</w:t>
      </w:r>
    </w:p>
    <w:p w14:paraId="683A947B" w14:textId="77777777" w:rsidR="00A77B3E" w:rsidRPr="00ED01BB" w:rsidRDefault="00C07E1E" w:rsidP="00ED01BB">
      <w:pPr>
        <w:adjustRightInd w:val="0"/>
        <w:spacing w:line="360" w:lineRule="auto"/>
        <w:jc w:val="both"/>
        <w:rPr>
          <w:rFonts w:ascii="Book Antiqua" w:hAnsi="Book Antiqua"/>
        </w:rPr>
      </w:pPr>
      <w:r w:rsidRPr="00ED01BB">
        <w:rPr>
          <w:rFonts w:ascii="Book Antiqua" w:eastAsia="Book Antiqua" w:hAnsi="Book Antiqua" w:cs="Book Antiqua"/>
          <w:color w:val="000000"/>
        </w:rPr>
        <w:t>Grade E (Poor): 0</w:t>
      </w:r>
    </w:p>
    <w:p w14:paraId="2A5F0F26" w14:textId="77777777" w:rsidR="00A77B3E" w:rsidRPr="00ED01BB" w:rsidRDefault="00A77B3E" w:rsidP="00ED01BB">
      <w:pPr>
        <w:adjustRightInd w:val="0"/>
        <w:spacing w:line="360" w:lineRule="auto"/>
        <w:jc w:val="both"/>
        <w:rPr>
          <w:rFonts w:ascii="Book Antiqua" w:hAnsi="Book Antiqua"/>
        </w:rPr>
      </w:pPr>
    </w:p>
    <w:p w14:paraId="1BD4DDD4" w14:textId="195F855F" w:rsidR="00A77B3E" w:rsidRDefault="00C07E1E" w:rsidP="00ED01BB">
      <w:pPr>
        <w:adjustRightInd w:val="0"/>
        <w:spacing w:line="360" w:lineRule="auto"/>
        <w:jc w:val="both"/>
        <w:rPr>
          <w:rFonts w:ascii="Book Antiqua" w:eastAsia="Book Antiqua" w:hAnsi="Book Antiqua" w:cs="Book Antiqua"/>
          <w:b/>
          <w:color w:val="000000"/>
        </w:rPr>
      </w:pPr>
      <w:r w:rsidRPr="00ED01BB">
        <w:rPr>
          <w:rFonts w:ascii="Book Antiqua" w:eastAsia="Book Antiqua" w:hAnsi="Book Antiqua" w:cs="Book Antiqua"/>
          <w:b/>
          <w:color w:val="000000"/>
        </w:rPr>
        <w:lastRenderedPageBreak/>
        <w:t xml:space="preserve">P-Reviewer: </w:t>
      </w:r>
      <w:r w:rsidRPr="00ED01BB">
        <w:rPr>
          <w:rFonts w:ascii="Book Antiqua" w:eastAsia="Book Antiqua" w:hAnsi="Book Antiqua" w:cs="Book Antiqua"/>
          <w:color w:val="000000"/>
        </w:rPr>
        <w:t>Khaliq S</w:t>
      </w:r>
      <w:r w:rsidRPr="00ED01BB">
        <w:rPr>
          <w:rFonts w:ascii="Book Antiqua" w:eastAsia="Book Antiqua" w:hAnsi="Book Antiqua" w:cs="Book Antiqua"/>
          <w:b/>
          <w:color w:val="000000"/>
        </w:rPr>
        <w:t xml:space="preserve"> S-Editor: </w:t>
      </w:r>
      <w:r w:rsidRPr="00ED01BB">
        <w:rPr>
          <w:rFonts w:ascii="Book Antiqua" w:eastAsia="Book Antiqua" w:hAnsi="Book Antiqua" w:cs="Book Antiqua"/>
          <w:color w:val="000000"/>
        </w:rPr>
        <w:t>Zhang L</w:t>
      </w:r>
      <w:r w:rsidR="00DA11C3">
        <w:rPr>
          <w:rFonts w:ascii="Book Antiqua" w:eastAsia="Book Antiqua" w:hAnsi="Book Antiqua" w:cs="Book Antiqua"/>
          <w:b/>
          <w:color w:val="000000"/>
        </w:rPr>
        <w:t xml:space="preserve"> L-Editor: </w:t>
      </w:r>
      <w:r w:rsidRPr="00ED01BB">
        <w:rPr>
          <w:rFonts w:ascii="Book Antiqua" w:eastAsia="Book Antiqua" w:hAnsi="Book Antiqua" w:cs="Book Antiqua"/>
          <w:b/>
          <w:color w:val="000000"/>
        </w:rPr>
        <w:t xml:space="preserve">P-Editor: </w:t>
      </w:r>
    </w:p>
    <w:p w14:paraId="38F9E228" w14:textId="77777777" w:rsidR="007D2BAA" w:rsidRPr="00ED01BB" w:rsidRDefault="007D2BAA" w:rsidP="00ED01BB">
      <w:pPr>
        <w:adjustRightInd w:val="0"/>
        <w:spacing w:line="360" w:lineRule="auto"/>
        <w:jc w:val="both"/>
        <w:rPr>
          <w:rFonts w:ascii="Book Antiqua" w:hAnsi="Book Antiqua"/>
        </w:rPr>
        <w:sectPr w:rsidR="007D2BAA" w:rsidRPr="00ED01BB" w:rsidSect="00943AB9">
          <w:type w:val="continuous"/>
          <w:pgSz w:w="12240" w:h="15840"/>
          <w:pgMar w:top="1440" w:right="1800" w:bottom="1440" w:left="1800" w:header="720" w:footer="720" w:gutter="0"/>
          <w:cols w:space="720"/>
          <w:docGrid w:linePitch="360"/>
        </w:sectPr>
      </w:pPr>
    </w:p>
    <w:p w14:paraId="504ECA42" w14:textId="27D05C11" w:rsidR="00A77B3E" w:rsidRPr="00ED01BB" w:rsidRDefault="00943AB9" w:rsidP="00ED01BB">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C07E1E" w:rsidRPr="00ED01BB">
        <w:rPr>
          <w:rFonts w:ascii="Book Antiqua" w:eastAsia="Book Antiqua" w:hAnsi="Book Antiqua" w:cs="Book Antiqua"/>
          <w:b/>
          <w:color w:val="000000"/>
        </w:rPr>
        <w:lastRenderedPageBreak/>
        <w:t>Figure Legends</w:t>
      </w:r>
    </w:p>
    <w:p w14:paraId="09E00CFB" w14:textId="105DB4BA" w:rsidR="00C44712" w:rsidRPr="00ED01BB" w:rsidRDefault="00C44712" w:rsidP="00ED01BB">
      <w:pPr>
        <w:adjustRightInd w:val="0"/>
        <w:spacing w:line="360" w:lineRule="auto"/>
        <w:jc w:val="both"/>
        <w:rPr>
          <w:rFonts w:ascii="Book Antiqua" w:hAnsi="Book Antiqua"/>
        </w:rPr>
      </w:pPr>
      <w:r w:rsidRPr="00ED01BB">
        <w:rPr>
          <w:rFonts w:ascii="Book Antiqua" w:hAnsi="Book Antiqua"/>
          <w:noProof/>
          <w:lang w:eastAsia="zh-CN"/>
        </w:rPr>
        <w:drawing>
          <wp:inline distT="0" distB="0" distL="0" distR="0" wp14:anchorId="75EB0355" wp14:editId="06138AC0">
            <wp:extent cx="4351020" cy="29300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4358912" cy="2935393"/>
                    </a:xfrm>
                    <a:prstGeom prst="rect">
                      <a:avLst/>
                    </a:prstGeom>
                  </pic:spPr>
                </pic:pic>
              </a:graphicData>
            </a:graphic>
          </wp:inline>
        </w:drawing>
      </w:r>
    </w:p>
    <w:p w14:paraId="79B22150" w14:textId="13668EFD" w:rsidR="00A77B3E" w:rsidRPr="00ED01BB" w:rsidRDefault="00C07E1E" w:rsidP="00ED01BB">
      <w:pPr>
        <w:adjustRightInd w:val="0"/>
        <w:spacing w:line="360" w:lineRule="auto"/>
        <w:jc w:val="both"/>
        <w:rPr>
          <w:rFonts w:ascii="Book Antiqua" w:hAnsi="Book Antiqua"/>
          <w:b/>
          <w:bCs/>
        </w:rPr>
      </w:pPr>
      <w:bookmarkStart w:id="49" w:name="OLE_LINK52"/>
      <w:bookmarkStart w:id="50" w:name="OLE_LINK53"/>
      <w:r w:rsidRPr="00ED01BB">
        <w:rPr>
          <w:rFonts w:ascii="Book Antiqua" w:eastAsia="Book Antiqua" w:hAnsi="Book Antiqua" w:cs="Book Antiqua"/>
          <w:b/>
          <w:bCs/>
          <w:color w:val="000000"/>
        </w:rPr>
        <w:t xml:space="preserve">Figure 1 </w:t>
      </w:r>
      <w:r w:rsidR="00427FAF" w:rsidRPr="00427FAF">
        <w:rPr>
          <w:rFonts w:ascii="Book Antiqua" w:eastAsia="Book Antiqua" w:hAnsi="Book Antiqua" w:cs="Book Antiqua"/>
          <w:b/>
          <w:bCs/>
          <w:color w:val="000000"/>
        </w:rPr>
        <w:t>Preferred reporting items for systematic reviews and meta-analyses</w:t>
      </w:r>
      <w:r w:rsidRPr="00ED01BB">
        <w:rPr>
          <w:rFonts w:ascii="Book Antiqua" w:eastAsia="Book Antiqua" w:hAnsi="Book Antiqua" w:cs="Book Antiqua"/>
          <w:b/>
          <w:bCs/>
          <w:color w:val="000000"/>
        </w:rPr>
        <w:t xml:space="preserve"> flow chart.</w:t>
      </w:r>
    </w:p>
    <w:p w14:paraId="27119A4F" w14:textId="13BA0553" w:rsidR="00C44712" w:rsidRPr="00ED01BB" w:rsidRDefault="00C44712"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br w:type="page"/>
      </w:r>
      <w:bookmarkEnd w:id="49"/>
      <w:bookmarkEnd w:id="50"/>
      <w:r w:rsidRPr="00ED01BB">
        <w:rPr>
          <w:rFonts w:ascii="Book Antiqua" w:eastAsia="Book Antiqua" w:hAnsi="Book Antiqua" w:cs="Book Antiqua"/>
          <w:noProof/>
          <w:color w:val="000000"/>
          <w:lang w:eastAsia="zh-CN"/>
        </w:rPr>
        <w:lastRenderedPageBreak/>
        <w:drawing>
          <wp:inline distT="0" distB="0" distL="0" distR="0" wp14:anchorId="626AEB69" wp14:editId="66E2045D">
            <wp:extent cx="5456050" cy="2345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5475203" cy="2353869"/>
                    </a:xfrm>
                    <a:prstGeom prst="rect">
                      <a:avLst/>
                    </a:prstGeom>
                  </pic:spPr>
                </pic:pic>
              </a:graphicData>
            </a:graphic>
          </wp:inline>
        </w:drawing>
      </w:r>
    </w:p>
    <w:p w14:paraId="41B4E403" w14:textId="3FE09DC6" w:rsidR="00A77B3E" w:rsidRPr="00ED01BB" w:rsidRDefault="00C07E1E" w:rsidP="00ED01BB">
      <w:pPr>
        <w:adjustRightInd w:val="0"/>
        <w:spacing w:line="360" w:lineRule="auto"/>
        <w:jc w:val="both"/>
        <w:rPr>
          <w:rFonts w:ascii="Book Antiqua" w:hAnsi="Book Antiqua"/>
          <w:b/>
          <w:bCs/>
        </w:rPr>
      </w:pPr>
      <w:r w:rsidRPr="00ED01BB">
        <w:rPr>
          <w:rFonts w:ascii="Book Antiqua" w:eastAsia="Book Antiqua" w:hAnsi="Book Antiqua" w:cs="Book Antiqua"/>
          <w:b/>
          <w:bCs/>
          <w:color w:val="000000"/>
        </w:rPr>
        <w:t xml:space="preserve">Figure 2 Risk of bias assessment according to Cochrane risk of bias tool. </w:t>
      </w:r>
    </w:p>
    <w:p w14:paraId="35562CAD" w14:textId="63528490" w:rsidR="00C44712" w:rsidRPr="00ED01BB" w:rsidRDefault="00C44712" w:rsidP="00ED01BB">
      <w:pPr>
        <w:adjustRightInd w:val="0"/>
        <w:spacing w:line="360" w:lineRule="auto"/>
        <w:jc w:val="both"/>
        <w:rPr>
          <w:rFonts w:ascii="Book Antiqua" w:eastAsia="Book Antiqua" w:hAnsi="Book Antiqua" w:cs="Book Antiqua"/>
          <w:color w:val="000000"/>
        </w:rPr>
      </w:pPr>
      <w:r w:rsidRPr="00ED01BB">
        <w:rPr>
          <w:rFonts w:ascii="Book Antiqua" w:eastAsia="Book Antiqua" w:hAnsi="Book Antiqua" w:cs="Book Antiqua"/>
          <w:color w:val="000000"/>
        </w:rPr>
        <w:br w:type="page"/>
      </w:r>
      <w:r w:rsidRPr="00ED01BB">
        <w:rPr>
          <w:rFonts w:ascii="Book Antiqua" w:eastAsia="Book Antiqua" w:hAnsi="Book Antiqua" w:cs="Book Antiqua"/>
          <w:noProof/>
          <w:color w:val="000000"/>
          <w:lang w:eastAsia="zh-CN"/>
        </w:rPr>
        <w:lastRenderedPageBreak/>
        <w:drawing>
          <wp:inline distT="0" distB="0" distL="0" distR="0" wp14:anchorId="6FB468F8" wp14:editId="57AA00C2">
            <wp:extent cx="5943600" cy="31076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07690"/>
                    </a:xfrm>
                    <a:prstGeom prst="rect">
                      <a:avLst/>
                    </a:prstGeom>
                  </pic:spPr>
                </pic:pic>
              </a:graphicData>
            </a:graphic>
          </wp:inline>
        </w:drawing>
      </w:r>
    </w:p>
    <w:p w14:paraId="539C1AEF" w14:textId="220F1DE0" w:rsidR="00A77B3E" w:rsidRPr="007D2BAA" w:rsidRDefault="00C07E1E" w:rsidP="00ED01BB">
      <w:pPr>
        <w:adjustRightInd w:val="0"/>
        <w:spacing w:line="360" w:lineRule="auto"/>
        <w:jc w:val="both"/>
        <w:rPr>
          <w:rFonts w:ascii="Book Antiqua" w:hAnsi="Book Antiqua"/>
          <w:iCs/>
        </w:rPr>
      </w:pPr>
      <w:r w:rsidRPr="00ED01BB">
        <w:rPr>
          <w:rFonts w:ascii="Book Antiqua" w:eastAsia="Book Antiqua" w:hAnsi="Book Antiqua" w:cs="Book Antiqua"/>
          <w:b/>
          <w:bCs/>
          <w:color w:val="000000"/>
        </w:rPr>
        <w:t>Figure 3</w:t>
      </w:r>
      <w:r w:rsidRPr="00ED01BB">
        <w:rPr>
          <w:rFonts w:ascii="Book Antiqua" w:eastAsia="Book Antiqua" w:hAnsi="Book Antiqua" w:cs="Book Antiqua"/>
          <w:color w:val="000000"/>
        </w:rPr>
        <w:t xml:space="preserve"> </w:t>
      </w:r>
      <w:r w:rsidR="007D2BAA" w:rsidRPr="007D2BAA">
        <w:rPr>
          <w:rFonts w:ascii="Book Antiqua" w:eastAsia="Book Antiqua" w:hAnsi="Book Antiqua" w:cs="Book Antiqua"/>
          <w:b/>
          <w:bCs/>
          <w:iCs/>
          <w:color w:val="000000"/>
        </w:rPr>
        <w:t>Efficacy outcomes</w:t>
      </w:r>
      <w:r w:rsidR="007D2BAA">
        <w:rPr>
          <w:rFonts w:ascii="Book Antiqua" w:eastAsia="Book Antiqua" w:hAnsi="Book Antiqua" w:cs="Book Antiqua"/>
          <w:b/>
          <w:bCs/>
          <w:iCs/>
          <w:color w:val="000000"/>
        </w:rPr>
        <w:t>.</w:t>
      </w:r>
      <w:r w:rsidR="007D2BAA">
        <w:rPr>
          <w:rFonts w:ascii="Book Antiqua" w:hAnsi="Book Antiqua" w:hint="eastAsia"/>
          <w:iCs/>
          <w:lang w:eastAsia="zh-CN"/>
        </w:rPr>
        <w:t xml:space="preserve"> </w:t>
      </w:r>
      <w:r w:rsidRPr="00ED01BB">
        <w:rPr>
          <w:rFonts w:ascii="Book Antiqua" w:eastAsia="Book Antiqua" w:hAnsi="Book Antiqua" w:cs="Book Antiqua"/>
          <w:color w:val="000000"/>
        </w:rPr>
        <w:t xml:space="preserve">A: Acute graft rejection; B: Infection; C: Any adverse drug reaction; D: Headache; E: Back pain; </w:t>
      </w:r>
      <w:r w:rsidR="00052BBC">
        <w:rPr>
          <w:rFonts w:ascii="Book Antiqua" w:eastAsia="Book Antiqua" w:hAnsi="Book Antiqua" w:cs="Book Antiqua"/>
          <w:color w:val="000000"/>
        </w:rPr>
        <w:t xml:space="preserve">and </w:t>
      </w:r>
      <w:r w:rsidRPr="00ED01BB">
        <w:rPr>
          <w:rFonts w:ascii="Book Antiqua" w:eastAsia="Book Antiqua" w:hAnsi="Book Antiqua" w:cs="Book Antiqua"/>
          <w:color w:val="000000"/>
        </w:rPr>
        <w:t>F: Blood disorders.</w:t>
      </w:r>
      <w:r w:rsidR="00427FAF">
        <w:rPr>
          <w:rFonts w:ascii="Book Antiqua" w:eastAsia="Book Antiqua" w:hAnsi="Book Antiqua" w:cs="Book Antiqua"/>
          <w:color w:val="000000"/>
        </w:rPr>
        <w:t xml:space="preserve"> CI:</w:t>
      </w:r>
      <w:r w:rsidR="00427FAF" w:rsidRPr="00427FAF">
        <w:t xml:space="preserve"> </w:t>
      </w:r>
      <w:r w:rsidR="00427FAF" w:rsidRPr="00427FAF">
        <w:rPr>
          <w:rFonts w:ascii="Book Antiqua" w:eastAsia="Book Antiqua" w:hAnsi="Book Antiqua" w:cs="Book Antiqua"/>
          <w:color w:val="000000"/>
        </w:rPr>
        <w:t>Confidence interval</w:t>
      </w:r>
      <w:r w:rsidR="00427FAF">
        <w:rPr>
          <w:rFonts w:ascii="Book Antiqua" w:eastAsia="Book Antiqua" w:hAnsi="Book Antiqua" w:cs="Book Antiqua"/>
          <w:color w:val="000000"/>
        </w:rPr>
        <w:t>.</w:t>
      </w:r>
    </w:p>
    <w:p w14:paraId="6E538CB2" w14:textId="608829B8" w:rsidR="00C07E1E" w:rsidRPr="00ED01BB" w:rsidRDefault="00427FAF" w:rsidP="00ED01BB">
      <w:pPr>
        <w:adjustRightInd w:val="0"/>
        <w:spacing w:line="360" w:lineRule="auto"/>
        <w:jc w:val="both"/>
        <w:rPr>
          <w:rFonts w:ascii="Book Antiqua" w:hAnsi="Book Antiqua"/>
          <w:lang w:eastAsia="zh-CN"/>
        </w:rPr>
        <w:sectPr w:rsidR="00C07E1E" w:rsidRPr="00ED01BB" w:rsidSect="00943AB9">
          <w:type w:val="continuous"/>
          <w:pgSz w:w="12240" w:h="15840"/>
          <w:pgMar w:top="1440" w:right="1800" w:bottom="1440" w:left="1800" w:header="720" w:footer="720" w:gutter="0"/>
          <w:cols w:space="720"/>
          <w:docGrid w:linePitch="360"/>
        </w:sectPr>
      </w:pPr>
      <w:r>
        <w:rPr>
          <w:rFonts w:ascii="Book Antiqua" w:hAnsi="Book Antiqua" w:hint="eastAsia"/>
          <w:lang w:eastAsia="zh-CN"/>
        </w:rPr>
        <w:t xml:space="preserve"> </w:t>
      </w:r>
    </w:p>
    <w:p w14:paraId="3F816E84" w14:textId="77777777" w:rsidR="00C07E1E" w:rsidRPr="00ED01BB" w:rsidRDefault="00C07E1E" w:rsidP="00ED01BB">
      <w:pPr>
        <w:adjustRightInd w:val="0"/>
        <w:spacing w:line="360" w:lineRule="auto"/>
        <w:jc w:val="both"/>
        <w:rPr>
          <w:rFonts w:ascii="Book Antiqua" w:hAnsi="Book Antiqua"/>
          <w:b/>
          <w:bCs/>
        </w:rPr>
      </w:pPr>
      <w:r w:rsidRPr="00ED01BB">
        <w:rPr>
          <w:rFonts w:ascii="Book Antiqua" w:hAnsi="Book Antiqua"/>
          <w:b/>
          <w:bCs/>
        </w:rPr>
        <w:lastRenderedPageBreak/>
        <w:t>Table 1 Characteristics of the included studies</w:t>
      </w:r>
    </w:p>
    <w:tbl>
      <w:tblPr>
        <w:tblStyle w:val="TableGrid"/>
        <w:tblW w:w="1215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0"/>
        <w:gridCol w:w="1276"/>
        <w:gridCol w:w="2268"/>
        <w:gridCol w:w="1701"/>
        <w:gridCol w:w="1417"/>
        <w:gridCol w:w="993"/>
        <w:gridCol w:w="850"/>
        <w:gridCol w:w="1701"/>
      </w:tblGrid>
      <w:tr w:rsidR="00C07E1E" w:rsidRPr="00427FAF" w14:paraId="5549652A" w14:textId="77777777" w:rsidTr="00DA11C3">
        <w:trPr>
          <w:trHeight w:val="298"/>
        </w:trPr>
        <w:tc>
          <w:tcPr>
            <w:tcW w:w="1101" w:type="dxa"/>
            <w:tcBorders>
              <w:top w:val="single" w:sz="4" w:space="0" w:color="auto"/>
              <w:bottom w:val="single" w:sz="4" w:space="0" w:color="auto"/>
            </w:tcBorders>
            <w:noWrap/>
            <w:hideMark/>
          </w:tcPr>
          <w:p w14:paraId="637996E4" w14:textId="4453AF9B" w:rsidR="00C07E1E" w:rsidRPr="00427FAF" w:rsidRDefault="00DA11C3" w:rsidP="00ED01BB">
            <w:pPr>
              <w:adjustRightInd w:val="0"/>
              <w:spacing w:line="360" w:lineRule="auto"/>
              <w:jc w:val="both"/>
              <w:rPr>
                <w:rFonts w:ascii="Book Antiqua" w:hAnsi="Book Antiqua" w:cs="Times New Roman"/>
                <w:b/>
                <w:bCs/>
              </w:rPr>
            </w:pPr>
            <w:r>
              <w:rPr>
                <w:rFonts w:ascii="Book Antiqua" w:hAnsi="Book Antiqua" w:cs="Times New Roman"/>
                <w:b/>
                <w:bCs/>
              </w:rPr>
              <w:t>Ref.</w:t>
            </w:r>
          </w:p>
        </w:tc>
        <w:tc>
          <w:tcPr>
            <w:tcW w:w="850" w:type="dxa"/>
            <w:tcBorders>
              <w:top w:val="single" w:sz="4" w:space="0" w:color="auto"/>
              <w:bottom w:val="single" w:sz="4" w:space="0" w:color="auto"/>
            </w:tcBorders>
            <w:noWrap/>
            <w:hideMark/>
          </w:tcPr>
          <w:p w14:paraId="4A9E99F8" w14:textId="28C6B29D"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Y</w:t>
            </w:r>
            <w:r w:rsidR="007D2BAA">
              <w:rPr>
                <w:rFonts w:ascii="Book Antiqua" w:hAnsi="Book Antiqua" w:cs="Times New Roman"/>
                <w:b/>
                <w:bCs/>
              </w:rPr>
              <w:t>ea</w:t>
            </w:r>
            <w:r w:rsidRPr="00427FAF">
              <w:rPr>
                <w:rFonts w:ascii="Book Antiqua" w:hAnsi="Book Antiqua" w:cs="Times New Roman"/>
                <w:b/>
                <w:bCs/>
              </w:rPr>
              <w:t>r</w:t>
            </w:r>
          </w:p>
        </w:tc>
        <w:tc>
          <w:tcPr>
            <w:tcW w:w="1276" w:type="dxa"/>
            <w:tcBorders>
              <w:top w:val="single" w:sz="4" w:space="0" w:color="auto"/>
              <w:bottom w:val="single" w:sz="4" w:space="0" w:color="auto"/>
            </w:tcBorders>
            <w:noWrap/>
            <w:hideMark/>
          </w:tcPr>
          <w:p w14:paraId="4185A393"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Country</w:t>
            </w:r>
          </w:p>
        </w:tc>
        <w:tc>
          <w:tcPr>
            <w:tcW w:w="2268" w:type="dxa"/>
            <w:tcBorders>
              <w:top w:val="single" w:sz="4" w:space="0" w:color="auto"/>
              <w:bottom w:val="single" w:sz="4" w:space="0" w:color="auto"/>
            </w:tcBorders>
            <w:noWrap/>
            <w:hideMark/>
          </w:tcPr>
          <w:p w14:paraId="3EE10822"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Study design</w:t>
            </w:r>
          </w:p>
        </w:tc>
        <w:tc>
          <w:tcPr>
            <w:tcW w:w="1701" w:type="dxa"/>
            <w:tcBorders>
              <w:top w:val="single" w:sz="4" w:space="0" w:color="auto"/>
              <w:bottom w:val="single" w:sz="4" w:space="0" w:color="auto"/>
            </w:tcBorders>
            <w:noWrap/>
            <w:hideMark/>
          </w:tcPr>
          <w:p w14:paraId="5A01D000"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Follow-up period</w:t>
            </w:r>
          </w:p>
        </w:tc>
        <w:tc>
          <w:tcPr>
            <w:tcW w:w="1417" w:type="dxa"/>
            <w:tcBorders>
              <w:top w:val="single" w:sz="4" w:space="0" w:color="auto"/>
              <w:bottom w:val="single" w:sz="4" w:space="0" w:color="auto"/>
            </w:tcBorders>
          </w:tcPr>
          <w:p w14:paraId="12956D10" w14:textId="7440553D"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 xml:space="preserve">Sample </w:t>
            </w:r>
            <w:r w:rsidR="00DA11C3" w:rsidRPr="00427FAF">
              <w:rPr>
                <w:rFonts w:ascii="Book Antiqua" w:hAnsi="Book Antiqua" w:cs="Times New Roman"/>
                <w:b/>
                <w:bCs/>
              </w:rPr>
              <w:t>size</w:t>
            </w:r>
          </w:p>
        </w:tc>
        <w:tc>
          <w:tcPr>
            <w:tcW w:w="993" w:type="dxa"/>
            <w:tcBorders>
              <w:top w:val="single" w:sz="4" w:space="0" w:color="auto"/>
              <w:bottom w:val="single" w:sz="4" w:space="0" w:color="auto"/>
            </w:tcBorders>
            <w:noWrap/>
            <w:hideMark/>
          </w:tcPr>
          <w:p w14:paraId="0985C938"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Donor type</w:t>
            </w:r>
          </w:p>
        </w:tc>
        <w:tc>
          <w:tcPr>
            <w:tcW w:w="850" w:type="dxa"/>
            <w:tcBorders>
              <w:top w:val="single" w:sz="4" w:space="0" w:color="auto"/>
              <w:bottom w:val="single" w:sz="4" w:space="0" w:color="auto"/>
            </w:tcBorders>
            <w:noWrap/>
            <w:hideMark/>
          </w:tcPr>
          <w:p w14:paraId="6C852AFB"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Mean age</w:t>
            </w:r>
          </w:p>
        </w:tc>
        <w:tc>
          <w:tcPr>
            <w:tcW w:w="1701" w:type="dxa"/>
            <w:tcBorders>
              <w:top w:val="single" w:sz="4" w:space="0" w:color="auto"/>
              <w:bottom w:val="single" w:sz="4" w:space="0" w:color="auto"/>
            </w:tcBorders>
            <w:noWrap/>
            <w:hideMark/>
          </w:tcPr>
          <w:p w14:paraId="4BCEBD85" w14:textId="77777777" w:rsidR="00C07E1E" w:rsidRPr="00427FAF" w:rsidRDefault="00C07E1E" w:rsidP="00ED01BB">
            <w:pPr>
              <w:adjustRightInd w:val="0"/>
              <w:spacing w:line="360" w:lineRule="auto"/>
              <w:jc w:val="both"/>
              <w:rPr>
                <w:rFonts w:ascii="Book Antiqua" w:hAnsi="Book Antiqua" w:cs="Times New Roman"/>
                <w:b/>
                <w:bCs/>
              </w:rPr>
            </w:pPr>
            <w:r w:rsidRPr="00427FAF">
              <w:rPr>
                <w:rFonts w:ascii="Book Antiqua" w:hAnsi="Book Antiqua" w:cs="Times New Roman"/>
                <w:b/>
                <w:bCs/>
              </w:rPr>
              <w:t>Concurrent therapy</w:t>
            </w:r>
          </w:p>
        </w:tc>
      </w:tr>
      <w:tr w:rsidR="00C07E1E" w:rsidRPr="00427FAF" w14:paraId="6585D53C" w14:textId="77777777" w:rsidTr="00DA11C3">
        <w:trPr>
          <w:trHeight w:val="298"/>
        </w:trPr>
        <w:tc>
          <w:tcPr>
            <w:tcW w:w="1101" w:type="dxa"/>
            <w:tcBorders>
              <w:top w:val="single" w:sz="4" w:space="0" w:color="auto"/>
            </w:tcBorders>
            <w:noWrap/>
            <w:hideMark/>
          </w:tcPr>
          <w:p w14:paraId="7BBAF1E4" w14:textId="19D330C8"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Alloway </w:t>
            </w:r>
            <w:r w:rsidR="00DA11C3" w:rsidRPr="00DA11C3">
              <w:rPr>
                <w:rFonts w:ascii="Book Antiqua" w:hAnsi="Book Antiqua" w:cs="Times New Roman"/>
                <w:i/>
              </w:rPr>
              <w:t>et al</w:t>
            </w:r>
            <w:r w:rsidR="00DA11C3" w:rsidRPr="00DA11C3">
              <w:rPr>
                <w:rFonts w:ascii="Book Antiqua" w:hAnsi="Book Antiqua" w:cs="Times New Roman"/>
                <w:vertAlign w:val="superscript"/>
              </w:rPr>
              <w:t>[11]</w:t>
            </w:r>
          </w:p>
        </w:tc>
        <w:tc>
          <w:tcPr>
            <w:tcW w:w="850" w:type="dxa"/>
            <w:tcBorders>
              <w:top w:val="single" w:sz="4" w:space="0" w:color="auto"/>
            </w:tcBorders>
            <w:noWrap/>
            <w:hideMark/>
          </w:tcPr>
          <w:p w14:paraId="4DDEBEC6"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2014</w:t>
            </w:r>
          </w:p>
        </w:tc>
        <w:tc>
          <w:tcPr>
            <w:tcW w:w="1276" w:type="dxa"/>
            <w:tcBorders>
              <w:top w:val="single" w:sz="4" w:space="0" w:color="auto"/>
            </w:tcBorders>
            <w:noWrap/>
            <w:hideMark/>
          </w:tcPr>
          <w:p w14:paraId="7549910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United States</w:t>
            </w:r>
          </w:p>
        </w:tc>
        <w:tc>
          <w:tcPr>
            <w:tcW w:w="2268" w:type="dxa"/>
            <w:tcBorders>
              <w:top w:val="single" w:sz="4" w:space="0" w:color="auto"/>
            </w:tcBorders>
            <w:noWrap/>
            <w:hideMark/>
          </w:tcPr>
          <w:p w14:paraId="224D0D3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Phase-II, 3-sequence, open-label, </w:t>
            </w:r>
            <w:proofErr w:type="spellStart"/>
            <w:r w:rsidRPr="00427FAF">
              <w:rPr>
                <w:rFonts w:ascii="Book Antiqua" w:hAnsi="Book Antiqua" w:cs="Times New Roman"/>
              </w:rPr>
              <w:t>multicenter</w:t>
            </w:r>
            <w:proofErr w:type="spellEnd"/>
            <w:r w:rsidRPr="00427FAF">
              <w:rPr>
                <w:rFonts w:ascii="Book Antiqua" w:hAnsi="Book Antiqua" w:cs="Times New Roman"/>
              </w:rPr>
              <w:t>,</w:t>
            </w:r>
            <w:r w:rsidRPr="00427FAF">
              <w:rPr>
                <w:rFonts w:ascii="Book Antiqua" w:hAnsi="Book Antiqua" w:cs="Times New Roman"/>
                <w:lang w:eastAsia="zh-CN"/>
              </w:rPr>
              <w:t xml:space="preserve"> </w:t>
            </w:r>
            <w:r w:rsidRPr="00427FAF">
              <w:rPr>
                <w:rFonts w:ascii="Book Antiqua" w:hAnsi="Book Antiqua" w:cs="Times New Roman"/>
              </w:rPr>
              <w:t>prospective study</w:t>
            </w:r>
          </w:p>
        </w:tc>
        <w:tc>
          <w:tcPr>
            <w:tcW w:w="1701" w:type="dxa"/>
            <w:tcBorders>
              <w:top w:val="single" w:sz="4" w:space="0" w:color="auto"/>
            </w:tcBorders>
            <w:noWrap/>
            <w:hideMark/>
          </w:tcPr>
          <w:p w14:paraId="00FFAFE6"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1417" w:type="dxa"/>
            <w:tcBorders>
              <w:top w:val="single" w:sz="4" w:space="0" w:color="auto"/>
            </w:tcBorders>
          </w:tcPr>
          <w:p w14:paraId="6C0BCCA4"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59</w:t>
            </w:r>
          </w:p>
        </w:tc>
        <w:tc>
          <w:tcPr>
            <w:tcW w:w="993" w:type="dxa"/>
            <w:tcBorders>
              <w:top w:val="single" w:sz="4" w:space="0" w:color="auto"/>
            </w:tcBorders>
            <w:noWrap/>
            <w:hideMark/>
          </w:tcPr>
          <w:p w14:paraId="1BB6915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850" w:type="dxa"/>
            <w:tcBorders>
              <w:top w:val="single" w:sz="4" w:space="0" w:color="auto"/>
            </w:tcBorders>
            <w:noWrap/>
            <w:hideMark/>
          </w:tcPr>
          <w:p w14:paraId="45F35D7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49.8</w:t>
            </w:r>
          </w:p>
        </w:tc>
        <w:tc>
          <w:tcPr>
            <w:tcW w:w="1701" w:type="dxa"/>
            <w:tcBorders>
              <w:top w:val="single" w:sz="4" w:space="0" w:color="auto"/>
            </w:tcBorders>
            <w:noWrap/>
            <w:hideMark/>
          </w:tcPr>
          <w:p w14:paraId="2454D54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Mycophenolate mofetil</w:t>
            </w:r>
          </w:p>
        </w:tc>
      </w:tr>
      <w:tr w:rsidR="00C07E1E" w:rsidRPr="00427FAF" w14:paraId="0093B951" w14:textId="77777777" w:rsidTr="00DA11C3">
        <w:trPr>
          <w:trHeight w:val="298"/>
        </w:trPr>
        <w:tc>
          <w:tcPr>
            <w:tcW w:w="1101" w:type="dxa"/>
            <w:noWrap/>
            <w:hideMark/>
          </w:tcPr>
          <w:p w14:paraId="5A524898" w14:textId="626A6E45"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Kim </w:t>
            </w:r>
            <w:r w:rsidR="00DA11C3" w:rsidRPr="00DA11C3">
              <w:rPr>
                <w:rFonts w:ascii="Book Antiqua" w:hAnsi="Book Antiqua" w:cs="Times New Roman"/>
                <w:i/>
              </w:rPr>
              <w:t>et al</w:t>
            </w:r>
            <w:r w:rsidR="00DA11C3" w:rsidRPr="00DA11C3">
              <w:rPr>
                <w:rFonts w:ascii="Book Antiqua" w:hAnsi="Book Antiqua" w:cs="Times New Roman"/>
                <w:vertAlign w:val="superscript"/>
              </w:rPr>
              <w:t>[1</w:t>
            </w:r>
            <w:r w:rsidR="00DA11C3">
              <w:rPr>
                <w:rFonts w:ascii="Book Antiqua" w:hAnsi="Book Antiqua" w:cs="Times New Roman"/>
                <w:vertAlign w:val="superscript"/>
              </w:rPr>
              <w:t>3</w:t>
            </w:r>
            <w:r w:rsidR="00DA11C3" w:rsidRPr="00DA11C3">
              <w:rPr>
                <w:rFonts w:ascii="Book Antiqua" w:hAnsi="Book Antiqua" w:cs="Times New Roman"/>
                <w:vertAlign w:val="superscript"/>
              </w:rPr>
              <w:t>]</w:t>
            </w:r>
          </w:p>
        </w:tc>
        <w:tc>
          <w:tcPr>
            <w:tcW w:w="850" w:type="dxa"/>
            <w:noWrap/>
            <w:hideMark/>
          </w:tcPr>
          <w:p w14:paraId="21B7DB58"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2016</w:t>
            </w:r>
          </w:p>
        </w:tc>
        <w:tc>
          <w:tcPr>
            <w:tcW w:w="1276" w:type="dxa"/>
            <w:noWrap/>
            <w:hideMark/>
          </w:tcPr>
          <w:p w14:paraId="2566769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South Korea</w:t>
            </w:r>
          </w:p>
        </w:tc>
        <w:tc>
          <w:tcPr>
            <w:tcW w:w="2268" w:type="dxa"/>
            <w:noWrap/>
            <w:hideMark/>
          </w:tcPr>
          <w:p w14:paraId="66DF69F9"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2-armed, parallel group, prospective, randomized, open-label, phase IV</w:t>
            </w:r>
          </w:p>
        </w:tc>
        <w:tc>
          <w:tcPr>
            <w:tcW w:w="1701" w:type="dxa"/>
            <w:noWrap/>
            <w:hideMark/>
          </w:tcPr>
          <w:p w14:paraId="23F1525F"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1417" w:type="dxa"/>
          </w:tcPr>
          <w:p w14:paraId="7BF1C2FA"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79</w:t>
            </w:r>
          </w:p>
        </w:tc>
        <w:tc>
          <w:tcPr>
            <w:tcW w:w="993" w:type="dxa"/>
            <w:noWrap/>
            <w:hideMark/>
          </w:tcPr>
          <w:p w14:paraId="04D1E11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Deceased</w:t>
            </w:r>
          </w:p>
        </w:tc>
        <w:tc>
          <w:tcPr>
            <w:tcW w:w="850" w:type="dxa"/>
            <w:noWrap/>
            <w:hideMark/>
          </w:tcPr>
          <w:p w14:paraId="02B4008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54</w:t>
            </w:r>
          </w:p>
        </w:tc>
        <w:tc>
          <w:tcPr>
            <w:tcW w:w="1701" w:type="dxa"/>
            <w:noWrap/>
            <w:hideMark/>
          </w:tcPr>
          <w:p w14:paraId="4E85DD9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r>
      <w:tr w:rsidR="00C07E1E" w:rsidRPr="00427FAF" w14:paraId="28B9C62A" w14:textId="77777777" w:rsidTr="00DA11C3">
        <w:trPr>
          <w:trHeight w:val="298"/>
        </w:trPr>
        <w:tc>
          <w:tcPr>
            <w:tcW w:w="1101" w:type="dxa"/>
            <w:noWrap/>
            <w:hideMark/>
          </w:tcPr>
          <w:p w14:paraId="3E390469" w14:textId="5E24CDD1" w:rsidR="00C07E1E" w:rsidRPr="00427FAF" w:rsidRDefault="00DA11C3" w:rsidP="00ED01BB">
            <w:pPr>
              <w:adjustRightInd w:val="0"/>
              <w:spacing w:line="360" w:lineRule="auto"/>
              <w:jc w:val="both"/>
              <w:rPr>
                <w:rFonts w:ascii="Book Antiqua" w:hAnsi="Book Antiqua" w:cs="Times New Roman"/>
              </w:rPr>
            </w:pPr>
            <w:proofErr w:type="spellStart"/>
            <w:r w:rsidRPr="00DA11C3">
              <w:rPr>
                <w:rFonts w:ascii="Book Antiqua" w:hAnsi="Book Antiqua" w:cs="Times New Roman"/>
              </w:rPr>
              <w:t>Sańko-Resmer</w:t>
            </w:r>
            <w:proofErr w:type="spellEnd"/>
            <w:r w:rsidRPr="00DA11C3">
              <w:rPr>
                <w:rFonts w:ascii="Book Antiqua" w:hAnsi="Book Antiqua" w:cs="Times New Roman"/>
                <w:i/>
              </w:rPr>
              <w:t xml:space="preserve"> et al</w:t>
            </w:r>
            <w:r w:rsidRPr="00DA11C3">
              <w:rPr>
                <w:rFonts w:ascii="Book Antiqua" w:hAnsi="Book Antiqua" w:cs="Times New Roman"/>
                <w:vertAlign w:val="superscript"/>
              </w:rPr>
              <w:t>[1</w:t>
            </w:r>
            <w:r>
              <w:rPr>
                <w:rFonts w:ascii="Book Antiqua" w:hAnsi="Book Antiqua" w:cs="Times New Roman"/>
                <w:vertAlign w:val="superscript"/>
              </w:rPr>
              <w:t>4</w:t>
            </w:r>
            <w:r w:rsidRPr="00DA11C3">
              <w:rPr>
                <w:rFonts w:ascii="Book Antiqua" w:hAnsi="Book Antiqua" w:cs="Times New Roman"/>
                <w:vertAlign w:val="superscript"/>
              </w:rPr>
              <w:t>]</w:t>
            </w:r>
          </w:p>
        </w:tc>
        <w:tc>
          <w:tcPr>
            <w:tcW w:w="850" w:type="dxa"/>
            <w:noWrap/>
            <w:hideMark/>
          </w:tcPr>
          <w:p w14:paraId="2C6AFB86"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2012</w:t>
            </w:r>
          </w:p>
        </w:tc>
        <w:tc>
          <w:tcPr>
            <w:tcW w:w="1276" w:type="dxa"/>
            <w:noWrap/>
            <w:hideMark/>
          </w:tcPr>
          <w:p w14:paraId="1F401EA5"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United Kingdom</w:t>
            </w:r>
          </w:p>
        </w:tc>
        <w:tc>
          <w:tcPr>
            <w:tcW w:w="2268" w:type="dxa"/>
            <w:noWrap/>
            <w:hideMark/>
          </w:tcPr>
          <w:p w14:paraId="79E4670C"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Multicentre, open-label, single-sequence, crossover, phase </w:t>
            </w:r>
            <w:proofErr w:type="spellStart"/>
            <w:r w:rsidRPr="00427FAF">
              <w:rPr>
                <w:rFonts w:ascii="Book Antiqua" w:hAnsi="Book Antiqua" w:cs="Times New Roman"/>
              </w:rPr>
              <w:t>IIIb</w:t>
            </w:r>
            <w:proofErr w:type="spellEnd"/>
            <w:r w:rsidRPr="00427FAF">
              <w:rPr>
                <w:rFonts w:ascii="Book Antiqua" w:hAnsi="Book Antiqua" w:cs="Times New Roman"/>
              </w:rPr>
              <w:t xml:space="preserve"> </w:t>
            </w:r>
          </w:p>
        </w:tc>
        <w:tc>
          <w:tcPr>
            <w:tcW w:w="1701" w:type="dxa"/>
            <w:noWrap/>
            <w:hideMark/>
          </w:tcPr>
          <w:p w14:paraId="4A521FA9" w14:textId="6188A0CD"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3 </w:t>
            </w:r>
            <w:proofErr w:type="spellStart"/>
            <w:r w:rsidRPr="00427FAF">
              <w:rPr>
                <w:rFonts w:ascii="Book Antiqua" w:hAnsi="Book Antiqua" w:cs="Times New Roman"/>
              </w:rPr>
              <w:t>mo</w:t>
            </w:r>
            <w:proofErr w:type="spellEnd"/>
          </w:p>
        </w:tc>
        <w:tc>
          <w:tcPr>
            <w:tcW w:w="1417" w:type="dxa"/>
          </w:tcPr>
          <w:p w14:paraId="4B956A3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98</w:t>
            </w:r>
          </w:p>
        </w:tc>
        <w:tc>
          <w:tcPr>
            <w:tcW w:w="993" w:type="dxa"/>
            <w:noWrap/>
            <w:hideMark/>
          </w:tcPr>
          <w:p w14:paraId="3E1989D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850" w:type="dxa"/>
            <w:noWrap/>
            <w:hideMark/>
          </w:tcPr>
          <w:p w14:paraId="74C8E0BA"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55</w:t>
            </w:r>
          </w:p>
        </w:tc>
        <w:tc>
          <w:tcPr>
            <w:tcW w:w="1701" w:type="dxa"/>
            <w:noWrap/>
            <w:hideMark/>
          </w:tcPr>
          <w:p w14:paraId="59623C8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None</w:t>
            </w:r>
          </w:p>
        </w:tc>
      </w:tr>
      <w:tr w:rsidR="00C07E1E" w:rsidRPr="00427FAF" w14:paraId="00AADD67" w14:textId="77777777" w:rsidTr="00DA11C3">
        <w:trPr>
          <w:trHeight w:val="298"/>
        </w:trPr>
        <w:tc>
          <w:tcPr>
            <w:tcW w:w="1101" w:type="dxa"/>
            <w:noWrap/>
            <w:hideMark/>
          </w:tcPr>
          <w:p w14:paraId="79F40408" w14:textId="1924626B" w:rsidR="00C07E1E" w:rsidRPr="00427FAF" w:rsidRDefault="00C07E1E" w:rsidP="00DA11C3">
            <w:pPr>
              <w:adjustRightInd w:val="0"/>
              <w:spacing w:line="360" w:lineRule="auto"/>
              <w:jc w:val="both"/>
              <w:rPr>
                <w:rFonts w:ascii="Book Antiqua" w:hAnsi="Book Antiqua" w:cs="Times New Roman"/>
              </w:rPr>
            </w:pPr>
            <w:r w:rsidRPr="00427FAF">
              <w:rPr>
                <w:rFonts w:ascii="Book Antiqua" w:hAnsi="Book Antiqua" w:cs="Times New Roman"/>
              </w:rPr>
              <w:t>Shin</w:t>
            </w:r>
            <w:r w:rsidR="00DA11C3">
              <w:rPr>
                <w:rFonts w:ascii="Book Antiqua" w:hAnsi="Book Antiqua" w:cs="Times New Roman"/>
              </w:rPr>
              <w:t xml:space="preserve"> </w:t>
            </w:r>
            <w:r w:rsidR="00DA11C3" w:rsidRPr="00DA11C3">
              <w:rPr>
                <w:rFonts w:ascii="Book Antiqua" w:hAnsi="Book Antiqua" w:cs="Times New Roman"/>
                <w:i/>
              </w:rPr>
              <w:t>et al</w:t>
            </w:r>
            <w:r w:rsidR="00DA11C3" w:rsidRPr="00DA11C3">
              <w:rPr>
                <w:rFonts w:ascii="Book Antiqua" w:hAnsi="Book Antiqua" w:cs="Times New Roman"/>
                <w:vertAlign w:val="superscript"/>
              </w:rPr>
              <w:t>[1</w:t>
            </w:r>
            <w:r w:rsidR="00DA11C3">
              <w:rPr>
                <w:rFonts w:ascii="Book Antiqua" w:hAnsi="Book Antiqua" w:cs="Times New Roman"/>
                <w:vertAlign w:val="superscript"/>
              </w:rPr>
              <w:t>7</w:t>
            </w:r>
            <w:r w:rsidR="00DA11C3" w:rsidRPr="00DA11C3">
              <w:rPr>
                <w:rFonts w:ascii="Book Antiqua" w:hAnsi="Book Antiqua" w:cs="Times New Roman"/>
                <w:vertAlign w:val="superscript"/>
              </w:rPr>
              <w:t>]</w:t>
            </w:r>
          </w:p>
        </w:tc>
        <w:tc>
          <w:tcPr>
            <w:tcW w:w="850" w:type="dxa"/>
            <w:noWrap/>
            <w:hideMark/>
          </w:tcPr>
          <w:p w14:paraId="214BB1C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2018</w:t>
            </w:r>
          </w:p>
        </w:tc>
        <w:tc>
          <w:tcPr>
            <w:tcW w:w="1276" w:type="dxa"/>
            <w:noWrap/>
            <w:hideMark/>
          </w:tcPr>
          <w:p w14:paraId="6FEEDC8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South Korea</w:t>
            </w:r>
          </w:p>
        </w:tc>
        <w:tc>
          <w:tcPr>
            <w:tcW w:w="2268" w:type="dxa"/>
            <w:noWrap/>
            <w:hideMark/>
          </w:tcPr>
          <w:p w14:paraId="39900A34" w14:textId="5BA25F9E"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Phase IV, randomized, open-label, comparative, single-</w:t>
            </w:r>
            <w:proofErr w:type="spellStart"/>
            <w:r w:rsidRPr="00427FAF">
              <w:rPr>
                <w:rFonts w:ascii="Book Antiqua" w:hAnsi="Book Antiqua" w:cs="Times New Roman"/>
              </w:rPr>
              <w:t>center</w:t>
            </w:r>
            <w:proofErr w:type="spellEnd"/>
            <w:r w:rsidRPr="00427FAF">
              <w:rPr>
                <w:rFonts w:ascii="Book Antiqua" w:hAnsi="Book Antiqua" w:cs="Times New Roman"/>
              </w:rPr>
              <w:t xml:space="preserve"> study</w:t>
            </w:r>
          </w:p>
        </w:tc>
        <w:tc>
          <w:tcPr>
            <w:tcW w:w="1701" w:type="dxa"/>
            <w:noWrap/>
            <w:hideMark/>
          </w:tcPr>
          <w:p w14:paraId="65E445D4" w14:textId="518DD0F5"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6 </w:t>
            </w:r>
            <w:proofErr w:type="spellStart"/>
            <w:r w:rsidRPr="00427FAF">
              <w:rPr>
                <w:rFonts w:ascii="Book Antiqua" w:hAnsi="Book Antiqua" w:cs="Times New Roman"/>
              </w:rPr>
              <w:t>mo</w:t>
            </w:r>
            <w:proofErr w:type="spellEnd"/>
          </w:p>
        </w:tc>
        <w:tc>
          <w:tcPr>
            <w:tcW w:w="1417" w:type="dxa"/>
          </w:tcPr>
          <w:p w14:paraId="0157C729"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100</w:t>
            </w:r>
          </w:p>
        </w:tc>
        <w:tc>
          <w:tcPr>
            <w:tcW w:w="993" w:type="dxa"/>
            <w:noWrap/>
            <w:hideMark/>
          </w:tcPr>
          <w:p w14:paraId="1F802E0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850" w:type="dxa"/>
            <w:noWrap/>
            <w:hideMark/>
          </w:tcPr>
          <w:p w14:paraId="1371F2D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52</w:t>
            </w:r>
          </w:p>
        </w:tc>
        <w:tc>
          <w:tcPr>
            <w:tcW w:w="1701" w:type="dxa"/>
            <w:noWrap/>
            <w:hideMark/>
          </w:tcPr>
          <w:p w14:paraId="157D3D7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Corticosteroid, mycophenolate mofetil, </w:t>
            </w:r>
            <w:r w:rsidRPr="00427FAF">
              <w:rPr>
                <w:rFonts w:ascii="Book Antiqua" w:hAnsi="Book Antiqua" w:cs="Times New Roman"/>
              </w:rPr>
              <w:lastRenderedPageBreak/>
              <w:t xml:space="preserve">and </w:t>
            </w:r>
            <w:proofErr w:type="spellStart"/>
            <w:r w:rsidRPr="00427FAF">
              <w:rPr>
                <w:rFonts w:ascii="Book Antiqua" w:hAnsi="Book Antiqua" w:cs="Times New Roman"/>
              </w:rPr>
              <w:t>basiliximab</w:t>
            </w:r>
            <w:proofErr w:type="spellEnd"/>
            <w:r w:rsidRPr="00427FAF">
              <w:rPr>
                <w:rFonts w:ascii="Book Antiqua" w:hAnsi="Book Antiqua" w:cs="Times New Roman"/>
              </w:rPr>
              <w:t>.</w:t>
            </w:r>
          </w:p>
        </w:tc>
      </w:tr>
      <w:tr w:rsidR="00C07E1E" w:rsidRPr="00427FAF" w14:paraId="624685DE" w14:textId="77777777" w:rsidTr="00DA11C3">
        <w:trPr>
          <w:trHeight w:val="313"/>
        </w:trPr>
        <w:tc>
          <w:tcPr>
            <w:tcW w:w="1101" w:type="dxa"/>
            <w:noWrap/>
            <w:hideMark/>
          </w:tcPr>
          <w:p w14:paraId="35FC5CDF" w14:textId="76DA1114" w:rsidR="00C07E1E" w:rsidRPr="00427FAF" w:rsidRDefault="00C07E1E" w:rsidP="00DA11C3">
            <w:pPr>
              <w:adjustRightInd w:val="0"/>
              <w:spacing w:line="360" w:lineRule="auto"/>
              <w:jc w:val="both"/>
              <w:rPr>
                <w:rFonts w:ascii="Book Antiqua" w:hAnsi="Book Antiqua" w:cs="Times New Roman"/>
              </w:rPr>
            </w:pPr>
            <w:proofErr w:type="spellStart"/>
            <w:r w:rsidRPr="00427FAF">
              <w:rPr>
                <w:rFonts w:ascii="Book Antiqua" w:hAnsi="Book Antiqua" w:cs="Times New Roman"/>
              </w:rPr>
              <w:lastRenderedPageBreak/>
              <w:t>Trunečka</w:t>
            </w:r>
            <w:proofErr w:type="spellEnd"/>
            <w:r w:rsidR="00DA11C3" w:rsidRPr="00DA11C3">
              <w:rPr>
                <w:rFonts w:ascii="Book Antiqua" w:hAnsi="Book Antiqua" w:cs="Times New Roman"/>
                <w:i/>
              </w:rPr>
              <w:t xml:space="preserve"> et al</w:t>
            </w:r>
            <w:r w:rsidR="00DA11C3" w:rsidRPr="00DA11C3">
              <w:rPr>
                <w:rFonts w:ascii="Book Antiqua" w:hAnsi="Book Antiqua" w:cs="Times New Roman"/>
                <w:vertAlign w:val="superscript"/>
              </w:rPr>
              <w:t>[1</w:t>
            </w:r>
            <w:r w:rsidR="00DA11C3">
              <w:rPr>
                <w:rFonts w:ascii="Book Antiqua" w:hAnsi="Book Antiqua" w:cs="Times New Roman"/>
                <w:vertAlign w:val="superscript"/>
              </w:rPr>
              <w:t>5</w:t>
            </w:r>
            <w:r w:rsidR="00DA11C3" w:rsidRPr="00DA11C3">
              <w:rPr>
                <w:rFonts w:ascii="Book Antiqua" w:hAnsi="Book Antiqua" w:cs="Times New Roman"/>
                <w:vertAlign w:val="superscript"/>
              </w:rPr>
              <w:t>]</w:t>
            </w:r>
          </w:p>
        </w:tc>
        <w:tc>
          <w:tcPr>
            <w:tcW w:w="850" w:type="dxa"/>
            <w:noWrap/>
            <w:hideMark/>
          </w:tcPr>
          <w:p w14:paraId="2D83ABCC"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2010</w:t>
            </w:r>
          </w:p>
        </w:tc>
        <w:tc>
          <w:tcPr>
            <w:tcW w:w="1276" w:type="dxa"/>
            <w:noWrap/>
            <w:hideMark/>
          </w:tcPr>
          <w:p w14:paraId="2F627119"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16 countries</w:t>
            </w:r>
          </w:p>
        </w:tc>
        <w:tc>
          <w:tcPr>
            <w:tcW w:w="2268" w:type="dxa"/>
            <w:noWrap/>
            <w:hideMark/>
          </w:tcPr>
          <w:p w14:paraId="6E99AA9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1:1</w:t>
            </w:r>
            <w:r w:rsidRPr="00427FAF">
              <w:rPr>
                <w:rFonts w:ascii="Book Antiqua" w:eastAsia="SimSun" w:hAnsi="Book Antiqua" w:cs="SimSun"/>
                <w:lang w:eastAsia="zh-CN"/>
              </w:rPr>
              <w:t>-</w:t>
            </w:r>
            <w:r w:rsidRPr="00427FAF">
              <w:rPr>
                <w:rFonts w:ascii="Book Antiqua" w:hAnsi="Book Antiqua" w:cs="Times New Roman"/>
              </w:rPr>
              <w:t>randomized, double</w:t>
            </w:r>
            <w:r w:rsidRPr="00427FAF">
              <w:rPr>
                <w:rFonts w:ascii="Book Antiqua" w:eastAsia="SimSun" w:hAnsi="Book Antiqua" w:cs="SimSun"/>
                <w:lang w:eastAsia="zh-CN"/>
              </w:rPr>
              <w:t>-</w:t>
            </w:r>
            <w:r w:rsidRPr="00427FAF">
              <w:rPr>
                <w:rFonts w:ascii="Book Antiqua" w:hAnsi="Book Antiqua" w:cs="Times New Roman"/>
              </w:rPr>
              <w:t>blind, double</w:t>
            </w:r>
            <w:r w:rsidRPr="00427FAF">
              <w:rPr>
                <w:rFonts w:ascii="Book Antiqua" w:eastAsia="SimSun" w:hAnsi="Book Antiqua" w:cs="SimSun"/>
                <w:lang w:eastAsia="zh-CN"/>
              </w:rPr>
              <w:t>-</w:t>
            </w:r>
            <w:r w:rsidRPr="00427FAF">
              <w:rPr>
                <w:rFonts w:ascii="Book Antiqua" w:hAnsi="Book Antiqua" w:cs="Times New Roman"/>
              </w:rPr>
              <w:t>dummy, two</w:t>
            </w:r>
            <w:r w:rsidRPr="00427FAF">
              <w:rPr>
                <w:rFonts w:ascii="Book Antiqua" w:eastAsia="SimSun" w:hAnsi="Book Antiqua" w:cs="SimSun"/>
                <w:lang w:eastAsia="zh-CN"/>
              </w:rPr>
              <w:t>-</w:t>
            </w:r>
            <w:r w:rsidRPr="00427FAF">
              <w:rPr>
                <w:rFonts w:ascii="Book Antiqua" w:hAnsi="Book Antiqua" w:cs="Times New Roman"/>
              </w:rPr>
              <w:t>arm, parallel</w:t>
            </w:r>
            <w:bookmarkStart w:id="51" w:name="OLE_LINK3"/>
            <w:bookmarkStart w:id="52" w:name="OLE_LINK4"/>
            <w:r w:rsidRPr="00427FAF">
              <w:rPr>
                <w:rFonts w:ascii="Book Antiqua" w:eastAsia="SimSun" w:hAnsi="Book Antiqua" w:cs="SimSun"/>
                <w:lang w:eastAsia="zh-CN"/>
              </w:rPr>
              <w:t>-</w:t>
            </w:r>
            <w:bookmarkEnd w:id="51"/>
            <w:bookmarkEnd w:id="52"/>
            <w:r w:rsidRPr="00427FAF">
              <w:rPr>
                <w:rFonts w:ascii="Book Antiqua" w:hAnsi="Book Antiqua" w:cs="Times New Roman"/>
              </w:rPr>
              <w:t>group phase III, comparative study</w:t>
            </w:r>
          </w:p>
        </w:tc>
        <w:tc>
          <w:tcPr>
            <w:tcW w:w="1701" w:type="dxa"/>
            <w:noWrap/>
            <w:hideMark/>
          </w:tcPr>
          <w:p w14:paraId="18315864"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1417" w:type="dxa"/>
          </w:tcPr>
          <w:p w14:paraId="3818B465"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471</w:t>
            </w:r>
          </w:p>
        </w:tc>
        <w:tc>
          <w:tcPr>
            <w:tcW w:w="993" w:type="dxa"/>
            <w:noWrap/>
            <w:hideMark/>
          </w:tcPr>
          <w:p w14:paraId="26CD45C8"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850" w:type="dxa"/>
            <w:noWrap/>
            <w:hideMark/>
          </w:tcPr>
          <w:p w14:paraId="2BFAE14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52</w:t>
            </w:r>
          </w:p>
        </w:tc>
        <w:tc>
          <w:tcPr>
            <w:tcW w:w="1701" w:type="dxa"/>
            <w:noWrap/>
            <w:hideMark/>
          </w:tcPr>
          <w:p w14:paraId="52A014B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Mycophenolate sodium</w:t>
            </w:r>
          </w:p>
        </w:tc>
      </w:tr>
      <w:tr w:rsidR="00C07E1E" w:rsidRPr="00427FAF" w14:paraId="0DC25320" w14:textId="77777777" w:rsidTr="00DA11C3">
        <w:trPr>
          <w:trHeight w:val="298"/>
        </w:trPr>
        <w:tc>
          <w:tcPr>
            <w:tcW w:w="1101" w:type="dxa"/>
            <w:noWrap/>
            <w:hideMark/>
          </w:tcPr>
          <w:p w14:paraId="468A7EFF" w14:textId="0C0AC5B6" w:rsidR="00C07E1E" w:rsidRPr="00427FAF" w:rsidRDefault="00C07E1E" w:rsidP="00DA11C3">
            <w:pPr>
              <w:adjustRightInd w:val="0"/>
              <w:spacing w:line="360" w:lineRule="auto"/>
              <w:jc w:val="both"/>
              <w:rPr>
                <w:rFonts w:ascii="Book Antiqua" w:hAnsi="Book Antiqua" w:cs="Times New Roman"/>
              </w:rPr>
            </w:pPr>
            <w:r w:rsidRPr="00427FAF">
              <w:rPr>
                <w:rFonts w:ascii="Book Antiqua" w:hAnsi="Book Antiqua" w:cs="Times New Roman"/>
              </w:rPr>
              <w:t xml:space="preserve"> </w:t>
            </w:r>
            <w:proofErr w:type="spellStart"/>
            <w:r w:rsidRPr="00427FAF">
              <w:rPr>
                <w:rFonts w:ascii="Book Antiqua" w:hAnsi="Book Antiqua" w:cs="Times New Roman"/>
              </w:rPr>
              <w:t>DuBay</w:t>
            </w:r>
            <w:proofErr w:type="spellEnd"/>
            <w:r w:rsidR="00DA11C3" w:rsidRPr="00DA11C3">
              <w:rPr>
                <w:rFonts w:ascii="Book Antiqua" w:hAnsi="Book Antiqua" w:cs="Times New Roman"/>
                <w:i/>
              </w:rPr>
              <w:t xml:space="preserve"> et al</w:t>
            </w:r>
            <w:r w:rsidR="00DA11C3" w:rsidRPr="00DA11C3">
              <w:rPr>
                <w:rFonts w:ascii="Book Antiqua" w:hAnsi="Book Antiqua" w:cs="Times New Roman"/>
                <w:vertAlign w:val="superscript"/>
              </w:rPr>
              <w:t>[1</w:t>
            </w:r>
            <w:r w:rsidR="00DA11C3">
              <w:rPr>
                <w:rFonts w:ascii="Book Antiqua" w:hAnsi="Book Antiqua" w:cs="Times New Roman"/>
                <w:vertAlign w:val="superscript"/>
              </w:rPr>
              <w:t>2</w:t>
            </w:r>
            <w:r w:rsidR="00DA11C3" w:rsidRPr="00DA11C3">
              <w:rPr>
                <w:rFonts w:ascii="Book Antiqua" w:hAnsi="Book Antiqua" w:cs="Times New Roman"/>
                <w:vertAlign w:val="superscript"/>
              </w:rPr>
              <w:t>]</w:t>
            </w:r>
          </w:p>
        </w:tc>
        <w:tc>
          <w:tcPr>
            <w:tcW w:w="850" w:type="dxa"/>
            <w:noWrap/>
            <w:hideMark/>
          </w:tcPr>
          <w:p w14:paraId="4A36E55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2019</w:t>
            </w:r>
          </w:p>
        </w:tc>
        <w:tc>
          <w:tcPr>
            <w:tcW w:w="1276" w:type="dxa"/>
            <w:noWrap/>
            <w:hideMark/>
          </w:tcPr>
          <w:p w14:paraId="3707FE6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United States</w:t>
            </w:r>
          </w:p>
        </w:tc>
        <w:tc>
          <w:tcPr>
            <w:tcW w:w="2268" w:type="dxa"/>
            <w:noWrap/>
            <w:hideMark/>
          </w:tcPr>
          <w:p w14:paraId="48B6EB04"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Phase II, open label, </w:t>
            </w:r>
            <w:proofErr w:type="spellStart"/>
            <w:r w:rsidRPr="00427FAF">
              <w:rPr>
                <w:rFonts w:ascii="Book Antiqua" w:hAnsi="Book Antiqua" w:cs="Times New Roman"/>
              </w:rPr>
              <w:t>multicenter</w:t>
            </w:r>
            <w:proofErr w:type="spellEnd"/>
            <w:r w:rsidRPr="00427FAF">
              <w:rPr>
                <w:rFonts w:ascii="Book Antiqua" w:hAnsi="Book Antiqua" w:cs="Times New Roman"/>
              </w:rPr>
              <w:t>, randomized trial</w:t>
            </w:r>
          </w:p>
        </w:tc>
        <w:tc>
          <w:tcPr>
            <w:tcW w:w="1701" w:type="dxa"/>
            <w:noWrap/>
            <w:hideMark/>
          </w:tcPr>
          <w:p w14:paraId="2C62C422"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1 </w:t>
            </w:r>
            <w:proofErr w:type="spellStart"/>
            <w:r w:rsidRPr="00427FAF">
              <w:rPr>
                <w:rFonts w:ascii="Book Antiqua" w:hAnsi="Book Antiqua" w:cs="Times New Roman"/>
              </w:rPr>
              <w:t>yr</w:t>
            </w:r>
            <w:proofErr w:type="spellEnd"/>
          </w:p>
        </w:tc>
        <w:tc>
          <w:tcPr>
            <w:tcW w:w="1417" w:type="dxa"/>
          </w:tcPr>
          <w:p w14:paraId="640B115C"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29</w:t>
            </w:r>
          </w:p>
        </w:tc>
        <w:tc>
          <w:tcPr>
            <w:tcW w:w="993" w:type="dxa"/>
            <w:noWrap/>
            <w:hideMark/>
          </w:tcPr>
          <w:p w14:paraId="17A5DB6E"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Deceased</w:t>
            </w:r>
          </w:p>
        </w:tc>
        <w:tc>
          <w:tcPr>
            <w:tcW w:w="850" w:type="dxa"/>
            <w:noWrap/>
            <w:hideMark/>
          </w:tcPr>
          <w:p w14:paraId="50DFB8BE"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54.4</w:t>
            </w:r>
          </w:p>
        </w:tc>
        <w:tc>
          <w:tcPr>
            <w:tcW w:w="1701" w:type="dxa"/>
            <w:noWrap/>
            <w:hideMark/>
          </w:tcPr>
          <w:p w14:paraId="31BF2A3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Mycophenolate mofetil, mycophenolic acid sodium, prednisone, or azathioprine</w:t>
            </w:r>
          </w:p>
        </w:tc>
      </w:tr>
      <w:tr w:rsidR="00C07E1E" w:rsidRPr="00427FAF" w14:paraId="55DCE16C" w14:textId="77777777" w:rsidTr="00DA11C3">
        <w:trPr>
          <w:trHeight w:val="298"/>
        </w:trPr>
        <w:tc>
          <w:tcPr>
            <w:tcW w:w="1101" w:type="dxa"/>
            <w:noWrap/>
          </w:tcPr>
          <w:p w14:paraId="72FBA460" w14:textId="476705FB" w:rsidR="00C07E1E" w:rsidRPr="00427FAF" w:rsidRDefault="00C07E1E" w:rsidP="00DA11C3">
            <w:pPr>
              <w:adjustRightInd w:val="0"/>
              <w:spacing w:line="360" w:lineRule="auto"/>
              <w:jc w:val="both"/>
              <w:rPr>
                <w:rFonts w:ascii="Book Antiqua" w:hAnsi="Book Antiqua" w:cs="Times New Roman"/>
              </w:rPr>
            </w:pPr>
            <w:r w:rsidRPr="00427FAF">
              <w:rPr>
                <w:rFonts w:ascii="Book Antiqua" w:hAnsi="Book Antiqua" w:cs="Times New Roman"/>
              </w:rPr>
              <w:t>Fischer</w:t>
            </w:r>
            <w:r w:rsidR="00DA11C3" w:rsidRPr="00DA11C3">
              <w:rPr>
                <w:rFonts w:ascii="Book Antiqua" w:hAnsi="Book Antiqua" w:cs="Times New Roman"/>
                <w:i/>
              </w:rPr>
              <w:t xml:space="preserve"> et al</w:t>
            </w:r>
            <w:r w:rsidR="00DA11C3" w:rsidRPr="00DA11C3">
              <w:rPr>
                <w:rFonts w:ascii="Book Antiqua" w:hAnsi="Book Antiqua" w:cs="Times New Roman"/>
                <w:vertAlign w:val="superscript"/>
              </w:rPr>
              <w:t>[1</w:t>
            </w:r>
            <w:r w:rsidR="00DA11C3">
              <w:rPr>
                <w:rFonts w:ascii="Book Antiqua" w:hAnsi="Book Antiqua" w:cs="Times New Roman"/>
                <w:vertAlign w:val="superscript"/>
              </w:rPr>
              <w:t>6</w:t>
            </w:r>
            <w:r w:rsidR="00DA11C3" w:rsidRPr="00DA11C3">
              <w:rPr>
                <w:rFonts w:ascii="Book Antiqua" w:hAnsi="Book Antiqua" w:cs="Times New Roman"/>
                <w:vertAlign w:val="superscript"/>
              </w:rPr>
              <w:t>]</w:t>
            </w:r>
          </w:p>
        </w:tc>
        <w:tc>
          <w:tcPr>
            <w:tcW w:w="850" w:type="dxa"/>
            <w:noWrap/>
          </w:tcPr>
          <w:p w14:paraId="3ADDE818"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2010</w:t>
            </w:r>
          </w:p>
        </w:tc>
        <w:tc>
          <w:tcPr>
            <w:tcW w:w="1276" w:type="dxa"/>
            <w:noWrap/>
          </w:tcPr>
          <w:p w14:paraId="6E1DA5E0"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Germany</w:t>
            </w:r>
          </w:p>
        </w:tc>
        <w:tc>
          <w:tcPr>
            <w:tcW w:w="2268" w:type="dxa"/>
            <w:noWrap/>
          </w:tcPr>
          <w:p w14:paraId="02717552"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Randomized, phase II, </w:t>
            </w:r>
            <w:proofErr w:type="spellStart"/>
            <w:r w:rsidRPr="00427FAF">
              <w:rPr>
                <w:rFonts w:ascii="Book Antiqua" w:hAnsi="Book Antiqua" w:cs="Times New Roman"/>
              </w:rPr>
              <w:t>multicenter</w:t>
            </w:r>
            <w:proofErr w:type="spellEnd"/>
            <w:r w:rsidRPr="00427FAF">
              <w:rPr>
                <w:rFonts w:ascii="Book Antiqua" w:hAnsi="Book Antiqua" w:cs="Times New Roman"/>
              </w:rPr>
              <w:t>, open-label, prospective trial</w:t>
            </w:r>
          </w:p>
        </w:tc>
        <w:tc>
          <w:tcPr>
            <w:tcW w:w="1701" w:type="dxa"/>
            <w:noWrap/>
          </w:tcPr>
          <w:p w14:paraId="55AE707A"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6 </w:t>
            </w:r>
            <w:proofErr w:type="spellStart"/>
            <w:r w:rsidRPr="00427FAF">
              <w:rPr>
                <w:rFonts w:ascii="Book Antiqua" w:hAnsi="Book Antiqua" w:cs="Times New Roman"/>
              </w:rPr>
              <w:t>wk</w:t>
            </w:r>
            <w:proofErr w:type="spellEnd"/>
          </w:p>
        </w:tc>
        <w:tc>
          <w:tcPr>
            <w:tcW w:w="1417" w:type="dxa"/>
          </w:tcPr>
          <w:p w14:paraId="201DE02D"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129</w:t>
            </w:r>
          </w:p>
        </w:tc>
        <w:tc>
          <w:tcPr>
            <w:tcW w:w="993" w:type="dxa"/>
            <w:noWrap/>
          </w:tcPr>
          <w:p w14:paraId="352DDF63"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NR</w:t>
            </w:r>
          </w:p>
        </w:tc>
        <w:tc>
          <w:tcPr>
            <w:tcW w:w="850" w:type="dxa"/>
            <w:noWrap/>
          </w:tcPr>
          <w:p w14:paraId="3BDFA5EB"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47</w:t>
            </w:r>
          </w:p>
        </w:tc>
        <w:tc>
          <w:tcPr>
            <w:tcW w:w="1701" w:type="dxa"/>
            <w:noWrap/>
          </w:tcPr>
          <w:p w14:paraId="0DECF0C1" w14:textId="77777777" w:rsidR="00C07E1E" w:rsidRPr="00427FAF" w:rsidRDefault="00C07E1E" w:rsidP="00ED01BB">
            <w:pPr>
              <w:adjustRightInd w:val="0"/>
              <w:spacing w:line="360" w:lineRule="auto"/>
              <w:jc w:val="both"/>
              <w:rPr>
                <w:rFonts w:ascii="Book Antiqua" w:hAnsi="Book Antiqua" w:cs="Times New Roman"/>
              </w:rPr>
            </w:pPr>
            <w:r w:rsidRPr="00427FAF">
              <w:rPr>
                <w:rFonts w:ascii="Book Antiqua" w:hAnsi="Book Antiqua" w:cs="Times New Roman"/>
              </w:rPr>
              <w:t xml:space="preserve">Anti-fungal, antibiotics, anti-hypertensives, </w:t>
            </w:r>
            <w:r w:rsidRPr="00427FAF">
              <w:rPr>
                <w:rFonts w:ascii="Book Antiqua" w:hAnsi="Book Antiqua" w:cs="Times New Roman"/>
              </w:rPr>
              <w:lastRenderedPageBreak/>
              <w:t>antiepileptics and rifampicin)</w:t>
            </w:r>
          </w:p>
        </w:tc>
      </w:tr>
    </w:tbl>
    <w:p w14:paraId="1CE45C4B" w14:textId="5861EFB6" w:rsidR="00A77B3E" w:rsidRPr="00ED01BB" w:rsidRDefault="00C07E1E" w:rsidP="00ED01BB">
      <w:pPr>
        <w:adjustRightInd w:val="0"/>
        <w:spacing w:line="360" w:lineRule="auto"/>
        <w:jc w:val="both"/>
        <w:rPr>
          <w:rFonts w:ascii="Book Antiqua" w:hAnsi="Book Antiqua"/>
        </w:rPr>
      </w:pPr>
      <w:r w:rsidRPr="00ED01BB">
        <w:rPr>
          <w:rFonts w:ascii="Book Antiqua" w:hAnsi="Book Antiqua"/>
        </w:rPr>
        <w:lastRenderedPageBreak/>
        <w:t>NR: Not reported</w:t>
      </w:r>
      <w:r w:rsidR="007D2BAA">
        <w:rPr>
          <w:rFonts w:ascii="Book Antiqua" w:hAnsi="Book Antiqua"/>
        </w:rPr>
        <w:t>.</w:t>
      </w:r>
    </w:p>
    <w:sectPr w:rsidR="00A77B3E" w:rsidRPr="00ED01BB" w:rsidSect="00943AB9">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C193" w14:textId="77777777" w:rsidR="007075F9" w:rsidRDefault="007075F9" w:rsidP="00427FAF">
      <w:r>
        <w:separator/>
      </w:r>
    </w:p>
  </w:endnote>
  <w:endnote w:type="continuationSeparator" w:id="0">
    <w:p w14:paraId="5ADB495D" w14:textId="77777777" w:rsidR="007075F9" w:rsidRDefault="007075F9" w:rsidP="0042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450507"/>
      <w:docPartObj>
        <w:docPartGallery w:val="Page Numbers (Bottom of Page)"/>
        <w:docPartUnique/>
      </w:docPartObj>
    </w:sdtPr>
    <w:sdtEndPr/>
    <w:sdtContent>
      <w:sdt>
        <w:sdtPr>
          <w:id w:val="-1769616900"/>
          <w:docPartObj>
            <w:docPartGallery w:val="Page Numbers (Top of Page)"/>
            <w:docPartUnique/>
          </w:docPartObj>
        </w:sdtPr>
        <w:sdtEndPr/>
        <w:sdtContent>
          <w:p w14:paraId="4636C792" w14:textId="2ADF28B2" w:rsidR="00427FAF" w:rsidRDefault="00427FA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16FB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16FB0">
              <w:rPr>
                <w:b/>
                <w:bCs/>
                <w:noProof/>
              </w:rPr>
              <w:t>24</w:t>
            </w:r>
            <w:r>
              <w:rPr>
                <w:b/>
                <w:bCs/>
                <w:sz w:val="24"/>
                <w:szCs w:val="24"/>
              </w:rPr>
              <w:fldChar w:fldCharType="end"/>
            </w:r>
          </w:p>
        </w:sdtContent>
      </w:sdt>
    </w:sdtContent>
  </w:sdt>
  <w:p w14:paraId="7D521A95" w14:textId="77777777" w:rsidR="00427FAF" w:rsidRDefault="00427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8CE29" w14:textId="77777777" w:rsidR="007075F9" w:rsidRDefault="007075F9" w:rsidP="00427FAF">
      <w:r>
        <w:separator/>
      </w:r>
    </w:p>
  </w:footnote>
  <w:footnote w:type="continuationSeparator" w:id="0">
    <w:p w14:paraId="415FABDF" w14:textId="77777777" w:rsidR="007075F9" w:rsidRDefault="007075F9" w:rsidP="0042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F19"/>
    <w:rsid w:val="00036942"/>
    <w:rsid w:val="00052BBC"/>
    <w:rsid w:val="00071176"/>
    <w:rsid w:val="00094082"/>
    <w:rsid w:val="000E055A"/>
    <w:rsid w:val="0014095C"/>
    <w:rsid w:val="0019312E"/>
    <w:rsid w:val="00216FB0"/>
    <w:rsid w:val="00297C9A"/>
    <w:rsid w:val="002E662A"/>
    <w:rsid w:val="003178D8"/>
    <w:rsid w:val="00427FAF"/>
    <w:rsid w:val="005B08A2"/>
    <w:rsid w:val="006B5AFD"/>
    <w:rsid w:val="006F4A9B"/>
    <w:rsid w:val="007075F9"/>
    <w:rsid w:val="00726A63"/>
    <w:rsid w:val="007D2BAA"/>
    <w:rsid w:val="0087455B"/>
    <w:rsid w:val="008B65D7"/>
    <w:rsid w:val="008D088C"/>
    <w:rsid w:val="00943AB9"/>
    <w:rsid w:val="009613D4"/>
    <w:rsid w:val="00985626"/>
    <w:rsid w:val="009C3086"/>
    <w:rsid w:val="00A1116C"/>
    <w:rsid w:val="00A6420B"/>
    <w:rsid w:val="00A674D6"/>
    <w:rsid w:val="00A73571"/>
    <w:rsid w:val="00A77B3E"/>
    <w:rsid w:val="00AA0F36"/>
    <w:rsid w:val="00AB41D7"/>
    <w:rsid w:val="00B02426"/>
    <w:rsid w:val="00B1449A"/>
    <w:rsid w:val="00B8060B"/>
    <w:rsid w:val="00BF1119"/>
    <w:rsid w:val="00C07E1E"/>
    <w:rsid w:val="00C21F52"/>
    <w:rsid w:val="00C236EA"/>
    <w:rsid w:val="00C26501"/>
    <w:rsid w:val="00C44712"/>
    <w:rsid w:val="00CA2A55"/>
    <w:rsid w:val="00D4122D"/>
    <w:rsid w:val="00DA11C3"/>
    <w:rsid w:val="00E44A25"/>
    <w:rsid w:val="00ED01BB"/>
    <w:rsid w:val="00F054C9"/>
    <w:rsid w:val="00F06884"/>
    <w:rsid w:val="00F9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7925A"/>
  <w15:docId w15:val="{DFEB35CA-14B5-48DA-B7A3-925A6450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E1E"/>
    <w:rPr>
      <w:rFonts w:cstheme="minorBidi"/>
      <w:sz w:val="24"/>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27F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7FAF"/>
    <w:rPr>
      <w:sz w:val="18"/>
      <w:szCs w:val="18"/>
    </w:rPr>
  </w:style>
  <w:style w:type="paragraph" w:styleId="Footer">
    <w:name w:val="footer"/>
    <w:basedOn w:val="Normal"/>
    <w:link w:val="FooterChar"/>
    <w:uiPriority w:val="99"/>
    <w:unhideWhenUsed/>
    <w:rsid w:val="00427FA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27FAF"/>
    <w:rPr>
      <w:sz w:val="18"/>
      <w:szCs w:val="18"/>
    </w:rPr>
  </w:style>
  <w:style w:type="character" w:styleId="Hyperlink">
    <w:name w:val="Hyperlink"/>
    <w:basedOn w:val="DefaultParagraphFont"/>
    <w:unhideWhenUsed/>
    <w:rsid w:val="00B14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2021-02-18T19:36:00Z</dcterms:created>
  <dcterms:modified xsi:type="dcterms:W3CDTF">2021-02-18T19:43:00Z</dcterms:modified>
</cp:coreProperties>
</file>