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B6ED" w14:textId="77777777" w:rsidR="00A77B3E" w:rsidRDefault="00F35BF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486AB5" w14:textId="77777777" w:rsidR="00A77B3E" w:rsidRDefault="00F35BF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57299</w:t>
      </w:r>
    </w:p>
    <w:p w14:paraId="3632636E" w14:textId="77777777" w:rsidR="00A77B3E" w:rsidRDefault="00F35BF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1D4199" w14:textId="77777777" w:rsidR="00A77B3E" w:rsidRDefault="00A77B3E">
      <w:pPr>
        <w:spacing w:line="360" w:lineRule="auto"/>
        <w:jc w:val="both"/>
      </w:pPr>
    </w:p>
    <w:p w14:paraId="6B6A6970" w14:textId="77777777" w:rsidR="00A77B3E" w:rsidRDefault="00F35BF8">
      <w:pPr>
        <w:spacing w:line="360" w:lineRule="auto"/>
        <w:jc w:val="both"/>
      </w:pPr>
      <w:r>
        <w:rPr>
          <w:rFonts w:ascii="Book Antiqua" w:eastAsia="Book Antiqua" w:hAnsi="Book Antiqua" w:cs="Book Antiqua"/>
          <w:b/>
          <w:i/>
          <w:color w:val="000000"/>
        </w:rPr>
        <w:t>Observational Study</w:t>
      </w:r>
    </w:p>
    <w:p w14:paraId="6C5BEC3D" w14:textId="787E11B8" w:rsidR="00A77B3E" w:rsidRDefault="00F35BF8">
      <w:pPr>
        <w:spacing w:line="360" w:lineRule="auto"/>
        <w:jc w:val="both"/>
      </w:pPr>
      <w:r>
        <w:rPr>
          <w:rFonts w:ascii="Book Antiqua" w:eastAsia="Book Antiqua" w:hAnsi="Book Antiqua" w:cs="Book Antiqua"/>
          <w:b/>
          <w:color w:val="000000"/>
        </w:rPr>
        <w:t>Acute gastrointestinal injury in critically ill patients with</w:t>
      </w:r>
      <w:r w:rsidR="005802BF">
        <w:rPr>
          <w:rFonts w:ascii="Book Antiqua" w:eastAsia="Book Antiqua" w:hAnsi="Book Antiqua" w:cs="Book Antiqua"/>
          <w:b/>
          <w:color w:val="000000"/>
        </w:rPr>
        <w:t xml:space="preserve"> </w:t>
      </w:r>
      <w:r w:rsidR="00895111" w:rsidRPr="00895111">
        <w:rPr>
          <w:rFonts w:ascii="Book Antiqua" w:eastAsia="Book Antiqua" w:hAnsi="Book Antiqua" w:cs="Book Antiqua"/>
          <w:b/>
          <w:color w:val="000000"/>
        </w:rPr>
        <w:t>COVID-19</w:t>
      </w:r>
      <w:r>
        <w:rPr>
          <w:rFonts w:ascii="Book Antiqua" w:eastAsia="Book Antiqua" w:hAnsi="Book Antiqua" w:cs="Book Antiqua"/>
          <w:b/>
          <w:color w:val="000000"/>
        </w:rPr>
        <w:t xml:space="preserve"> in Wuhan, China</w:t>
      </w:r>
    </w:p>
    <w:p w14:paraId="1D82D86C" w14:textId="77777777" w:rsidR="00A77B3E" w:rsidRDefault="00A77B3E">
      <w:pPr>
        <w:spacing w:line="360" w:lineRule="auto"/>
        <w:jc w:val="both"/>
      </w:pPr>
    </w:p>
    <w:p w14:paraId="3FB56F3E" w14:textId="51DA0C3F" w:rsidR="00A77B3E" w:rsidRDefault="00AE081A">
      <w:pPr>
        <w:spacing w:line="360" w:lineRule="auto"/>
        <w:jc w:val="both"/>
      </w:pPr>
      <w:r>
        <w:rPr>
          <w:rFonts w:ascii="Book Antiqua" w:eastAsia="Book Antiqua" w:hAnsi="Book Antiqua" w:cs="Book Antiqua"/>
          <w:color w:val="000000"/>
        </w:rPr>
        <w:t xml:space="preserve">Sun JK </w:t>
      </w:r>
      <w:r w:rsidRPr="005144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35BF8">
        <w:rPr>
          <w:rFonts w:ascii="Book Antiqua" w:eastAsia="Book Antiqua" w:hAnsi="Book Antiqua" w:cs="Book Antiqua"/>
          <w:color w:val="000000"/>
        </w:rPr>
        <w:t>AGI and COVID-19</w:t>
      </w:r>
    </w:p>
    <w:p w14:paraId="2E79665B" w14:textId="77777777" w:rsidR="00A77B3E" w:rsidRDefault="00A77B3E">
      <w:pPr>
        <w:spacing w:line="360" w:lineRule="auto"/>
        <w:jc w:val="both"/>
      </w:pPr>
    </w:p>
    <w:p w14:paraId="025879D1" w14:textId="77777777" w:rsidR="00A77B3E" w:rsidRDefault="00F35BF8">
      <w:pPr>
        <w:spacing w:line="360" w:lineRule="auto"/>
        <w:jc w:val="both"/>
      </w:pPr>
      <w:r>
        <w:rPr>
          <w:rFonts w:ascii="Book Antiqua" w:eastAsia="Book Antiqua" w:hAnsi="Book Antiqua" w:cs="Book Antiqua"/>
          <w:color w:val="000000"/>
        </w:rPr>
        <w:t>Jia-</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 Sun, Ying Liu, Lei Zou, Wen-Hao Zhang, Jing-Jing Li, Yu Wang, Xiao-Hua Kan, Jiu-Dong Chen, Qian-</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Shi, Shou-Tao Yuan</w:t>
      </w:r>
    </w:p>
    <w:p w14:paraId="174608B7" w14:textId="77777777" w:rsidR="00A77B3E" w:rsidRDefault="00A77B3E">
      <w:pPr>
        <w:spacing w:line="360" w:lineRule="auto"/>
        <w:jc w:val="both"/>
      </w:pPr>
    </w:p>
    <w:p w14:paraId="74C91A63" w14:textId="77777777" w:rsidR="00A77B3E" w:rsidRDefault="00F35BF8">
      <w:pPr>
        <w:spacing w:line="360" w:lineRule="auto"/>
        <w:jc w:val="both"/>
      </w:pPr>
      <w:r>
        <w:rPr>
          <w:rFonts w:ascii="Book Antiqua" w:eastAsia="Book Antiqua" w:hAnsi="Book Antiqua" w:cs="Book Antiqua"/>
          <w:b/>
          <w:bCs/>
          <w:color w:val="000000"/>
        </w:rPr>
        <w:t>Jia-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Sun, Ying Liu, Lei Zou, Wen-Hao Zhang, Yu Wang, Xiao-Hua Kan, Jiu-Dong Chen, Qian-</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Shi, Shou-Tao Yuan, </w:t>
      </w:r>
      <w:r>
        <w:rPr>
          <w:rFonts w:ascii="Book Antiqua" w:eastAsia="Book Antiqua" w:hAnsi="Book Antiqua" w:cs="Book Antiqua"/>
          <w:color w:val="000000"/>
        </w:rPr>
        <w:t>Department of Intensive Care Unit, Nanjing First Hospital, Nanjing Medical University, Nanjing 210006, Jiangsu Province, China</w:t>
      </w:r>
    </w:p>
    <w:p w14:paraId="62064ADD" w14:textId="77777777" w:rsidR="00A77B3E" w:rsidRDefault="00A77B3E">
      <w:pPr>
        <w:spacing w:line="360" w:lineRule="auto"/>
        <w:jc w:val="both"/>
      </w:pPr>
    </w:p>
    <w:p w14:paraId="2672E6B7" w14:textId="77777777" w:rsidR="00A77B3E" w:rsidRDefault="00F35BF8">
      <w:pPr>
        <w:spacing w:line="360" w:lineRule="auto"/>
        <w:jc w:val="both"/>
      </w:pPr>
      <w:r>
        <w:rPr>
          <w:rFonts w:ascii="Book Antiqua" w:eastAsia="Book Antiqua" w:hAnsi="Book Antiqua" w:cs="Book Antiqua"/>
          <w:b/>
          <w:bCs/>
          <w:color w:val="000000"/>
        </w:rPr>
        <w:t>Jia-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Sun, Ying Liu, Lei Zou, Wen-Hao Zhang, Jing-Jing Li, Yu Wang, Xiao-Hua Kan, Qian-</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Shi, Shou-Tao Yuan, </w:t>
      </w:r>
      <w:r>
        <w:rPr>
          <w:rFonts w:ascii="Book Antiqua" w:eastAsia="Book Antiqua" w:hAnsi="Book Antiqua" w:cs="Book Antiqua"/>
          <w:color w:val="000000"/>
        </w:rPr>
        <w:t>Department of Isolation Units, Tongji Hospital, Huazhong University of Science and Technology, Wuhan 430030, Hubei Province, China</w:t>
      </w:r>
    </w:p>
    <w:p w14:paraId="2109B993" w14:textId="77777777" w:rsidR="00A77B3E" w:rsidRDefault="00A77B3E">
      <w:pPr>
        <w:spacing w:line="360" w:lineRule="auto"/>
        <w:jc w:val="both"/>
      </w:pPr>
    </w:p>
    <w:p w14:paraId="0D20EDA2" w14:textId="77777777" w:rsidR="00A77B3E" w:rsidRDefault="00F35BF8">
      <w:pPr>
        <w:spacing w:line="360" w:lineRule="auto"/>
        <w:jc w:val="both"/>
      </w:pPr>
      <w:r>
        <w:rPr>
          <w:rFonts w:ascii="Book Antiqua" w:eastAsia="Book Antiqua" w:hAnsi="Book Antiqua" w:cs="Book Antiqua"/>
          <w:b/>
          <w:bCs/>
          <w:color w:val="000000"/>
        </w:rPr>
        <w:t xml:space="preserve">Jing-Jing Li, </w:t>
      </w:r>
      <w:r>
        <w:rPr>
          <w:rFonts w:ascii="Book Antiqua" w:eastAsia="Book Antiqua" w:hAnsi="Book Antiqua" w:cs="Book Antiqua"/>
          <w:color w:val="000000"/>
        </w:rPr>
        <w:t xml:space="preserve">Department of Intensive Care Unit,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Nanjing 211200, Jiangsu Province, China</w:t>
      </w:r>
    </w:p>
    <w:p w14:paraId="4349204A" w14:textId="77777777" w:rsidR="00A77B3E" w:rsidRDefault="00A77B3E">
      <w:pPr>
        <w:spacing w:line="360" w:lineRule="auto"/>
        <w:jc w:val="both"/>
      </w:pPr>
    </w:p>
    <w:p w14:paraId="676898D0" w14:textId="68043E9C" w:rsidR="00A77B3E" w:rsidRDefault="00F35BF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Sun JK and Liu Y contributed equally to this study; Sun JK, Shi QK and Yuan ST designed the research; Sun JK, Liu Y, Zou L, Zhang WH, Li JJ, Wang Y, Kan XH and Chen JD performed the research; Sun JK, Liu Y and Zou L analyzed the </w:t>
      </w:r>
      <w:r>
        <w:rPr>
          <w:rFonts w:ascii="Book Antiqua" w:eastAsia="Book Antiqua" w:hAnsi="Book Antiqua" w:cs="Book Antiqua"/>
          <w:color w:val="000000"/>
        </w:rPr>
        <w:lastRenderedPageBreak/>
        <w:t>data; Sun JK and Zou L wrote the paper; Shi QK and Yuan ST  are both corresponding authors.</w:t>
      </w:r>
    </w:p>
    <w:p w14:paraId="32BB4CEA" w14:textId="77777777" w:rsidR="00A77B3E" w:rsidRDefault="00A77B3E">
      <w:pPr>
        <w:spacing w:line="360" w:lineRule="auto"/>
        <w:jc w:val="both"/>
      </w:pPr>
    </w:p>
    <w:p w14:paraId="56826F51" w14:textId="77777777" w:rsidR="00A77B3E" w:rsidRDefault="00F35BF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81701881; and Nanjing Medical Science and Technology Development Foundation, No. YKK17102.</w:t>
      </w:r>
    </w:p>
    <w:p w14:paraId="64F56D1C" w14:textId="77777777" w:rsidR="00A77B3E" w:rsidRDefault="00A77B3E">
      <w:pPr>
        <w:spacing w:line="360" w:lineRule="auto"/>
        <w:jc w:val="both"/>
      </w:pPr>
    </w:p>
    <w:p w14:paraId="3667C096" w14:textId="77777777" w:rsidR="00A77B3E" w:rsidRDefault="00F35BF8">
      <w:pPr>
        <w:spacing w:line="360" w:lineRule="auto"/>
        <w:jc w:val="both"/>
      </w:pPr>
      <w:r>
        <w:rPr>
          <w:rFonts w:ascii="Book Antiqua" w:eastAsia="Book Antiqua" w:hAnsi="Book Antiqua" w:cs="Book Antiqua"/>
          <w:b/>
          <w:bCs/>
          <w:color w:val="000000"/>
        </w:rPr>
        <w:t xml:space="preserve">Corresponding author: Qian-Kun Shi, MD, Doctor, </w:t>
      </w:r>
      <w:r>
        <w:rPr>
          <w:rFonts w:ascii="Book Antiqua" w:eastAsia="Book Antiqua" w:hAnsi="Book Antiqua" w:cs="Book Antiqua"/>
          <w:color w:val="000000"/>
        </w:rPr>
        <w:t xml:space="preserve">Department of Intensive Care Unit, Nanjing First Hospital, Nanjing Medical University, No. 68 </w:t>
      </w:r>
      <w:proofErr w:type="spellStart"/>
      <w:r>
        <w:rPr>
          <w:rFonts w:ascii="Book Antiqua" w:eastAsia="Book Antiqua" w:hAnsi="Book Antiqua" w:cs="Book Antiqua"/>
          <w:color w:val="000000"/>
        </w:rPr>
        <w:t>Changle</w:t>
      </w:r>
      <w:proofErr w:type="spellEnd"/>
      <w:r>
        <w:rPr>
          <w:rFonts w:ascii="Book Antiqua" w:eastAsia="Book Antiqua" w:hAnsi="Book Antiqua" w:cs="Book Antiqua"/>
          <w:color w:val="000000"/>
        </w:rPr>
        <w:t xml:space="preserve"> Road, Nanjing 210006, Jiangsu Province, China. njdrsqw2019@163.com</w:t>
      </w:r>
    </w:p>
    <w:p w14:paraId="4554062B" w14:textId="77777777" w:rsidR="00A77B3E" w:rsidRDefault="00A77B3E">
      <w:pPr>
        <w:spacing w:line="360" w:lineRule="auto"/>
        <w:jc w:val="both"/>
      </w:pPr>
    </w:p>
    <w:p w14:paraId="437D8AFE" w14:textId="77777777" w:rsidR="00A77B3E" w:rsidRDefault="00F35BF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2020</w:t>
      </w:r>
    </w:p>
    <w:p w14:paraId="424A1747" w14:textId="77777777" w:rsidR="00A77B3E" w:rsidRDefault="00F35BF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2020</w:t>
      </w:r>
    </w:p>
    <w:p w14:paraId="2F6BD2F0" w14:textId="59AD8490" w:rsidR="00A77B3E" w:rsidRDefault="00F35BF8">
      <w:pPr>
        <w:spacing w:line="360" w:lineRule="auto"/>
        <w:jc w:val="both"/>
      </w:pPr>
      <w:r>
        <w:rPr>
          <w:rFonts w:ascii="Book Antiqua" w:eastAsia="Book Antiqua" w:hAnsi="Book Antiqua" w:cs="Book Antiqua"/>
          <w:b/>
          <w:bCs/>
          <w:color w:val="000000"/>
        </w:rPr>
        <w:t xml:space="preserve">Accepted: </w:t>
      </w:r>
      <w:r w:rsidR="009C0D27" w:rsidRPr="009C0D27">
        <w:rPr>
          <w:rFonts w:ascii="Book Antiqua" w:eastAsia="Book Antiqua" w:hAnsi="Book Antiqua" w:cs="Book Antiqua"/>
          <w:color w:val="000000"/>
        </w:rPr>
        <w:t>September 16, 2020</w:t>
      </w:r>
    </w:p>
    <w:p w14:paraId="56881A5A" w14:textId="77777777" w:rsidR="00A77B3E" w:rsidRDefault="00F35BF8">
      <w:pPr>
        <w:spacing w:line="360" w:lineRule="auto"/>
        <w:jc w:val="both"/>
      </w:pPr>
      <w:r>
        <w:rPr>
          <w:rFonts w:ascii="Book Antiqua" w:eastAsia="Book Antiqua" w:hAnsi="Book Antiqua" w:cs="Book Antiqua"/>
          <w:b/>
          <w:bCs/>
          <w:color w:val="000000"/>
        </w:rPr>
        <w:t xml:space="preserve">Published online: </w:t>
      </w:r>
    </w:p>
    <w:p w14:paraId="3E67CE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F65375B" w14:textId="77777777" w:rsidR="00A77B3E" w:rsidRDefault="00F35BF8">
      <w:pPr>
        <w:spacing w:line="360" w:lineRule="auto"/>
        <w:jc w:val="both"/>
      </w:pPr>
      <w:r>
        <w:rPr>
          <w:rFonts w:ascii="Book Antiqua" w:eastAsia="Book Antiqua" w:hAnsi="Book Antiqua" w:cs="Book Antiqua"/>
          <w:b/>
          <w:color w:val="000000"/>
        </w:rPr>
        <w:lastRenderedPageBreak/>
        <w:t>Abstract</w:t>
      </w:r>
    </w:p>
    <w:p w14:paraId="590968E9" w14:textId="77777777" w:rsidR="00A77B3E" w:rsidRDefault="00F35BF8">
      <w:pPr>
        <w:spacing w:line="360" w:lineRule="auto"/>
        <w:jc w:val="both"/>
      </w:pPr>
      <w:r>
        <w:rPr>
          <w:rFonts w:ascii="Book Antiqua" w:eastAsia="Book Antiqua" w:hAnsi="Book Antiqua" w:cs="Book Antiqua"/>
          <w:color w:val="000000"/>
        </w:rPr>
        <w:t>BACKGROUND</w:t>
      </w:r>
    </w:p>
    <w:p w14:paraId="590A9E17" w14:textId="77777777" w:rsidR="00A77B3E" w:rsidRDefault="00F35BF8">
      <w:pPr>
        <w:spacing w:line="360" w:lineRule="auto"/>
        <w:jc w:val="both"/>
      </w:pPr>
      <w:r>
        <w:rPr>
          <w:rFonts w:ascii="Book Antiqua" w:eastAsia="Book Antiqua" w:hAnsi="Book Antiqua" w:cs="Book Antiqua"/>
          <w:color w:val="000000"/>
        </w:rPr>
        <w:t>The coronavirus disease 2019 (COVID-19) is spreading rapidly around the world. Most of the critically ill patients had organ injury, including acute respiratory distress syndrome, acute kidney injury, cardiac injury, or liver dysfunction. However, few literatures on acute gastrointestinal injury (AGI) were reported in critically ill patients with COVID-19.</w:t>
      </w:r>
    </w:p>
    <w:p w14:paraId="075FC455" w14:textId="77777777" w:rsidR="00A77B3E" w:rsidRDefault="00A77B3E">
      <w:pPr>
        <w:spacing w:line="360" w:lineRule="auto"/>
        <w:jc w:val="both"/>
      </w:pPr>
    </w:p>
    <w:p w14:paraId="7FFB9A89" w14:textId="77777777" w:rsidR="00A77B3E" w:rsidRDefault="00F35BF8">
      <w:pPr>
        <w:spacing w:line="360" w:lineRule="auto"/>
        <w:jc w:val="both"/>
      </w:pPr>
      <w:r>
        <w:rPr>
          <w:rFonts w:ascii="Book Antiqua" w:eastAsia="Book Antiqua" w:hAnsi="Book Antiqua" w:cs="Book Antiqua"/>
          <w:color w:val="000000"/>
        </w:rPr>
        <w:t>AIM</w:t>
      </w:r>
    </w:p>
    <w:p w14:paraId="726479AB" w14:textId="77777777" w:rsidR="00A77B3E" w:rsidRDefault="00F35BF8">
      <w:pPr>
        <w:spacing w:line="360" w:lineRule="auto"/>
        <w:jc w:val="both"/>
      </w:pPr>
      <w:r>
        <w:rPr>
          <w:rFonts w:ascii="Book Antiqua" w:eastAsia="Book Antiqua" w:hAnsi="Book Antiqua" w:cs="Book Antiqua"/>
          <w:color w:val="000000"/>
        </w:rPr>
        <w:t>To investigate the prevalence and outcomes of AGI in critically ill patients with COVID-19.</w:t>
      </w:r>
    </w:p>
    <w:p w14:paraId="139C97B9" w14:textId="77777777" w:rsidR="00A77B3E" w:rsidRDefault="00A77B3E">
      <w:pPr>
        <w:spacing w:line="360" w:lineRule="auto"/>
        <w:jc w:val="both"/>
      </w:pPr>
    </w:p>
    <w:p w14:paraId="79755EC2" w14:textId="77777777" w:rsidR="00A77B3E" w:rsidRDefault="00F35BF8">
      <w:pPr>
        <w:spacing w:line="360" w:lineRule="auto"/>
        <w:jc w:val="both"/>
      </w:pPr>
      <w:r>
        <w:rPr>
          <w:rFonts w:ascii="Book Antiqua" w:eastAsia="Book Antiqua" w:hAnsi="Book Antiqua" w:cs="Book Antiqua"/>
          <w:color w:val="000000"/>
        </w:rPr>
        <w:t>METHODS</w:t>
      </w:r>
    </w:p>
    <w:p w14:paraId="26C12E6A" w14:textId="05E2DA84" w:rsidR="00A77B3E" w:rsidRDefault="00F35BF8">
      <w:pPr>
        <w:spacing w:line="360" w:lineRule="auto"/>
        <w:jc w:val="both"/>
      </w:pPr>
      <w:r>
        <w:rPr>
          <w:rFonts w:ascii="Book Antiqua" w:eastAsia="Book Antiqua" w:hAnsi="Book Antiqua" w:cs="Book Antiqua"/>
          <w:color w:val="000000"/>
        </w:rPr>
        <w:t>In this retrospective study, demographic data, laboratory parameters, AGI grades, clinical severity and outcomes were collected. The primary endpoints were AGI incidence and 28-d mortality.</w:t>
      </w:r>
    </w:p>
    <w:p w14:paraId="5C1E6EC0" w14:textId="77777777" w:rsidR="00A77B3E" w:rsidRDefault="00A77B3E">
      <w:pPr>
        <w:spacing w:line="360" w:lineRule="auto"/>
        <w:jc w:val="both"/>
      </w:pPr>
    </w:p>
    <w:p w14:paraId="168B9837" w14:textId="77777777" w:rsidR="00A77B3E" w:rsidRDefault="00F35BF8">
      <w:pPr>
        <w:spacing w:line="360" w:lineRule="auto"/>
        <w:jc w:val="both"/>
      </w:pPr>
      <w:r>
        <w:rPr>
          <w:rFonts w:ascii="Book Antiqua" w:eastAsia="Book Antiqua" w:hAnsi="Book Antiqua" w:cs="Book Antiqua"/>
          <w:color w:val="000000"/>
        </w:rPr>
        <w:t>RESULTS</w:t>
      </w:r>
    </w:p>
    <w:p w14:paraId="045B2F01" w14:textId="360ADB1F" w:rsidR="00A77B3E" w:rsidRDefault="00F35BF8">
      <w:pPr>
        <w:spacing w:line="360" w:lineRule="auto"/>
        <w:jc w:val="both"/>
      </w:pPr>
      <w:r>
        <w:rPr>
          <w:rFonts w:ascii="Book Antiqua" w:eastAsia="Book Antiqua" w:hAnsi="Book Antiqua" w:cs="Book Antiqua"/>
          <w:color w:val="000000"/>
        </w:rPr>
        <w:t xml:space="preserve">From February 10 to March 10 2020, 83 critically ill patients of 1314 patients with COVID-19 were enrolled. Seventy-two (86.7%) patients had AGI during hospital stay, of them, 30 had AGI grade I, 35 had AGI grade II, 5 had AGI grade III, and 2 had AGI grade IV. The incidence of AGI grade II and above was 50.6%. Forty (48.2%) patients died within 28 days of admission. Multiple organ dysfunction syndrome developed in 58 (69.9%) patients, septic shock in 16 (19.3%) patients. Patients with worse AGI grades had worse clinical variables, higher septic shock incidence and 28-d mortality. Sequential organ failure assessment (SOFA) </w:t>
      </w:r>
      <w:r w:rsidR="002D544B">
        <w:rPr>
          <w:rFonts w:ascii="Book Antiqua" w:eastAsia="Book Antiqua" w:hAnsi="Book Antiqua" w:cs="Book Antiqua"/>
          <w:color w:val="000000"/>
        </w:rPr>
        <w:t xml:space="preserve">scores </w:t>
      </w:r>
      <w:r>
        <w:rPr>
          <w:rFonts w:ascii="Book Antiqua" w:eastAsia="Book Antiqua" w:hAnsi="Book Antiqua" w:cs="Book Antiqua"/>
          <w:color w:val="000000"/>
        </w:rPr>
        <w:t>(95%CI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1.374-2.860;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E081A">
        <w:rPr>
          <w:rFonts w:ascii="Book Antiqua" w:eastAsia="Book Antiqua" w:hAnsi="Book Antiqua" w:cs="Book Antiqua"/>
          <w:color w:val="000000"/>
        </w:rPr>
        <w:t xml:space="preserve"> </w:t>
      </w:r>
      <w:r>
        <w:rPr>
          <w:rFonts w:ascii="Book Antiqua" w:eastAsia="Book Antiqua" w:hAnsi="Book Antiqua" w:cs="Book Antiqua"/>
          <w:color w:val="000000"/>
        </w:rPr>
        <w:t>0.001), white blood cell (WBC) counts (95%CI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1.037-1.379;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0.014), duration of mechanical ventilation (MV) (95%CI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1.020-1.340;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0.025) were risk factors for the development of AGI grade II and above.</w:t>
      </w:r>
    </w:p>
    <w:p w14:paraId="3926F59B" w14:textId="77777777" w:rsidR="00A77B3E" w:rsidRDefault="00A77B3E">
      <w:pPr>
        <w:spacing w:line="360" w:lineRule="auto"/>
        <w:jc w:val="both"/>
      </w:pPr>
    </w:p>
    <w:p w14:paraId="26A916A6" w14:textId="77777777" w:rsidR="00A77B3E" w:rsidRDefault="00F35BF8">
      <w:pPr>
        <w:spacing w:line="360" w:lineRule="auto"/>
        <w:jc w:val="both"/>
      </w:pPr>
      <w:r>
        <w:rPr>
          <w:rFonts w:ascii="Book Antiqua" w:eastAsia="Book Antiqua" w:hAnsi="Book Antiqua" w:cs="Book Antiqua"/>
          <w:color w:val="000000"/>
        </w:rPr>
        <w:t>CONCLUSION</w:t>
      </w:r>
    </w:p>
    <w:p w14:paraId="3FD6A1E4" w14:textId="144F12D2" w:rsidR="00A77B3E" w:rsidRDefault="00F35BF8">
      <w:pPr>
        <w:spacing w:line="360" w:lineRule="auto"/>
        <w:jc w:val="both"/>
      </w:pPr>
      <w:r>
        <w:rPr>
          <w:rFonts w:ascii="Book Antiqua" w:eastAsia="Book Antiqua" w:hAnsi="Book Antiqua" w:cs="Book Antiqua"/>
          <w:color w:val="000000"/>
        </w:rPr>
        <w:t>The AGI incidence was 86.7%, and hospital mortality was 48.2% in critically ill patients with COVID-19. SOFA scores, WBC counts, and duration of MV were risk factors for the development of AGI grade II and above. Patients with worse AGI grades had higher septic shock incidence and 28-d mortality.</w:t>
      </w:r>
    </w:p>
    <w:p w14:paraId="280D7B86" w14:textId="77777777" w:rsidR="00A77B3E" w:rsidRDefault="00A77B3E">
      <w:pPr>
        <w:spacing w:line="360" w:lineRule="auto"/>
        <w:jc w:val="both"/>
      </w:pPr>
    </w:p>
    <w:p w14:paraId="28489966" w14:textId="77777777" w:rsidR="00A77B3E" w:rsidRDefault="00F35BF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injury; Organ dysfunction; Septic shock; Critically ill; COVID-19</w:t>
      </w:r>
    </w:p>
    <w:p w14:paraId="0431B01B" w14:textId="77777777" w:rsidR="00A77B3E" w:rsidRDefault="00A77B3E">
      <w:pPr>
        <w:spacing w:line="360" w:lineRule="auto"/>
        <w:jc w:val="both"/>
      </w:pPr>
    </w:p>
    <w:p w14:paraId="013DAB51" w14:textId="28F6601C" w:rsidR="00A77B3E" w:rsidRDefault="00F35BF8">
      <w:pPr>
        <w:spacing w:line="360" w:lineRule="auto"/>
        <w:jc w:val="both"/>
      </w:pPr>
      <w:r>
        <w:rPr>
          <w:rFonts w:ascii="Book Antiqua" w:eastAsia="Book Antiqua" w:hAnsi="Book Antiqua" w:cs="Book Antiqua"/>
          <w:color w:val="000000"/>
        </w:rPr>
        <w:t xml:space="preserve">Sun JK, Liu Y, Zou L, Zhang WH, Li JJ, Wang Y, Kan XH, Chen JD, Shi QK, Yuan ST. Acute gastrointestinal injury in critically ill patients with </w:t>
      </w:r>
      <w:r w:rsidR="002451AA">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in Wuhan, China.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5E1FC0C" w14:textId="77777777" w:rsidR="00A77B3E" w:rsidRDefault="00A77B3E">
      <w:pPr>
        <w:spacing w:line="360" w:lineRule="auto"/>
        <w:jc w:val="both"/>
      </w:pPr>
    </w:p>
    <w:p w14:paraId="398F25FD" w14:textId="49B1C978" w:rsidR="00A77B3E" w:rsidRDefault="00F35BF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the first study to investigate </w:t>
      </w:r>
      <w:r w:rsidR="00AE081A">
        <w:rPr>
          <w:rFonts w:ascii="Book Antiqua" w:eastAsia="Book Antiqua" w:hAnsi="Book Antiqua" w:cs="Book Antiqua"/>
          <w:color w:val="000000"/>
        </w:rPr>
        <w:t>acute gastrointestinal injury (</w:t>
      </w:r>
      <w:r>
        <w:rPr>
          <w:rFonts w:ascii="Book Antiqua" w:eastAsia="Book Antiqua" w:hAnsi="Book Antiqua" w:cs="Book Antiqua"/>
          <w:color w:val="000000"/>
        </w:rPr>
        <w:t>AGI</w:t>
      </w:r>
      <w:r w:rsidR="00AE081A">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 with </w:t>
      </w:r>
      <w:r w:rsidR="00AE081A">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The AGI incidence was 86.7%, and hospital mortality was 48.2% in critically ill patients. </w:t>
      </w:r>
      <w:r>
        <w:rPr>
          <w:rFonts w:ascii="Book Antiqua" w:eastAsia="Book Antiqua" w:hAnsi="Book Antiqua" w:cs="Book Antiqua"/>
          <w:color w:val="000000"/>
        </w:rPr>
        <w:t xml:space="preserve">Sequential organ failure assessment scores, </w:t>
      </w:r>
      <w:r w:rsidR="00AE081A">
        <w:rPr>
          <w:rFonts w:ascii="Book Antiqua" w:eastAsia="Book Antiqua" w:hAnsi="Book Antiqua" w:cs="Book Antiqua"/>
          <w:color w:val="000000"/>
        </w:rPr>
        <w:t>white blood cell</w:t>
      </w:r>
      <w:r>
        <w:rPr>
          <w:rFonts w:ascii="Book Antiqua" w:eastAsia="Book Antiqua" w:hAnsi="Book Antiqua" w:cs="Book Antiqua"/>
          <w:color w:val="000000"/>
        </w:rPr>
        <w:t xml:space="preserve"> counts, and duration of mechanical ventilation were risk factors for the development of AGI grade II and above. Patients with worse AGI grades had worse clinical severity variables, higher septic shock incidence, and higher hospital mortality.</w:t>
      </w:r>
    </w:p>
    <w:p w14:paraId="7D41FDF3" w14:textId="5A072DCC" w:rsidR="00A77B3E" w:rsidRDefault="00AE081A">
      <w:pPr>
        <w:spacing w:line="360" w:lineRule="auto"/>
        <w:jc w:val="both"/>
      </w:pPr>
      <w:r>
        <w:br w:type="page"/>
      </w:r>
      <w:r w:rsidR="00F35BF8">
        <w:rPr>
          <w:rFonts w:ascii="Book Antiqua" w:eastAsia="Book Antiqua" w:hAnsi="Book Antiqua" w:cs="Book Antiqua"/>
          <w:b/>
          <w:caps/>
          <w:color w:val="000000"/>
          <w:u w:val="single"/>
        </w:rPr>
        <w:lastRenderedPageBreak/>
        <w:t>INTRODUCTION</w:t>
      </w:r>
    </w:p>
    <w:p w14:paraId="67B846D1" w14:textId="309A9540" w:rsidR="00A77B3E" w:rsidRDefault="00F35BF8">
      <w:pPr>
        <w:spacing w:line="360" w:lineRule="auto"/>
        <w:jc w:val="both"/>
      </w:pPr>
      <w:r>
        <w:rPr>
          <w:rFonts w:ascii="Book Antiqua" w:eastAsia="Book Antiqua" w:hAnsi="Book Antiqua" w:cs="Book Antiqua"/>
          <w:color w:val="000000"/>
        </w:rPr>
        <w:t xml:space="preserve">In December 2019, clusters of acute pneumonia cases of unclear etiology were identified in Wuhan, the capital of Hubei province in </w:t>
      </w:r>
      <w:proofErr w:type="gramStart"/>
      <w:r>
        <w:rPr>
          <w:rFonts w:ascii="Book Antiqua" w:eastAsia="Book Antiqua" w:hAnsi="Book Antiqua" w:cs="Book Antiqua"/>
          <w:color w:val="000000"/>
        </w:rPr>
        <w:t>China</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pathogen was reported as a novel coronavirus that was named severe acute respiratory syndrome coronavirus 2 (SARS-CoV-2). The World Health Organization (WHO) has made the assessment that coronavirus disease 2019 (COVID-19) can be characterized as a pandemic because the disease is spreading rapidly around the </w:t>
      </w:r>
      <w:proofErr w:type="gramStart"/>
      <w:r>
        <w:rPr>
          <w:rFonts w:ascii="Book Antiqua" w:eastAsia="Book Antiqua" w:hAnsi="Book Antiqua" w:cs="Book Antiqua"/>
          <w:color w:val="000000"/>
        </w:rPr>
        <w:t>world</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As of May 16, a total of 82947 cases (4634 deaths) were confirmed in China, including 50339 cases (3869 deaths) in Wuhan </w:t>
      </w:r>
      <w:proofErr w:type="gramStart"/>
      <w:r>
        <w:rPr>
          <w:rFonts w:ascii="Book Antiqua" w:eastAsia="Book Antiqua" w:hAnsi="Book Antiqua" w:cs="Book Antiqua"/>
          <w:color w:val="000000"/>
        </w:rPr>
        <w:t>city</w:t>
      </w:r>
      <w:r w:rsidR="00AE081A" w:rsidRPr="00AE081A">
        <w:rPr>
          <w:rFonts w:ascii="Book Antiqua" w:eastAsia="Book Antiqua" w:hAnsi="Book Antiqua" w:cs="Book Antiqua"/>
          <w:color w:val="000000"/>
          <w:vertAlign w:val="superscript"/>
        </w:rPr>
        <w:t>[</w:t>
      </w:r>
      <w:proofErr w:type="gramEnd"/>
      <w:r w:rsidR="00AE081A" w:rsidRPr="00AE081A">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3819D5D" w14:textId="1F2C0633" w:rsidR="00A77B3E" w:rsidRDefault="00F35BF8" w:rsidP="00AE081A">
      <w:pPr>
        <w:spacing w:line="360" w:lineRule="auto"/>
        <w:ind w:firstLineChars="100" w:firstLine="240"/>
        <w:jc w:val="both"/>
      </w:pPr>
      <w:r>
        <w:rPr>
          <w:rFonts w:ascii="Book Antiqua" w:eastAsia="Book Antiqua" w:hAnsi="Book Antiqua" w:cs="Book Antiqua"/>
          <w:color w:val="000000"/>
        </w:rPr>
        <w:t xml:space="preserve">The National Health Commission of China has issued a series of diagnosis and treatment recommendations and suggested classifying the disease into four grades: mild, moderate, severe and </w:t>
      </w:r>
      <w:proofErr w:type="gramStart"/>
      <w:r>
        <w:rPr>
          <w:rFonts w:ascii="Book Antiqua" w:eastAsia="Book Antiqua" w:hAnsi="Book Antiqua" w:cs="Book Antiqua"/>
          <w:color w:val="000000"/>
        </w:rPr>
        <w:t>critical</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Recent studies have reported the clinical characteristics and prognosis of COVID-19 with varied </w:t>
      </w:r>
      <w:proofErr w:type="gramStart"/>
      <w:r>
        <w:rPr>
          <w:rFonts w:ascii="Book Antiqua" w:eastAsia="Book Antiqua" w:hAnsi="Book Antiqua" w:cs="Book Antiqua"/>
          <w:color w:val="000000"/>
        </w:rPr>
        <w:t>severity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1,2,6-8]</w:t>
      </w:r>
      <w:r>
        <w:rPr>
          <w:rFonts w:ascii="Book Antiqua" w:eastAsia="Book Antiqua" w:hAnsi="Book Antiqua" w:cs="Book Antiqua"/>
          <w:color w:val="000000"/>
        </w:rPr>
        <w:t xml:space="preserve">. Most of the critically ill patients had organ injury, including acute respiratory distress syndrome (ARDS), acute kidney injury (AKI), cardiac injury, or liver </w:t>
      </w:r>
      <w:proofErr w:type="gramStart"/>
      <w:r>
        <w:rPr>
          <w:rFonts w:ascii="Book Antiqua" w:eastAsia="Book Antiqua" w:hAnsi="Book Antiqua" w:cs="Book Antiqua"/>
          <w:color w:val="000000"/>
        </w:rPr>
        <w:t>dysfunction</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During our clinical work against the epidemic of COVID-19 in Wuhan, we observed that numerous patients had gastrointestinal symptoms during the course of disease development. It is known that gastrointestinal dysfunction is closely related to adverse outcomes in common critically ill patients. However, few literatures on acute gastrointestinal injury (AGI) were reported in critically ill patients with COVID-19. In this study, we investigated the prevalence and outcomes of AGI in critically ill patients with COVID-19 who were admitted to </w:t>
      </w:r>
      <w:proofErr w:type="spellStart"/>
      <w:r>
        <w:rPr>
          <w:rFonts w:ascii="Book Antiqua" w:eastAsia="Book Antiqua" w:hAnsi="Book Antiqua" w:cs="Book Antiqua"/>
          <w:color w:val="000000"/>
        </w:rPr>
        <w:t>Guanggu</w:t>
      </w:r>
      <w:proofErr w:type="spellEnd"/>
      <w:r>
        <w:rPr>
          <w:rFonts w:ascii="Book Antiqua" w:eastAsia="Book Antiqua" w:hAnsi="Book Antiqua" w:cs="Book Antiqua"/>
          <w:color w:val="000000"/>
        </w:rPr>
        <w:t xml:space="preserve"> District of Wuhan Tongji Hospital.</w:t>
      </w:r>
    </w:p>
    <w:p w14:paraId="3E7EBFAB" w14:textId="77777777" w:rsidR="00A77B3E" w:rsidRDefault="00A77B3E">
      <w:pPr>
        <w:spacing w:line="360" w:lineRule="auto"/>
        <w:jc w:val="both"/>
      </w:pPr>
    </w:p>
    <w:p w14:paraId="1F8BD685" w14:textId="77777777" w:rsidR="00A77B3E" w:rsidRDefault="00F35BF8">
      <w:pPr>
        <w:spacing w:line="360" w:lineRule="auto"/>
        <w:jc w:val="both"/>
      </w:pPr>
      <w:r>
        <w:rPr>
          <w:rFonts w:ascii="Book Antiqua" w:eastAsia="Book Antiqua" w:hAnsi="Book Antiqua" w:cs="Book Antiqua"/>
          <w:b/>
          <w:caps/>
          <w:color w:val="000000"/>
          <w:u w:val="single"/>
        </w:rPr>
        <w:t>MATERIALS AND METHODS</w:t>
      </w:r>
    </w:p>
    <w:p w14:paraId="52B16629"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Patients</w:t>
      </w:r>
    </w:p>
    <w:p w14:paraId="7AA9156C" w14:textId="6486F640"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February 10 to March 10 2020, adult patients (age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with confirmed critical COVID-19 admitted to our specialized isolation units and intensive care unit (ICU), </w:t>
      </w:r>
      <w:proofErr w:type="spellStart"/>
      <w:r>
        <w:rPr>
          <w:rFonts w:ascii="Book Antiqua" w:eastAsia="Book Antiqua" w:hAnsi="Book Antiqua" w:cs="Book Antiqua"/>
          <w:color w:val="000000"/>
        </w:rPr>
        <w:t>Guanggu</w:t>
      </w:r>
      <w:proofErr w:type="spellEnd"/>
      <w:r>
        <w:rPr>
          <w:rFonts w:ascii="Book Antiqua" w:eastAsia="Book Antiqua" w:hAnsi="Book Antiqua" w:cs="Book Antiqua"/>
          <w:color w:val="000000"/>
        </w:rPr>
        <w:t xml:space="preserve"> </w:t>
      </w:r>
      <w:r w:rsidR="00AE081A">
        <w:rPr>
          <w:rFonts w:ascii="Book Antiqua" w:eastAsia="Book Antiqua" w:hAnsi="Book Antiqua" w:cs="Book Antiqua"/>
          <w:color w:val="000000"/>
        </w:rPr>
        <w:t>d</w:t>
      </w:r>
      <w:r>
        <w:rPr>
          <w:rFonts w:ascii="Book Antiqua" w:eastAsia="Book Antiqua" w:hAnsi="Book Antiqua" w:cs="Book Antiqua"/>
          <w:color w:val="000000"/>
        </w:rPr>
        <w:t xml:space="preserve">istrict of Wuhan Tongji </w:t>
      </w:r>
      <w:r w:rsidR="00AE081A">
        <w:rPr>
          <w:rFonts w:ascii="Book Antiqua" w:eastAsia="Book Antiqua" w:hAnsi="Book Antiqua" w:cs="Book Antiqua"/>
          <w:color w:val="000000"/>
        </w:rPr>
        <w:t>H</w:t>
      </w:r>
      <w:r>
        <w:rPr>
          <w:rFonts w:ascii="Book Antiqua" w:eastAsia="Book Antiqua" w:hAnsi="Book Antiqua" w:cs="Book Antiqua"/>
          <w:color w:val="000000"/>
        </w:rPr>
        <w:t>ospital were enrolled in this clinical retrospective study. Patients with chronic organ dysfunction (</w:t>
      </w:r>
      <w:r w:rsidRPr="00AE081A">
        <w:rPr>
          <w:rFonts w:ascii="Book Antiqua" w:eastAsia="Book Antiqua" w:hAnsi="Book Antiqua" w:cs="Book Antiqua"/>
          <w:i/>
          <w:iCs/>
          <w:color w:val="000000"/>
        </w:rPr>
        <w:t>e.g.</w:t>
      </w:r>
      <w:r>
        <w:rPr>
          <w:rFonts w:ascii="Book Antiqua" w:eastAsia="Book Antiqua" w:hAnsi="Book Antiqua" w:cs="Book Antiqua"/>
          <w:color w:val="000000"/>
        </w:rPr>
        <w:t xml:space="preserve">, hepatic or renal </w:t>
      </w:r>
      <w:r>
        <w:rPr>
          <w:rFonts w:ascii="Book Antiqua" w:eastAsia="Book Antiqua" w:hAnsi="Book Antiqua" w:cs="Book Antiqua"/>
          <w:color w:val="000000"/>
        </w:rPr>
        <w:lastRenderedPageBreak/>
        <w:t xml:space="preserve">dysfunction), immunodeficiency, terminal cancer, and patients with a history of long-term use of corticosteroids were excluded. The written informed consent was waived by our institutional review board because this was a retrospective study for emerging infectious disease. The diagnosis of COVID-19 was according to WHO interim guidance and recommendations of National Health Commission of </w:t>
      </w:r>
      <w:proofErr w:type="gramStart"/>
      <w:r>
        <w:rPr>
          <w:rFonts w:ascii="Book Antiqua" w:eastAsia="Book Antiqua" w:hAnsi="Book Antiqua" w:cs="Book Antiqua"/>
          <w:color w:val="000000"/>
        </w:rPr>
        <w:t>China</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identified by RNA detection of the SARS-CoV-2 in clinical laboratory of Tongji </w:t>
      </w:r>
      <w:r w:rsidR="00AE081A">
        <w:rPr>
          <w:rFonts w:ascii="Book Antiqua" w:eastAsia="Book Antiqua" w:hAnsi="Book Antiqua" w:cs="Book Antiqua"/>
          <w:color w:val="000000"/>
        </w:rPr>
        <w:t>H</w:t>
      </w:r>
      <w:r>
        <w:rPr>
          <w:rFonts w:ascii="Book Antiqua" w:eastAsia="Book Antiqua" w:hAnsi="Book Antiqua" w:cs="Book Antiqua"/>
          <w:color w:val="000000"/>
        </w:rPr>
        <w:t xml:space="preserve">ospital. </w:t>
      </w:r>
    </w:p>
    <w:p w14:paraId="24C50500" w14:textId="77777777" w:rsidR="00AE081A" w:rsidRPr="00AE081A" w:rsidRDefault="00AE081A" w:rsidP="00AE081A">
      <w:pPr>
        <w:spacing w:line="360" w:lineRule="auto"/>
        <w:jc w:val="both"/>
        <w:rPr>
          <w:i/>
          <w:iCs/>
        </w:rPr>
      </w:pPr>
    </w:p>
    <w:p w14:paraId="43A7CAF8"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Definitions</w:t>
      </w:r>
    </w:p>
    <w:p w14:paraId="172253F4" w14:textId="4BEF7AF1"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identified case of COVID-19 was defined as a positive finding on real-time reverse-transcriptase–polymerase-chain-reaction (RT-PCR) assay of nasal and pharyngeal swab </w:t>
      </w:r>
      <w:proofErr w:type="gramStart"/>
      <w:r>
        <w:rPr>
          <w:rFonts w:ascii="Book Antiqua" w:eastAsia="Book Antiqua" w:hAnsi="Book Antiqua" w:cs="Book Antiqua"/>
          <w:color w:val="000000"/>
        </w:rPr>
        <w:t>specimens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4,5,7]</w:t>
      </w:r>
      <w:r>
        <w:rPr>
          <w:rFonts w:ascii="Book Antiqua" w:eastAsia="Book Antiqua" w:hAnsi="Book Antiqua" w:cs="Book Antiqua"/>
          <w:color w:val="000000"/>
        </w:rPr>
        <w:t xml:space="preserve">. Only laboratory-confirmed cases were enrolled in the analysis. The diagnosis of critical COVID-19 was in accordance with the Chinese </w:t>
      </w:r>
      <w:proofErr w:type="gramStart"/>
      <w:r>
        <w:rPr>
          <w:rFonts w:ascii="Book Antiqua" w:eastAsia="Book Antiqua" w:hAnsi="Book Antiqua" w:cs="Book Antiqua"/>
          <w:color w:val="000000"/>
        </w:rPr>
        <w:t>recommendations</w:t>
      </w:r>
      <w:r w:rsidR="00AE081A" w:rsidRPr="00AE081A">
        <w:rPr>
          <w:rFonts w:ascii="Book Antiqua" w:eastAsia="Book Antiqua" w:hAnsi="Book Antiqua" w:cs="Book Antiqua"/>
          <w:color w:val="000000"/>
          <w:vertAlign w:val="superscript"/>
        </w:rPr>
        <w:t>[</w:t>
      </w:r>
      <w:proofErr w:type="gramEnd"/>
      <w:r w:rsidR="00AE081A" w:rsidRPr="00AE081A">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AE081A">
        <w:rPr>
          <w:rFonts w:ascii="Book Antiqua" w:eastAsia="Book Antiqua" w:hAnsi="Book Antiqua" w:cs="Book Antiqua"/>
          <w:color w:val="000000"/>
        </w:rPr>
        <w:t>m</w:t>
      </w:r>
      <w:r>
        <w:rPr>
          <w:rFonts w:ascii="Book Antiqua" w:eastAsia="Book Antiqua" w:hAnsi="Book Antiqua" w:cs="Book Antiqua"/>
          <w:color w:val="000000"/>
        </w:rPr>
        <w:t xml:space="preserve">eeting any of the following, I, respiratory failure with mechanical ventilation (MV); II, shock; III, multiple organs failure requiring ICU treatment. AGI was defined as a malfunction of the gastrointestinal tract due to acute illness and was categorized into four grades according to its </w:t>
      </w:r>
      <w:proofErr w:type="gramStart"/>
      <w:r>
        <w:rPr>
          <w:rFonts w:ascii="Book Antiqua" w:eastAsia="Book Antiqua" w:hAnsi="Book Antiqua" w:cs="Book Antiqua"/>
          <w:color w:val="000000"/>
        </w:rPr>
        <w:t>severity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10]</w:t>
      </w:r>
      <w:r>
        <w:rPr>
          <w:rFonts w:ascii="Book Antiqua" w:eastAsia="Book Antiqua" w:hAnsi="Book Antiqua" w:cs="Book Antiqua"/>
          <w:color w:val="000000"/>
        </w:rPr>
        <w:t>. This AGI grading system was based mainly on gastrointestinal symptoms, intra-abdominal pressure, feeding tolerance or not. AGI grade I was defined as an increased risk of developing gastrointestinal dysfunction or failure (a self-limiting condition); AGI grade II was defined as gastrointestinal dysfunction (a condition that requires interventions); AGI grade III was defined as gastrointestinal failure (GI function cannot be restored with interventions); AGI grade IV was defined as dramatically manifesting gastrointestinal failure (a condition that is immediately life-threatening)</w:t>
      </w:r>
      <w:r w:rsidR="00AE081A">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Sepsis was defined as life-threatening organ dysfunction caused by a dysregulated host response to infection, septic shock was defined as a subset of sepsis with circulatory and cellular/metabolic dysfunction associated with a higher risk of </w:t>
      </w:r>
      <w:proofErr w:type="gramStart"/>
      <w:r>
        <w:rPr>
          <w:rFonts w:ascii="Book Antiqua" w:eastAsia="Book Antiqua" w:hAnsi="Book Antiqua" w:cs="Book Antiqua"/>
          <w:color w:val="000000"/>
        </w:rPr>
        <w:t>mortality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diagnostic criteria of ARDS were in accordance with the Berlin </w:t>
      </w:r>
      <w:proofErr w:type="gramStart"/>
      <w:r>
        <w:rPr>
          <w:rFonts w:ascii="Book Antiqua" w:eastAsia="Book Antiqua" w:hAnsi="Book Antiqua" w:cs="Book Antiqua"/>
          <w:color w:val="000000"/>
        </w:rPr>
        <w:t>definitions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definitions of AKI were based on the 2012 Kidney Disease: Improving Global Outcomes </w:t>
      </w:r>
      <w:proofErr w:type="gramStart"/>
      <w:r>
        <w:rPr>
          <w:rFonts w:ascii="Book Antiqua" w:eastAsia="Book Antiqua" w:hAnsi="Book Antiqua" w:cs="Book Antiqua"/>
          <w:color w:val="000000"/>
        </w:rPr>
        <w:t>guidelines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13]</w:t>
      </w:r>
      <w:r>
        <w:rPr>
          <w:rFonts w:ascii="Book Antiqua" w:eastAsia="Book Antiqua" w:hAnsi="Book Antiqua" w:cs="Book Antiqua"/>
          <w:color w:val="000000"/>
        </w:rPr>
        <w:t>. Cardiac injury was defined if serum levels of cardiac biomarkers (</w:t>
      </w:r>
      <w:r w:rsidRPr="00AE081A">
        <w:rPr>
          <w:rFonts w:ascii="Book Antiqua" w:eastAsia="Book Antiqua" w:hAnsi="Book Antiqua" w:cs="Book Antiqua"/>
          <w:i/>
          <w:iCs/>
          <w:color w:val="000000"/>
        </w:rPr>
        <w:t>e.g.</w:t>
      </w:r>
      <w:r>
        <w:rPr>
          <w:rFonts w:ascii="Book Antiqua" w:eastAsia="Book Antiqua" w:hAnsi="Book Antiqua" w:cs="Book Antiqua"/>
          <w:color w:val="000000"/>
        </w:rPr>
        <w:t>, troponin I) were above the 99</w:t>
      </w:r>
      <w:r w:rsidRPr="00AE081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w:t>
      </w:r>
      <w:r>
        <w:rPr>
          <w:rFonts w:ascii="Book Antiqua" w:eastAsia="Book Antiqua" w:hAnsi="Book Antiqua" w:cs="Book Antiqua"/>
          <w:color w:val="000000"/>
        </w:rPr>
        <w:lastRenderedPageBreak/>
        <w:t xml:space="preserve">reference upper limit or new abnormalities were found in electrocardiography and </w:t>
      </w:r>
      <w:proofErr w:type="gramStart"/>
      <w:r>
        <w:rPr>
          <w:rFonts w:ascii="Book Antiqua" w:eastAsia="Book Antiqua" w:hAnsi="Book Antiqua" w:cs="Book Antiqua"/>
          <w:color w:val="000000"/>
        </w:rPr>
        <w:t>echocardiography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2]</w:t>
      </w:r>
      <w:r>
        <w:rPr>
          <w:rFonts w:ascii="Book Antiqua" w:eastAsia="Book Antiqua" w:hAnsi="Book Antiqua" w:cs="Book Antiqua"/>
          <w:color w:val="000000"/>
        </w:rPr>
        <w:t>. Liver injury was defined if serum levels of hepatic biomarkers (</w:t>
      </w:r>
      <w:r w:rsidRPr="00AE081A">
        <w:rPr>
          <w:rFonts w:ascii="Book Antiqua" w:eastAsia="Book Antiqua" w:hAnsi="Book Antiqua" w:cs="Book Antiqua"/>
          <w:i/>
          <w:iCs/>
          <w:color w:val="000000"/>
        </w:rPr>
        <w:t>e.g.</w:t>
      </w:r>
      <w:r>
        <w:rPr>
          <w:rFonts w:ascii="Book Antiqua" w:eastAsia="Book Antiqua" w:hAnsi="Book Antiqua" w:cs="Book Antiqua"/>
          <w:color w:val="000000"/>
        </w:rPr>
        <w:t xml:space="preserve">, alanine aminotransferase) were above than twice of the reference upper limit or disproportionate elevation of alanine aminotransferase and aspartate aminotransferase levels compared with alkaline phosphatase </w:t>
      </w:r>
      <w:proofErr w:type="gramStart"/>
      <w:r>
        <w:rPr>
          <w:rFonts w:ascii="Book Antiqua" w:eastAsia="Book Antiqua" w:hAnsi="Book Antiqua" w:cs="Book Antiqua"/>
          <w:color w:val="000000"/>
        </w:rPr>
        <w:t>levels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14]</w:t>
      </w:r>
      <w:r>
        <w:rPr>
          <w:rFonts w:ascii="Book Antiqua" w:eastAsia="Book Antiqua" w:hAnsi="Book Antiqua" w:cs="Book Antiqua"/>
          <w:color w:val="000000"/>
        </w:rPr>
        <w:t>. Multiple organ dysfunction syndrome (MODS) was defined as the combined dysfunction of two or more organs.</w:t>
      </w:r>
    </w:p>
    <w:p w14:paraId="3D4C589A" w14:textId="77777777" w:rsidR="00AE081A" w:rsidRDefault="00AE081A" w:rsidP="00AE081A">
      <w:pPr>
        <w:spacing w:line="360" w:lineRule="auto"/>
        <w:jc w:val="both"/>
      </w:pPr>
    </w:p>
    <w:p w14:paraId="1AFB7289"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Data collection</w:t>
      </w:r>
    </w:p>
    <w:p w14:paraId="3B65C2C5" w14:textId="448ADAA8"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baseline clinical characteristics, including sex, age, days from onset to admission, initial symptoms or signs, body mass index (BMI) were collected from electronic medical and nursing records, and all laboratory tests were performed according to the clinical needs of patients. The acute physiology and chronic health evaluation (APACHE) II score, sequential organ failure assessment (SOFA) score, serum levels of C-reactive protein (CRP), D-dimer, white blood cells (WBC) count, lymphocyte count, procalcitonin (PCT), and blood lactate within 24 h of admission were recorded. The RT-PCR assay of viral RNA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was performed by a commercial kit (Tianlong, Xi’an, China) according to the manufacturer’s instructions. All the laboratory parameters were detected by clinical laboratory of Tongji </w:t>
      </w:r>
      <w:r w:rsidR="00EF5D2D">
        <w:rPr>
          <w:rFonts w:ascii="Book Antiqua" w:eastAsia="Book Antiqua" w:hAnsi="Book Antiqua" w:cs="Book Antiqua"/>
          <w:color w:val="000000"/>
        </w:rPr>
        <w:t>H</w:t>
      </w:r>
      <w:r>
        <w:rPr>
          <w:rFonts w:ascii="Book Antiqua" w:eastAsia="Book Antiqua" w:hAnsi="Book Antiqua" w:cs="Book Antiqua"/>
          <w:color w:val="000000"/>
        </w:rPr>
        <w:t xml:space="preserve">ospital. Moreover, the numbers of patients with AGI (grades), ARDS, AKI, cardiac injury, liver injury, septic shock, MODS, and patients receiving MV or continuous renal replacement therapy (CRRT) during hospital stay were also recorded. The primary endpoints were AGI incidence and 28-d mortality. The secondary endpoints were MODS and septic shock incidence. </w:t>
      </w:r>
    </w:p>
    <w:p w14:paraId="1C92A929" w14:textId="77777777" w:rsidR="00EF5D2D" w:rsidRPr="00EF5D2D" w:rsidRDefault="00EF5D2D" w:rsidP="00AE081A">
      <w:pPr>
        <w:spacing w:line="360" w:lineRule="auto"/>
        <w:jc w:val="both"/>
        <w:rPr>
          <w:i/>
          <w:iCs/>
        </w:rPr>
      </w:pPr>
    </w:p>
    <w:p w14:paraId="49EDC09B"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t>Statistical analysis</w:t>
      </w:r>
    </w:p>
    <w:p w14:paraId="4102C743" w14:textId="49F67AA3" w:rsidR="00A77B3E" w:rsidRDefault="00F35BF8">
      <w:pPr>
        <w:spacing w:line="360" w:lineRule="auto"/>
        <w:jc w:val="both"/>
      </w:pPr>
      <w:r>
        <w:rPr>
          <w:rFonts w:ascii="Book Antiqua" w:eastAsia="Book Antiqua" w:hAnsi="Book Antiqua" w:cs="Book Antiqua"/>
          <w:color w:val="000000"/>
        </w:rPr>
        <w:t xml:space="preserve">The Kolmogorov-Smirnov test was first performed to test the normal distribution of the data. Normally distributed data were expressed as the means ± standard deviation and were compared by </w:t>
      </w:r>
      <w:r w:rsidRPr="00EF5D2D">
        <w:rPr>
          <w:rFonts w:ascii="Book Antiqua" w:eastAsia="Book Antiqua" w:hAnsi="Book Antiqua" w:cs="Book Antiqua"/>
          <w:i/>
          <w:iCs/>
          <w:color w:val="000000"/>
        </w:rPr>
        <w:t>t</w:t>
      </w:r>
      <w:r>
        <w:rPr>
          <w:rFonts w:ascii="Book Antiqua" w:eastAsia="Book Antiqua" w:hAnsi="Book Antiqua" w:cs="Book Antiqua"/>
          <w:color w:val="000000"/>
        </w:rPr>
        <w:t xml:space="preserve"> tests. Non-normally distributed data were expressed as the medians (interquartile ranges, IQR) and were compared by the Mann-Whitney </w:t>
      </w:r>
      <w:r w:rsidRPr="00EF5D2D">
        <w:rPr>
          <w:rFonts w:ascii="Book Antiqua" w:eastAsia="Book Antiqua" w:hAnsi="Book Antiqua" w:cs="Book Antiqua"/>
          <w:i/>
          <w:iCs/>
          <w:color w:val="000000"/>
        </w:rPr>
        <w:t>U</w:t>
      </w:r>
      <w:r>
        <w:rPr>
          <w:rFonts w:ascii="Book Antiqua" w:eastAsia="Book Antiqua" w:hAnsi="Book Antiqua" w:cs="Book Antiqua"/>
          <w:color w:val="000000"/>
        </w:rPr>
        <w:t xml:space="preserve"> test or the Kruskal-Wallis test. Categorical variables were presented as absolute numbers or </w:t>
      </w:r>
      <w:r>
        <w:rPr>
          <w:rFonts w:ascii="Book Antiqua" w:eastAsia="Book Antiqua" w:hAnsi="Book Antiqua" w:cs="Book Antiqua"/>
          <w:color w:val="000000"/>
        </w:rPr>
        <w:lastRenderedPageBreak/>
        <w:t xml:space="preserve">percentages and were analyzed using the </w:t>
      </w:r>
      <w:r w:rsidRPr="00EF5D2D">
        <w:rPr>
          <w:rFonts w:ascii="Book Antiqua" w:eastAsia="Book Antiqua" w:hAnsi="Book Antiqua" w:cs="Book Antiqua"/>
          <w:i/>
          <w:iCs/>
          <w:color w:val="000000"/>
        </w:rPr>
        <w:t>χ</w:t>
      </w:r>
      <w:r w:rsidRPr="00EF5D2D">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or Fisher’s exact test. To take into account the repeated nature of the variables, analysis of variance (ANOVA) for repeated measurements of the general linear model was implemented. Pearson test was used to analyze the correlation between two variables. To determine the risk factors associated with AGI grade II and above, we performed a series of several univariate logistic regression analyses using the above-mentioned variables.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0.1 in univariate analyses were tested in further multivariate logistic regression analyses. Receiver operating characteristic (ROC) curves were used to evaluate the associations between AGI and MODS, septic shock, and 28-d mortality. Survival curves for up to 28 d after admission and 60 d from disease onset were generated using the Kaplan–Meier method and were compared by the log-rank test. IBM Statistical Package for the Social Sciences (SPSS, version 22.0, NY, </w:t>
      </w:r>
      <w:r w:rsidR="00EF5D2D">
        <w:rPr>
          <w:rFonts w:ascii="Book Antiqua" w:eastAsia="Book Antiqua" w:hAnsi="Book Antiqua" w:cs="Book Antiqua"/>
          <w:color w:val="000000"/>
        </w:rPr>
        <w:t>United States</w:t>
      </w:r>
      <w:r>
        <w:rPr>
          <w:rFonts w:ascii="Book Antiqua" w:eastAsia="Book Antiqua" w:hAnsi="Book Antiqua" w:cs="Book Antiqua"/>
          <w:color w:val="000000"/>
        </w:rPr>
        <w:t xml:space="preserve">) software was used for statistical analysis, and two-sided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 The statistical methods of this study were reviewed by Liu</w:t>
      </w:r>
      <w:r w:rsidR="00EF5D2D">
        <w:rPr>
          <w:rFonts w:ascii="Book Antiqua" w:eastAsia="Book Antiqua" w:hAnsi="Book Antiqua" w:cs="Book Antiqua"/>
          <w:color w:val="000000"/>
        </w:rPr>
        <w:t xml:space="preserve"> Q</w:t>
      </w:r>
      <w:r>
        <w:rPr>
          <w:rFonts w:ascii="Book Antiqua" w:eastAsia="Book Antiqua" w:hAnsi="Book Antiqua" w:cs="Book Antiqua"/>
          <w:color w:val="000000"/>
        </w:rPr>
        <w:t>, a biostatistician from the Center for Disease Control and Prevention of Jiangsu Province in China.</w:t>
      </w:r>
    </w:p>
    <w:p w14:paraId="22A31DB9" w14:textId="77777777" w:rsidR="00A77B3E" w:rsidRDefault="00A77B3E">
      <w:pPr>
        <w:spacing w:line="360" w:lineRule="auto"/>
        <w:jc w:val="both"/>
      </w:pPr>
    </w:p>
    <w:p w14:paraId="66B80783" w14:textId="77777777" w:rsidR="00A77B3E" w:rsidRDefault="00F35BF8">
      <w:pPr>
        <w:spacing w:line="360" w:lineRule="auto"/>
        <w:jc w:val="both"/>
      </w:pPr>
      <w:r>
        <w:rPr>
          <w:rFonts w:ascii="Book Antiqua" w:eastAsia="Book Antiqua" w:hAnsi="Book Antiqua" w:cs="Book Antiqua"/>
          <w:b/>
          <w:caps/>
          <w:color w:val="000000"/>
          <w:u w:val="single"/>
        </w:rPr>
        <w:t>RESULTS</w:t>
      </w:r>
    </w:p>
    <w:p w14:paraId="3D052D78" w14:textId="4EB14DFB" w:rsidR="00A77B3E"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shown in Figure 1, a total of 83 critically ill patients with confirmed COVID-19 were enrolled in this clinical retrospective study. The median age was 70 (IQR, 60-79) years, and most patients were male 59 (71.1%). Fever (33/83, 39.8%) and cough (18/83, 21.7%) were the main initial symptoms. Seventy-two (86.7%) patients had AGI during hospital stay, of them, 30 had AGI grade I, 35 had AGI grade II, 5 had AGI grade III, 2 had AGI grade IV. The incidence of AGI grade II and above was 50.6% (42/83). The detailed clinical data of the patients were presented in Table 1. Forty (48.2%) patients died within 28 d of admission, the median hospital stay of them was 12.0 (IQR, 8.0-17.8) d, ranging from 3 d to 27 d. The median duration from disease onset to death was 22.0 (IQR, 15.3-33.0) d, ranging from 8 d to 44 d. ARDS developed in most patients (77/83, 92.8%), and 5 patients received extracorporeal membrane oxygenation. MODS developed in 58 (69.9%) patients, septic shock in 16 (19.3%) patients.</w:t>
      </w:r>
    </w:p>
    <w:p w14:paraId="73A17566" w14:textId="77777777" w:rsidR="00EF5D2D" w:rsidRDefault="00EF5D2D">
      <w:pPr>
        <w:spacing w:line="360" w:lineRule="auto"/>
        <w:jc w:val="both"/>
      </w:pPr>
    </w:p>
    <w:p w14:paraId="0AAE1842"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t xml:space="preserve">AGI grades and clinical variables </w:t>
      </w:r>
    </w:p>
    <w:p w14:paraId="53E55047" w14:textId="52A76F18" w:rsidR="00A77B3E" w:rsidRDefault="00F35BF8" w:rsidP="00EF5D2D">
      <w:pPr>
        <w:spacing w:line="360" w:lineRule="auto"/>
        <w:jc w:val="both"/>
      </w:pPr>
      <w:r>
        <w:rPr>
          <w:rFonts w:ascii="Book Antiqua" w:eastAsia="Book Antiqua" w:hAnsi="Book Antiqua" w:cs="Book Antiqua"/>
          <w:color w:val="000000"/>
        </w:rPr>
        <w:t xml:space="preserve">We divided patients into four groups based on the AGI grades: </w:t>
      </w:r>
      <w:r w:rsidR="00EF5D2D">
        <w:rPr>
          <w:rFonts w:ascii="Book Antiqua" w:eastAsia="Book Antiqua" w:hAnsi="Book Antiqua" w:cs="Book Antiqua"/>
          <w:color w:val="000000"/>
        </w:rPr>
        <w:t>n</w:t>
      </w:r>
      <w:r>
        <w:rPr>
          <w:rFonts w:ascii="Book Antiqua" w:eastAsia="Book Antiqua" w:hAnsi="Book Antiqua" w:cs="Book Antiqua"/>
          <w:color w:val="000000"/>
        </w:rPr>
        <w:t>o AGI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11), AGI grade 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30), AGI grade II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35), and AGI grade III to IV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7). As shown in Table 2, significant differences in APACHEII scores, SOFA scores, WBC counts, and D-dimer levels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 Statistical differences in CRP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0.024) and PCT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0.033) were only found between group AGI grade I and grade III to IV. Significant differences in lactate levels were found between group no AGI and AGI grade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0.027) or grade III to IV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0.009). Statistical differences in lymphocyte counts were found between group no AGI and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0.028) or grade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0.007). No differences in BMI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F458564" w14:textId="5E4FB1F9" w:rsidR="00A77B3E" w:rsidRDefault="00F35BF8" w:rsidP="00EF5D2D">
      <w:pPr>
        <w:spacing w:line="360" w:lineRule="auto"/>
        <w:ind w:firstLineChars="100" w:firstLine="240"/>
        <w:jc w:val="both"/>
      </w:pPr>
      <w:r>
        <w:rPr>
          <w:rFonts w:ascii="Book Antiqua" w:eastAsia="Book Antiqua" w:hAnsi="Book Antiqua" w:cs="Book Antiqua"/>
          <w:color w:val="000000"/>
        </w:rPr>
        <w:t>Patients without AGI had longer hospital stay than those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0.022), and III to IV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0.012). Patients with AGI grade III to IV had longer days of MV and CRRT than those without AGI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0.011, 0.013) and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0.009, 0.007). No differences in days from onset to admission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91B1FC0" w14:textId="5466E1C4" w:rsidR="00A77B3E" w:rsidRDefault="00F35BF8" w:rsidP="00EF5D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Correlation analysis showed that the AGI grades were positively correlated with MV days (</w:t>
      </w:r>
      <w:r>
        <w:rPr>
          <w:rFonts w:ascii="Book Antiqua" w:eastAsia="Book Antiqua" w:hAnsi="Book Antiqua" w:cs="Book Antiqua"/>
          <w:i/>
          <w:iCs/>
          <w:color w:val="000000"/>
        </w:rPr>
        <w:t>r</w:t>
      </w:r>
      <w:r>
        <w:rPr>
          <w:rFonts w:ascii="Book Antiqua" w:eastAsia="Book Antiqua" w:hAnsi="Book Antiqua" w:cs="Book Antiqua"/>
          <w:color w:val="000000"/>
        </w:rPr>
        <w:t xml:space="preserve"> = 0.377,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APACHEII (</w:t>
      </w:r>
      <w:r>
        <w:rPr>
          <w:rFonts w:ascii="Book Antiqua" w:eastAsia="Book Antiqua" w:hAnsi="Book Antiqua" w:cs="Book Antiqua"/>
          <w:i/>
          <w:iCs/>
          <w:color w:val="000000"/>
        </w:rPr>
        <w:t>r</w:t>
      </w:r>
      <w:r>
        <w:rPr>
          <w:rFonts w:ascii="Book Antiqua" w:eastAsia="Book Antiqua" w:hAnsi="Book Antiqua" w:cs="Book Antiqua"/>
          <w:color w:val="000000"/>
        </w:rPr>
        <w:t xml:space="preserve"> = 0.590,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SOFA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0.662,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WBC counts (</w:t>
      </w:r>
      <w:r>
        <w:rPr>
          <w:rFonts w:ascii="Book Antiqua" w:eastAsia="Book Antiqua" w:hAnsi="Book Antiqua" w:cs="Book Antiqua"/>
          <w:i/>
          <w:iCs/>
          <w:color w:val="000000"/>
        </w:rPr>
        <w:t>r</w:t>
      </w:r>
      <w:r>
        <w:rPr>
          <w:rFonts w:ascii="Book Antiqua" w:eastAsia="Book Antiqua" w:hAnsi="Book Antiqua" w:cs="Book Antiqua"/>
          <w:color w:val="000000"/>
        </w:rPr>
        <w:t xml:space="preserve"> = 0.433,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CRP (</w:t>
      </w:r>
      <w:r>
        <w:rPr>
          <w:rFonts w:ascii="Book Antiqua" w:eastAsia="Book Antiqua" w:hAnsi="Book Antiqua" w:cs="Book Antiqua"/>
          <w:i/>
          <w:iCs/>
          <w:color w:val="000000"/>
        </w:rPr>
        <w:t>r</w:t>
      </w:r>
      <w:r>
        <w:rPr>
          <w:rFonts w:ascii="Book Antiqua" w:eastAsia="Book Antiqua" w:hAnsi="Book Antiqua" w:cs="Book Antiqua"/>
          <w:color w:val="000000"/>
        </w:rPr>
        <w:t xml:space="preserve"> = 0.261,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0.017) and D-dimer levels (</w:t>
      </w:r>
      <w:r>
        <w:rPr>
          <w:rFonts w:ascii="Book Antiqua" w:eastAsia="Book Antiqua" w:hAnsi="Book Antiqua" w:cs="Book Antiqua"/>
          <w:i/>
          <w:iCs/>
          <w:color w:val="000000"/>
        </w:rPr>
        <w:t>r</w:t>
      </w:r>
      <w:r>
        <w:rPr>
          <w:rFonts w:ascii="Book Antiqua" w:eastAsia="Book Antiqua" w:hAnsi="Book Antiqua" w:cs="Book Antiqua"/>
          <w:color w:val="000000"/>
        </w:rPr>
        <w:t xml:space="preserve"> = 0.425,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9F008B4" w14:textId="77777777" w:rsidR="00EF5D2D" w:rsidRDefault="00EF5D2D" w:rsidP="00EF5D2D">
      <w:pPr>
        <w:spacing w:line="360" w:lineRule="auto"/>
        <w:ind w:firstLineChars="100" w:firstLine="240"/>
        <w:jc w:val="both"/>
      </w:pPr>
    </w:p>
    <w:p w14:paraId="309DDB19"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t>AGI grades and clinical outcomes</w:t>
      </w:r>
    </w:p>
    <w:p w14:paraId="32EB1976" w14:textId="1D96D6C8" w:rsidR="00A77B3E" w:rsidRDefault="00F35BF8" w:rsidP="00EF5D2D">
      <w:pPr>
        <w:spacing w:line="360" w:lineRule="auto"/>
        <w:jc w:val="both"/>
      </w:pPr>
      <w:r>
        <w:rPr>
          <w:rFonts w:ascii="Book Antiqua" w:eastAsia="Book Antiqua" w:hAnsi="Book Antiqua" w:cs="Book Antiqua"/>
          <w:color w:val="000000"/>
        </w:rPr>
        <w:t>As shown in Table 2, patients with AGI grade III to IV had higher septic shock incidence than those without AGI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and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0.031). Significant differences in 28-d mortality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 except for group AGI grade I and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0.540). No differences in MODS incidence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0.05). Non-survivors were accompanied by higher incidence of AGI grade III to IV than survivors (17.5% </w:t>
      </w:r>
      <w:r w:rsidRPr="00514466">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0.004) (Table 3). Whereas survivors had higher incidence of no AGI than non-survivors (25.6% </w:t>
      </w:r>
      <w:r w:rsidRPr="00514466">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(Table 3).</w:t>
      </w:r>
    </w:p>
    <w:p w14:paraId="003C935F" w14:textId="7C46E416" w:rsidR="00A77B3E" w:rsidRDefault="00F35BF8" w:rsidP="00EF5D2D">
      <w:pPr>
        <w:spacing w:line="360" w:lineRule="auto"/>
        <w:ind w:firstLineChars="100" w:firstLine="240"/>
        <w:jc w:val="both"/>
      </w:pPr>
      <w:r>
        <w:rPr>
          <w:rFonts w:ascii="Book Antiqua" w:eastAsia="Book Antiqua" w:hAnsi="Book Antiqua" w:cs="Book Antiqua"/>
          <w:color w:val="000000"/>
        </w:rPr>
        <w:t xml:space="preserve">To determine the risk factors associated with AGI grade II and above, univariate logistic regression was performed using the above-mentioned variables (sex, age, days from onset to admission, BMI, APACHEII scores, SOFA scores, CRP, D-dimer, WBC counts, lymphocyte counts, PCT, blood lactate, MV days, CRRT days, and hospital stay).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0.1 in univariate analyses were tested in further multivariate logistic regression analyses. As shown in Table 4, three variables (SOFA scores, WBC counts, MV days) were established as independent risk factors for the development of AGI grade II and above.</w:t>
      </w:r>
    </w:p>
    <w:p w14:paraId="2EEE4C46" w14:textId="09191B79" w:rsidR="00A77B3E" w:rsidRDefault="00F35BF8" w:rsidP="00EF5D2D">
      <w:pPr>
        <w:spacing w:line="360" w:lineRule="auto"/>
        <w:ind w:firstLineChars="100" w:firstLine="240"/>
        <w:jc w:val="both"/>
      </w:pPr>
      <w:r>
        <w:rPr>
          <w:rFonts w:ascii="Book Antiqua" w:eastAsia="Book Antiqua" w:hAnsi="Book Antiqua" w:cs="Book Antiqua"/>
          <w:color w:val="000000"/>
        </w:rPr>
        <w:t>The ROC curves were performed to evaluate the associations between AGI and clinical outcome variables. As shown in Figure 2, the area under curves of MODS (Figure 2</w:t>
      </w:r>
      <w:r w:rsidR="00EF5D2D">
        <w:rPr>
          <w:rFonts w:ascii="Book Antiqua" w:eastAsia="Book Antiqua" w:hAnsi="Book Antiqua" w:cs="Book Antiqua"/>
          <w:color w:val="000000"/>
        </w:rPr>
        <w:t>A</w:t>
      </w:r>
      <w:r>
        <w:rPr>
          <w:rFonts w:ascii="Book Antiqua" w:eastAsia="Book Antiqua" w:hAnsi="Book Antiqua" w:cs="Book Antiqua"/>
          <w:color w:val="000000"/>
        </w:rPr>
        <w:t>), septic shock (Figure 2</w:t>
      </w:r>
      <w:r w:rsidR="00EF5D2D">
        <w:rPr>
          <w:rFonts w:ascii="Book Antiqua" w:eastAsia="Book Antiqua" w:hAnsi="Book Antiqua" w:cs="Book Antiqua"/>
          <w:color w:val="000000"/>
        </w:rPr>
        <w:t>B</w:t>
      </w:r>
      <w:r>
        <w:rPr>
          <w:rFonts w:ascii="Book Antiqua" w:eastAsia="Book Antiqua" w:hAnsi="Book Antiqua" w:cs="Book Antiqua"/>
          <w:color w:val="000000"/>
        </w:rPr>
        <w:t>), and 28-d mortality (Figure 2</w:t>
      </w:r>
      <w:r w:rsidR="00EF5D2D">
        <w:rPr>
          <w:rFonts w:ascii="Book Antiqua" w:eastAsia="Book Antiqua" w:hAnsi="Book Antiqua" w:cs="Book Antiqua"/>
          <w:color w:val="000000"/>
        </w:rPr>
        <w:t>C</w:t>
      </w:r>
      <w:r>
        <w:rPr>
          <w:rFonts w:ascii="Book Antiqua" w:eastAsia="Book Antiqua" w:hAnsi="Book Antiqua" w:cs="Book Antiqua"/>
          <w:color w:val="000000"/>
        </w:rPr>
        <w:t>) were 0.659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0.022), 0.793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0.716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respectively. Significant differences in 28-d mortality after admission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and 60-day mortality after disease onset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0.003) were found between group no AGI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11) and AGI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72). As shown in Figure 3, statistical differences in the 28-d mortality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0.037) (Figure 3</w:t>
      </w:r>
      <w:r w:rsidR="00EF5D2D">
        <w:rPr>
          <w:rFonts w:ascii="Book Antiqua" w:eastAsia="Book Antiqua" w:hAnsi="Book Antiqua" w:cs="Book Antiqua"/>
          <w:color w:val="000000"/>
        </w:rPr>
        <w:t>A</w:t>
      </w:r>
      <w:r>
        <w:rPr>
          <w:rFonts w:ascii="Book Antiqua" w:eastAsia="Book Antiqua" w:hAnsi="Book Antiqua" w:cs="Book Antiqua"/>
          <w:color w:val="000000"/>
        </w:rPr>
        <w:t>) and the 60-d mortality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0.049) (Figure 3</w:t>
      </w:r>
      <w:r w:rsidR="00EF5D2D">
        <w:rPr>
          <w:rFonts w:ascii="Book Antiqua" w:eastAsia="Book Antiqua" w:hAnsi="Book Antiqua" w:cs="Book Antiqua"/>
          <w:color w:val="000000"/>
        </w:rPr>
        <w:t>B</w:t>
      </w:r>
      <w:r>
        <w:rPr>
          <w:rFonts w:ascii="Book Antiqua" w:eastAsia="Book Antiqua" w:hAnsi="Book Antiqua" w:cs="Book Antiqua"/>
          <w:color w:val="000000"/>
        </w:rPr>
        <w:t>) were also found between group AGI grade I to below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41) and AGI grade II to IV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42).</w:t>
      </w:r>
    </w:p>
    <w:p w14:paraId="06F0EC15" w14:textId="77777777" w:rsidR="00A77B3E" w:rsidRDefault="00A77B3E">
      <w:pPr>
        <w:spacing w:line="360" w:lineRule="auto"/>
        <w:jc w:val="both"/>
      </w:pPr>
    </w:p>
    <w:p w14:paraId="639D8A8A" w14:textId="77777777" w:rsidR="00A77B3E" w:rsidRDefault="00F35BF8">
      <w:pPr>
        <w:spacing w:line="360" w:lineRule="auto"/>
        <w:jc w:val="both"/>
      </w:pPr>
      <w:r>
        <w:rPr>
          <w:rFonts w:ascii="Book Antiqua" w:eastAsia="Book Antiqua" w:hAnsi="Book Antiqua" w:cs="Book Antiqua"/>
          <w:b/>
          <w:caps/>
          <w:color w:val="000000"/>
          <w:u w:val="single"/>
        </w:rPr>
        <w:t>DISCUSSION</w:t>
      </w:r>
    </w:p>
    <w:p w14:paraId="2DD8B0B8" w14:textId="063775C8" w:rsidR="00A77B3E" w:rsidRDefault="00F35BF8">
      <w:pPr>
        <w:spacing w:line="360" w:lineRule="auto"/>
        <w:jc w:val="both"/>
      </w:pPr>
      <w:r>
        <w:rPr>
          <w:rFonts w:ascii="Book Antiqua" w:eastAsia="Book Antiqua" w:hAnsi="Book Antiqua" w:cs="Book Antiqua"/>
          <w:color w:val="000000"/>
        </w:rPr>
        <w:t xml:space="preserve">This clinical retrospective study investigated the prevalence and outcomes of AGI in critically ill patients with COVID-19. 86.7% of the patients had AGI, and 50.6% had AGI grade II and above during hospital stay. We found that patients with worse AGI grades had worse clinical severity variables, higher septic shock incidence, higher 28-d mortality after admission and 60-d mortality after disease onset. SOFA scores, WBC counts, duration of MV were risk factors for the development of AGI grade II and above. The 28-d mortality, MODS incidence, and septic shock incidence of critically ill patients </w:t>
      </w:r>
      <w:r>
        <w:rPr>
          <w:rFonts w:ascii="Book Antiqua" w:eastAsia="Book Antiqua" w:hAnsi="Book Antiqua" w:cs="Book Antiqua"/>
          <w:color w:val="000000"/>
        </w:rPr>
        <w:lastRenderedPageBreak/>
        <w:t xml:space="preserve">were 48.2%, 69.9%, and 19.3%, respectively. Non-survivors were accompanied by higher incidence of AGI grade III to IV than survivors. </w:t>
      </w:r>
    </w:p>
    <w:p w14:paraId="6D003B7D" w14:textId="18AE3381" w:rsidR="00A77B3E" w:rsidRDefault="00F35BF8" w:rsidP="00EF5D2D">
      <w:pPr>
        <w:spacing w:line="360" w:lineRule="auto"/>
        <w:ind w:firstLineChars="100" w:firstLine="240"/>
        <w:jc w:val="both"/>
      </w:pPr>
      <w:r>
        <w:rPr>
          <w:rFonts w:ascii="Book Antiqua" w:eastAsia="Book Antiqua" w:hAnsi="Book Antiqua" w:cs="Book Antiqua"/>
          <w:color w:val="000000"/>
        </w:rPr>
        <w:t xml:space="preserve">Most of the critically ill patients with COVID-19 had organ injury, including ARDS and </w:t>
      </w:r>
      <w:proofErr w:type="gramStart"/>
      <w:r>
        <w:rPr>
          <w:rFonts w:ascii="Book Antiqua" w:eastAsia="Book Antiqua" w:hAnsi="Book Antiqua" w:cs="Book Antiqua"/>
          <w:color w:val="000000"/>
        </w:rPr>
        <w:t>AKI</w:t>
      </w:r>
      <w:r w:rsidR="00EF5D2D">
        <w:rPr>
          <w:rFonts w:ascii="Book Antiqua" w:eastAsia="Book Antiqua" w:hAnsi="Book Antiqua" w:cs="Book Antiqua"/>
          <w:color w:val="000000"/>
          <w:vertAlign w:val="superscript"/>
        </w:rPr>
        <w:t>[</w:t>
      </w:r>
      <w:proofErr w:type="gramEnd"/>
      <w:r w:rsidR="00EF5D2D">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few literatures on gastrointestinal injury were reported in patients with COVID-19. Gastrointestinal dysfunction is common and closely related to adverse outcomes in general critically ill </w:t>
      </w:r>
      <w:proofErr w:type="gramStart"/>
      <w:r>
        <w:rPr>
          <w:rFonts w:ascii="Book Antiqua" w:eastAsia="Book Antiqua" w:hAnsi="Book Antiqua" w:cs="Book Antiqua"/>
          <w:color w:val="000000"/>
        </w:rPr>
        <w:t>patients</w:t>
      </w:r>
      <w:r w:rsidR="00EF5D2D">
        <w:rPr>
          <w:rFonts w:ascii="Book Antiqua" w:eastAsia="Book Antiqua" w:hAnsi="Book Antiqua" w:cs="Book Antiqua"/>
          <w:color w:val="000000"/>
          <w:vertAlign w:val="superscript"/>
        </w:rPr>
        <w:t>[</w:t>
      </w:r>
      <w:proofErr w:type="gramEnd"/>
      <w:r w:rsidR="00EF5D2D">
        <w:rPr>
          <w:rFonts w:ascii="Book Antiqua" w:eastAsia="Book Antiqua" w:hAnsi="Book Antiqua" w:cs="Book Antiqua"/>
          <w:color w:val="000000"/>
          <w:vertAlign w:val="superscript"/>
        </w:rPr>
        <w:t>10,15-17]</w:t>
      </w:r>
      <w:r>
        <w:rPr>
          <w:rFonts w:ascii="Book Antiqua" w:eastAsia="Book Antiqua" w:hAnsi="Book Antiqua" w:cs="Book Antiqua"/>
          <w:color w:val="000000"/>
        </w:rPr>
        <w:t xml:space="preserve">. In 2012, the Working Group on Abdominal Problems of the European Society of Intensive Care Medicine developed the definitions and a grading system for AGI in intensive care </w:t>
      </w:r>
      <w:proofErr w:type="gramStart"/>
      <w:r>
        <w:rPr>
          <w:rFonts w:ascii="Book Antiqua" w:eastAsia="Book Antiqua" w:hAnsi="Book Antiqua" w:cs="Book Antiqua"/>
          <w:color w:val="000000"/>
        </w:rPr>
        <w:t>patients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expert opinion-based AGI grading system had been proven to be a predictor of all-cause </w:t>
      </w:r>
      <w:proofErr w:type="gramStart"/>
      <w:r>
        <w:rPr>
          <w:rFonts w:ascii="Book Antiqua" w:eastAsia="Book Antiqua" w:hAnsi="Book Antiqua" w:cs="Book Antiqua"/>
          <w:color w:val="000000"/>
        </w:rPr>
        <w:t>mortality</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To our knowledge, this is the first study to investigate AGI in critically ill patients infected by SARS-CoV-2. Our results showed that AGI incidence was very high in critically ill patients with COVID-19. AGI was also correlated with clinical severity and outcomes of this novel disease. A recent meta-analysis showed that the incidence of AGI was about 40% and the mortality was 33% in critically ill </w:t>
      </w:r>
      <w:proofErr w:type="gramStart"/>
      <w:r>
        <w:rPr>
          <w:rFonts w:ascii="Book Antiqua" w:eastAsia="Book Antiqua" w:hAnsi="Book Antiqua" w:cs="Book Antiqua"/>
          <w:color w:val="000000"/>
        </w:rPr>
        <w:t>patients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15]</w:t>
      </w:r>
      <w:r>
        <w:rPr>
          <w:rFonts w:ascii="Book Antiqua" w:eastAsia="Book Antiqua" w:hAnsi="Book Antiqua" w:cs="Book Antiqua"/>
          <w:color w:val="000000"/>
        </w:rPr>
        <w:t>. The corresponding data of this study were higher than those of the previous reports. This phenomenon indicated that SARS-CoV-2 was also very virulent to gastrointestinal tract. However, the underlying mechanisms of SARS-CoV-2 causing organ dysfunction were unknown</w:t>
      </w:r>
      <w:r w:rsidRPr="00587469">
        <w:rPr>
          <w:rFonts w:ascii="Book Antiqua" w:eastAsia="Book Antiqua" w:hAnsi="Book Antiqua" w:cs="Book Antiqua"/>
          <w:color w:val="000000"/>
        </w:rPr>
        <w:t xml:space="preserve"> </w:t>
      </w:r>
      <w:hyperlink r:id="rId7" w:history="1">
        <w:r w:rsidRPr="00587469">
          <w:rPr>
            <w:rFonts w:ascii="Book Antiqua" w:eastAsia="Book Antiqua" w:hAnsi="Book Antiqua" w:cs="Book Antiqua"/>
            <w:color w:val="000000"/>
          </w:rPr>
          <w:t>yet</w:t>
        </w:r>
      </w:hyperlink>
      <w:r>
        <w:rPr>
          <w:rFonts w:ascii="Book Antiqua" w:eastAsia="Book Antiqua" w:hAnsi="Book Antiqua" w:cs="Book Antiqua"/>
          <w:color w:val="000000"/>
        </w:rPr>
        <w:t>.</w:t>
      </w:r>
    </w:p>
    <w:p w14:paraId="3CF7108A" w14:textId="3A29B3E8" w:rsidR="00A77B3E" w:rsidRDefault="00F35BF8" w:rsidP="00587469">
      <w:pPr>
        <w:spacing w:line="360" w:lineRule="auto"/>
        <w:ind w:firstLineChars="100" w:firstLine="240"/>
        <w:jc w:val="both"/>
      </w:pPr>
      <w:r>
        <w:rPr>
          <w:rFonts w:ascii="Book Antiqua" w:eastAsia="Book Antiqua" w:hAnsi="Book Antiqua" w:cs="Book Antiqua"/>
          <w:color w:val="000000"/>
        </w:rPr>
        <w:t xml:space="preserve">Gastrointestinal injury is often caused by an inflammatory reaction, infection or sepsis, severe trauma, shock, pancreatitis, and other critical </w:t>
      </w:r>
      <w:proofErr w:type="gramStart"/>
      <w:r>
        <w:rPr>
          <w:rFonts w:ascii="Book Antiqua" w:eastAsia="Book Antiqua" w:hAnsi="Book Antiqua" w:cs="Book Antiqua"/>
          <w:color w:val="000000"/>
        </w:rPr>
        <w:t>diseases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10,15,16]</w:t>
      </w:r>
      <w:r>
        <w:rPr>
          <w:rFonts w:ascii="Book Antiqua" w:eastAsia="Book Antiqua" w:hAnsi="Book Antiqua" w:cs="Book Antiqua"/>
          <w:color w:val="000000"/>
        </w:rPr>
        <w:t>. As the receptor for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angiotensin-converting enzyme 2 (ACE2) was suggested to be also the receptor for SARS-CoV-2</w:t>
      </w:r>
      <w:r w:rsidR="00587469">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ACE2 is expressed in endothelial cells and smooth muscle cells of almost all organs, especially in lung alveolar </w:t>
      </w:r>
      <w:proofErr w:type="gramStart"/>
      <w:r>
        <w:rPr>
          <w:rFonts w:ascii="Book Antiqua" w:eastAsia="Book Antiqua" w:hAnsi="Book Antiqua" w:cs="Book Antiqua"/>
          <w:color w:val="000000"/>
        </w:rPr>
        <w:t>cells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That's why the COVID-19 patients were susceptible to ARDS and even MODS. Our findings also showed that ARDS incidence was very high (92.8%), and AGI grades were significantly positive correlated with MV days.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that ACE2 was highly expressed in small intestine, especially in proximal and distal enterocytes. ACE2 expression in the epithelial cells was required for maintaining antimicrobial peptide expression, amino acid homeostasis, and the ecology of gut microbiome in </w:t>
      </w:r>
      <w:proofErr w:type="gramStart"/>
      <w:r>
        <w:rPr>
          <w:rFonts w:ascii="Book Antiqua" w:eastAsia="Book Antiqua" w:hAnsi="Book Antiqua" w:cs="Book Antiqua"/>
          <w:color w:val="000000"/>
        </w:rPr>
        <w:t>intestine</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gastrointestinal symptoms were also reported in previous studies on COVID-19</w:t>
      </w:r>
      <w:r w:rsidR="00587469">
        <w:rPr>
          <w:rFonts w:ascii="Book Antiqua" w:eastAsia="Book Antiqua" w:hAnsi="Book Antiqua" w:cs="Book Antiqua"/>
          <w:color w:val="000000"/>
          <w:vertAlign w:val="superscript"/>
        </w:rPr>
        <w:t>[7,8]</w:t>
      </w:r>
      <w:r>
        <w:rPr>
          <w:rFonts w:ascii="Book Antiqua" w:eastAsia="Book Antiqua" w:hAnsi="Book Antiqua" w:cs="Book Antiqua"/>
          <w:color w:val="000000"/>
        </w:rPr>
        <w:t>. We believed that these gastrointestinal symptoms were the early manifestations of AGI and should be taken seriously in clinical treatment.</w:t>
      </w:r>
    </w:p>
    <w:p w14:paraId="6D4247C9" w14:textId="4F8DFFB3" w:rsidR="00A77B3E" w:rsidRDefault="00F35BF8" w:rsidP="00587469">
      <w:pPr>
        <w:spacing w:line="360" w:lineRule="auto"/>
        <w:ind w:firstLineChars="100" w:firstLine="240"/>
        <w:jc w:val="both"/>
      </w:pPr>
      <w:r>
        <w:rPr>
          <w:rFonts w:ascii="Book Antiqua" w:eastAsia="Book Antiqua" w:hAnsi="Book Antiqua" w:cs="Book Antiqua"/>
          <w:color w:val="000000"/>
        </w:rPr>
        <w:t>In this study, we found that AGI grades were correlated with APACHEII and SOFA scores, WBC counts, CRP and D-dimer levels. Moreover, SOFA scores, WBC counts, and duration of MV were risk factors for the development of AGI grade II and above. These results indicated that patients with worse AGI grades had more serious virus infection and severe inflammatory response, which may lead to a vicious circle between systemic infection and intestinal barrier damage. D-dimer, a fibrin degradation product, was also considered to be associated with adverse outcomes of COVID-19</w:t>
      </w:r>
      <w:r w:rsidR="00587469">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abnormal elevation of D-dimer indicated microcirculation disturbance, including </w:t>
      </w:r>
      <w:proofErr w:type="spellStart"/>
      <w:r>
        <w:rPr>
          <w:rFonts w:ascii="Book Antiqua" w:eastAsia="Book Antiqua" w:hAnsi="Book Antiqua" w:cs="Book Antiqua"/>
          <w:color w:val="000000"/>
        </w:rPr>
        <w:t>microthrombotic</w:t>
      </w:r>
      <w:proofErr w:type="spellEnd"/>
      <w:r>
        <w:rPr>
          <w:rFonts w:ascii="Book Antiqua" w:eastAsia="Book Antiqua" w:hAnsi="Book Antiqua" w:cs="Book Antiqua"/>
          <w:color w:val="000000"/>
        </w:rPr>
        <w:t xml:space="preserve"> formation of intestinal </w:t>
      </w:r>
      <w:proofErr w:type="gramStart"/>
      <w:r>
        <w:rPr>
          <w:rFonts w:ascii="Book Antiqua" w:eastAsia="Book Antiqua" w:hAnsi="Book Antiqua" w:cs="Book Antiqua"/>
          <w:color w:val="000000"/>
        </w:rPr>
        <w:t>mucosa</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21]</w:t>
      </w:r>
      <w:r>
        <w:rPr>
          <w:rFonts w:ascii="Book Antiqua" w:eastAsia="Book Antiqua" w:hAnsi="Book Antiqua" w:cs="Book Antiqua"/>
          <w:color w:val="000000"/>
        </w:rPr>
        <w:t>. During our clinical work against the epidemic of COVID-19 in Wuhan, we observed that gastrointestinal hemorrhage developed in several severe patients. We speculated that stress ulcer and intestinal microcirculation disturbance may be causes of the disorder.</w:t>
      </w:r>
    </w:p>
    <w:p w14:paraId="22C8D911" w14:textId="7D4D94F3" w:rsidR="00A77B3E" w:rsidRDefault="00F35BF8" w:rsidP="00587469">
      <w:pPr>
        <w:spacing w:line="360" w:lineRule="auto"/>
        <w:ind w:firstLineChars="100" w:firstLine="240"/>
        <w:jc w:val="both"/>
      </w:pPr>
      <w:r>
        <w:rPr>
          <w:rFonts w:ascii="Book Antiqua" w:eastAsia="Book Antiqua" w:hAnsi="Book Antiqua" w:cs="Book Antiqua"/>
          <w:color w:val="000000"/>
        </w:rPr>
        <w:t xml:space="preserve">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ARDS developed in 67%, AKI in 29%, cardiac injury in 23%, and liver dysfunction in 29% of critically ill patients with SARS-CoV-2 pneumonia. Zhou</w:t>
      </w:r>
      <w:r w:rsidR="0094033D">
        <w:rPr>
          <w:rFonts w:ascii="Book Antiqua" w:eastAsia="Book Antiqua" w:hAnsi="Book Antiqua" w:cs="Book Antiqua"/>
          <w:color w:val="000000"/>
        </w:rPr>
        <w:t xml:space="preserve"> </w:t>
      </w:r>
      <w:r w:rsidR="0094033D" w:rsidRPr="0094033D">
        <w:rPr>
          <w:rFonts w:ascii="Book Antiqua" w:eastAsia="Book Antiqua" w:hAnsi="Book Antiqua" w:cs="Book Antiqua"/>
          <w:i/>
          <w:color w:val="000000"/>
        </w:rPr>
        <w:t>et al</w:t>
      </w:r>
      <w:r w:rsidR="0094033D">
        <w:rPr>
          <w:rFonts w:ascii="Book Antiqua" w:eastAsia="Book Antiqua" w:hAnsi="Book Antiqua" w:cs="Book Antiqua"/>
          <w:color w:val="000000"/>
          <w:vertAlign w:val="superscript"/>
        </w:rPr>
        <w:t>[21]</w:t>
      </w:r>
      <w:r>
        <w:rPr>
          <w:rFonts w:ascii="Book Antiqua" w:eastAsia="Book Antiqua" w:hAnsi="Book Antiqua" w:cs="Book Antiqua"/>
          <w:color w:val="000000"/>
        </w:rPr>
        <w:t>’s study presented that septic shock developed in 20%, ARDS in 31%, AKI in 15%, and cardiac injury in 17% of total patients with COVID-19. Our results showed that ARDS developed in 92.8%, AKI in 36.1%, cardiac injury in 44.6%, and liver injury in 18.1% of the critically ill patients with COVID-19. The incidences of organ injury in this study were higher than those of previous studies, which may suggest that patients with AGI had worse clinical outcomes. The high MODS incidence (69.9%) and hospital mortality (48.2%) of critically ill patients in this study also confirmed this</w:t>
      </w:r>
      <w:r>
        <w:rPr>
          <w:rFonts w:ascii="Book Antiqua" w:eastAsia="Book Antiqua" w:hAnsi="Book Antiqua" w:cs="Book Antiqua"/>
          <w:color w:val="000000"/>
          <w:szCs w:val="21"/>
        </w:rPr>
        <w:t xml:space="preserve"> </w:t>
      </w:r>
      <w:r>
        <w:rPr>
          <w:rFonts w:ascii="Book Antiqua" w:eastAsia="Book Antiqua" w:hAnsi="Book Antiqua" w:cs="Book Antiqua"/>
          <w:color w:val="000000"/>
        </w:rPr>
        <w:t>conclusion. Moreover, we found that the hospital days of patients without AGI were significantly longer than that of patients with AGI. It could be explained by the high 28-d mortality in patients with AGI, because the median hospital stay of non-survivors was only 12.0 (IQR, 8.0-17.8) days, ranging from 3 d to 27 d.</w:t>
      </w:r>
    </w:p>
    <w:p w14:paraId="0E3C1C26" w14:textId="77777777" w:rsidR="00A77B3E" w:rsidRDefault="00F35BF8" w:rsidP="00587469">
      <w:pPr>
        <w:spacing w:line="360" w:lineRule="auto"/>
        <w:ind w:firstLineChars="100" w:firstLine="240"/>
        <w:jc w:val="both"/>
      </w:pPr>
      <w:r>
        <w:rPr>
          <w:rFonts w:ascii="Book Antiqua" w:eastAsia="Book Antiqua" w:hAnsi="Book Antiqua" w:cs="Book Antiqua"/>
          <w:color w:val="000000"/>
        </w:rPr>
        <w:lastRenderedPageBreak/>
        <w:t>Some limitations of the study should be discussed. Because of our single-center retrospective design and small sample size, the results might be inconclusive, and the accuracy should be confirmed by large-scale clinical prospective studies. Moreover, because the study was not based on pathophysiological models, the results were hypothesis generating, the exact mechanisms of AGI in COVID-19 should be tested by more basic experiments. In addition, patients were sometimes transferred late in their illness to our hospital. Lack of effective antivirals and inadequate adherence to standard supportive therapy might have contributed to the poor clinical outcomes in some patients.</w:t>
      </w:r>
    </w:p>
    <w:p w14:paraId="33108F69" w14:textId="77777777" w:rsidR="00A77B3E" w:rsidRDefault="00A77B3E">
      <w:pPr>
        <w:spacing w:line="360" w:lineRule="auto"/>
        <w:jc w:val="both"/>
      </w:pPr>
    </w:p>
    <w:p w14:paraId="1D5A6C10" w14:textId="77777777" w:rsidR="00A77B3E" w:rsidRDefault="00F35BF8">
      <w:pPr>
        <w:spacing w:line="360" w:lineRule="auto"/>
        <w:jc w:val="both"/>
      </w:pPr>
      <w:r>
        <w:rPr>
          <w:rFonts w:ascii="Book Antiqua" w:eastAsia="Book Antiqua" w:hAnsi="Book Antiqua" w:cs="Book Antiqua"/>
          <w:b/>
          <w:caps/>
          <w:color w:val="000000"/>
          <w:u w:val="single"/>
        </w:rPr>
        <w:t>CONCLUSION</w:t>
      </w:r>
    </w:p>
    <w:p w14:paraId="30F06F24" w14:textId="77777777" w:rsidR="00A77B3E" w:rsidRDefault="00F35BF8">
      <w:pPr>
        <w:spacing w:line="360" w:lineRule="auto"/>
        <w:jc w:val="both"/>
      </w:pPr>
      <w:r>
        <w:rPr>
          <w:rFonts w:ascii="Book Antiqua" w:eastAsia="Book Antiqua" w:hAnsi="Book Antiqua" w:cs="Book Antiqua"/>
          <w:color w:val="000000"/>
        </w:rPr>
        <w:t>To our knowledge, this is the first study to investigate AGI in critically ill patients with COVID-19. The AGI incidence was 86.7%, and hospital mortality was 48.2% in critically ill patients. SOFA scores, WBC counts, and duration of MV were risk factors for the development of AGI grade II and above. Patients with worse AGI grades had worse clinical severity variables, higher septic shock incidence, and higher hospital mortality.</w:t>
      </w:r>
    </w:p>
    <w:p w14:paraId="12E47CF1" w14:textId="77777777" w:rsidR="00A77B3E" w:rsidRDefault="00A77B3E">
      <w:pPr>
        <w:spacing w:line="360" w:lineRule="auto"/>
        <w:jc w:val="both"/>
      </w:pPr>
    </w:p>
    <w:p w14:paraId="6299DA41" w14:textId="77777777" w:rsidR="00A77B3E" w:rsidRDefault="00F35BF8">
      <w:pPr>
        <w:spacing w:line="360" w:lineRule="auto"/>
        <w:jc w:val="both"/>
      </w:pPr>
      <w:r>
        <w:rPr>
          <w:rFonts w:ascii="Book Antiqua" w:eastAsia="Book Antiqua" w:hAnsi="Book Antiqua" w:cs="Book Antiqua"/>
          <w:b/>
          <w:caps/>
          <w:color w:val="000000"/>
          <w:u w:val="single"/>
        </w:rPr>
        <w:t>ARTICLE HIGHLIGHTS</w:t>
      </w:r>
    </w:p>
    <w:p w14:paraId="4356CC00" w14:textId="77777777" w:rsidR="00A77B3E" w:rsidRDefault="00F35BF8">
      <w:pPr>
        <w:spacing w:line="360" w:lineRule="auto"/>
        <w:jc w:val="both"/>
      </w:pPr>
      <w:r>
        <w:rPr>
          <w:rFonts w:ascii="Book Antiqua" w:eastAsia="Book Antiqua" w:hAnsi="Book Antiqua" w:cs="Book Antiqua"/>
          <w:b/>
          <w:i/>
          <w:color w:val="000000"/>
        </w:rPr>
        <w:t>Research background</w:t>
      </w:r>
    </w:p>
    <w:p w14:paraId="73DCF46A" w14:textId="7A12F6C2" w:rsidR="00A77B3E" w:rsidRDefault="00F35BF8">
      <w:pPr>
        <w:spacing w:line="360" w:lineRule="auto"/>
        <w:jc w:val="both"/>
      </w:pPr>
      <w:r>
        <w:rPr>
          <w:rFonts w:ascii="Book Antiqua" w:eastAsia="Book Antiqua" w:hAnsi="Book Antiqua" w:cs="Book Antiqua"/>
          <w:color w:val="000000"/>
        </w:rPr>
        <w:t xml:space="preserve">Few literatures on acute gastrointestinal injury were reported in critically ill patients with </w:t>
      </w:r>
      <w:r w:rsidR="002D544B">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2D544B">
        <w:rPr>
          <w:rFonts w:ascii="Book Antiqua" w:eastAsia="Book Antiqua" w:hAnsi="Book Antiqua" w:cs="Book Antiqua"/>
          <w:color w:val="000000"/>
        </w:rPr>
        <w:t>)</w:t>
      </w:r>
      <w:r>
        <w:rPr>
          <w:rFonts w:ascii="Book Antiqua" w:eastAsia="Book Antiqua" w:hAnsi="Book Antiqua" w:cs="Book Antiqua"/>
          <w:color w:val="000000"/>
        </w:rPr>
        <w:t>.</w:t>
      </w:r>
    </w:p>
    <w:p w14:paraId="7E996D3B" w14:textId="77777777" w:rsidR="00A77B3E" w:rsidRDefault="00A77B3E">
      <w:pPr>
        <w:spacing w:line="360" w:lineRule="auto"/>
        <w:jc w:val="both"/>
      </w:pPr>
    </w:p>
    <w:p w14:paraId="5F0071D5" w14:textId="77777777" w:rsidR="00A77B3E" w:rsidRDefault="00F35BF8">
      <w:pPr>
        <w:spacing w:line="360" w:lineRule="auto"/>
        <w:jc w:val="both"/>
      </w:pPr>
      <w:r>
        <w:rPr>
          <w:rFonts w:ascii="Book Antiqua" w:eastAsia="Book Antiqua" w:hAnsi="Book Antiqua" w:cs="Book Antiqua"/>
          <w:b/>
          <w:i/>
          <w:color w:val="000000"/>
        </w:rPr>
        <w:t>Research motivation</w:t>
      </w:r>
    </w:p>
    <w:p w14:paraId="2F1BECE5" w14:textId="5D1E8EE5" w:rsidR="00A77B3E" w:rsidRDefault="00F35BF8">
      <w:pPr>
        <w:spacing w:line="360" w:lineRule="auto"/>
        <w:jc w:val="both"/>
      </w:pPr>
      <w:r>
        <w:rPr>
          <w:rFonts w:ascii="Book Antiqua" w:eastAsia="Book Antiqua" w:hAnsi="Book Antiqua" w:cs="Book Antiqua"/>
          <w:color w:val="000000"/>
        </w:rPr>
        <w:t xml:space="preserve">This was the first study to investigate </w:t>
      </w:r>
      <w:r w:rsidR="002D544B">
        <w:rPr>
          <w:rFonts w:ascii="Book Antiqua" w:eastAsia="Book Antiqua" w:hAnsi="Book Antiqua" w:cs="Book Antiqua"/>
          <w:color w:val="000000"/>
        </w:rPr>
        <w:t>acute gastrointestinal injury (</w:t>
      </w:r>
      <w:r>
        <w:rPr>
          <w:rFonts w:ascii="Book Antiqua" w:eastAsia="Book Antiqua" w:hAnsi="Book Antiqua" w:cs="Book Antiqua"/>
          <w:color w:val="000000"/>
        </w:rPr>
        <w:t>AGI</w:t>
      </w:r>
      <w:r w:rsidR="002D544B">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 with COVID-19. </w:t>
      </w:r>
    </w:p>
    <w:p w14:paraId="5D5BD1F9" w14:textId="77777777" w:rsidR="00A77B3E" w:rsidRDefault="00A77B3E">
      <w:pPr>
        <w:spacing w:line="360" w:lineRule="auto"/>
        <w:jc w:val="both"/>
      </w:pPr>
    </w:p>
    <w:p w14:paraId="269333EC" w14:textId="77777777" w:rsidR="00A77B3E" w:rsidRDefault="00F35BF8">
      <w:pPr>
        <w:spacing w:line="360" w:lineRule="auto"/>
        <w:jc w:val="both"/>
      </w:pPr>
      <w:r>
        <w:rPr>
          <w:rFonts w:ascii="Book Antiqua" w:eastAsia="Book Antiqua" w:hAnsi="Book Antiqua" w:cs="Book Antiqua"/>
          <w:b/>
          <w:i/>
          <w:color w:val="000000"/>
        </w:rPr>
        <w:t>Research objectives</w:t>
      </w:r>
    </w:p>
    <w:p w14:paraId="783B9EE0" w14:textId="77777777" w:rsidR="00A77B3E" w:rsidRDefault="00F35BF8">
      <w:pPr>
        <w:spacing w:line="360" w:lineRule="auto"/>
        <w:jc w:val="both"/>
      </w:pPr>
      <w:r>
        <w:rPr>
          <w:rFonts w:ascii="Book Antiqua" w:eastAsia="Book Antiqua" w:hAnsi="Book Antiqua" w:cs="Book Antiqua"/>
          <w:color w:val="000000"/>
        </w:rPr>
        <w:t>To investigate the prevalence and outcomes of AGI in critically ill patients with COVID-19.</w:t>
      </w:r>
    </w:p>
    <w:p w14:paraId="224AF5C8" w14:textId="77777777" w:rsidR="00A77B3E" w:rsidRDefault="00A77B3E">
      <w:pPr>
        <w:spacing w:line="360" w:lineRule="auto"/>
        <w:jc w:val="both"/>
      </w:pPr>
    </w:p>
    <w:p w14:paraId="30C3BD9E" w14:textId="77777777" w:rsidR="00A77B3E" w:rsidRDefault="00F35BF8">
      <w:pPr>
        <w:spacing w:line="360" w:lineRule="auto"/>
        <w:jc w:val="both"/>
      </w:pPr>
      <w:r>
        <w:rPr>
          <w:rFonts w:ascii="Book Antiqua" w:eastAsia="Book Antiqua" w:hAnsi="Book Antiqua" w:cs="Book Antiqua"/>
          <w:b/>
          <w:i/>
          <w:color w:val="000000"/>
        </w:rPr>
        <w:t>Research methods</w:t>
      </w:r>
    </w:p>
    <w:p w14:paraId="604E2692" w14:textId="48334EA6" w:rsidR="00A77B3E" w:rsidRDefault="00F35BF8">
      <w:pPr>
        <w:spacing w:line="360" w:lineRule="auto"/>
        <w:jc w:val="both"/>
      </w:pPr>
      <w:r>
        <w:rPr>
          <w:rFonts w:ascii="Book Antiqua" w:eastAsia="Book Antiqua" w:hAnsi="Book Antiqua" w:cs="Book Antiqua"/>
          <w:color w:val="000000"/>
        </w:rPr>
        <w:t>In this retrospective study, the primary endpoints were AGI incidence and 28-d mortality.</w:t>
      </w:r>
    </w:p>
    <w:p w14:paraId="312A9684" w14:textId="77777777" w:rsidR="00A77B3E" w:rsidRDefault="00A77B3E">
      <w:pPr>
        <w:spacing w:line="360" w:lineRule="auto"/>
        <w:jc w:val="both"/>
      </w:pPr>
    </w:p>
    <w:p w14:paraId="49DD19DF" w14:textId="77777777" w:rsidR="00A77B3E" w:rsidRDefault="00F35BF8">
      <w:pPr>
        <w:spacing w:line="360" w:lineRule="auto"/>
        <w:jc w:val="both"/>
      </w:pPr>
      <w:r>
        <w:rPr>
          <w:rFonts w:ascii="Book Antiqua" w:eastAsia="Book Antiqua" w:hAnsi="Book Antiqua" w:cs="Book Antiqua"/>
          <w:b/>
          <w:i/>
          <w:color w:val="000000"/>
        </w:rPr>
        <w:t>Research results</w:t>
      </w:r>
    </w:p>
    <w:p w14:paraId="42366AA3" w14:textId="3C55C71E" w:rsidR="00A77B3E" w:rsidRDefault="00F35BF8">
      <w:pPr>
        <w:spacing w:line="360" w:lineRule="auto"/>
        <w:jc w:val="both"/>
      </w:pPr>
      <w:r>
        <w:rPr>
          <w:rFonts w:ascii="Book Antiqua" w:eastAsia="Book Antiqua" w:hAnsi="Book Antiqua" w:cs="Book Antiqua"/>
          <w:color w:val="000000"/>
        </w:rPr>
        <w:t xml:space="preserve">The AGI incidence was 86.7%, and hospital mortality was 48.2% in critically ill patients. Sequential organ failure assessment scores, </w:t>
      </w:r>
      <w:r w:rsidR="002D544B">
        <w:rPr>
          <w:rFonts w:ascii="Book Antiqua" w:eastAsia="Book Antiqua" w:hAnsi="Book Antiqua" w:cs="Book Antiqua"/>
          <w:color w:val="000000"/>
        </w:rPr>
        <w:t>white blood cell (</w:t>
      </w:r>
      <w:r>
        <w:rPr>
          <w:rFonts w:ascii="Book Antiqua" w:eastAsia="Book Antiqua" w:hAnsi="Book Antiqua" w:cs="Book Antiqua"/>
          <w:color w:val="000000"/>
        </w:rPr>
        <w:t>WBC</w:t>
      </w:r>
      <w:r w:rsidR="002D544B">
        <w:rPr>
          <w:rFonts w:ascii="Book Antiqua" w:eastAsia="Book Antiqua" w:hAnsi="Book Antiqua" w:cs="Book Antiqua"/>
          <w:color w:val="000000"/>
        </w:rPr>
        <w:t>)</w:t>
      </w:r>
      <w:r>
        <w:rPr>
          <w:rFonts w:ascii="Book Antiqua" w:eastAsia="Book Antiqua" w:hAnsi="Book Antiqua" w:cs="Book Antiqua"/>
          <w:color w:val="000000"/>
        </w:rPr>
        <w:t xml:space="preserve"> counts, and duration of mechanical ventilation were risk factors for the development of AGI grade II and above. </w:t>
      </w:r>
    </w:p>
    <w:p w14:paraId="3CA5B4E6" w14:textId="77777777" w:rsidR="00A77B3E" w:rsidRDefault="00A77B3E">
      <w:pPr>
        <w:spacing w:line="360" w:lineRule="auto"/>
        <w:jc w:val="both"/>
      </w:pPr>
    </w:p>
    <w:p w14:paraId="3C19B28C" w14:textId="77777777" w:rsidR="00A77B3E" w:rsidRDefault="00F35BF8">
      <w:pPr>
        <w:spacing w:line="360" w:lineRule="auto"/>
        <w:jc w:val="both"/>
      </w:pPr>
      <w:r>
        <w:rPr>
          <w:rFonts w:ascii="Book Antiqua" w:eastAsia="Book Antiqua" w:hAnsi="Book Antiqua" w:cs="Book Antiqua"/>
          <w:b/>
          <w:i/>
          <w:color w:val="000000"/>
        </w:rPr>
        <w:t>Research conclusions</w:t>
      </w:r>
    </w:p>
    <w:p w14:paraId="40E37A47" w14:textId="77777777" w:rsidR="00A77B3E" w:rsidRDefault="00F35BF8">
      <w:pPr>
        <w:spacing w:line="360" w:lineRule="auto"/>
        <w:jc w:val="both"/>
      </w:pPr>
      <w:r>
        <w:rPr>
          <w:rFonts w:ascii="Book Antiqua" w:eastAsia="Book Antiqua" w:hAnsi="Book Antiqua" w:cs="Book Antiqua"/>
          <w:color w:val="000000"/>
        </w:rPr>
        <w:t>Patients with worse AGI grades had worse clinical severity variables, higher septic shock incidence, and higher hospital mortality.</w:t>
      </w:r>
    </w:p>
    <w:p w14:paraId="71D6D254" w14:textId="77777777" w:rsidR="00A77B3E" w:rsidRDefault="00A77B3E">
      <w:pPr>
        <w:spacing w:line="360" w:lineRule="auto"/>
        <w:jc w:val="both"/>
      </w:pPr>
    </w:p>
    <w:p w14:paraId="594FC6DE" w14:textId="77777777" w:rsidR="00A77B3E" w:rsidRDefault="00F35BF8">
      <w:pPr>
        <w:spacing w:line="360" w:lineRule="auto"/>
        <w:jc w:val="both"/>
      </w:pPr>
      <w:r>
        <w:rPr>
          <w:rFonts w:ascii="Book Antiqua" w:eastAsia="Book Antiqua" w:hAnsi="Book Antiqua" w:cs="Book Antiqua"/>
          <w:b/>
          <w:i/>
          <w:color w:val="000000"/>
        </w:rPr>
        <w:t>Research perspectives</w:t>
      </w:r>
    </w:p>
    <w:p w14:paraId="648D1148" w14:textId="61D7591A" w:rsidR="00A77B3E" w:rsidRDefault="00F35BF8">
      <w:pPr>
        <w:spacing w:line="360" w:lineRule="auto"/>
        <w:jc w:val="both"/>
      </w:pPr>
      <w:r>
        <w:rPr>
          <w:rFonts w:ascii="Book Antiqua" w:eastAsia="Book Antiqua" w:hAnsi="Book Antiqua" w:cs="Book Antiqua"/>
          <w:color w:val="000000"/>
        </w:rPr>
        <w:t xml:space="preserve">To our knowledge, this is the first study to investigate AGI in critically ill patients with COVID-19. The AGI incidence was 86.7%, and hospital mortality was 48.2% in critically ill patients. </w:t>
      </w:r>
      <w:r w:rsidR="002D544B">
        <w:rPr>
          <w:rFonts w:ascii="Book Antiqua" w:eastAsia="Book Antiqua" w:hAnsi="Book Antiqua" w:cs="Book Antiqua"/>
          <w:color w:val="000000"/>
        </w:rPr>
        <w:t>Sequential organ failure assessment</w:t>
      </w:r>
      <w:r>
        <w:rPr>
          <w:rFonts w:ascii="Book Antiqua" w:eastAsia="Book Antiqua" w:hAnsi="Book Antiqua" w:cs="Book Antiqua"/>
          <w:color w:val="000000"/>
        </w:rPr>
        <w:t xml:space="preserve"> scores, WBC counts, and duration of </w:t>
      </w:r>
      <w:r w:rsidR="00061A79">
        <w:rPr>
          <w:rFonts w:ascii="Book Antiqua" w:eastAsia="Book Antiqua" w:hAnsi="Book Antiqua" w:cs="Book Antiqua"/>
          <w:color w:val="000000"/>
        </w:rPr>
        <w:t>mechanical ventilation</w:t>
      </w:r>
      <w:r>
        <w:rPr>
          <w:rFonts w:ascii="Book Antiqua" w:eastAsia="Book Antiqua" w:hAnsi="Book Antiqua" w:cs="Book Antiqua"/>
          <w:color w:val="000000"/>
        </w:rPr>
        <w:t xml:space="preserve"> were risk factors for the development of AGI grade II and above. Patients with worse AGI grades had worse clinical severity variables, higher septic shock incidence, and higher hospital mortality.</w:t>
      </w:r>
    </w:p>
    <w:p w14:paraId="12DCE0CF" w14:textId="77777777" w:rsidR="00A77B3E" w:rsidRDefault="00A77B3E">
      <w:pPr>
        <w:spacing w:line="360" w:lineRule="auto"/>
        <w:jc w:val="both"/>
      </w:pPr>
    </w:p>
    <w:p w14:paraId="3EA91D05" w14:textId="77777777" w:rsidR="00A77B3E" w:rsidRDefault="00F35BF8">
      <w:pPr>
        <w:spacing w:line="360" w:lineRule="auto"/>
        <w:jc w:val="both"/>
      </w:pPr>
      <w:r>
        <w:rPr>
          <w:rFonts w:ascii="Book Antiqua" w:eastAsia="Book Antiqua" w:hAnsi="Book Antiqua" w:cs="Book Antiqua"/>
          <w:b/>
          <w:caps/>
          <w:color w:val="000000"/>
          <w:u w:val="single"/>
        </w:rPr>
        <w:t>ACKNOWLEDGEMENTS</w:t>
      </w:r>
    </w:p>
    <w:p w14:paraId="78CB2F04" w14:textId="735D178F" w:rsidR="00A77B3E" w:rsidRDefault="00F35BF8">
      <w:pPr>
        <w:spacing w:line="360" w:lineRule="auto"/>
        <w:jc w:val="both"/>
      </w:pPr>
      <w:r>
        <w:rPr>
          <w:rFonts w:ascii="Book Antiqua" w:eastAsia="Book Antiqua" w:hAnsi="Book Antiqua" w:cs="Book Antiqua"/>
          <w:color w:val="000000"/>
        </w:rPr>
        <w:t xml:space="preserve">The authors thank Liu </w:t>
      </w:r>
      <w:r w:rsidR="00587469">
        <w:rPr>
          <w:rFonts w:ascii="Book Antiqua" w:eastAsia="Book Antiqua" w:hAnsi="Book Antiqua" w:cs="Book Antiqua"/>
          <w:color w:val="000000"/>
        </w:rPr>
        <w:t xml:space="preserve">Q </w:t>
      </w:r>
      <w:r>
        <w:rPr>
          <w:rFonts w:ascii="Book Antiqua" w:eastAsia="Book Antiqua" w:hAnsi="Book Antiqua" w:cs="Book Antiqua"/>
          <w:color w:val="000000"/>
        </w:rPr>
        <w:t xml:space="preserve">for her assistance in the statistical analysis of this study. The authors also thank Li H, Zou J, Dong K,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CC of Tongji </w:t>
      </w:r>
      <w:r w:rsidR="00587469">
        <w:rPr>
          <w:rFonts w:ascii="Book Antiqua" w:eastAsia="Book Antiqua" w:hAnsi="Book Antiqua" w:cs="Book Antiqua"/>
          <w:color w:val="000000"/>
        </w:rPr>
        <w:t>H</w:t>
      </w:r>
      <w:r>
        <w:rPr>
          <w:rFonts w:ascii="Book Antiqua" w:eastAsia="Book Antiqua" w:hAnsi="Book Antiqua" w:cs="Book Antiqua"/>
          <w:color w:val="000000"/>
        </w:rPr>
        <w:t>ospital for their contributions to this study. In addition, Sun JK and his family especially thank Sun XP for her meticulous care and support during the past ten years.</w:t>
      </w:r>
    </w:p>
    <w:p w14:paraId="25D7A35E" w14:textId="77777777" w:rsidR="00A77B3E" w:rsidRDefault="00A77B3E">
      <w:pPr>
        <w:spacing w:line="360" w:lineRule="auto"/>
        <w:jc w:val="both"/>
      </w:pPr>
    </w:p>
    <w:p w14:paraId="5CA30AD0" w14:textId="77777777" w:rsidR="00A77B3E" w:rsidRDefault="00F35BF8">
      <w:pPr>
        <w:spacing w:line="360" w:lineRule="auto"/>
        <w:jc w:val="both"/>
      </w:pPr>
      <w:r>
        <w:rPr>
          <w:rFonts w:ascii="Book Antiqua" w:eastAsia="Book Antiqua" w:hAnsi="Book Antiqua" w:cs="Book Antiqua"/>
          <w:b/>
          <w:color w:val="000000"/>
        </w:rPr>
        <w:lastRenderedPageBreak/>
        <w:t>REFERENCES</w:t>
      </w:r>
    </w:p>
    <w:p w14:paraId="75E2BA35" w14:textId="77777777" w:rsidR="00A77B3E" w:rsidRDefault="00F35BF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160E6BA2" w14:textId="77777777" w:rsidR="00A77B3E" w:rsidRDefault="00F35BF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243DA60" w14:textId="77777777" w:rsidR="00A77B3E" w:rsidRDefault="00F35BF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401D7B61" w14:textId="7BD63607" w:rsidR="00A77B3E" w:rsidRPr="00587469" w:rsidRDefault="00F35BF8">
      <w:pPr>
        <w:spacing w:line="360" w:lineRule="auto"/>
        <w:jc w:val="both"/>
        <w:rPr>
          <w:highlight w:val="yellow"/>
        </w:rPr>
      </w:pPr>
      <w:r w:rsidRPr="00587469">
        <w:rPr>
          <w:rFonts w:ascii="Book Antiqua" w:eastAsia="Book Antiqua" w:hAnsi="Book Antiqua" w:cs="Book Antiqua"/>
          <w:color w:val="000000"/>
          <w:highlight w:val="yellow"/>
        </w:rPr>
        <w:t xml:space="preserve">4 </w:t>
      </w:r>
      <w:r w:rsidRPr="00514466">
        <w:rPr>
          <w:rFonts w:ascii="Book Antiqua" w:eastAsia="Book Antiqua" w:hAnsi="Book Antiqua" w:cs="Book Antiqua"/>
          <w:b/>
          <w:bCs/>
          <w:color w:val="000000"/>
          <w:highlight w:val="yellow"/>
        </w:rPr>
        <w:t>World Health Organization</w:t>
      </w:r>
      <w:r w:rsidRPr="00587469">
        <w:rPr>
          <w:rFonts w:ascii="Book Antiqua" w:eastAsia="Book Antiqua" w:hAnsi="Book Antiqua" w:cs="Book Antiqua"/>
          <w:color w:val="000000"/>
          <w:highlight w:val="yellow"/>
        </w:rPr>
        <w:t>. Coronavirus disease (COVID-19) outbreak</w:t>
      </w:r>
      <w:r w:rsidR="00587469" w:rsidRPr="00587469">
        <w:rPr>
          <w:rFonts w:ascii="Book Antiqua" w:eastAsia="Book Antiqua" w:hAnsi="Book Antiqua" w:cs="Book Antiqua"/>
          <w:color w:val="000000"/>
          <w:highlight w:val="yellow"/>
        </w:rPr>
        <w:t xml:space="preserve">. </w:t>
      </w:r>
      <w:r w:rsidR="00587469" w:rsidRPr="00587469">
        <w:rPr>
          <w:rFonts w:ascii="Book Antiqua" w:hAnsi="Book Antiqua" w:cs="Arial"/>
          <w:bCs/>
          <w:highlight w:val="yellow"/>
        </w:rPr>
        <w:t xml:space="preserve">Available from: </w:t>
      </w:r>
      <w:r w:rsidRPr="00587469">
        <w:rPr>
          <w:rFonts w:ascii="Book Antiqua" w:eastAsia="Book Antiqua" w:hAnsi="Book Antiqua" w:cs="Book Antiqua"/>
          <w:color w:val="000000"/>
          <w:highlight w:val="yellow"/>
        </w:rPr>
        <w:t>https:// www .who .int</w:t>
      </w:r>
      <w:r w:rsidR="00AD029D">
        <w:rPr>
          <w:rFonts w:ascii="Book Antiqua" w:eastAsia="Book Antiqua" w:hAnsi="Book Antiqua" w:cs="Book Antiqua"/>
          <w:color w:val="000000"/>
          <w:highlight w:val="yellow"/>
        </w:rPr>
        <w:t xml:space="preserve"> </w:t>
      </w:r>
    </w:p>
    <w:p w14:paraId="4612FE4C" w14:textId="5DCDDA4F" w:rsidR="00A77B3E" w:rsidRDefault="00F35BF8">
      <w:pPr>
        <w:spacing w:line="360" w:lineRule="auto"/>
        <w:jc w:val="both"/>
      </w:pPr>
      <w:r w:rsidRPr="00587469">
        <w:rPr>
          <w:rFonts w:ascii="Book Antiqua" w:eastAsia="Book Antiqua" w:hAnsi="Book Antiqua" w:cs="Book Antiqua"/>
          <w:color w:val="000000"/>
          <w:highlight w:val="yellow"/>
        </w:rPr>
        <w:t>5</w:t>
      </w:r>
      <w:r w:rsidRPr="00AD029D">
        <w:rPr>
          <w:rFonts w:ascii="Book Antiqua" w:eastAsia="Book Antiqua" w:hAnsi="Book Antiqua" w:cs="Book Antiqua"/>
          <w:color w:val="000000"/>
          <w:highlight w:val="yellow"/>
        </w:rPr>
        <w:t xml:space="preserve"> </w:t>
      </w:r>
      <w:r w:rsidRPr="00AD029D">
        <w:rPr>
          <w:rFonts w:ascii="Book Antiqua" w:eastAsia="Book Antiqua" w:hAnsi="Book Antiqua" w:cs="Book Antiqua"/>
          <w:bCs/>
          <w:color w:val="000000"/>
          <w:highlight w:val="yellow"/>
        </w:rPr>
        <w:t>National Health Commission of the People’s Republic of China home page</w:t>
      </w:r>
      <w:r w:rsidR="00C32022">
        <w:rPr>
          <w:rFonts w:ascii="Book Antiqua" w:eastAsia="Book Antiqua" w:hAnsi="Book Antiqua" w:cs="Book Antiqua"/>
          <w:bCs/>
          <w:color w:val="000000"/>
          <w:highlight w:val="yellow"/>
        </w:rPr>
        <w:t>.</w:t>
      </w:r>
      <w:r w:rsidRPr="00AD029D">
        <w:rPr>
          <w:rFonts w:ascii="Book Antiqua" w:eastAsia="Book Antiqua" w:hAnsi="Book Antiqua" w:cs="Book Antiqua"/>
          <w:color w:val="000000"/>
          <w:highlight w:val="yellow"/>
        </w:rPr>
        <w:t xml:space="preserve"> </w:t>
      </w:r>
      <w:r w:rsidR="00587469" w:rsidRPr="00587469">
        <w:rPr>
          <w:rFonts w:ascii="Book Antiqua" w:hAnsi="Book Antiqua" w:cs="Arial"/>
          <w:bCs/>
          <w:highlight w:val="yellow"/>
        </w:rPr>
        <w:t xml:space="preserve">Available from: </w:t>
      </w:r>
      <w:r w:rsidRPr="00587469">
        <w:rPr>
          <w:rFonts w:ascii="Book Antiqua" w:eastAsia="Book Antiqua" w:hAnsi="Book Antiqua" w:cs="Book Antiqua"/>
          <w:color w:val="000000"/>
          <w:highlight w:val="yellow"/>
        </w:rPr>
        <w:t>http://www .</w:t>
      </w:r>
      <w:proofErr w:type="spellStart"/>
      <w:r w:rsidRPr="00587469">
        <w:rPr>
          <w:rFonts w:ascii="Book Antiqua" w:eastAsia="Book Antiqua" w:hAnsi="Book Antiqua" w:cs="Book Antiqua"/>
          <w:color w:val="000000"/>
          <w:highlight w:val="yellow"/>
        </w:rPr>
        <w:t>nhc</w:t>
      </w:r>
      <w:proofErr w:type="spellEnd"/>
      <w:r w:rsidRPr="00587469">
        <w:rPr>
          <w:rFonts w:ascii="Book Antiqua" w:eastAsia="Book Antiqua" w:hAnsi="Book Antiqua" w:cs="Book Antiqua"/>
          <w:color w:val="000000"/>
          <w:highlight w:val="yellow"/>
        </w:rPr>
        <w:t xml:space="preserve"> .gov .</w:t>
      </w:r>
      <w:proofErr w:type="spellStart"/>
      <w:r w:rsidRPr="00587469">
        <w:rPr>
          <w:rFonts w:ascii="Book Antiqua" w:eastAsia="Book Antiqua" w:hAnsi="Book Antiqua" w:cs="Book Antiqua"/>
          <w:color w:val="000000"/>
          <w:highlight w:val="yellow"/>
        </w:rPr>
        <w:t>cn</w:t>
      </w:r>
      <w:proofErr w:type="spellEnd"/>
      <w:r w:rsidR="00AD029D">
        <w:rPr>
          <w:rFonts w:ascii="Book Antiqua" w:eastAsia="Book Antiqua" w:hAnsi="Book Antiqua" w:cs="Book Antiqua"/>
          <w:color w:val="000000"/>
        </w:rPr>
        <w:t xml:space="preserve"> </w:t>
      </w:r>
    </w:p>
    <w:p w14:paraId="61B27D14" w14:textId="77777777" w:rsidR="00A77B3E" w:rsidRDefault="00F35BF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Cai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17754F72" w14:textId="77777777" w:rsidR="00A77B3E" w:rsidRDefault="00F35BF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w:t>
      </w:r>
      <w:r>
        <w:rPr>
          <w:rFonts w:ascii="Book Antiqua" w:eastAsia="Book Antiqua" w:hAnsi="Book Antiqua" w:cs="Book Antiqua"/>
          <w:color w:val="000000"/>
        </w:rPr>
        <w:lastRenderedPageBreak/>
        <w:t xml:space="preserve">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A758077" w14:textId="77777777" w:rsidR="00A77B3E" w:rsidRDefault="00F35BF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8CE039C" w14:textId="77777777" w:rsidR="00A77B3E" w:rsidRDefault="00F35BF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726D6238" w14:textId="77777777" w:rsidR="00A77B3E" w:rsidRDefault="00F35BF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Blaser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Fruhwald</w:t>
      </w:r>
      <w:proofErr w:type="spellEnd"/>
      <w:r>
        <w:rPr>
          <w:rFonts w:ascii="Book Antiqua" w:eastAsia="Book Antiqua" w:hAnsi="Book Antiqua" w:cs="Book Antiqua"/>
          <w:color w:val="000000"/>
        </w:rPr>
        <w:t xml:space="preserve"> S, Jakob SM,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 Braun JP,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Spies C. Gastrointestinal function in intensive care patients: terminology, definitions and management. Recommendations of the ESICM Working Group on Abdominal Problems.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384-394 [PMID: 22310869 DOI: 10.1007/s00134-011-2459-y]</w:t>
      </w:r>
    </w:p>
    <w:p w14:paraId="695DE36B" w14:textId="77777777" w:rsidR="00A77B3E" w:rsidRDefault="00F35BF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Nunnally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Gerlach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Koh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51EA816C" w14:textId="4911A575" w:rsidR="00A77B3E" w:rsidRDefault="00F35BF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Ranieri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Slutsky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2C73E83F" w14:textId="77777777" w:rsidR="00A77B3E" w:rsidRDefault="00F35BF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Ostermann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Burdmann</w:t>
      </w:r>
      <w:proofErr w:type="spellEnd"/>
      <w:r>
        <w:rPr>
          <w:rFonts w:ascii="Book Antiqua" w:eastAsia="Book Antiqua" w:hAnsi="Book Antiqua" w:cs="Book Antiqua"/>
          <w:color w:val="000000"/>
        </w:rPr>
        <w:t xml:space="preserve"> EA, Doi K, </w:t>
      </w:r>
      <w:proofErr w:type="spellStart"/>
      <w:r>
        <w:rPr>
          <w:rFonts w:ascii="Book Antiqua" w:eastAsia="Book Antiqua" w:hAnsi="Book Antiqua" w:cs="Book Antiqua"/>
          <w:color w:val="000000"/>
        </w:rPr>
        <w:t>Endre</w:t>
      </w:r>
      <w:proofErr w:type="spellEnd"/>
      <w:r>
        <w:rPr>
          <w:rFonts w:ascii="Book Antiqua" w:eastAsia="Book Antiqua" w:hAnsi="Book Antiqua" w:cs="Book Antiqua"/>
          <w:color w:val="000000"/>
        </w:rPr>
        <w:t xml:space="preserve"> ZH, Goldstein SL, Kane-Gill SL, Liu KD, </w:t>
      </w:r>
      <w:proofErr w:type="spellStart"/>
      <w:r>
        <w:rPr>
          <w:rFonts w:ascii="Book Antiqua" w:eastAsia="Book Antiqua" w:hAnsi="Book Antiqua" w:cs="Book Antiqua"/>
          <w:color w:val="000000"/>
        </w:rPr>
        <w:t>Prowle</w:t>
      </w:r>
      <w:proofErr w:type="spellEnd"/>
      <w:r>
        <w:rPr>
          <w:rFonts w:ascii="Book Antiqua" w:eastAsia="Book Antiqua" w:hAnsi="Book Antiqua" w:cs="Book Antiqua"/>
          <w:color w:val="000000"/>
        </w:rPr>
        <w:t xml:space="preserve"> JR, Shaw AD, </w:t>
      </w:r>
      <w:proofErr w:type="spellStart"/>
      <w:r>
        <w:rPr>
          <w:rFonts w:ascii="Book Antiqua" w:eastAsia="Book Antiqua" w:hAnsi="Book Antiqua" w:cs="Book Antiqua"/>
          <w:color w:val="000000"/>
        </w:rPr>
        <w:t>Srisawat</w:t>
      </w:r>
      <w:proofErr w:type="spellEnd"/>
      <w:r>
        <w:rPr>
          <w:rFonts w:ascii="Book Antiqua" w:eastAsia="Book Antiqua" w:hAnsi="Book Antiqua" w:cs="Book Antiqua"/>
          <w:color w:val="000000"/>
        </w:rPr>
        <w:t xml:space="preserve"> N, Cheung M, </w:t>
      </w:r>
      <w:proofErr w:type="spellStart"/>
      <w:r>
        <w:rPr>
          <w:rFonts w:ascii="Book Antiqua" w:eastAsia="Book Antiqua" w:hAnsi="Book Antiqua" w:cs="Book Antiqua"/>
          <w:color w:val="000000"/>
        </w:rPr>
        <w:t>Jadoul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Winkelmayer</w:t>
      </w:r>
      <w:proofErr w:type="spellEnd"/>
      <w:r>
        <w:rPr>
          <w:rFonts w:ascii="Book Antiqua" w:eastAsia="Book Antiqua" w:hAnsi="Book Antiqua" w:cs="Book Antiqua"/>
          <w:color w:val="000000"/>
        </w:rPr>
        <w:t xml:space="preserve"> WC, Kellum JA; Conference Participants. Controversies in acute kidney injury: conclusions from a Kidney Disease: Improving Global Outcomes (KDIGO) Conference.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294-309 [PMID: 32709292 DOI: 10.1016/j.kint.2020.04.020]</w:t>
      </w:r>
    </w:p>
    <w:p w14:paraId="75A194D2" w14:textId="77777777" w:rsidR="00A77B3E" w:rsidRDefault="00F35BF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Kwo</w:t>
      </w:r>
      <w:proofErr w:type="spellEnd"/>
      <w:r>
        <w:rPr>
          <w:rFonts w:ascii="Book Antiqua" w:eastAsia="Book Antiqua" w:hAnsi="Book Antiqua" w:cs="Book Antiqua"/>
          <w:b/>
          <w:bCs/>
          <w:color w:val="000000"/>
        </w:rPr>
        <w:t xml:space="preserve"> PY</w:t>
      </w:r>
      <w:r>
        <w:rPr>
          <w:rFonts w:ascii="Book Antiqua" w:eastAsia="Book Antiqua" w:hAnsi="Book Antiqua" w:cs="Book Antiqua"/>
          <w:color w:val="000000"/>
        </w:rPr>
        <w:t xml:space="preserve">, Cohen SM, Lim JK. ACG Clinical Guideline: Evaluation of Abnormal Liver Chemistries.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18-35 [PMID: 27995906 DOI: 10.1038/ajg.2016.517]</w:t>
      </w:r>
    </w:p>
    <w:p w14:paraId="52D7379F" w14:textId="77777777" w:rsidR="00A77B3E" w:rsidRDefault="00F35BF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Y, Ding L, Fu Y, Dong X, Li H. Prevalence and outcome of acute gastrointestinal injury in critically ill patients: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e12970 [PMID: 30412121 DOI: 10.1097/MD.0000000000012970]</w:t>
      </w:r>
    </w:p>
    <w:p w14:paraId="257DA801" w14:textId="77777777" w:rsidR="00A77B3E" w:rsidRDefault="00F35BF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B</w:t>
      </w:r>
      <w:r>
        <w:rPr>
          <w:rFonts w:ascii="Book Antiqua" w:eastAsia="Book Antiqua" w:hAnsi="Book Antiqua" w:cs="Book Antiqua"/>
          <w:color w:val="000000"/>
        </w:rPr>
        <w:t xml:space="preserve">, Sun R, Wu A, Ni Y, Liu J, Guo F, Ying L, Ge G, Ding A, Shi Y, Liu C, Xu L, Jiang R, Lu J, Lin R, Zhu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Severity of acute gastrointestinal injury grade is a predictor of all-cause mortality in critically ill patients: a multicenter,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188 [PMID: 28709443 DOI: 10.1186/s13054-017-1780-4]</w:t>
      </w:r>
    </w:p>
    <w:p w14:paraId="60A2EEA6" w14:textId="77777777" w:rsidR="00A77B3E" w:rsidRDefault="00F35BF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Zhang D, Wang Y, Zhao S. Association between acute gastrointestinal injury grading system and disease severity and prognosis in critically ill patients: A multicenter, prospective, observational study in China.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24-28 [PMID: 27546743 DOI: 10.1016/j.jcrc.2016.05.001]</w:t>
      </w:r>
    </w:p>
    <w:p w14:paraId="65AA50A9" w14:textId="77777777" w:rsidR="00A77B3E" w:rsidRDefault="00F35BF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221-236 [PMID: 31987001 DOI: 10.1080/22221751.2020.1719902]</w:t>
      </w:r>
    </w:p>
    <w:p w14:paraId="51E554FC" w14:textId="77777777" w:rsidR="00A77B3E" w:rsidRDefault="00F35BF8">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Feng Z, Rao S, Xiao C,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Lin Z, Zhang Q, Qi W.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may be underestimated: a missing link in 2019 novel coronavirus.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1141-1143 [PMID: 32102928 DOI: 10.1136/gutjnl-2020-320832]</w:t>
      </w:r>
    </w:p>
    <w:p w14:paraId="65FA2F78" w14:textId="77777777" w:rsidR="00A77B3E" w:rsidRDefault="00F35BF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Perlot</w:t>
      </w:r>
      <w:proofErr w:type="spellEnd"/>
      <w:r>
        <w:rPr>
          <w:rFonts w:ascii="Book Antiqua" w:eastAsia="Book Antiqua" w:hAnsi="Book Antiqua" w:cs="Book Antiqua"/>
          <w:color w:val="000000"/>
        </w:rPr>
        <w:t xml:space="preserve"> T, Rehman A, </w:t>
      </w:r>
      <w:proofErr w:type="spellStart"/>
      <w:r>
        <w:rPr>
          <w:rFonts w:ascii="Book Antiqua" w:eastAsia="Book Antiqua" w:hAnsi="Book Antiqua" w:cs="Book Antiqua"/>
          <w:color w:val="000000"/>
        </w:rPr>
        <w:t>Trichereau</w:t>
      </w:r>
      <w:proofErr w:type="spellEnd"/>
      <w:r>
        <w:rPr>
          <w:rFonts w:ascii="Book Antiqua" w:eastAsia="Book Antiqua" w:hAnsi="Book Antiqua" w:cs="Book Antiqua"/>
          <w:color w:val="000000"/>
        </w:rPr>
        <w:t xml:space="preserve"> J, Ishiguro H, </w:t>
      </w:r>
      <w:proofErr w:type="spellStart"/>
      <w:r>
        <w:rPr>
          <w:rFonts w:ascii="Book Antiqua" w:eastAsia="Book Antiqua" w:hAnsi="Book Antiqua" w:cs="Book Antiqua"/>
          <w:color w:val="000000"/>
        </w:rPr>
        <w:t>Paolino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R, Lipinski S, Wild B, Camargo SM, Singer D, Richter A,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Schreiber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Rosenstiel P,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ACE2 Links amino acid 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14:paraId="49FC0C53" w14:textId="77777777" w:rsidR="00A77B3E" w:rsidRDefault="00F35BF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65719E0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C920A7" w14:textId="77777777" w:rsidR="00A77B3E" w:rsidRDefault="00F35BF8">
      <w:pPr>
        <w:spacing w:line="360" w:lineRule="auto"/>
        <w:jc w:val="both"/>
      </w:pPr>
      <w:r>
        <w:rPr>
          <w:rFonts w:ascii="Book Antiqua" w:eastAsia="Book Antiqua" w:hAnsi="Book Antiqua" w:cs="Book Antiqua"/>
          <w:b/>
          <w:color w:val="000000"/>
        </w:rPr>
        <w:lastRenderedPageBreak/>
        <w:t>Footnotes</w:t>
      </w:r>
    </w:p>
    <w:p w14:paraId="08F68EE6" w14:textId="77777777" w:rsidR="00A77B3E" w:rsidRDefault="00F35BF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Nanjing First Hospital and Tongji Hospital, whereas written informed consent was waived because this was a retrospective study.</w:t>
      </w:r>
    </w:p>
    <w:p w14:paraId="75D4B411" w14:textId="77777777" w:rsidR="00A77B3E" w:rsidRDefault="00A77B3E">
      <w:pPr>
        <w:spacing w:line="360" w:lineRule="auto"/>
        <w:jc w:val="both"/>
      </w:pPr>
    </w:p>
    <w:p w14:paraId="7C0CD7F3" w14:textId="77777777" w:rsidR="00A77B3E" w:rsidRDefault="00F35BF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C57526" w14:textId="77777777" w:rsidR="00A77B3E" w:rsidRDefault="00A77B3E">
      <w:pPr>
        <w:spacing w:line="360" w:lineRule="auto"/>
        <w:jc w:val="both"/>
      </w:pPr>
    </w:p>
    <w:p w14:paraId="192BEDA0" w14:textId="77777777" w:rsidR="00A77B3E" w:rsidRDefault="00F35BF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4547DD27" w14:textId="77777777" w:rsidR="00A77B3E" w:rsidRDefault="00A77B3E">
      <w:pPr>
        <w:spacing w:line="360" w:lineRule="auto"/>
        <w:jc w:val="both"/>
      </w:pPr>
    </w:p>
    <w:p w14:paraId="70FC0CB0" w14:textId="77777777" w:rsidR="00A77B3E" w:rsidRDefault="00F35BF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07FAEE1" w14:textId="77777777" w:rsidR="00A77B3E" w:rsidRDefault="00A77B3E">
      <w:pPr>
        <w:spacing w:line="360" w:lineRule="auto"/>
        <w:jc w:val="both"/>
      </w:pPr>
    </w:p>
    <w:p w14:paraId="0D64B9CB" w14:textId="461801CA" w:rsidR="00A77B3E" w:rsidRDefault="00F35BF8">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586D6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586D6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6C38623B" w14:textId="77777777" w:rsidR="00A77B3E" w:rsidRDefault="00A77B3E">
      <w:pPr>
        <w:spacing w:line="360" w:lineRule="auto"/>
        <w:jc w:val="both"/>
      </w:pPr>
    </w:p>
    <w:p w14:paraId="4A1D6832" w14:textId="77777777" w:rsidR="00A77B3E" w:rsidRDefault="00F35BF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331C41" w14:textId="77777777" w:rsidR="00A77B3E" w:rsidRDefault="00A77B3E">
      <w:pPr>
        <w:spacing w:line="360" w:lineRule="auto"/>
        <w:jc w:val="both"/>
      </w:pPr>
    </w:p>
    <w:p w14:paraId="74CFDE80" w14:textId="78D6F559" w:rsidR="00A77B3E" w:rsidRDefault="00F35BF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E081A">
        <w:rPr>
          <w:rFonts w:ascii="Book Antiqua" w:eastAsia="Book Antiqua" w:hAnsi="Book Antiqua" w:cs="Book Antiqua"/>
          <w:color w:val="000000"/>
        </w:rPr>
        <w:t>ma</w:t>
      </w:r>
      <w:r>
        <w:rPr>
          <w:rFonts w:ascii="Book Antiqua" w:eastAsia="Book Antiqua" w:hAnsi="Book Antiqua" w:cs="Book Antiqua"/>
          <w:color w:val="000000"/>
        </w:rPr>
        <w:t>nuscript</w:t>
      </w:r>
    </w:p>
    <w:p w14:paraId="6597BC20" w14:textId="77777777" w:rsidR="00A77B3E" w:rsidRDefault="00A77B3E">
      <w:pPr>
        <w:spacing w:line="360" w:lineRule="auto"/>
        <w:jc w:val="both"/>
      </w:pPr>
    </w:p>
    <w:p w14:paraId="0918F98F" w14:textId="77777777" w:rsidR="00A77B3E" w:rsidRDefault="00F35BF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2020</w:t>
      </w:r>
    </w:p>
    <w:p w14:paraId="1E2AA5F0" w14:textId="77777777" w:rsidR="00A77B3E" w:rsidRDefault="00F35BF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652CAA7F" w14:textId="77777777" w:rsidR="00A77B3E" w:rsidRDefault="00F35BF8">
      <w:pPr>
        <w:spacing w:line="360" w:lineRule="auto"/>
        <w:jc w:val="both"/>
      </w:pPr>
      <w:r>
        <w:rPr>
          <w:rFonts w:ascii="Book Antiqua" w:eastAsia="Book Antiqua" w:hAnsi="Book Antiqua" w:cs="Book Antiqua"/>
          <w:b/>
          <w:color w:val="000000"/>
        </w:rPr>
        <w:t xml:space="preserve">Article in press: </w:t>
      </w:r>
    </w:p>
    <w:p w14:paraId="7D95C0D2" w14:textId="77777777" w:rsidR="00A77B3E" w:rsidRDefault="00A77B3E">
      <w:pPr>
        <w:spacing w:line="360" w:lineRule="auto"/>
        <w:jc w:val="both"/>
      </w:pPr>
    </w:p>
    <w:p w14:paraId="75132DB3" w14:textId="000FC1D6" w:rsidR="00A77B3E" w:rsidRDefault="00F35BF8">
      <w:pPr>
        <w:spacing w:line="360" w:lineRule="auto"/>
        <w:jc w:val="both"/>
      </w:pPr>
      <w:r>
        <w:rPr>
          <w:rFonts w:ascii="Book Antiqua" w:eastAsia="Book Antiqua" w:hAnsi="Book Antiqua" w:cs="Book Antiqua"/>
          <w:b/>
          <w:color w:val="000000"/>
        </w:rPr>
        <w:t xml:space="preserve">Specialty type: </w:t>
      </w:r>
      <w:r w:rsidR="00AE081A" w:rsidRPr="00E700C2">
        <w:rPr>
          <w:rFonts w:ascii="Book Antiqua" w:eastAsia="微软雅黑" w:hAnsi="Book Antiqua" w:cs="宋体"/>
        </w:rPr>
        <w:t>Gastroenterology and hepatology</w:t>
      </w:r>
    </w:p>
    <w:p w14:paraId="7BCD1E24" w14:textId="77777777" w:rsidR="00A77B3E" w:rsidRDefault="00F35BF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70A3D7F" w14:textId="77777777" w:rsidR="00A77B3E" w:rsidRDefault="00F35BF8">
      <w:pPr>
        <w:spacing w:line="360" w:lineRule="auto"/>
        <w:jc w:val="both"/>
      </w:pPr>
      <w:r>
        <w:rPr>
          <w:rFonts w:ascii="Book Antiqua" w:eastAsia="Book Antiqua" w:hAnsi="Book Antiqua" w:cs="Book Antiqua"/>
          <w:b/>
          <w:color w:val="000000"/>
        </w:rPr>
        <w:t>Peer-review report’s scientific quality classification</w:t>
      </w:r>
    </w:p>
    <w:p w14:paraId="2EE5F2B3" w14:textId="77777777" w:rsidR="00A77B3E" w:rsidRDefault="00F35BF8">
      <w:pPr>
        <w:spacing w:line="360" w:lineRule="auto"/>
        <w:jc w:val="both"/>
      </w:pPr>
      <w:r>
        <w:rPr>
          <w:rFonts w:ascii="Book Antiqua" w:eastAsia="Book Antiqua" w:hAnsi="Book Antiqua" w:cs="Book Antiqua"/>
          <w:color w:val="000000"/>
        </w:rPr>
        <w:t>Grade A (Excellent): 0</w:t>
      </w:r>
    </w:p>
    <w:p w14:paraId="469C9465" w14:textId="77777777" w:rsidR="00A77B3E" w:rsidRDefault="00F35BF8">
      <w:pPr>
        <w:spacing w:line="360" w:lineRule="auto"/>
        <w:jc w:val="both"/>
      </w:pPr>
      <w:r>
        <w:rPr>
          <w:rFonts w:ascii="Book Antiqua" w:eastAsia="Book Antiqua" w:hAnsi="Book Antiqua" w:cs="Book Antiqua"/>
          <w:color w:val="000000"/>
        </w:rPr>
        <w:t>Grade B (Very good): 0</w:t>
      </w:r>
    </w:p>
    <w:p w14:paraId="7FF5B896" w14:textId="77777777" w:rsidR="00A77B3E" w:rsidRDefault="00F35BF8">
      <w:pPr>
        <w:spacing w:line="360" w:lineRule="auto"/>
        <w:jc w:val="both"/>
      </w:pPr>
      <w:r>
        <w:rPr>
          <w:rFonts w:ascii="Book Antiqua" w:eastAsia="Book Antiqua" w:hAnsi="Book Antiqua" w:cs="Book Antiqua"/>
          <w:color w:val="000000"/>
        </w:rPr>
        <w:t>Grade C (Good): C, C</w:t>
      </w:r>
    </w:p>
    <w:p w14:paraId="10B740CA" w14:textId="77777777" w:rsidR="00A77B3E" w:rsidRDefault="00F35BF8">
      <w:pPr>
        <w:spacing w:line="360" w:lineRule="auto"/>
        <w:jc w:val="both"/>
      </w:pPr>
      <w:r>
        <w:rPr>
          <w:rFonts w:ascii="Book Antiqua" w:eastAsia="Book Antiqua" w:hAnsi="Book Antiqua" w:cs="Book Antiqua"/>
          <w:color w:val="000000"/>
        </w:rPr>
        <w:t>Grade D (Fair): 0</w:t>
      </w:r>
    </w:p>
    <w:p w14:paraId="613D473E" w14:textId="77777777" w:rsidR="00A77B3E" w:rsidRDefault="00F35BF8">
      <w:pPr>
        <w:spacing w:line="360" w:lineRule="auto"/>
        <w:jc w:val="both"/>
      </w:pPr>
      <w:r>
        <w:rPr>
          <w:rFonts w:ascii="Book Antiqua" w:eastAsia="Book Antiqua" w:hAnsi="Book Antiqua" w:cs="Book Antiqua"/>
          <w:color w:val="000000"/>
        </w:rPr>
        <w:t>Grade E (Poor): 0</w:t>
      </w:r>
    </w:p>
    <w:p w14:paraId="06E308C4" w14:textId="77777777" w:rsidR="00A77B3E" w:rsidRDefault="00A77B3E">
      <w:pPr>
        <w:spacing w:line="360" w:lineRule="auto"/>
        <w:jc w:val="both"/>
      </w:pPr>
    </w:p>
    <w:p w14:paraId="4ED4089D" w14:textId="77777777" w:rsidR="00A77B3E" w:rsidRDefault="00F35B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Nesek</w:t>
      </w:r>
      <w:proofErr w:type="spellEnd"/>
      <w:r>
        <w:rPr>
          <w:rFonts w:ascii="Book Antiqua" w:eastAsia="Book Antiqua" w:hAnsi="Book Antiqua" w:cs="Book Antiqua"/>
          <w:color w:val="000000"/>
        </w:rPr>
        <w:t xml:space="preserve">-Adam V, </w:t>
      </w:r>
      <w:proofErr w:type="spellStart"/>
      <w:r>
        <w:rPr>
          <w:rFonts w:ascii="Book Antiqua" w:eastAsia="Book Antiqua" w:hAnsi="Book Antiqua" w:cs="Book Antiqua"/>
          <w:color w:val="000000"/>
        </w:rPr>
        <w:t>Vunnam</w:t>
      </w:r>
      <w:proofErr w:type="spellEnd"/>
      <w:r>
        <w:rPr>
          <w:rFonts w:ascii="Book Antiqua" w:eastAsia="Book Antiqua" w:hAnsi="Book Antiqua" w:cs="Book Antiqua"/>
          <w:color w:val="000000"/>
        </w:rPr>
        <w:t xml:space="preserve"> SR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7A5A1F5" w14:textId="77777777" w:rsidR="00AC21F7" w:rsidRDefault="00AC21F7">
      <w:pPr>
        <w:spacing w:line="360" w:lineRule="auto"/>
        <w:jc w:val="both"/>
        <w:sectPr w:rsidR="00AC21F7">
          <w:pgSz w:w="12240" w:h="15840"/>
          <w:pgMar w:top="1440" w:right="1440" w:bottom="1440" w:left="1440" w:header="720" w:footer="720" w:gutter="0"/>
          <w:cols w:space="720"/>
          <w:docGrid w:linePitch="360"/>
        </w:sectPr>
      </w:pPr>
    </w:p>
    <w:p w14:paraId="375B5ED4" w14:textId="2524B538" w:rsidR="00A77B3E" w:rsidRDefault="00F35B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48DB38" w14:textId="2333F736" w:rsidR="00452524" w:rsidRDefault="00452524">
      <w:pPr>
        <w:spacing w:line="360" w:lineRule="auto"/>
        <w:jc w:val="both"/>
      </w:pPr>
      <w:r>
        <w:rPr>
          <w:noProof/>
          <w:lang w:eastAsia="zh-CN"/>
        </w:rPr>
        <w:drawing>
          <wp:inline distT="0" distB="0" distL="0" distR="0" wp14:anchorId="1B9F863F" wp14:editId="51EDD822">
            <wp:extent cx="5048287" cy="3057547"/>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87" cy="3057547"/>
                    </a:xfrm>
                    <a:prstGeom prst="rect">
                      <a:avLst/>
                    </a:prstGeom>
                  </pic:spPr>
                </pic:pic>
              </a:graphicData>
            </a:graphic>
          </wp:inline>
        </w:drawing>
      </w:r>
    </w:p>
    <w:p w14:paraId="4751C527" w14:textId="78C61F07" w:rsidR="00452524"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452524">
        <w:rPr>
          <w:rFonts w:ascii="Book Antiqua" w:eastAsia="Book Antiqua" w:hAnsi="Book Antiqua" w:cs="Book Antiqua"/>
          <w:b/>
          <w:bCs/>
          <w:color w:val="000000"/>
        </w:rPr>
        <w:t>The flow diagram of participants.</w:t>
      </w:r>
      <w:r w:rsidR="00452524">
        <w:rPr>
          <w:rFonts w:ascii="Book Antiqua" w:eastAsia="Book Antiqua" w:hAnsi="Book Antiqua" w:cs="Book Antiqua"/>
          <w:b/>
          <w:bCs/>
          <w:color w:val="000000"/>
        </w:rPr>
        <w:t xml:space="preserve"> </w:t>
      </w:r>
      <w:r w:rsidR="00452524" w:rsidRPr="00452524">
        <w:rPr>
          <w:rFonts w:ascii="Book Antiqua" w:eastAsia="Book Antiqua" w:hAnsi="Book Antiqua" w:cs="Book Antiqua"/>
          <w:color w:val="000000"/>
        </w:rPr>
        <w:t>AGI</w:t>
      </w:r>
      <w:r w:rsidR="00452524">
        <w:rPr>
          <w:rFonts w:ascii="Book Antiqua" w:eastAsia="Book Antiqua" w:hAnsi="Book Antiqua" w:cs="Book Antiqua"/>
          <w:color w:val="000000"/>
        </w:rPr>
        <w:t>: Acute gastrointestinal injury.</w:t>
      </w:r>
    </w:p>
    <w:p w14:paraId="2D6E3A7A" w14:textId="61A00738" w:rsidR="00A77B3E" w:rsidRPr="00452524" w:rsidRDefault="00452524">
      <w:pPr>
        <w:spacing w:line="360" w:lineRule="auto"/>
        <w:jc w:val="both"/>
        <w:rPr>
          <w:b/>
          <w:bCs/>
        </w:rPr>
      </w:pPr>
      <w:r>
        <w:rPr>
          <w:rFonts w:ascii="Book Antiqua" w:eastAsia="Book Antiqua" w:hAnsi="Book Antiqua" w:cs="Book Antiqua"/>
          <w:color w:val="000000"/>
        </w:rPr>
        <w:br w:type="page"/>
      </w:r>
      <w:r>
        <w:rPr>
          <w:noProof/>
          <w:lang w:eastAsia="zh-CN"/>
        </w:rPr>
        <w:lastRenderedPageBreak/>
        <w:drawing>
          <wp:inline distT="0" distB="0" distL="0" distR="0" wp14:anchorId="5341E6A1" wp14:editId="63461715">
            <wp:extent cx="5943600" cy="217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78050"/>
                    </a:xfrm>
                    <a:prstGeom prst="rect">
                      <a:avLst/>
                    </a:prstGeom>
                  </pic:spPr>
                </pic:pic>
              </a:graphicData>
            </a:graphic>
          </wp:inline>
        </w:drawing>
      </w:r>
    </w:p>
    <w:p w14:paraId="270556B7" w14:textId="104082EC" w:rsidR="00452524" w:rsidRDefault="00F35BF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Pr="00452524">
        <w:rPr>
          <w:rFonts w:ascii="Book Antiqua" w:eastAsia="Book Antiqua" w:hAnsi="Book Antiqua" w:cs="Book Antiqua"/>
          <w:b/>
          <w:bCs/>
          <w:color w:val="000000"/>
        </w:rPr>
        <w:t xml:space="preserve"> The areas under the receiver operating characteristic curves</w:t>
      </w:r>
      <w:r w:rsidR="00452524" w:rsidRPr="00452524">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452524">
        <w:rPr>
          <w:rFonts w:ascii="Book Antiqua" w:eastAsia="Book Antiqua" w:hAnsi="Book Antiqua" w:cs="Book Antiqua"/>
          <w:color w:val="000000"/>
        </w:rPr>
        <w:t>A: M</w:t>
      </w:r>
      <w:r>
        <w:rPr>
          <w:rFonts w:ascii="Book Antiqua" w:eastAsia="Book Antiqua" w:hAnsi="Book Antiqua" w:cs="Book Antiqua"/>
          <w:color w:val="000000"/>
        </w:rPr>
        <w:t>ultiple organ dysfunction syndrome</w:t>
      </w:r>
      <w:r w:rsidR="00452524">
        <w:rPr>
          <w:rFonts w:ascii="Book Antiqua" w:eastAsia="Book Antiqua" w:hAnsi="Book Antiqua" w:cs="Book Antiqua"/>
          <w:color w:val="000000"/>
        </w:rPr>
        <w:t xml:space="preserve"> (0.659, </w:t>
      </w:r>
      <w:r w:rsidR="00452524">
        <w:rPr>
          <w:rFonts w:ascii="Book Antiqua" w:eastAsia="Book Antiqua" w:hAnsi="Book Antiqua" w:cs="Book Antiqua"/>
          <w:i/>
          <w:iCs/>
          <w:color w:val="000000"/>
        </w:rPr>
        <w:t>P</w:t>
      </w:r>
      <w:r w:rsidR="00452524">
        <w:rPr>
          <w:rFonts w:ascii="Book Antiqua" w:eastAsia="Book Antiqua" w:hAnsi="Book Antiqua" w:cs="Book Antiqua"/>
          <w:color w:val="000000"/>
        </w:rPr>
        <w:t xml:space="preserve"> = 0.022); B: S</w:t>
      </w:r>
      <w:r>
        <w:rPr>
          <w:rFonts w:ascii="Book Antiqua" w:eastAsia="Book Antiqua" w:hAnsi="Book Antiqua" w:cs="Book Antiqua"/>
          <w:color w:val="000000"/>
        </w:rPr>
        <w:t>eptic shock</w:t>
      </w:r>
      <w:r w:rsidR="00452524">
        <w:rPr>
          <w:rFonts w:ascii="Book Antiqua" w:eastAsia="Book Antiqua" w:hAnsi="Book Antiqua" w:cs="Book Antiqua"/>
          <w:color w:val="000000"/>
        </w:rPr>
        <w:t xml:space="preserve"> (0.793,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&lt; 0.001);</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C: </w:t>
      </w:r>
      <w:r>
        <w:rPr>
          <w:rFonts w:ascii="Book Antiqua" w:eastAsia="Book Antiqua" w:hAnsi="Book Antiqua" w:cs="Book Antiqua"/>
          <w:color w:val="000000"/>
        </w:rPr>
        <w:t>28-d</w:t>
      </w:r>
      <w:r w:rsidR="0045252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52524">
        <w:rPr>
          <w:rFonts w:ascii="Book Antiqua" w:eastAsia="Book Antiqua" w:hAnsi="Book Antiqua" w:cs="Book Antiqua"/>
          <w:color w:val="000000"/>
        </w:rPr>
        <w:t xml:space="preserve"> (</w:t>
      </w:r>
      <w:r>
        <w:rPr>
          <w:rFonts w:ascii="Book Antiqua" w:eastAsia="Book Antiqua" w:hAnsi="Book Antiqua" w:cs="Book Antiqua"/>
          <w:color w:val="000000"/>
        </w:rPr>
        <w:t>0.716</w:t>
      </w:r>
      <w:r w:rsidR="00452524">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b/>
          <w:bCs/>
          <w:color w:val="000000"/>
        </w:rPr>
        <w:t xml:space="preserve"> </w:t>
      </w:r>
    </w:p>
    <w:p w14:paraId="6C3D8C69" w14:textId="68E548DE" w:rsidR="00A77B3E" w:rsidRDefault="00452524">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3F295F5D" wp14:editId="30EAC7AB">
            <wp:extent cx="5943600" cy="3123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23565"/>
                    </a:xfrm>
                    <a:prstGeom prst="rect">
                      <a:avLst/>
                    </a:prstGeom>
                  </pic:spPr>
                </pic:pic>
              </a:graphicData>
            </a:graphic>
          </wp:inline>
        </w:drawing>
      </w:r>
    </w:p>
    <w:p w14:paraId="12DC7364" w14:textId="1F8CA60A" w:rsidR="00902A8A"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902A8A">
        <w:rPr>
          <w:rFonts w:ascii="Book Antiqua" w:eastAsia="Book Antiqua" w:hAnsi="Book Antiqua" w:cs="Book Antiqua"/>
          <w:b/>
          <w:bCs/>
          <w:color w:val="000000"/>
        </w:rPr>
        <w:t xml:space="preserve">Cum survival. </w:t>
      </w:r>
      <w:r>
        <w:rPr>
          <w:rFonts w:ascii="Book Antiqua" w:eastAsia="Book Antiqua" w:hAnsi="Book Antiqua" w:cs="Book Antiqua"/>
          <w:color w:val="000000"/>
        </w:rPr>
        <w:t>Significant differences in 28-d mortality after admission</w:t>
      </w:r>
      <w:r w:rsidR="00902A8A">
        <w:rPr>
          <w:rFonts w:ascii="Book Antiqua" w:eastAsia="Book Antiqua" w:hAnsi="Book Antiqua" w:cs="Book Antiqua"/>
          <w:color w:val="000000"/>
        </w:rPr>
        <w:t xml:space="preserve"> </w:t>
      </w:r>
      <w:r>
        <w:rPr>
          <w:rFonts w:ascii="Book Antiqua" w:eastAsia="Book Antiqua" w:hAnsi="Book Antiqua" w:cs="Book Antiqua"/>
          <w:color w:val="000000"/>
        </w:rPr>
        <w:t>and 60-d mortality after disease onset</w:t>
      </w:r>
      <w:r w:rsidR="00902A8A">
        <w:rPr>
          <w:rFonts w:ascii="Book Antiqua" w:eastAsia="Book Antiqua" w:hAnsi="Book Antiqua" w:cs="Book Antiqua"/>
          <w:color w:val="000000"/>
        </w:rPr>
        <w:t xml:space="preserve"> </w:t>
      </w:r>
      <w:r>
        <w:rPr>
          <w:rFonts w:ascii="Book Antiqua" w:eastAsia="Book Antiqua" w:hAnsi="Book Antiqua" w:cs="Book Antiqua"/>
          <w:color w:val="000000"/>
        </w:rPr>
        <w:t xml:space="preserve">were found between group </w:t>
      </w:r>
      <w:r w:rsidR="00452524">
        <w:rPr>
          <w:rFonts w:ascii="Book Antiqua" w:eastAsia="Book Antiqua" w:hAnsi="Book Antiqua" w:cs="Book Antiqua"/>
          <w:color w:val="000000"/>
        </w:rPr>
        <w:t>acute gastrointestinal injury</w:t>
      </w:r>
      <w:r>
        <w:rPr>
          <w:rFonts w:ascii="Book Antiqua" w:eastAsia="Book Antiqua" w:hAnsi="Book Antiqua" w:cs="Book Antiqua"/>
          <w:color w:val="000000"/>
        </w:rPr>
        <w:t xml:space="preserve"> grade I to below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 </w:t>
      </w:r>
      <w:r>
        <w:rPr>
          <w:rFonts w:ascii="Book Antiqua" w:eastAsia="Book Antiqua" w:hAnsi="Book Antiqua" w:cs="Book Antiqua"/>
          <w:color w:val="000000"/>
        </w:rPr>
        <w:t xml:space="preserve">41) and </w:t>
      </w:r>
      <w:r w:rsidR="00902A8A">
        <w:rPr>
          <w:rFonts w:ascii="Book Antiqua" w:eastAsia="Book Antiqua" w:hAnsi="Book Antiqua" w:cs="Book Antiqua"/>
          <w:color w:val="000000"/>
        </w:rPr>
        <w:t>Acute gastrointestinal injury</w:t>
      </w:r>
      <w:r>
        <w:rPr>
          <w:rFonts w:ascii="Book Antiqua" w:eastAsia="Book Antiqua" w:hAnsi="Book Antiqua" w:cs="Book Antiqua"/>
          <w:color w:val="000000"/>
        </w:rPr>
        <w:t xml:space="preserve"> grade II to IV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452524">
        <w:rPr>
          <w:rFonts w:ascii="Book Antiqua" w:eastAsia="Book Antiqua" w:hAnsi="Book Antiqua" w:cs="Book Antiqua"/>
          <w:color w:val="000000"/>
        </w:rPr>
        <w:t xml:space="preserve"> </w:t>
      </w:r>
      <w:r>
        <w:rPr>
          <w:rFonts w:ascii="Book Antiqua" w:eastAsia="Book Antiqua" w:hAnsi="Book Antiqua" w:cs="Book Antiqua"/>
          <w:color w:val="000000"/>
        </w:rPr>
        <w:t>42).</w:t>
      </w:r>
      <w:r w:rsidR="00452524">
        <w:rPr>
          <w:rFonts w:ascii="Book Antiqua" w:eastAsia="Book Antiqua" w:hAnsi="Book Antiqua" w:cs="Book Antiqua"/>
          <w:color w:val="000000"/>
        </w:rPr>
        <w:t xml:space="preserve"> A: 28-d mortality after admission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 0.037); B: 60-d mortality after disease onset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 0.049).</w:t>
      </w:r>
      <w:r w:rsidR="00452524" w:rsidRPr="00452524">
        <w:rPr>
          <w:rFonts w:ascii="Book Antiqua" w:eastAsia="Book Antiqua" w:hAnsi="Book Antiqua" w:cs="Book Antiqua"/>
          <w:color w:val="000000"/>
        </w:rPr>
        <w:t xml:space="preserve"> AGI</w:t>
      </w:r>
      <w:r w:rsidR="00452524">
        <w:rPr>
          <w:rFonts w:ascii="Book Antiqua" w:eastAsia="Book Antiqua" w:hAnsi="Book Antiqua" w:cs="Book Antiqua"/>
          <w:color w:val="000000"/>
        </w:rPr>
        <w:t xml:space="preserve">: </w:t>
      </w:r>
      <w:bookmarkStart w:id="0" w:name="_Hlk51001083"/>
      <w:r w:rsidR="00452524">
        <w:rPr>
          <w:rFonts w:ascii="Book Antiqua" w:eastAsia="Book Antiqua" w:hAnsi="Book Antiqua" w:cs="Book Antiqua"/>
          <w:color w:val="000000"/>
        </w:rPr>
        <w:t>Acute gastrointestinal injury</w:t>
      </w:r>
      <w:bookmarkEnd w:id="0"/>
      <w:r w:rsidR="00902A8A">
        <w:rPr>
          <w:rFonts w:ascii="Book Antiqua" w:eastAsia="Book Antiqua" w:hAnsi="Book Antiqua" w:cs="Book Antiqua"/>
          <w:color w:val="000000"/>
        </w:rPr>
        <w:t>.</w:t>
      </w:r>
    </w:p>
    <w:p w14:paraId="38A792BE" w14:textId="3B32E027" w:rsidR="00A77B3E" w:rsidRDefault="00902A8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02A8A">
        <w:rPr>
          <w:rFonts w:ascii="Book Antiqua" w:eastAsia="Book Antiqua" w:hAnsi="Book Antiqua" w:cs="Book Antiqua"/>
          <w:b/>
          <w:bCs/>
          <w:color w:val="000000"/>
        </w:rPr>
        <w:lastRenderedPageBreak/>
        <w:t>Table 1 Demographic data and clinical parameters</w:t>
      </w:r>
    </w:p>
    <w:tbl>
      <w:tblPr>
        <w:tblW w:w="0" w:type="auto"/>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4820"/>
        <w:gridCol w:w="3458"/>
      </w:tblGrid>
      <w:tr w:rsidR="00902A8A" w:rsidRPr="00902A8A" w14:paraId="6DB00DF4" w14:textId="77777777" w:rsidTr="00902A8A">
        <w:tc>
          <w:tcPr>
            <w:tcW w:w="4820" w:type="dxa"/>
            <w:tcBorders>
              <w:top w:val="single" w:sz="8" w:space="0" w:color="000000"/>
              <w:left w:val="nil"/>
              <w:bottom w:val="single" w:sz="8" w:space="0" w:color="000000"/>
              <w:right w:val="nil"/>
            </w:tcBorders>
            <w:shd w:val="clear" w:color="auto" w:fill="FFFFFF"/>
          </w:tcPr>
          <w:p w14:paraId="09D3820B" w14:textId="66F49933" w:rsidR="00902A8A" w:rsidRPr="00902A8A" w:rsidRDefault="00902A8A" w:rsidP="00902A8A">
            <w:pPr>
              <w:autoSpaceDE w:val="0"/>
              <w:autoSpaceDN w:val="0"/>
              <w:adjustRightInd w:val="0"/>
              <w:spacing w:line="360" w:lineRule="auto"/>
              <w:jc w:val="both"/>
              <w:rPr>
                <w:rFonts w:ascii="Book Antiqua" w:hAnsi="Book Antiqua"/>
                <w:b/>
              </w:rPr>
            </w:pPr>
            <w:r w:rsidRPr="00902A8A">
              <w:rPr>
                <w:rFonts w:ascii="Book Antiqua" w:hAnsi="Book Antiqua"/>
                <w:b/>
              </w:rPr>
              <w:t>Variable</w:t>
            </w:r>
          </w:p>
        </w:tc>
        <w:tc>
          <w:tcPr>
            <w:tcW w:w="3458" w:type="dxa"/>
            <w:tcBorders>
              <w:top w:val="single" w:sz="8" w:space="0" w:color="000000"/>
              <w:left w:val="nil"/>
              <w:bottom w:val="single" w:sz="8" w:space="0" w:color="000000"/>
              <w:right w:val="nil"/>
            </w:tcBorders>
            <w:shd w:val="clear" w:color="auto" w:fill="FFFFFF"/>
          </w:tcPr>
          <w:p w14:paraId="12309AD1" w14:textId="50A61A8F" w:rsidR="00902A8A" w:rsidRPr="00902A8A" w:rsidRDefault="00902A8A" w:rsidP="00902A8A">
            <w:pPr>
              <w:autoSpaceDE w:val="0"/>
              <w:autoSpaceDN w:val="0"/>
              <w:adjustRightInd w:val="0"/>
              <w:spacing w:line="360" w:lineRule="auto"/>
              <w:jc w:val="both"/>
              <w:rPr>
                <w:rFonts w:ascii="Book Antiqua" w:hAnsi="Book Antiqua"/>
                <w:b/>
              </w:rPr>
            </w:pPr>
            <w:r w:rsidRPr="00902A8A">
              <w:rPr>
                <w:rFonts w:ascii="Book Antiqua" w:hAnsi="Book Antiqua"/>
                <w:b/>
              </w:rPr>
              <w:t>Value</w:t>
            </w:r>
          </w:p>
        </w:tc>
      </w:tr>
      <w:tr w:rsidR="00902A8A" w:rsidRPr="00902A8A" w14:paraId="1287B585" w14:textId="77777777" w:rsidTr="00902A8A">
        <w:tc>
          <w:tcPr>
            <w:tcW w:w="4820" w:type="dxa"/>
            <w:tcBorders>
              <w:left w:val="nil"/>
              <w:right w:val="nil"/>
            </w:tcBorders>
            <w:shd w:val="clear" w:color="auto" w:fill="FFFFFF"/>
          </w:tcPr>
          <w:p w14:paraId="1614352A" w14:textId="680FDD2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Age (</w:t>
            </w:r>
            <w:proofErr w:type="spellStart"/>
            <w:r w:rsidRPr="00902A8A">
              <w:rPr>
                <w:rFonts w:ascii="Book Antiqua" w:hAnsi="Book Antiqua"/>
                <w:bCs/>
              </w:rPr>
              <w:t>y</w:t>
            </w:r>
            <w:r>
              <w:rPr>
                <w:rFonts w:ascii="Book Antiqua" w:hAnsi="Book Antiqua"/>
                <w:bCs/>
              </w:rPr>
              <w:t>r</w:t>
            </w:r>
            <w:proofErr w:type="spellEnd"/>
            <w:r w:rsidRPr="00902A8A">
              <w:rPr>
                <w:rFonts w:ascii="Book Antiqua" w:hAnsi="Book Antiqua"/>
                <w:bCs/>
              </w:rPr>
              <w:t>)</w:t>
            </w:r>
          </w:p>
        </w:tc>
        <w:tc>
          <w:tcPr>
            <w:tcW w:w="3458" w:type="dxa"/>
            <w:tcBorders>
              <w:left w:val="nil"/>
              <w:right w:val="nil"/>
            </w:tcBorders>
            <w:shd w:val="clear" w:color="auto" w:fill="FFFFFF"/>
          </w:tcPr>
          <w:p w14:paraId="204858E9"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70 (60-79)</w:t>
            </w:r>
          </w:p>
        </w:tc>
      </w:tr>
      <w:tr w:rsidR="00902A8A" w:rsidRPr="00902A8A" w14:paraId="358FA72A" w14:textId="77777777" w:rsidTr="00902A8A">
        <w:tc>
          <w:tcPr>
            <w:tcW w:w="4820" w:type="dxa"/>
            <w:shd w:val="clear" w:color="auto" w:fill="FFFFFF"/>
          </w:tcPr>
          <w:p w14:paraId="7B4B5EBE" w14:textId="1DD67578"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Sex (male: female)</w:t>
            </w:r>
          </w:p>
        </w:tc>
        <w:tc>
          <w:tcPr>
            <w:tcW w:w="3458" w:type="dxa"/>
            <w:shd w:val="clear" w:color="auto" w:fill="FFFFFF"/>
          </w:tcPr>
          <w:p w14:paraId="157E9E68" w14:textId="2BA66D6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59:24</w:t>
            </w:r>
          </w:p>
        </w:tc>
      </w:tr>
      <w:tr w:rsidR="00902A8A" w:rsidRPr="00902A8A" w14:paraId="4A1B61FD" w14:textId="77777777" w:rsidTr="00902A8A">
        <w:tc>
          <w:tcPr>
            <w:tcW w:w="4820" w:type="dxa"/>
            <w:shd w:val="clear" w:color="auto" w:fill="FFFFFF"/>
          </w:tcPr>
          <w:p w14:paraId="630CD69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rPr>
              <w:t>Days from onset to admission</w:t>
            </w:r>
          </w:p>
        </w:tc>
        <w:tc>
          <w:tcPr>
            <w:tcW w:w="3458" w:type="dxa"/>
            <w:shd w:val="clear" w:color="auto" w:fill="FFFFFF"/>
          </w:tcPr>
          <w:p w14:paraId="7E923580"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10 (7-15)</w:t>
            </w:r>
          </w:p>
        </w:tc>
      </w:tr>
      <w:tr w:rsidR="00902A8A" w:rsidRPr="00902A8A" w14:paraId="5DC9B502" w14:textId="77777777" w:rsidTr="00902A8A">
        <w:tc>
          <w:tcPr>
            <w:tcW w:w="4820" w:type="dxa"/>
            <w:shd w:val="clear" w:color="auto" w:fill="FFFFFF"/>
          </w:tcPr>
          <w:p w14:paraId="178B15BB"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BMI (kg/m</w:t>
            </w:r>
            <w:r w:rsidRPr="00902A8A">
              <w:rPr>
                <w:rFonts w:ascii="Book Antiqua" w:hAnsi="Book Antiqua"/>
                <w:vertAlign w:val="superscript"/>
              </w:rPr>
              <w:t>2</w:t>
            </w:r>
            <w:r w:rsidRPr="00902A8A">
              <w:rPr>
                <w:rFonts w:ascii="Book Antiqua" w:hAnsi="Book Antiqua"/>
              </w:rPr>
              <w:t>)</w:t>
            </w:r>
          </w:p>
        </w:tc>
        <w:tc>
          <w:tcPr>
            <w:tcW w:w="3458" w:type="dxa"/>
            <w:shd w:val="clear" w:color="auto" w:fill="FFFFFF"/>
          </w:tcPr>
          <w:p w14:paraId="4DCD7336"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23.8 (22.1-25.1)</w:t>
            </w:r>
          </w:p>
        </w:tc>
      </w:tr>
      <w:tr w:rsidR="00902A8A" w:rsidRPr="00902A8A" w14:paraId="2FF1D48F" w14:textId="77777777" w:rsidTr="00902A8A">
        <w:tc>
          <w:tcPr>
            <w:tcW w:w="4820" w:type="dxa"/>
            <w:shd w:val="clear" w:color="auto" w:fill="FFFFFF"/>
          </w:tcPr>
          <w:p w14:paraId="1E31F821"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APACHEII scores</w:t>
            </w:r>
          </w:p>
        </w:tc>
        <w:tc>
          <w:tcPr>
            <w:tcW w:w="3458" w:type="dxa"/>
            <w:shd w:val="clear" w:color="auto" w:fill="FFFFFF"/>
          </w:tcPr>
          <w:p w14:paraId="7E08BAC3"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14.0 (12.0-17.0)</w:t>
            </w:r>
          </w:p>
        </w:tc>
      </w:tr>
      <w:tr w:rsidR="00902A8A" w:rsidRPr="00902A8A" w14:paraId="0A006880" w14:textId="77777777" w:rsidTr="00902A8A">
        <w:tc>
          <w:tcPr>
            <w:tcW w:w="4820" w:type="dxa"/>
            <w:shd w:val="clear" w:color="auto" w:fill="FFFFFF"/>
          </w:tcPr>
          <w:p w14:paraId="6B744664"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SOFA scores</w:t>
            </w:r>
          </w:p>
        </w:tc>
        <w:tc>
          <w:tcPr>
            <w:tcW w:w="3458" w:type="dxa"/>
            <w:shd w:val="clear" w:color="auto" w:fill="FFFFFF"/>
          </w:tcPr>
          <w:p w14:paraId="66BD5F5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6.0 (4.0-7.0)</w:t>
            </w:r>
          </w:p>
        </w:tc>
      </w:tr>
      <w:tr w:rsidR="00902A8A" w:rsidRPr="00902A8A" w14:paraId="36D04628" w14:textId="77777777" w:rsidTr="00902A8A">
        <w:tc>
          <w:tcPr>
            <w:tcW w:w="4820" w:type="dxa"/>
            <w:tcBorders>
              <w:left w:val="nil"/>
              <w:right w:val="nil"/>
            </w:tcBorders>
            <w:shd w:val="clear" w:color="auto" w:fill="FFFFFF"/>
          </w:tcPr>
          <w:p w14:paraId="4CB5B7B0" w14:textId="6EC68F84" w:rsidR="00902A8A" w:rsidRPr="00902A8A" w:rsidRDefault="00902A8A" w:rsidP="009B4A71">
            <w:pPr>
              <w:autoSpaceDE w:val="0"/>
              <w:autoSpaceDN w:val="0"/>
              <w:adjustRightInd w:val="0"/>
              <w:spacing w:line="360" w:lineRule="auto"/>
              <w:jc w:val="both"/>
              <w:rPr>
                <w:rFonts w:ascii="Book Antiqua" w:hAnsi="Book Antiqua"/>
                <w:bCs/>
              </w:rPr>
            </w:pPr>
            <w:r w:rsidRPr="00902A8A">
              <w:rPr>
                <w:rFonts w:ascii="Book Antiqua" w:hAnsi="Book Antiqua"/>
              </w:rPr>
              <w:t>Initial symptoms or signs</w:t>
            </w:r>
            <w:r w:rsidR="009B4A71">
              <w:rPr>
                <w:rFonts w:ascii="Book Antiqua" w:hAnsi="Book Antiqua"/>
              </w:rPr>
              <w:t>,</w:t>
            </w:r>
            <w:r w:rsidRPr="00902A8A">
              <w:rPr>
                <w:rFonts w:ascii="Book Antiqua" w:hAnsi="Book Antiqua"/>
                <w:bCs/>
              </w:rPr>
              <w:t xml:space="preserve"> </w:t>
            </w:r>
            <w:r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r w:rsidRPr="00902A8A">
              <w:rPr>
                <w:rFonts w:ascii="Book Antiqua" w:hAnsi="Book Antiqua"/>
                <w:bCs/>
              </w:rPr>
              <w:t>%)</w:t>
            </w:r>
          </w:p>
        </w:tc>
        <w:tc>
          <w:tcPr>
            <w:tcW w:w="3458" w:type="dxa"/>
            <w:tcBorders>
              <w:left w:val="nil"/>
              <w:right w:val="nil"/>
            </w:tcBorders>
            <w:shd w:val="clear" w:color="auto" w:fill="FFFFFF"/>
          </w:tcPr>
          <w:p w14:paraId="7254B5D3"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0D63BD7B" w14:textId="77777777" w:rsidTr="00902A8A">
        <w:tc>
          <w:tcPr>
            <w:tcW w:w="4820" w:type="dxa"/>
            <w:tcBorders>
              <w:left w:val="nil"/>
              <w:right w:val="nil"/>
            </w:tcBorders>
            <w:shd w:val="clear" w:color="auto" w:fill="FFFFFF"/>
          </w:tcPr>
          <w:p w14:paraId="6F203296"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Fever</w:t>
            </w:r>
          </w:p>
        </w:tc>
        <w:tc>
          <w:tcPr>
            <w:tcW w:w="3458" w:type="dxa"/>
            <w:tcBorders>
              <w:left w:val="nil"/>
              <w:right w:val="nil"/>
            </w:tcBorders>
            <w:shd w:val="clear" w:color="auto" w:fill="FFFFFF"/>
          </w:tcPr>
          <w:p w14:paraId="41419E53" w14:textId="2116867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33 (39.8</w:t>
            </w:r>
            <w:r w:rsidR="009B4A71">
              <w:rPr>
                <w:rFonts w:ascii="Book Antiqua" w:hAnsi="Book Antiqua"/>
                <w:bCs/>
              </w:rPr>
              <w:t>)</w:t>
            </w:r>
          </w:p>
        </w:tc>
      </w:tr>
      <w:tr w:rsidR="00902A8A" w:rsidRPr="00902A8A" w14:paraId="42A0800F" w14:textId="77777777" w:rsidTr="00902A8A">
        <w:tc>
          <w:tcPr>
            <w:tcW w:w="4820" w:type="dxa"/>
            <w:tcBorders>
              <w:left w:val="nil"/>
              <w:right w:val="nil"/>
            </w:tcBorders>
            <w:shd w:val="clear" w:color="auto" w:fill="FFFFFF"/>
          </w:tcPr>
          <w:p w14:paraId="4668DDAB"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Cough</w:t>
            </w:r>
          </w:p>
        </w:tc>
        <w:tc>
          <w:tcPr>
            <w:tcW w:w="3458" w:type="dxa"/>
            <w:tcBorders>
              <w:left w:val="nil"/>
              <w:right w:val="nil"/>
            </w:tcBorders>
            <w:shd w:val="clear" w:color="auto" w:fill="FFFFFF"/>
          </w:tcPr>
          <w:p w14:paraId="400CB5A0" w14:textId="03BE9FB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18 (21.7</w:t>
            </w:r>
            <w:r w:rsidR="009B4A71">
              <w:rPr>
                <w:rFonts w:ascii="Book Antiqua" w:hAnsi="Book Antiqua"/>
                <w:bCs/>
              </w:rPr>
              <w:t>)</w:t>
            </w:r>
          </w:p>
        </w:tc>
      </w:tr>
      <w:tr w:rsidR="00902A8A" w:rsidRPr="00902A8A" w14:paraId="5B1AB3DA" w14:textId="77777777" w:rsidTr="00902A8A">
        <w:tc>
          <w:tcPr>
            <w:tcW w:w="4820" w:type="dxa"/>
            <w:tcBorders>
              <w:left w:val="nil"/>
              <w:right w:val="nil"/>
            </w:tcBorders>
            <w:shd w:val="clear" w:color="auto" w:fill="FFFFFF"/>
          </w:tcPr>
          <w:p w14:paraId="225D9D7D"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Chest tightness or pain</w:t>
            </w:r>
          </w:p>
        </w:tc>
        <w:tc>
          <w:tcPr>
            <w:tcW w:w="3458" w:type="dxa"/>
            <w:tcBorders>
              <w:left w:val="nil"/>
              <w:right w:val="nil"/>
            </w:tcBorders>
            <w:shd w:val="clear" w:color="auto" w:fill="FFFFFF"/>
          </w:tcPr>
          <w:p w14:paraId="7C6F764F" w14:textId="25C390A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 (9.6</w:t>
            </w:r>
            <w:r w:rsidR="009B4A71">
              <w:rPr>
                <w:rFonts w:ascii="Book Antiqua" w:hAnsi="Book Antiqua"/>
                <w:bCs/>
              </w:rPr>
              <w:t>)</w:t>
            </w:r>
          </w:p>
        </w:tc>
      </w:tr>
      <w:tr w:rsidR="00902A8A" w:rsidRPr="00902A8A" w14:paraId="2986432A" w14:textId="77777777" w:rsidTr="00902A8A">
        <w:tc>
          <w:tcPr>
            <w:tcW w:w="4820" w:type="dxa"/>
            <w:tcBorders>
              <w:left w:val="nil"/>
              <w:right w:val="nil"/>
            </w:tcBorders>
            <w:shd w:val="clear" w:color="auto" w:fill="FFFFFF"/>
          </w:tcPr>
          <w:p w14:paraId="2A72957A"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Dyspnea</w:t>
            </w:r>
          </w:p>
        </w:tc>
        <w:tc>
          <w:tcPr>
            <w:tcW w:w="3458" w:type="dxa"/>
            <w:tcBorders>
              <w:left w:val="nil"/>
              <w:right w:val="nil"/>
            </w:tcBorders>
            <w:shd w:val="clear" w:color="auto" w:fill="FFFFFF"/>
          </w:tcPr>
          <w:p w14:paraId="08DD36A6" w14:textId="75F49D4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 (8.4</w:t>
            </w:r>
            <w:r w:rsidR="009B4A71">
              <w:rPr>
                <w:rFonts w:ascii="Book Antiqua" w:hAnsi="Book Antiqua"/>
                <w:bCs/>
              </w:rPr>
              <w:t>)</w:t>
            </w:r>
          </w:p>
        </w:tc>
      </w:tr>
      <w:tr w:rsidR="00902A8A" w:rsidRPr="00902A8A" w14:paraId="61B1238C" w14:textId="77777777" w:rsidTr="00902A8A">
        <w:tc>
          <w:tcPr>
            <w:tcW w:w="4820" w:type="dxa"/>
            <w:tcBorders>
              <w:left w:val="nil"/>
              <w:right w:val="nil"/>
            </w:tcBorders>
            <w:shd w:val="clear" w:color="auto" w:fill="FFFFFF"/>
          </w:tcPr>
          <w:p w14:paraId="1ECB7954"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Fatigue</w:t>
            </w:r>
          </w:p>
        </w:tc>
        <w:tc>
          <w:tcPr>
            <w:tcW w:w="3458" w:type="dxa"/>
            <w:tcBorders>
              <w:left w:val="nil"/>
              <w:right w:val="nil"/>
            </w:tcBorders>
            <w:shd w:val="clear" w:color="auto" w:fill="FFFFFF"/>
          </w:tcPr>
          <w:p w14:paraId="7EFA4189" w14:textId="614C1A0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6 (7.2</w:t>
            </w:r>
            <w:r w:rsidR="009B4A71">
              <w:rPr>
                <w:rFonts w:ascii="Book Antiqua" w:hAnsi="Book Antiqua"/>
                <w:bCs/>
              </w:rPr>
              <w:t>)</w:t>
            </w:r>
          </w:p>
        </w:tc>
      </w:tr>
      <w:tr w:rsidR="00902A8A" w:rsidRPr="00902A8A" w14:paraId="0A16889D" w14:textId="77777777" w:rsidTr="00902A8A">
        <w:tc>
          <w:tcPr>
            <w:tcW w:w="4820" w:type="dxa"/>
            <w:tcBorders>
              <w:left w:val="nil"/>
              <w:right w:val="nil"/>
            </w:tcBorders>
            <w:shd w:val="clear" w:color="auto" w:fill="FFFFFF"/>
          </w:tcPr>
          <w:p w14:paraId="63AD9896"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Diarrhea</w:t>
            </w:r>
          </w:p>
        </w:tc>
        <w:tc>
          <w:tcPr>
            <w:tcW w:w="3458" w:type="dxa"/>
            <w:tcBorders>
              <w:left w:val="nil"/>
              <w:right w:val="nil"/>
            </w:tcBorders>
            <w:shd w:val="clear" w:color="auto" w:fill="FFFFFF"/>
          </w:tcPr>
          <w:p w14:paraId="15C38D75" w14:textId="133CEDE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22FCB1A1" w14:textId="77777777" w:rsidTr="00902A8A">
        <w:tc>
          <w:tcPr>
            <w:tcW w:w="4820" w:type="dxa"/>
            <w:tcBorders>
              <w:left w:val="nil"/>
              <w:right w:val="nil"/>
            </w:tcBorders>
            <w:shd w:val="clear" w:color="auto" w:fill="FFFFFF"/>
          </w:tcPr>
          <w:p w14:paraId="1D83B0F9"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Nausea or vomiting</w:t>
            </w:r>
          </w:p>
        </w:tc>
        <w:tc>
          <w:tcPr>
            <w:tcW w:w="3458" w:type="dxa"/>
            <w:tcBorders>
              <w:left w:val="nil"/>
              <w:right w:val="nil"/>
            </w:tcBorders>
            <w:shd w:val="clear" w:color="auto" w:fill="FFFFFF"/>
          </w:tcPr>
          <w:p w14:paraId="6029144D" w14:textId="54E5CAE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28B40D3A" w14:textId="77777777" w:rsidTr="00902A8A">
        <w:tc>
          <w:tcPr>
            <w:tcW w:w="4820" w:type="dxa"/>
            <w:tcBorders>
              <w:left w:val="nil"/>
              <w:right w:val="nil"/>
            </w:tcBorders>
            <w:shd w:val="clear" w:color="auto" w:fill="FFFFFF"/>
          </w:tcPr>
          <w:p w14:paraId="5337374B" w14:textId="6D9E5DF4"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proofErr w:type="spellStart"/>
            <w:r w:rsidRPr="00902A8A">
              <w:rPr>
                <w:rFonts w:ascii="Book Antiqua" w:hAnsi="Book Antiqua"/>
                <w:bCs/>
              </w:rPr>
              <w:t>Pharyngalgia</w:t>
            </w:r>
            <w:proofErr w:type="spellEnd"/>
            <w:r w:rsidRPr="00902A8A">
              <w:rPr>
                <w:rFonts w:ascii="Book Antiqua" w:hAnsi="Book Antiqua"/>
                <w:bCs/>
              </w:rPr>
              <w:t>/</w:t>
            </w:r>
            <w:r w:rsidR="001032C4" w:rsidRPr="00902A8A">
              <w:rPr>
                <w:rFonts w:ascii="Book Antiqua" w:hAnsi="Book Antiqua"/>
                <w:bCs/>
              </w:rPr>
              <w:t>m</w:t>
            </w:r>
            <w:r w:rsidRPr="00902A8A">
              <w:rPr>
                <w:rFonts w:ascii="Book Antiqua" w:hAnsi="Book Antiqua"/>
                <w:bCs/>
              </w:rPr>
              <w:t>yalgia</w:t>
            </w:r>
          </w:p>
        </w:tc>
        <w:tc>
          <w:tcPr>
            <w:tcW w:w="3458" w:type="dxa"/>
            <w:tcBorders>
              <w:left w:val="nil"/>
              <w:right w:val="nil"/>
            </w:tcBorders>
            <w:shd w:val="clear" w:color="auto" w:fill="FFFFFF"/>
          </w:tcPr>
          <w:p w14:paraId="08510EDE" w14:textId="2353C825"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4986BFCB" w14:textId="77777777" w:rsidTr="00902A8A">
        <w:tc>
          <w:tcPr>
            <w:tcW w:w="4820" w:type="dxa"/>
            <w:tcBorders>
              <w:left w:val="nil"/>
              <w:right w:val="nil"/>
            </w:tcBorders>
            <w:shd w:val="clear" w:color="auto" w:fill="FFFFFF"/>
          </w:tcPr>
          <w:p w14:paraId="1E6C34DA"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Abdominal pain</w:t>
            </w:r>
          </w:p>
        </w:tc>
        <w:tc>
          <w:tcPr>
            <w:tcW w:w="3458" w:type="dxa"/>
            <w:tcBorders>
              <w:left w:val="nil"/>
              <w:right w:val="nil"/>
            </w:tcBorders>
            <w:shd w:val="clear" w:color="auto" w:fill="FFFFFF"/>
          </w:tcPr>
          <w:p w14:paraId="38344D50" w14:textId="76B9686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 (2.4</w:t>
            </w:r>
            <w:r w:rsidR="009B4A71">
              <w:rPr>
                <w:rFonts w:ascii="Book Antiqua" w:hAnsi="Book Antiqua"/>
                <w:bCs/>
              </w:rPr>
              <w:t>)</w:t>
            </w:r>
          </w:p>
        </w:tc>
      </w:tr>
      <w:tr w:rsidR="00902A8A" w:rsidRPr="00902A8A" w14:paraId="02896785" w14:textId="77777777" w:rsidTr="00902A8A">
        <w:tc>
          <w:tcPr>
            <w:tcW w:w="4820" w:type="dxa"/>
            <w:tcBorders>
              <w:left w:val="nil"/>
              <w:right w:val="nil"/>
            </w:tcBorders>
            <w:shd w:val="clear" w:color="auto" w:fill="FFFFFF"/>
          </w:tcPr>
          <w:p w14:paraId="51789E65"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rPr>
              <w:t>Laboratory</w:t>
            </w:r>
            <w:r w:rsidRPr="00902A8A">
              <w:rPr>
                <w:rFonts w:ascii="Book Antiqua" w:hAnsi="Book Antiqua"/>
                <w:bCs/>
              </w:rPr>
              <w:t xml:space="preserve"> parameters</w:t>
            </w:r>
          </w:p>
        </w:tc>
        <w:tc>
          <w:tcPr>
            <w:tcW w:w="3458" w:type="dxa"/>
            <w:tcBorders>
              <w:left w:val="nil"/>
              <w:right w:val="nil"/>
            </w:tcBorders>
            <w:shd w:val="clear" w:color="auto" w:fill="FFFFFF"/>
          </w:tcPr>
          <w:p w14:paraId="1B6165C1"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1B7EBB9A" w14:textId="77777777" w:rsidTr="00902A8A">
        <w:tc>
          <w:tcPr>
            <w:tcW w:w="4820" w:type="dxa"/>
            <w:tcBorders>
              <w:left w:val="nil"/>
              <w:right w:val="nil"/>
            </w:tcBorders>
            <w:shd w:val="clear" w:color="auto" w:fill="FFFFFF"/>
          </w:tcPr>
          <w:p w14:paraId="6C551AF4"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CRP (mg/L)</w:t>
            </w:r>
          </w:p>
        </w:tc>
        <w:tc>
          <w:tcPr>
            <w:tcW w:w="3458" w:type="dxa"/>
            <w:tcBorders>
              <w:left w:val="nil"/>
              <w:right w:val="nil"/>
            </w:tcBorders>
            <w:shd w:val="clear" w:color="auto" w:fill="FFFFFF"/>
          </w:tcPr>
          <w:p w14:paraId="17F7E0FB"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85.9 (49.9-136.0)</w:t>
            </w:r>
          </w:p>
        </w:tc>
      </w:tr>
      <w:tr w:rsidR="00902A8A" w:rsidRPr="00902A8A" w14:paraId="427B7481" w14:textId="77777777" w:rsidTr="00902A8A">
        <w:tc>
          <w:tcPr>
            <w:tcW w:w="4820" w:type="dxa"/>
            <w:tcBorders>
              <w:left w:val="nil"/>
              <w:right w:val="nil"/>
            </w:tcBorders>
            <w:shd w:val="clear" w:color="auto" w:fill="FFFFFF"/>
          </w:tcPr>
          <w:p w14:paraId="67EFC22F"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WBC (10</w:t>
            </w:r>
            <w:r w:rsidRPr="00902A8A">
              <w:rPr>
                <w:rFonts w:ascii="Book Antiqua" w:hAnsi="Book Antiqua"/>
                <w:bCs/>
                <w:vertAlign w:val="superscript"/>
              </w:rPr>
              <w:t>9</w:t>
            </w:r>
            <w:r w:rsidRPr="00902A8A">
              <w:rPr>
                <w:rFonts w:ascii="Book Antiqua" w:hAnsi="Book Antiqua"/>
                <w:bCs/>
              </w:rPr>
              <w:t>/L)</w:t>
            </w:r>
          </w:p>
        </w:tc>
        <w:tc>
          <w:tcPr>
            <w:tcW w:w="3458" w:type="dxa"/>
            <w:tcBorders>
              <w:left w:val="nil"/>
              <w:right w:val="nil"/>
            </w:tcBorders>
            <w:shd w:val="clear" w:color="auto" w:fill="FFFFFF"/>
          </w:tcPr>
          <w:p w14:paraId="73F96A99"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10.30 (7.44-14.0)</w:t>
            </w:r>
          </w:p>
        </w:tc>
      </w:tr>
      <w:tr w:rsidR="00902A8A" w:rsidRPr="00902A8A" w14:paraId="4CEB0315" w14:textId="77777777" w:rsidTr="00902A8A">
        <w:tc>
          <w:tcPr>
            <w:tcW w:w="4820" w:type="dxa"/>
            <w:tcBorders>
              <w:left w:val="nil"/>
              <w:right w:val="nil"/>
            </w:tcBorders>
            <w:shd w:val="clear" w:color="auto" w:fill="FFFFFF"/>
          </w:tcPr>
          <w:p w14:paraId="15315BB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Lymphocyte</w:t>
            </w:r>
            <w:r w:rsidRPr="00902A8A">
              <w:rPr>
                <w:rFonts w:ascii="Book Antiqua" w:hAnsi="Book Antiqua"/>
                <w:bCs/>
              </w:rPr>
              <w:t xml:space="preserve"> (10</w:t>
            </w:r>
            <w:r w:rsidRPr="00902A8A">
              <w:rPr>
                <w:rFonts w:ascii="Book Antiqua" w:hAnsi="Book Antiqua"/>
                <w:bCs/>
                <w:vertAlign w:val="superscript"/>
              </w:rPr>
              <w:t>9</w:t>
            </w:r>
            <w:r w:rsidRPr="00902A8A">
              <w:rPr>
                <w:rFonts w:ascii="Book Antiqua" w:hAnsi="Book Antiqua"/>
                <w:bCs/>
              </w:rPr>
              <w:t>/L)</w:t>
            </w:r>
          </w:p>
        </w:tc>
        <w:tc>
          <w:tcPr>
            <w:tcW w:w="3458" w:type="dxa"/>
            <w:tcBorders>
              <w:left w:val="nil"/>
              <w:right w:val="nil"/>
            </w:tcBorders>
            <w:shd w:val="clear" w:color="auto" w:fill="FFFFFF"/>
          </w:tcPr>
          <w:p w14:paraId="2197858C"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0.60 (0.43-0.83)</w:t>
            </w:r>
          </w:p>
        </w:tc>
      </w:tr>
      <w:tr w:rsidR="00902A8A" w:rsidRPr="00902A8A" w14:paraId="0F09127F" w14:textId="77777777" w:rsidTr="00902A8A">
        <w:tc>
          <w:tcPr>
            <w:tcW w:w="4820" w:type="dxa"/>
            <w:tcBorders>
              <w:left w:val="nil"/>
              <w:right w:val="nil"/>
            </w:tcBorders>
            <w:shd w:val="clear" w:color="auto" w:fill="FFFFFF"/>
          </w:tcPr>
          <w:p w14:paraId="6EE2117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PCT (ng/mL)</w:t>
            </w:r>
          </w:p>
        </w:tc>
        <w:tc>
          <w:tcPr>
            <w:tcW w:w="3458" w:type="dxa"/>
            <w:tcBorders>
              <w:left w:val="nil"/>
              <w:right w:val="nil"/>
            </w:tcBorders>
            <w:shd w:val="clear" w:color="auto" w:fill="FFFFFF"/>
          </w:tcPr>
          <w:p w14:paraId="71C433E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0.27 (0.14-0.50)</w:t>
            </w:r>
          </w:p>
        </w:tc>
      </w:tr>
      <w:tr w:rsidR="00902A8A" w:rsidRPr="00902A8A" w14:paraId="498A1976" w14:textId="77777777" w:rsidTr="00902A8A">
        <w:tc>
          <w:tcPr>
            <w:tcW w:w="4820" w:type="dxa"/>
            <w:tcBorders>
              <w:left w:val="nil"/>
              <w:right w:val="nil"/>
            </w:tcBorders>
            <w:shd w:val="clear" w:color="auto" w:fill="FFFFFF"/>
          </w:tcPr>
          <w:p w14:paraId="6A174E4D" w14:textId="082F4D1E"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D-dimer (</w:t>
            </w:r>
            <w:proofErr w:type="spellStart"/>
            <w:r w:rsidRPr="00902A8A">
              <w:rPr>
                <w:rFonts w:ascii="Book Antiqua" w:hAnsi="Book Antiqua"/>
                <w:bCs/>
              </w:rPr>
              <w:t>μg</w:t>
            </w:r>
            <w:proofErr w:type="spellEnd"/>
            <w:r w:rsidRPr="00902A8A">
              <w:rPr>
                <w:rFonts w:ascii="Book Antiqua" w:hAnsi="Book Antiqua"/>
                <w:bCs/>
              </w:rPr>
              <w:t>/mL)</w:t>
            </w:r>
          </w:p>
        </w:tc>
        <w:tc>
          <w:tcPr>
            <w:tcW w:w="3458" w:type="dxa"/>
            <w:tcBorders>
              <w:left w:val="nil"/>
              <w:right w:val="nil"/>
            </w:tcBorders>
            <w:shd w:val="clear" w:color="auto" w:fill="FFFFFF"/>
          </w:tcPr>
          <w:p w14:paraId="1B23DAB5"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8.29 (2.00-14.19)</w:t>
            </w:r>
          </w:p>
        </w:tc>
      </w:tr>
      <w:tr w:rsidR="00902A8A" w:rsidRPr="00902A8A" w14:paraId="28130480" w14:textId="77777777" w:rsidTr="00902A8A">
        <w:tc>
          <w:tcPr>
            <w:tcW w:w="4820" w:type="dxa"/>
            <w:tcBorders>
              <w:left w:val="nil"/>
              <w:right w:val="nil"/>
            </w:tcBorders>
            <w:shd w:val="clear" w:color="auto" w:fill="FFFFFF"/>
          </w:tcPr>
          <w:p w14:paraId="51FF9730"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Lactate (mmol/L)</w:t>
            </w:r>
          </w:p>
        </w:tc>
        <w:tc>
          <w:tcPr>
            <w:tcW w:w="3458" w:type="dxa"/>
            <w:tcBorders>
              <w:left w:val="nil"/>
              <w:right w:val="nil"/>
            </w:tcBorders>
            <w:shd w:val="clear" w:color="auto" w:fill="FFFFFF"/>
          </w:tcPr>
          <w:p w14:paraId="5557E5A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2.22 (1.68-2.73)</w:t>
            </w:r>
          </w:p>
        </w:tc>
      </w:tr>
      <w:tr w:rsidR="00902A8A" w:rsidRPr="00902A8A" w14:paraId="0A1724B7" w14:textId="77777777" w:rsidTr="00902A8A">
        <w:tc>
          <w:tcPr>
            <w:tcW w:w="4820" w:type="dxa"/>
            <w:tcBorders>
              <w:left w:val="nil"/>
              <w:right w:val="nil"/>
            </w:tcBorders>
            <w:shd w:val="clear" w:color="auto" w:fill="FFFFFF"/>
          </w:tcPr>
          <w:p w14:paraId="7CA0767E" w14:textId="70254DC2"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Organs injury</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tcBorders>
              <w:left w:val="nil"/>
              <w:right w:val="nil"/>
            </w:tcBorders>
            <w:shd w:val="clear" w:color="auto" w:fill="FFFFFF"/>
          </w:tcPr>
          <w:p w14:paraId="32EEB15E"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243892D9" w14:textId="77777777" w:rsidTr="008E12E3">
        <w:tc>
          <w:tcPr>
            <w:tcW w:w="4820" w:type="dxa"/>
            <w:tcBorders>
              <w:left w:val="nil"/>
              <w:bottom w:val="nil"/>
              <w:right w:val="nil"/>
            </w:tcBorders>
            <w:shd w:val="clear" w:color="auto" w:fill="FFFFFF"/>
          </w:tcPr>
          <w:p w14:paraId="34E8317C"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ARDS</w:t>
            </w:r>
          </w:p>
        </w:tc>
        <w:tc>
          <w:tcPr>
            <w:tcW w:w="3458" w:type="dxa"/>
            <w:tcBorders>
              <w:left w:val="nil"/>
              <w:bottom w:val="nil"/>
              <w:right w:val="nil"/>
            </w:tcBorders>
            <w:shd w:val="clear" w:color="auto" w:fill="FFFFFF"/>
          </w:tcPr>
          <w:p w14:paraId="4ABF33F1" w14:textId="7FEEBD40"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77 (92.8</w:t>
            </w:r>
            <w:r w:rsidR="009B4A71">
              <w:rPr>
                <w:rFonts w:ascii="Book Antiqua" w:hAnsi="Book Antiqua"/>
                <w:bCs/>
              </w:rPr>
              <w:t>)</w:t>
            </w:r>
          </w:p>
        </w:tc>
      </w:tr>
      <w:tr w:rsidR="00902A8A" w:rsidRPr="00902A8A" w14:paraId="0ED35AE9" w14:textId="77777777" w:rsidTr="008E12E3">
        <w:tc>
          <w:tcPr>
            <w:tcW w:w="4820" w:type="dxa"/>
            <w:tcBorders>
              <w:top w:val="nil"/>
              <w:left w:val="nil"/>
              <w:bottom w:val="nil"/>
              <w:right w:val="nil"/>
            </w:tcBorders>
            <w:shd w:val="clear" w:color="auto" w:fill="FFFFFF"/>
          </w:tcPr>
          <w:p w14:paraId="296650B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Liver injury</w:t>
            </w:r>
          </w:p>
        </w:tc>
        <w:tc>
          <w:tcPr>
            <w:tcW w:w="3458" w:type="dxa"/>
            <w:tcBorders>
              <w:top w:val="nil"/>
              <w:left w:val="nil"/>
              <w:bottom w:val="nil"/>
              <w:right w:val="nil"/>
            </w:tcBorders>
            <w:shd w:val="clear" w:color="auto" w:fill="FFFFFF"/>
          </w:tcPr>
          <w:p w14:paraId="5532898A" w14:textId="018DACE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15 (18.1</w:t>
            </w:r>
            <w:r w:rsidR="009B4A71">
              <w:rPr>
                <w:rFonts w:ascii="Book Antiqua" w:hAnsi="Book Antiqua"/>
                <w:bCs/>
              </w:rPr>
              <w:t>)</w:t>
            </w:r>
          </w:p>
        </w:tc>
      </w:tr>
      <w:tr w:rsidR="00902A8A" w:rsidRPr="00902A8A" w14:paraId="371D8A2E" w14:textId="77777777" w:rsidTr="008E12E3">
        <w:tc>
          <w:tcPr>
            <w:tcW w:w="4820" w:type="dxa"/>
            <w:tcBorders>
              <w:top w:val="nil"/>
              <w:left w:val="nil"/>
              <w:bottom w:val="nil"/>
              <w:right w:val="nil"/>
            </w:tcBorders>
            <w:shd w:val="clear" w:color="auto" w:fill="FFFFFF"/>
          </w:tcPr>
          <w:p w14:paraId="5D536613"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lastRenderedPageBreak/>
              <w:t>AKI</w:t>
            </w:r>
          </w:p>
        </w:tc>
        <w:tc>
          <w:tcPr>
            <w:tcW w:w="3458" w:type="dxa"/>
            <w:tcBorders>
              <w:top w:val="nil"/>
              <w:left w:val="nil"/>
              <w:bottom w:val="nil"/>
              <w:right w:val="nil"/>
            </w:tcBorders>
            <w:shd w:val="clear" w:color="auto" w:fill="FFFFFF"/>
          </w:tcPr>
          <w:p w14:paraId="637FC10A" w14:textId="48847A8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30 (36.1</w:t>
            </w:r>
            <w:r w:rsidR="009B4A71">
              <w:rPr>
                <w:rFonts w:ascii="Book Antiqua" w:hAnsi="Book Antiqua"/>
                <w:bCs/>
              </w:rPr>
              <w:t>)</w:t>
            </w:r>
          </w:p>
        </w:tc>
      </w:tr>
      <w:tr w:rsidR="00902A8A" w:rsidRPr="00902A8A" w14:paraId="2370794C" w14:textId="77777777" w:rsidTr="008E12E3">
        <w:tc>
          <w:tcPr>
            <w:tcW w:w="4820" w:type="dxa"/>
            <w:tcBorders>
              <w:top w:val="nil"/>
              <w:left w:val="nil"/>
              <w:right w:val="nil"/>
            </w:tcBorders>
            <w:shd w:val="clear" w:color="auto" w:fill="FFFFFF"/>
          </w:tcPr>
          <w:p w14:paraId="034ACF9F"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Cardiac injury</w:t>
            </w:r>
          </w:p>
        </w:tc>
        <w:tc>
          <w:tcPr>
            <w:tcW w:w="3458" w:type="dxa"/>
            <w:tcBorders>
              <w:top w:val="nil"/>
              <w:left w:val="nil"/>
              <w:right w:val="nil"/>
            </w:tcBorders>
            <w:shd w:val="clear" w:color="auto" w:fill="FFFFFF"/>
          </w:tcPr>
          <w:p w14:paraId="680BB01F" w14:textId="101A4A4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37 (44.6</w:t>
            </w:r>
            <w:r w:rsidR="009B4A71">
              <w:rPr>
                <w:rFonts w:ascii="Book Antiqua" w:hAnsi="Book Antiqua"/>
                <w:bCs/>
              </w:rPr>
              <w:t>)</w:t>
            </w:r>
          </w:p>
        </w:tc>
      </w:tr>
      <w:tr w:rsidR="00902A8A" w:rsidRPr="00902A8A" w14:paraId="27954F1F" w14:textId="77777777" w:rsidTr="00902A8A">
        <w:tc>
          <w:tcPr>
            <w:tcW w:w="4820" w:type="dxa"/>
            <w:tcBorders>
              <w:left w:val="nil"/>
              <w:right w:val="nil"/>
            </w:tcBorders>
            <w:shd w:val="clear" w:color="auto" w:fill="FFFFFF"/>
          </w:tcPr>
          <w:p w14:paraId="2CEA0F89" w14:textId="40E213A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MODS</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tcBorders>
              <w:left w:val="nil"/>
              <w:right w:val="nil"/>
            </w:tcBorders>
            <w:shd w:val="clear" w:color="auto" w:fill="FFFFFF"/>
          </w:tcPr>
          <w:p w14:paraId="2A62B3B7" w14:textId="559B4740"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58 (69.9</w:t>
            </w:r>
            <w:r w:rsidR="009B4A71">
              <w:rPr>
                <w:rFonts w:ascii="Book Antiqua" w:hAnsi="Book Antiqua"/>
                <w:bCs/>
              </w:rPr>
              <w:t>)</w:t>
            </w:r>
          </w:p>
        </w:tc>
      </w:tr>
      <w:tr w:rsidR="00902A8A" w:rsidRPr="00902A8A" w14:paraId="223D5312" w14:textId="77777777" w:rsidTr="00902A8A">
        <w:tc>
          <w:tcPr>
            <w:tcW w:w="4820" w:type="dxa"/>
            <w:tcBorders>
              <w:left w:val="nil"/>
              <w:right w:val="nil"/>
            </w:tcBorders>
            <w:shd w:val="clear" w:color="auto" w:fill="FFFFFF"/>
          </w:tcPr>
          <w:p w14:paraId="2609115C" w14:textId="616B9C26"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Septic shock</w:t>
            </w:r>
            <w:r>
              <w:rPr>
                <w:rFonts w:ascii="Book Antiqua" w:hAnsi="Book Antiqua"/>
              </w:rPr>
              <w:t>,</w:t>
            </w:r>
            <w:r w:rsidRPr="00902A8A">
              <w:rPr>
                <w:rFonts w:ascii="Book Antiqua" w:hAnsi="Book Antiqua"/>
                <w:bCs/>
              </w:rPr>
              <w:t xml:space="preserve"> </w:t>
            </w:r>
            <w:r w:rsidRPr="00902A8A">
              <w:rPr>
                <w:rFonts w:ascii="Book Antiqua" w:hAnsi="Book Antiqua"/>
                <w:bCs/>
                <w:i/>
              </w:rPr>
              <w:t>n</w:t>
            </w:r>
            <w:r>
              <w:rPr>
                <w:rFonts w:ascii="Book Antiqua" w:hAnsi="Book Antiqua"/>
                <w:bCs/>
              </w:rPr>
              <w:t xml:space="preserve"> </w:t>
            </w:r>
            <w:r w:rsidRPr="00902A8A">
              <w:rPr>
                <w:rFonts w:ascii="Book Antiqua" w:hAnsi="Book Antiqua"/>
                <w:bCs/>
              </w:rPr>
              <w:t>(%)</w:t>
            </w:r>
          </w:p>
        </w:tc>
        <w:tc>
          <w:tcPr>
            <w:tcW w:w="3458" w:type="dxa"/>
            <w:tcBorders>
              <w:left w:val="nil"/>
              <w:right w:val="nil"/>
            </w:tcBorders>
            <w:shd w:val="clear" w:color="auto" w:fill="FFFFFF"/>
          </w:tcPr>
          <w:p w14:paraId="44EBB9A2" w14:textId="1B67039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16 (19.3</w:t>
            </w:r>
            <w:r w:rsidR="009B4A71">
              <w:rPr>
                <w:rFonts w:ascii="Book Antiqua" w:hAnsi="Book Antiqua"/>
                <w:bCs/>
              </w:rPr>
              <w:t>)</w:t>
            </w:r>
          </w:p>
        </w:tc>
      </w:tr>
      <w:tr w:rsidR="00902A8A" w:rsidRPr="00902A8A" w14:paraId="65C638F5" w14:textId="77777777" w:rsidTr="00902A8A">
        <w:tc>
          <w:tcPr>
            <w:tcW w:w="4820" w:type="dxa"/>
            <w:tcBorders>
              <w:left w:val="nil"/>
              <w:right w:val="nil"/>
            </w:tcBorders>
            <w:shd w:val="clear" w:color="auto" w:fill="FFFFFF"/>
          </w:tcPr>
          <w:p w14:paraId="25A89D80" w14:textId="7DEDE052"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 xml:space="preserve">Duration </w:t>
            </w:r>
            <w:r w:rsidR="009B4A71">
              <w:rPr>
                <w:rFonts w:ascii="Book Antiqua" w:hAnsi="Book Antiqua"/>
                <w:bCs/>
              </w:rPr>
              <w:t>of MV (d</w:t>
            </w:r>
            <w:r w:rsidRPr="00902A8A">
              <w:rPr>
                <w:rFonts w:ascii="Book Antiqua" w:hAnsi="Book Antiqua"/>
                <w:bCs/>
              </w:rPr>
              <w:t>)</w:t>
            </w:r>
          </w:p>
        </w:tc>
        <w:tc>
          <w:tcPr>
            <w:tcW w:w="3458" w:type="dxa"/>
            <w:tcBorders>
              <w:left w:val="nil"/>
              <w:right w:val="nil"/>
            </w:tcBorders>
            <w:shd w:val="clear" w:color="auto" w:fill="FFFFFF"/>
          </w:tcPr>
          <w:p w14:paraId="50AF07AC"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9.0 (6.0-13.0)</w:t>
            </w:r>
          </w:p>
        </w:tc>
      </w:tr>
      <w:tr w:rsidR="00902A8A" w:rsidRPr="00902A8A" w14:paraId="168EF121" w14:textId="77777777" w:rsidTr="00902A8A">
        <w:tc>
          <w:tcPr>
            <w:tcW w:w="4820" w:type="dxa"/>
            <w:tcBorders>
              <w:left w:val="nil"/>
              <w:right w:val="nil"/>
            </w:tcBorders>
            <w:shd w:val="clear" w:color="auto" w:fill="FFFFFF"/>
          </w:tcPr>
          <w:p w14:paraId="0084094B" w14:textId="505FE8B9"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Duration of CRRT (d</w:t>
            </w:r>
            <w:r w:rsidR="00902A8A" w:rsidRPr="00902A8A">
              <w:rPr>
                <w:rFonts w:ascii="Book Antiqua" w:hAnsi="Book Antiqua"/>
                <w:bCs/>
              </w:rPr>
              <w:t>)</w:t>
            </w:r>
          </w:p>
        </w:tc>
        <w:tc>
          <w:tcPr>
            <w:tcW w:w="3458" w:type="dxa"/>
            <w:tcBorders>
              <w:left w:val="nil"/>
              <w:right w:val="nil"/>
            </w:tcBorders>
            <w:shd w:val="clear" w:color="auto" w:fill="FFFFFF"/>
          </w:tcPr>
          <w:p w14:paraId="64652024"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0.0 (0.0-5.0)</w:t>
            </w:r>
          </w:p>
        </w:tc>
      </w:tr>
      <w:tr w:rsidR="00902A8A" w:rsidRPr="00902A8A" w14:paraId="2E5598BC" w14:textId="77777777" w:rsidTr="00902A8A">
        <w:tc>
          <w:tcPr>
            <w:tcW w:w="4820" w:type="dxa"/>
            <w:tcBorders>
              <w:left w:val="nil"/>
              <w:right w:val="nil"/>
            </w:tcBorders>
            <w:shd w:val="clear" w:color="auto" w:fill="FFFFFF"/>
          </w:tcPr>
          <w:p w14:paraId="04C53B16" w14:textId="3BC5BD85"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Hospital stay (d</w:t>
            </w:r>
            <w:r w:rsidR="00902A8A" w:rsidRPr="00902A8A">
              <w:rPr>
                <w:rFonts w:ascii="Book Antiqua" w:hAnsi="Book Antiqua"/>
                <w:bCs/>
              </w:rPr>
              <w:t>)</w:t>
            </w:r>
          </w:p>
        </w:tc>
        <w:tc>
          <w:tcPr>
            <w:tcW w:w="3458" w:type="dxa"/>
            <w:tcBorders>
              <w:left w:val="nil"/>
              <w:right w:val="nil"/>
            </w:tcBorders>
            <w:shd w:val="clear" w:color="auto" w:fill="FFFFFF"/>
          </w:tcPr>
          <w:p w14:paraId="1D786208"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18.0 (11.0-29.0)</w:t>
            </w:r>
          </w:p>
        </w:tc>
      </w:tr>
      <w:tr w:rsidR="00902A8A" w:rsidRPr="00902A8A" w14:paraId="22CD1F6A" w14:textId="77777777" w:rsidTr="00902A8A">
        <w:tc>
          <w:tcPr>
            <w:tcW w:w="4820" w:type="dxa"/>
            <w:shd w:val="clear" w:color="auto" w:fill="FFFFFF"/>
          </w:tcPr>
          <w:p w14:paraId="24D1373F" w14:textId="41BDB9F8"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Death</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shd w:val="clear" w:color="auto" w:fill="FFFFFF"/>
          </w:tcPr>
          <w:p w14:paraId="0941224A" w14:textId="29E0738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40 (48.2</w:t>
            </w:r>
            <w:r w:rsidR="009B4A71">
              <w:rPr>
                <w:rFonts w:ascii="Book Antiqua" w:hAnsi="Book Antiqua"/>
                <w:bCs/>
              </w:rPr>
              <w:t>)</w:t>
            </w:r>
          </w:p>
        </w:tc>
      </w:tr>
    </w:tbl>
    <w:p w14:paraId="29CE10CF" w14:textId="65315D75" w:rsidR="00E9531B" w:rsidRDefault="00902A8A">
      <w:pPr>
        <w:spacing w:line="360" w:lineRule="auto"/>
        <w:jc w:val="both"/>
        <w:rPr>
          <w:rFonts w:ascii="Book Antiqua" w:hAnsi="Book Antiqua"/>
        </w:rPr>
      </w:pPr>
      <w:r w:rsidRPr="00902A8A">
        <w:rPr>
          <w:rFonts w:ascii="Book Antiqua" w:hAnsi="Book Antiqua"/>
        </w:rPr>
        <w:t>BMI</w:t>
      </w:r>
      <w:r>
        <w:rPr>
          <w:rFonts w:ascii="Book Antiqua" w:hAnsi="Book Antiqua"/>
        </w:rPr>
        <w:t>:</w:t>
      </w:r>
      <w:r w:rsidRPr="00902A8A">
        <w:rPr>
          <w:rFonts w:ascii="Book Antiqua" w:hAnsi="Book Antiqua"/>
        </w:rPr>
        <w:t xml:space="preserve"> </w:t>
      </w:r>
      <w:r>
        <w:rPr>
          <w:rFonts w:ascii="Book Antiqua" w:hAnsi="Book Antiqua"/>
        </w:rPr>
        <w:t>B</w:t>
      </w:r>
      <w:r w:rsidRPr="00902A8A">
        <w:rPr>
          <w:rFonts w:ascii="Book Antiqua" w:hAnsi="Book Antiqua"/>
        </w:rPr>
        <w:t>ody mass index; APACHEII</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cute physiology and chronic health evaluation II; SOFA</w:t>
      </w:r>
      <w:r>
        <w:rPr>
          <w:rFonts w:ascii="Book Antiqua" w:hAnsi="Book Antiqua"/>
        </w:rPr>
        <w:t>:</w:t>
      </w:r>
      <w:r w:rsidRPr="00902A8A">
        <w:rPr>
          <w:rFonts w:ascii="Book Antiqua" w:hAnsi="Book Antiqua"/>
        </w:rPr>
        <w:t xml:space="preserve"> </w:t>
      </w:r>
      <w:r>
        <w:rPr>
          <w:rFonts w:ascii="Book Antiqua" w:hAnsi="Book Antiqua"/>
        </w:rPr>
        <w:t>S</w:t>
      </w:r>
      <w:r w:rsidRPr="00902A8A">
        <w:rPr>
          <w:rFonts w:ascii="Book Antiqua" w:hAnsi="Book Antiqua"/>
        </w:rPr>
        <w:t>equential organ failure assessment; CRP</w:t>
      </w:r>
      <w:r>
        <w:rPr>
          <w:rFonts w:ascii="Book Antiqua" w:hAnsi="Book Antiqua"/>
        </w:rPr>
        <w:t>:</w:t>
      </w:r>
      <w:r w:rsidRPr="00902A8A">
        <w:rPr>
          <w:rFonts w:ascii="Book Antiqua" w:hAnsi="Book Antiqua"/>
        </w:rPr>
        <w:t xml:space="preserve"> C-reactive protein; WBC</w:t>
      </w:r>
      <w:r>
        <w:rPr>
          <w:rFonts w:ascii="Book Antiqua" w:hAnsi="Book Antiqua"/>
        </w:rPr>
        <w:t>:</w:t>
      </w:r>
      <w:r w:rsidRPr="00902A8A">
        <w:rPr>
          <w:rFonts w:ascii="Book Antiqua" w:hAnsi="Book Antiqua"/>
        </w:rPr>
        <w:t xml:space="preserve"> </w:t>
      </w:r>
      <w:r>
        <w:rPr>
          <w:rFonts w:ascii="Book Antiqua" w:hAnsi="Book Antiqua"/>
        </w:rPr>
        <w:t>W</w:t>
      </w:r>
      <w:r w:rsidRPr="00902A8A">
        <w:rPr>
          <w:rFonts w:ascii="Book Antiqua" w:hAnsi="Book Antiqua"/>
        </w:rPr>
        <w:t>hite blood cell; PCT</w:t>
      </w:r>
      <w:r>
        <w:rPr>
          <w:rFonts w:ascii="Book Antiqua" w:hAnsi="Book Antiqua"/>
        </w:rPr>
        <w:t>:</w:t>
      </w:r>
      <w:r w:rsidRPr="00902A8A">
        <w:rPr>
          <w:rFonts w:ascii="Book Antiqua" w:hAnsi="Book Antiqua"/>
        </w:rPr>
        <w:t xml:space="preserve"> </w:t>
      </w:r>
      <w:r>
        <w:rPr>
          <w:rFonts w:ascii="Book Antiqua" w:hAnsi="Book Antiqua"/>
        </w:rPr>
        <w:t>P</w:t>
      </w:r>
      <w:r w:rsidRPr="00902A8A">
        <w:rPr>
          <w:rFonts w:ascii="Book Antiqua" w:hAnsi="Book Antiqua"/>
        </w:rPr>
        <w:t>rocalcitonin; ARDS</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cute respiratory distress syndrome; AKI</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 xml:space="preserve">cute kidney injury; </w:t>
      </w:r>
      <w:r w:rsidR="00A63C30">
        <w:rPr>
          <w:rFonts w:ascii="Book Antiqua" w:hAnsi="Book Antiqua"/>
        </w:rPr>
        <w:t xml:space="preserve">MODS: </w:t>
      </w:r>
      <w:r w:rsidR="00A63C30">
        <w:rPr>
          <w:rFonts w:ascii="Book Antiqua" w:eastAsia="Book Antiqua" w:hAnsi="Book Antiqua" w:cs="Book Antiqua"/>
          <w:color w:val="000000"/>
        </w:rPr>
        <w:t>Multiple organ dysfunction syndrome;</w:t>
      </w:r>
      <w:r w:rsidR="00A63C30" w:rsidRPr="00902A8A">
        <w:rPr>
          <w:rFonts w:ascii="Book Antiqua" w:hAnsi="Book Antiqua"/>
        </w:rPr>
        <w:t xml:space="preserve"> </w:t>
      </w:r>
      <w:r w:rsidRPr="00902A8A">
        <w:rPr>
          <w:rFonts w:ascii="Book Antiqua" w:hAnsi="Book Antiqua"/>
        </w:rPr>
        <w:t>MV</w:t>
      </w:r>
      <w:r>
        <w:rPr>
          <w:rFonts w:ascii="Book Antiqua" w:hAnsi="Book Antiqua"/>
        </w:rPr>
        <w:t>:</w:t>
      </w:r>
      <w:r w:rsidRPr="00902A8A">
        <w:rPr>
          <w:rFonts w:ascii="Book Antiqua" w:hAnsi="Book Antiqua"/>
        </w:rPr>
        <w:t xml:space="preserve"> </w:t>
      </w:r>
      <w:r>
        <w:rPr>
          <w:rFonts w:ascii="Book Antiqua" w:hAnsi="Book Antiqua"/>
        </w:rPr>
        <w:t>M</w:t>
      </w:r>
      <w:r w:rsidRPr="00902A8A">
        <w:rPr>
          <w:rFonts w:ascii="Book Antiqua" w:hAnsi="Book Antiqua"/>
        </w:rPr>
        <w:t>echanical ventilation; CRRT</w:t>
      </w:r>
      <w:r>
        <w:rPr>
          <w:rFonts w:ascii="Book Antiqua" w:hAnsi="Book Antiqua"/>
        </w:rPr>
        <w:t>:</w:t>
      </w:r>
      <w:r w:rsidRPr="00902A8A">
        <w:rPr>
          <w:rFonts w:ascii="Book Antiqua" w:hAnsi="Book Antiqua"/>
        </w:rPr>
        <w:t xml:space="preserve"> </w:t>
      </w:r>
      <w:r>
        <w:rPr>
          <w:rFonts w:ascii="Book Antiqua" w:hAnsi="Book Antiqua"/>
        </w:rPr>
        <w:t>C</w:t>
      </w:r>
      <w:r w:rsidRPr="00902A8A">
        <w:rPr>
          <w:rFonts w:ascii="Book Antiqua" w:hAnsi="Book Antiqua"/>
        </w:rPr>
        <w:t>ontinuous renal replacement therapy.</w:t>
      </w:r>
    </w:p>
    <w:p w14:paraId="4BED2F03" w14:textId="064803F8" w:rsidR="00902A8A" w:rsidRDefault="00E9531B">
      <w:pPr>
        <w:spacing w:line="360" w:lineRule="auto"/>
        <w:jc w:val="both"/>
        <w:rPr>
          <w:rFonts w:ascii="Book Antiqua" w:hAnsi="Book Antiqua"/>
          <w:b/>
          <w:bCs/>
        </w:rPr>
      </w:pPr>
      <w:r>
        <w:rPr>
          <w:rFonts w:ascii="Book Antiqua" w:hAnsi="Book Antiqua"/>
        </w:rPr>
        <w:br w:type="page"/>
      </w:r>
      <w:r w:rsidRPr="00E9531B">
        <w:rPr>
          <w:rFonts w:ascii="Book Antiqua" w:hAnsi="Book Antiqua"/>
          <w:b/>
          <w:bCs/>
        </w:rPr>
        <w:lastRenderedPageBreak/>
        <w:t xml:space="preserve">Table 2 The </w:t>
      </w:r>
      <w:r w:rsidR="008E12E3">
        <w:rPr>
          <w:rFonts w:ascii="Book Antiqua" w:hAnsi="Book Antiqua"/>
          <w:b/>
          <w:bCs/>
        </w:rPr>
        <w:t>a</w:t>
      </w:r>
      <w:r w:rsidR="008E12E3" w:rsidRPr="008E12E3">
        <w:rPr>
          <w:rFonts w:ascii="Book Antiqua" w:hAnsi="Book Antiqua"/>
          <w:b/>
          <w:bCs/>
        </w:rPr>
        <w:t>cute gastrointestinal injury</w:t>
      </w:r>
      <w:r w:rsidRPr="00E9531B">
        <w:rPr>
          <w:rFonts w:ascii="Book Antiqua" w:hAnsi="Book Antiqua"/>
          <w:b/>
          <w:bCs/>
        </w:rPr>
        <w:t xml:space="preserve"> grades and clinical variables</w:t>
      </w:r>
    </w:p>
    <w:tbl>
      <w:tblPr>
        <w:tblW w:w="11483" w:type="dxa"/>
        <w:jc w:val="center"/>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298"/>
        <w:gridCol w:w="1985"/>
        <w:gridCol w:w="1984"/>
        <w:gridCol w:w="2126"/>
        <w:gridCol w:w="2127"/>
        <w:gridCol w:w="963"/>
      </w:tblGrid>
      <w:tr w:rsidR="008E12E3" w:rsidRPr="008E12E3" w14:paraId="302A4DBB" w14:textId="77777777" w:rsidTr="008E12E3">
        <w:trPr>
          <w:trHeight w:val="90"/>
          <w:jc w:val="center"/>
        </w:trPr>
        <w:tc>
          <w:tcPr>
            <w:tcW w:w="2298" w:type="dxa"/>
            <w:tcBorders>
              <w:top w:val="single" w:sz="8" w:space="0" w:color="000000"/>
              <w:left w:val="nil"/>
              <w:bottom w:val="single" w:sz="8" w:space="0" w:color="000000"/>
              <w:right w:val="nil"/>
            </w:tcBorders>
            <w:shd w:val="clear" w:color="auto" w:fill="FFFFFF"/>
          </w:tcPr>
          <w:p w14:paraId="6645721C"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Variables</w:t>
            </w:r>
          </w:p>
        </w:tc>
        <w:tc>
          <w:tcPr>
            <w:tcW w:w="1985" w:type="dxa"/>
            <w:tcBorders>
              <w:top w:val="single" w:sz="8" w:space="0" w:color="000000"/>
              <w:left w:val="nil"/>
              <w:bottom w:val="single" w:sz="8" w:space="0" w:color="000000"/>
              <w:right w:val="nil"/>
            </w:tcBorders>
            <w:shd w:val="clear" w:color="auto" w:fill="FFFFFF"/>
          </w:tcPr>
          <w:p w14:paraId="113793B0"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No AGI</w:t>
            </w:r>
          </w:p>
          <w:p w14:paraId="1C296F8D" w14:textId="125ACA6E"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11)</w:t>
            </w:r>
          </w:p>
        </w:tc>
        <w:tc>
          <w:tcPr>
            <w:tcW w:w="1984" w:type="dxa"/>
            <w:tcBorders>
              <w:top w:val="single" w:sz="8" w:space="0" w:color="000000"/>
              <w:left w:val="nil"/>
              <w:bottom w:val="single" w:sz="8" w:space="0" w:color="000000"/>
              <w:right w:val="nil"/>
            </w:tcBorders>
            <w:shd w:val="clear" w:color="auto" w:fill="FFFFFF"/>
          </w:tcPr>
          <w:p w14:paraId="7CA938EE"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w:t>
            </w:r>
          </w:p>
          <w:p w14:paraId="02F9F1F5" w14:textId="33F31591"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30)</w:t>
            </w:r>
          </w:p>
        </w:tc>
        <w:tc>
          <w:tcPr>
            <w:tcW w:w="2126" w:type="dxa"/>
            <w:tcBorders>
              <w:top w:val="single" w:sz="8" w:space="0" w:color="000000"/>
              <w:left w:val="nil"/>
              <w:bottom w:val="single" w:sz="8" w:space="0" w:color="000000"/>
              <w:right w:val="nil"/>
            </w:tcBorders>
            <w:shd w:val="clear" w:color="auto" w:fill="FFFFFF"/>
          </w:tcPr>
          <w:p w14:paraId="49C40245"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II</w:t>
            </w:r>
          </w:p>
          <w:p w14:paraId="7F97E8BB" w14:textId="0F8F32F8"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 xml:space="preserve"> (</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35)</w:t>
            </w:r>
          </w:p>
        </w:tc>
        <w:tc>
          <w:tcPr>
            <w:tcW w:w="2127" w:type="dxa"/>
            <w:tcBorders>
              <w:top w:val="single" w:sz="8" w:space="0" w:color="000000"/>
              <w:left w:val="nil"/>
              <w:bottom w:val="single" w:sz="8" w:space="0" w:color="000000"/>
              <w:right w:val="nil"/>
            </w:tcBorders>
            <w:shd w:val="clear" w:color="auto" w:fill="FFFFFF"/>
          </w:tcPr>
          <w:p w14:paraId="01C852B6"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III-IV</w:t>
            </w:r>
          </w:p>
          <w:p w14:paraId="7D19BE7F" w14:textId="03A31F0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 xml:space="preserve"> (</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7)</w:t>
            </w:r>
          </w:p>
        </w:tc>
        <w:tc>
          <w:tcPr>
            <w:tcW w:w="963" w:type="dxa"/>
            <w:tcBorders>
              <w:top w:val="single" w:sz="8" w:space="0" w:color="000000"/>
              <w:left w:val="nil"/>
              <w:bottom w:val="single" w:sz="8" w:space="0" w:color="000000"/>
              <w:right w:val="nil"/>
            </w:tcBorders>
            <w:shd w:val="clear" w:color="auto" w:fill="FFFFFF"/>
          </w:tcPr>
          <w:p w14:paraId="5FADF8AF"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i/>
              </w:rPr>
              <w:t>P</w:t>
            </w:r>
            <w:r w:rsidRPr="008E12E3">
              <w:rPr>
                <w:rFonts w:ascii="Book Antiqua" w:hAnsi="Book Antiqua"/>
                <w:b/>
              </w:rPr>
              <w:t xml:space="preserve"> value</w:t>
            </w:r>
          </w:p>
        </w:tc>
      </w:tr>
      <w:tr w:rsidR="008E12E3" w:rsidRPr="008E12E3" w14:paraId="49D6D1E2" w14:textId="77777777" w:rsidTr="008E12E3">
        <w:trPr>
          <w:jc w:val="center"/>
        </w:trPr>
        <w:tc>
          <w:tcPr>
            <w:tcW w:w="2298" w:type="dxa"/>
            <w:shd w:val="clear" w:color="auto" w:fill="FFFFFF"/>
          </w:tcPr>
          <w:p w14:paraId="61F4D7F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BMI (kg/m</w:t>
            </w:r>
            <w:r w:rsidRPr="008E12E3">
              <w:rPr>
                <w:rFonts w:ascii="Book Antiqua" w:hAnsi="Book Antiqua"/>
                <w:bCs/>
                <w:vertAlign w:val="superscript"/>
              </w:rPr>
              <w:t>2</w:t>
            </w:r>
            <w:r w:rsidRPr="008E12E3">
              <w:rPr>
                <w:rFonts w:ascii="Book Antiqua" w:hAnsi="Book Antiqua"/>
                <w:bCs/>
              </w:rPr>
              <w:t>)</w:t>
            </w:r>
          </w:p>
        </w:tc>
        <w:tc>
          <w:tcPr>
            <w:tcW w:w="1985" w:type="dxa"/>
            <w:shd w:val="clear" w:color="auto" w:fill="FFFFFF"/>
          </w:tcPr>
          <w:p w14:paraId="090D570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23.9 (22.5-24.9)</w:t>
            </w:r>
          </w:p>
        </w:tc>
        <w:tc>
          <w:tcPr>
            <w:tcW w:w="1984" w:type="dxa"/>
            <w:shd w:val="clear" w:color="auto" w:fill="FFFFFF"/>
          </w:tcPr>
          <w:p w14:paraId="5FD0618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23.8 (21.5-26.1)</w:t>
            </w:r>
          </w:p>
        </w:tc>
        <w:tc>
          <w:tcPr>
            <w:tcW w:w="2126" w:type="dxa"/>
            <w:shd w:val="clear" w:color="auto" w:fill="FFFFFF"/>
          </w:tcPr>
          <w:p w14:paraId="583AB53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23.8 (22.1-24.9)</w:t>
            </w:r>
          </w:p>
        </w:tc>
        <w:tc>
          <w:tcPr>
            <w:tcW w:w="2127" w:type="dxa"/>
            <w:shd w:val="clear" w:color="auto" w:fill="FFFFFF"/>
          </w:tcPr>
          <w:p w14:paraId="5F47B14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22.4 (21.6-23.1)</w:t>
            </w:r>
          </w:p>
        </w:tc>
        <w:tc>
          <w:tcPr>
            <w:tcW w:w="963" w:type="dxa"/>
            <w:shd w:val="clear" w:color="auto" w:fill="FFFFFF"/>
          </w:tcPr>
          <w:p w14:paraId="5C692C56"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0.426</w:t>
            </w:r>
          </w:p>
        </w:tc>
      </w:tr>
      <w:tr w:rsidR="008E12E3" w:rsidRPr="008E12E3" w14:paraId="23BBBCE1" w14:textId="77777777" w:rsidTr="008E12E3">
        <w:trPr>
          <w:jc w:val="center"/>
        </w:trPr>
        <w:tc>
          <w:tcPr>
            <w:tcW w:w="2298" w:type="dxa"/>
            <w:shd w:val="clear" w:color="auto" w:fill="FFFFFF"/>
          </w:tcPr>
          <w:p w14:paraId="513EA17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APACHEII scores</w:t>
            </w:r>
          </w:p>
        </w:tc>
        <w:tc>
          <w:tcPr>
            <w:tcW w:w="1985" w:type="dxa"/>
            <w:shd w:val="clear" w:color="auto" w:fill="FFFFFF"/>
          </w:tcPr>
          <w:p w14:paraId="6AC6492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11.0 (9.0-12.0)</w:t>
            </w:r>
          </w:p>
        </w:tc>
        <w:tc>
          <w:tcPr>
            <w:tcW w:w="1984" w:type="dxa"/>
            <w:shd w:val="clear" w:color="auto" w:fill="FFFFFF"/>
          </w:tcPr>
          <w:p w14:paraId="53F1F42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13.0 (10.0-14.3)</w:t>
            </w:r>
          </w:p>
        </w:tc>
        <w:tc>
          <w:tcPr>
            <w:tcW w:w="2126" w:type="dxa"/>
            <w:shd w:val="clear" w:color="auto" w:fill="FFFFFF"/>
          </w:tcPr>
          <w:p w14:paraId="042F530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15.0 (13.0-18.0)</w:t>
            </w:r>
          </w:p>
        </w:tc>
        <w:tc>
          <w:tcPr>
            <w:tcW w:w="2127" w:type="dxa"/>
            <w:shd w:val="clear" w:color="auto" w:fill="FFFFFF"/>
          </w:tcPr>
          <w:p w14:paraId="26921B5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18.0 (16.0-21.0)</w:t>
            </w:r>
          </w:p>
        </w:tc>
        <w:tc>
          <w:tcPr>
            <w:tcW w:w="963" w:type="dxa"/>
            <w:shd w:val="clear" w:color="auto" w:fill="FFFFFF"/>
          </w:tcPr>
          <w:p w14:paraId="4E300850" w14:textId="23E9F53C"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&lt;</w:t>
            </w:r>
            <w:r>
              <w:rPr>
                <w:rFonts w:ascii="Book Antiqua" w:hAnsi="Book Antiqua"/>
                <w:bCs/>
              </w:rPr>
              <w:t xml:space="preserve"> </w:t>
            </w:r>
            <w:r w:rsidRPr="008E12E3">
              <w:rPr>
                <w:rFonts w:ascii="Book Antiqua" w:hAnsi="Book Antiqua"/>
                <w:bCs/>
              </w:rPr>
              <w:t>0.001</w:t>
            </w:r>
          </w:p>
        </w:tc>
      </w:tr>
      <w:tr w:rsidR="008E12E3" w:rsidRPr="008E12E3" w14:paraId="4D5A912B" w14:textId="77777777" w:rsidTr="008E12E3">
        <w:trPr>
          <w:jc w:val="center"/>
        </w:trPr>
        <w:tc>
          <w:tcPr>
            <w:tcW w:w="2298" w:type="dxa"/>
            <w:shd w:val="clear" w:color="auto" w:fill="FFFFFF"/>
          </w:tcPr>
          <w:p w14:paraId="7449D91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SOFA scores</w:t>
            </w:r>
          </w:p>
        </w:tc>
        <w:tc>
          <w:tcPr>
            <w:tcW w:w="1985" w:type="dxa"/>
            <w:shd w:val="clear" w:color="auto" w:fill="FFFFFF"/>
          </w:tcPr>
          <w:p w14:paraId="5019D03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3.0 (3.0-4.0)</w:t>
            </w:r>
          </w:p>
        </w:tc>
        <w:tc>
          <w:tcPr>
            <w:tcW w:w="1984" w:type="dxa"/>
            <w:shd w:val="clear" w:color="auto" w:fill="FFFFFF"/>
          </w:tcPr>
          <w:p w14:paraId="0954F8C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5.0 (4.0-6.0)</w:t>
            </w:r>
          </w:p>
        </w:tc>
        <w:tc>
          <w:tcPr>
            <w:tcW w:w="2126" w:type="dxa"/>
            <w:shd w:val="clear" w:color="auto" w:fill="FFFFFF"/>
          </w:tcPr>
          <w:p w14:paraId="1BD9231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(5.0-9.0)</w:t>
            </w:r>
          </w:p>
        </w:tc>
        <w:tc>
          <w:tcPr>
            <w:tcW w:w="2127" w:type="dxa"/>
            <w:shd w:val="clear" w:color="auto" w:fill="FFFFFF"/>
          </w:tcPr>
          <w:p w14:paraId="74231A2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(7.0-12.0)</w:t>
            </w:r>
          </w:p>
        </w:tc>
        <w:tc>
          <w:tcPr>
            <w:tcW w:w="963" w:type="dxa"/>
            <w:shd w:val="clear" w:color="auto" w:fill="FFFFFF"/>
          </w:tcPr>
          <w:p w14:paraId="01AFB90B" w14:textId="6171C04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&lt;</w:t>
            </w:r>
            <w:r>
              <w:rPr>
                <w:rFonts w:ascii="Book Antiqua" w:hAnsi="Book Antiqua"/>
                <w:bCs/>
              </w:rPr>
              <w:t xml:space="preserve"> </w:t>
            </w:r>
            <w:r w:rsidRPr="008E12E3">
              <w:rPr>
                <w:rFonts w:ascii="Book Antiqua" w:hAnsi="Book Antiqua"/>
                <w:bCs/>
              </w:rPr>
              <w:t>0.001</w:t>
            </w:r>
          </w:p>
        </w:tc>
      </w:tr>
      <w:tr w:rsidR="008E12E3" w:rsidRPr="008E12E3" w14:paraId="22ABC1D8" w14:textId="77777777" w:rsidTr="008E12E3">
        <w:trPr>
          <w:jc w:val="center"/>
        </w:trPr>
        <w:tc>
          <w:tcPr>
            <w:tcW w:w="2298" w:type="dxa"/>
            <w:shd w:val="clear" w:color="auto" w:fill="FFFFFF"/>
          </w:tcPr>
          <w:p w14:paraId="268004F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CRP (mg/L)</w:t>
            </w:r>
          </w:p>
        </w:tc>
        <w:tc>
          <w:tcPr>
            <w:tcW w:w="1985" w:type="dxa"/>
            <w:shd w:val="clear" w:color="auto" w:fill="FFFFFF"/>
          </w:tcPr>
          <w:p w14:paraId="184BB9F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82.7 (46.1-136.0)</w:t>
            </w:r>
          </w:p>
        </w:tc>
        <w:tc>
          <w:tcPr>
            <w:tcW w:w="1984" w:type="dxa"/>
            <w:shd w:val="clear" w:color="auto" w:fill="FFFFFF"/>
          </w:tcPr>
          <w:p w14:paraId="2C294B9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72.3 (47.3-113.2)</w:t>
            </w:r>
          </w:p>
        </w:tc>
        <w:tc>
          <w:tcPr>
            <w:tcW w:w="2126" w:type="dxa"/>
            <w:shd w:val="clear" w:color="auto" w:fill="FFFFFF"/>
          </w:tcPr>
          <w:p w14:paraId="4744943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99.8 (54.6-145.2)</w:t>
            </w:r>
          </w:p>
        </w:tc>
        <w:tc>
          <w:tcPr>
            <w:tcW w:w="2127" w:type="dxa"/>
            <w:shd w:val="clear" w:color="auto" w:fill="FFFFFF"/>
          </w:tcPr>
          <w:p w14:paraId="2CF64DE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130.4 (87.3-221.0)</w:t>
            </w:r>
          </w:p>
        </w:tc>
        <w:tc>
          <w:tcPr>
            <w:tcW w:w="963" w:type="dxa"/>
            <w:shd w:val="clear" w:color="auto" w:fill="FFFFFF"/>
          </w:tcPr>
          <w:p w14:paraId="00178DE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0.155</w:t>
            </w:r>
          </w:p>
        </w:tc>
      </w:tr>
      <w:tr w:rsidR="008E12E3" w:rsidRPr="008E12E3" w14:paraId="733B1EC2" w14:textId="77777777" w:rsidTr="008E12E3">
        <w:trPr>
          <w:jc w:val="center"/>
        </w:trPr>
        <w:tc>
          <w:tcPr>
            <w:tcW w:w="2298" w:type="dxa"/>
            <w:shd w:val="clear" w:color="auto" w:fill="FFFFFF"/>
          </w:tcPr>
          <w:p w14:paraId="323836A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WBC (10</w:t>
            </w:r>
            <w:r w:rsidRPr="008E12E3">
              <w:rPr>
                <w:rFonts w:ascii="Book Antiqua" w:hAnsi="Book Antiqua"/>
                <w:bCs/>
                <w:vertAlign w:val="superscript"/>
              </w:rPr>
              <w:t>9</w:t>
            </w:r>
            <w:r w:rsidRPr="008E12E3">
              <w:rPr>
                <w:rFonts w:ascii="Book Antiqua" w:hAnsi="Book Antiqua"/>
                <w:bCs/>
              </w:rPr>
              <w:t>/L)</w:t>
            </w:r>
          </w:p>
        </w:tc>
        <w:tc>
          <w:tcPr>
            <w:tcW w:w="1985" w:type="dxa"/>
            <w:shd w:val="clear" w:color="auto" w:fill="FFFFFF"/>
          </w:tcPr>
          <w:p w14:paraId="3195EBE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7.9 (6.4-11.3)</w:t>
            </w:r>
          </w:p>
        </w:tc>
        <w:tc>
          <w:tcPr>
            <w:tcW w:w="1984" w:type="dxa"/>
            <w:shd w:val="clear" w:color="auto" w:fill="FFFFFF"/>
          </w:tcPr>
          <w:p w14:paraId="5F87D615"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8.7 (7.2-11.8)</w:t>
            </w:r>
          </w:p>
        </w:tc>
        <w:tc>
          <w:tcPr>
            <w:tcW w:w="2126" w:type="dxa"/>
            <w:shd w:val="clear" w:color="auto" w:fill="FFFFFF"/>
          </w:tcPr>
          <w:p w14:paraId="792CC34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11.9 (8.1-15.1)</w:t>
            </w:r>
          </w:p>
        </w:tc>
        <w:tc>
          <w:tcPr>
            <w:tcW w:w="2127" w:type="dxa"/>
            <w:shd w:val="clear" w:color="auto" w:fill="FFFFFF"/>
          </w:tcPr>
          <w:p w14:paraId="454DAC2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16.6 (12.9-25.5)</w:t>
            </w:r>
          </w:p>
        </w:tc>
        <w:tc>
          <w:tcPr>
            <w:tcW w:w="963" w:type="dxa"/>
            <w:shd w:val="clear" w:color="auto" w:fill="FFFFFF"/>
          </w:tcPr>
          <w:p w14:paraId="4FD32B9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7767B454" w14:textId="77777777" w:rsidTr="008E12E3">
        <w:trPr>
          <w:jc w:val="center"/>
        </w:trPr>
        <w:tc>
          <w:tcPr>
            <w:tcW w:w="2298" w:type="dxa"/>
            <w:shd w:val="clear" w:color="auto" w:fill="FFFFFF"/>
          </w:tcPr>
          <w:p w14:paraId="3E17E47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Lymphocyte (10</w:t>
            </w:r>
            <w:r w:rsidRPr="008E12E3">
              <w:rPr>
                <w:rFonts w:ascii="Book Antiqua" w:hAnsi="Book Antiqua"/>
                <w:bCs/>
                <w:vertAlign w:val="superscript"/>
              </w:rPr>
              <w:t>9</w:t>
            </w:r>
            <w:r w:rsidRPr="008E12E3">
              <w:rPr>
                <w:rFonts w:ascii="Book Antiqua" w:hAnsi="Book Antiqua"/>
                <w:bCs/>
              </w:rPr>
              <w:t>/L)</w:t>
            </w:r>
          </w:p>
        </w:tc>
        <w:tc>
          <w:tcPr>
            <w:tcW w:w="1985" w:type="dxa"/>
            <w:shd w:val="clear" w:color="auto" w:fill="FFFFFF"/>
          </w:tcPr>
          <w:p w14:paraId="35A3DFE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0.85 (0.62-1.12)</w:t>
            </w:r>
          </w:p>
        </w:tc>
        <w:tc>
          <w:tcPr>
            <w:tcW w:w="1984" w:type="dxa"/>
            <w:shd w:val="clear" w:color="auto" w:fill="FFFFFF"/>
          </w:tcPr>
          <w:p w14:paraId="6AD074E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0.66 (0.43-0.82)</w:t>
            </w:r>
          </w:p>
        </w:tc>
        <w:tc>
          <w:tcPr>
            <w:tcW w:w="2126" w:type="dxa"/>
            <w:shd w:val="clear" w:color="auto" w:fill="FFFFFF"/>
          </w:tcPr>
          <w:p w14:paraId="5A20DA2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0.51 (0.38-0.76)</w:t>
            </w:r>
          </w:p>
        </w:tc>
        <w:tc>
          <w:tcPr>
            <w:tcW w:w="2127" w:type="dxa"/>
            <w:shd w:val="clear" w:color="auto" w:fill="FFFFFF"/>
          </w:tcPr>
          <w:p w14:paraId="395D816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0.59 (0.37-0.85)</w:t>
            </w:r>
          </w:p>
        </w:tc>
        <w:tc>
          <w:tcPr>
            <w:tcW w:w="963" w:type="dxa"/>
            <w:shd w:val="clear" w:color="auto" w:fill="FFFFFF"/>
          </w:tcPr>
          <w:p w14:paraId="533A1C9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0.044</w:t>
            </w:r>
          </w:p>
        </w:tc>
      </w:tr>
      <w:tr w:rsidR="008E12E3" w:rsidRPr="008E12E3" w14:paraId="5A06B816" w14:textId="77777777" w:rsidTr="008E12E3">
        <w:trPr>
          <w:jc w:val="center"/>
        </w:trPr>
        <w:tc>
          <w:tcPr>
            <w:tcW w:w="2298" w:type="dxa"/>
            <w:shd w:val="clear" w:color="auto" w:fill="FFFFFF"/>
          </w:tcPr>
          <w:p w14:paraId="607DF4C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PCT (ng/mL)</w:t>
            </w:r>
          </w:p>
        </w:tc>
        <w:tc>
          <w:tcPr>
            <w:tcW w:w="1985" w:type="dxa"/>
            <w:shd w:val="clear" w:color="auto" w:fill="FFFFFF"/>
          </w:tcPr>
          <w:p w14:paraId="5B2520B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0.17 (0.08-0.49)</w:t>
            </w:r>
          </w:p>
        </w:tc>
        <w:tc>
          <w:tcPr>
            <w:tcW w:w="1984" w:type="dxa"/>
            <w:shd w:val="clear" w:color="auto" w:fill="FFFFFF"/>
          </w:tcPr>
          <w:p w14:paraId="3A6591F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0.19 (0.13-0.41)</w:t>
            </w:r>
          </w:p>
        </w:tc>
        <w:tc>
          <w:tcPr>
            <w:tcW w:w="2126" w:type="dxa"/>
            <w:shd w:val="clear" w:color="auto" w:fill="FFFFFF"/>
          </w:tcPr>
          <w:p w14:paraId="659E212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0.29 (0.16-0.50)</w:t>
            </w:r>
          </w:p>
        </w:tc>
        <w:tc>
          <w:tcPr>
            <w:tcW w:w="2127" w:type="dxa"/>
            <w:shd w:val="clear" w:color="auto" w:fill="FFFFFF"/>
          </w:tcPr>
          <w:p w14:paraId="7E6B90C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0.41 (0.31-0.97)</w:t>
            </w:r>
          </w:p>
        </w:tc>
        <w:tc>
          <w:tcPr>
            <w:tcW w:w="963" w:type="dxa"/>
            <w:shd w:val="clear" w:color="auto" w:fill="FFFFFF"/>
          </w:tcPr>
          <w:p w14:paraId="7F9D8BB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0.079</w:t>
            </w:r>
          </w:p>
        </w:tc>
      </w:tr>
      <w:tr w:rsidR="008E12E3" w:rsidRPr="008E12E3" w14:paraId="48C6FA24" w14:textId="77777777" w:rsidTr="008E12E3">
        <w:trPr>
          <w:jc w:val="center"/>
        </w:trPr>
        <w:tc>
          <w:tcPr>
            <w:tcW w:w="2298" w:type="dxa"/>
            <w:shd w:val="clear" w:color="auto" w:fill="FFFFFF"/>
          </w:tcPr>
          <w:p w14:paraId="4ED10985" w14:textId="2F6A52D2"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D-dimer (</w:t>
            </w:r>
            <w:proofErr w:type="spellStart"/>
            <w:r w:rsidRPr="00902A8A">
              <w:rPr>
                <w:rFonts w:ascii="Book Antiqua" w:hAnsi="Book Antiqua"/>
                <w:bCs/>
              </w:rPr>
              <w:t>μ</w:t>
            </w:r>
            <w:r w:rsidRPr="008E12E3">
              <w:rPr>
                <w:rFonts w:ascii="Book Antiqua" w:hAnsi="Book Antiqua"/>
                <w:bCs/>
              </w:rPr>
              <w:t>g</w:t>
            </w:r>
            <w:proofErr w:type="spellEnd"/>
            <w:r w:rsidRPr="008E12E3">
              <w:rPr>
                <w:rFonts w:ascii="Book Antiqua" w:hAnsi="Book Antiqua"/>
                <w:bCs/>
              </w:rPr>
              <w:t>/mL)</w:t>
            </w:r>
          </w:p>
        </w:tc>
        <w:tc>
          <w:tcPr>
            <w:tcW w:w="1985" w:type="dxa"/>
            <w:shd w:val="clear" w:color="auto" w:fill="FFFFFF"/>
          </w:tcPr>
          <w:p w14:paraId="446711E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2.65 (0.97-7.06)</w:t>
            </w:r>
          </w:p>
        </w:tc>
        <w:tc>
          <w:tcPr>
            <w:tcW w:w="1984" w:type="dxa"/>
            <w:shd w:val="clear" w:color="auto" w:fill="FFFFFF"/>
          </w:tcPr>
          <w:p w14:paraId="4125A10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4.60 (1.72-12.30)</w:t>
            </w:r>
          </w:p>
        </w:tc>
        <w:tc>
          <w:tcPr>
            <w:tcW w:w="2126" w:type="dxa"/>
            <w:shd w:val="clear" w:color="auto" w:fill="FFFFFF"/>
          </w:tcPr>
          <w:p w14:paraId="5BA0786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11.90 (4.64-22.00)</w:t>
            </w:r>
          </w:p>
        </w:tc>
        <w:tc>
          <w:tcPr>
            <w:tcW w:w="2127" w:type="dxa"/>
            <w:shd w:val="clear" w:color="auto" w:fill="FFFFFF"/>
          </w:tcPr>
          <w:p w14:paraId="36377A2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15.51 (3.76-22.00)</w:t>
            </w:r>
          </w:p>
        </w:tc>
        <w:tc>
          <w:tcPr>
            <w:tcW w:w="963" w:type="dxa"/>
            <w:shd w:val="clear" w:color="auto" w:fill="FFFFFF"/>
          </w:tcPr>
          <w:p w14:paraId="0956249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691173BC" w14:textId="77777777" w:rsidTr="008E12E3">
        <w:trPr>
          <w:jc w:val="center"/>
        </w:trPr>
        <w:tc>
          <w:tcPr>
            <w:tcW w:w="2298" w:type="dxa"/>
            <w:shd w:val="clear" w:color="auto" w:fill="FFFFFF"/>
          </w:tcPr>
          <w:p w14:paraId="14771AE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Lactate (mmol/L)</w:t>
            </w:r>
          </w:p>
        </w:tc>
        <w:tc>
          <w:tcPr>
            <w:tcW w:w="1985" w:type="dxa"/>
            <w:shd w:val="clear" w:color="auto" w:fill="FFFFFF"/>
          </w:tcPr>
          <w:p w14:paraId="384F27D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1.17 (1.09-1.88)</w:t>
            </w:r>
          </w:p>
        </w:tc>
        <w:tc>
          <w:tcPr>
            <w:tcW w:w="1984" w:type="dxa"/>
            <w:shd w:val="clear" w:color="auto" w:fill="FFFFFF"/>
          </w:tcPr>
          <w:p w14:paraId="4FB857D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2.09 (1.68-2.44)</w:t>
            </w:r>
          </w:p>
        </w:tc>
        <w:tc>
          <w:tcPr>
            <w:tcW w:w="2126" w:type="dxa"/>
            <w:shd w:val="clear" w:color="auto" w:fill="FFFFFF"/>
          </w:tcPr>
          <w:p w14:paraId="6E0ED32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2.25 (1.94-2.99)</w:t>
            </w:r>
          </w:p>
        </w:tc>
        <w:tc>
          <w:tcPr>
            <w:tcW w:w="2127" w:type="dxa"/>
            <w:shd w:val="clear" w:color="auto" w:fill="FFFFFF"/>
          </w:tcPr>
          <w:p w14:paraId="49C78FA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2.55 (1.92-3.84)</w:t>
            </w:r>
          </w:p>
        </w:tc>
        <w:tc>
          <w:tcPr>
            <w:tcW w:w="963" w:type="dxa"/>
            <w:shd w:val="clear" w:color="auto" w:fill="FFFFFF"/>
          </w:tcPr>
          <w:p w14:paraId="07DDF52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0.038</w:t>
            </w:r>
          </w:p>
        </w:tc>
      </w:tr>
      <w:tr w:rsidR="008E12E3" w:rsidRPr="008E12E3" w14:paraId="34CD413A" w14:textId="77777777" w:rsidTr="008E12E3">
        <w:trPr>
          <w:jc w:val="center"/>
        </w:trPr>
        <w:tc>
          <w:tcPr>
            <w:tcW w:w="2298" w:type="dxa"/>
            <w:shd w:val="clear" w:color="auto" w:fill="FFFFFF"/>
          </w:tcPr>
          <w:p w14:paraId="5D91EC7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MV days</w:t>
            </w:r>
          </w:p>
        </w:tc>
        <w:tc>
          <w:tcPr>
            <w:tcW w:w="1985" w:type="dxa"/>
            <w:shd w:val="clear" w:color="auto" w:fill="FFFFFF"/>
          </w:tcPr>
          <w:p w14:paraId="4229135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(4.0-11.0)</w:t>
            </w:r>
          </w:p>
        </w:tc>
        <w:tc>
          <w:tcPr>
            <w:tcW w:w="1984" w:type="dxa"/>
            <w:shd w:val="clear" w:color="auto" w:fill="FFFFFF"/>
          </w:tcPr>
          <w:p w14:paraId="3CD75AA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7.0 (5.8-10.5)</w:t>
            </w:r>
          </w:p>
        </w:tc>
        <w:tc>
          <w:tcPr>
            <w:tcW w:w="2126" w:type="dxa"/>
            <w:shd w:val="clear" w:color="auto" w:fill="FFFFFF"/>
          </w:tcPr>
          <w:p w14:paraId="2CBD8A0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(6.0-14.0)</w:t>
            </w:r>
          </w:p>
        </w:tc>
        <w:tc>
          <w:tcPr>
            <w:tcW w:w="2127" w:type="dxa"/>
            <w:shd w:val="clear" w:color="auto" w:fill="FFFFFF"/>
          </w:tcPr>
          <w:p w14:paraId="7E65858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14.0 (11.0-19.0)</w:t>
            </w:r>
          </w:p>
        </w:tc>
        <w:tc>
          <w:tcPr>
            <w:tcW w:w="963" w:type="dxa"/>
            <w:shd w:val="clear" w:color="auto" w:fill="FFFFFF"/>
          </w:tcPr>
          <w:p w14:paraId="17BFD14D"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0.029</w:t>
            </w:r>
          </w:p>
        </w:tc>
      </w:tr>
      <w:tr w:rsidR="008E12E3" w:rsidRPr="008E12E3" w14:paraId="3444C84D" w14:textId="77777777" w:rsidTr="008E12E3">
        <w:trPr>
          <w:jc w:val="center"/>
        </w:trPr>
        <w:tc>
          <w:tcPr>
            <w:tcW w:w="2298" w:type="dxa"/>
            <w:shd w:val="clear" w:color="auto" w:fill="FFFFFF"/>
          </w:tcPr>
          <w:p w14:paraId="414C282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CRRT days</w:t>
            </w:r>
          </w:p>
        </w:tc>
        <w:tc>
          <w:tcPr>
            <w:tcW w:w="1985" w:type="dxa"/>
            <w:shd w:val="clear" w:color="auto" w:fill="FFFFFF"/>
          </w:tcPr>
          <w:p w14:paraId="21AC86E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(0.0-4.0)</w:t>
            </w:r>
          </w:p>
        </w:tc>
        <w:tc>
          <w:tcPr>
            <w:tcW w:w="1984" w:type="dxa"/>
            <w:shd w:val="clear" w:color="auto" w:fill="FFFFFF"/>
          </w:tcPr>
          <w:p w14:paraId="72C1257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(0.0-3.0)</w:t>
            </w:r>
          </w:p>
        </w:tc>
        <w:tc>
          <w:tcPr>
            <w:tcW w:w="2126" w:type="dxa"/>
            <w:shd w:val="clear" w:color="auto" w:fill="FFFFFF"/>
          </w:tcPr>
          <w:p w14:paraId="76C7FBC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(0.0-7.0)</w:t>
            </w:r>
          </w:p>
        </w:tc>
        <w:tc>
          <w:tcPr>
            <w:tcW w:w="2127" w:type="dxa"/>
            <w:shd w:val="clear" w:color="auto" w:fill="FFFFFF"/>
          </w:tcPr>
          <w:p w14:paraId="7112291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(5.0-8.0)</w:t>
            </w:r>
          </w:p>
        </w:tc>
        <w:tc>
          <w:tcPr>
            <w:tcW w:w="963" w:type="dxa"/>
            <w:shd w:val="clear" w:color="auto" w:fill="FFFFFF"/>
          </w:tcPr>
          <w:p w14:paraId="60BFAC6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0.045</w:t>
            </w:r>
          </w:p>
        </w:tc>
      </w:tr>
      <w:tr w:rsidR="008E12E3" w:rsidRPr="008E12E3" w14:paraId="7FD60D29" w14:textId="77777777" w:rsidTr="008E12E3">
        <w:trPr>
          <w:jc w:val="center"/>
        </w:trPr>
        <w:tc>
          <w:tcPr>
            <w:tcW w:w="2298" w:type="dxa"/>
            <w:shd w:val="clear" w:color="auto" w:fill="FFFFFF"/>
          </w:tcPr>
          <w:p w14:paraId="4DC4FB4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rPr>
              <w:t>Days from onset to admission</w:t>
            </w:r>
          </w:p>
        </w:tc>
        <w:tc>
          <w:tcPr>
            <w:tcW w:w="1985" w:type="dxa"/>
            <w:shd w:val="clear" w:color="auto" w:fill="FFFFFF"/>
          </w:tcPr>
          <w:p w14:paraId="18E7B8D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(7.0-15.0)</w:t>
            </w:r>
          </w:p>
        </w:tc>
        <w:tc>
          <w:tcPr>
            <w:tcW w:w="1984" w:type="dxa"/>
            <w:shd w:val="clear" w:color="auto" w:fill="FFFFFF"/>
          </w:tcPr>
          <w:p w14:paraId="0CA9F95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(6.0-14.3)</w:t>
            </w:r>
          </w:p>
        </w:tc>
        <w:tc>
          <w:tcPr>
            <w:tcW w:w="2126" w:type="dxa"/>
            <w:shd w:val="clear" w:color="auto" w:fill="FFFFFF"/>
          </w:tcPr>
          <w:p w14:paraId="6FCFB9D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(7.0-15.0)</w:t>
            </w:r>
          </w:p>
        </w:tc>
        <w:tc>
          <w:tcPr>
            <w:tcW w:w="2127" w:type="dxa"/>
            <w:shd w:val="clear" w:color="auto" w:fill="FFFFFF"/>
          </w:tcPr>
          <w:p w14:paraId="0F19B6F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15.0 (10.0-21.0)</w:t>
            </w:r>
          </w:p>
        </w:tc>
        <w:tc>
          <w:tcPr>
            <w:tcW w:w="963" w:type="dxa"/>
            <w:shd w:val="clear" w:color="auto" w:fill="FFFFFF"/>
          </w:tcPr>
          <w:p w14:paraId="688CE26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0.263</w:t>
            </w:r>
          </w:p>
        </w:tc>
      </w:tr>
      <w:tr w:rsidR="008E12E3" w:rsidRPr="008E12E3" w14:paraId="03793C20" w14:textId="77777777" w:rsidTr="008E12E3">
        <w:trPr>
          <w:jc w:val="center"/>
        </w:trPr>
        <w:tc>
          <w:tcPr>
            <w:tcW w:w="2298" w:type="dxa"/>
            <w:shd w:val="clear" w:color="auto" w:fill="FFFFFF"/>
          </w:tcPr>
          <w:p w14:paraId="51C3E13E" w14:textId="469F05E0" w:rsidR="008E12E3" w:rsidRPr="008E12E3" w:rsidRDefault="009B4A71" w:rsidP="008E12E3">
            <w:pPr>
              <w:autoSpaceDE w:val="0"/>
              <w:autoSpaceDN w:val="0"/>
              <w:adjustRightInd w:val="0"/>
              <w:spacing w:line="360" w:lineRule="auto"/>
              <w:jc w:val="both"/>
              <w:rPr>
                <w:rFonts w:ascii="Book Antiqua" w:hAnsi="Book Antiqua"/>
                <w:bCs/>
              </w:rPr>
            </w:pPr>
            <w:r>
              <w:rPr>
                <w:rFonts w:ascii="Book Antiqua" w:hAnsi="Book Antiqua"/>
                <w:bCs/>
              </w:rPr>
              <w:t>Hospital stay (d</w:t>
            </w:r>
            <w:r w:rsidR="008E12E3" w:rsidRPr="008E12E3">
              <w:rPr>
                <w:rFonts w:ascii="Book Antiqua" w:hAnsi="Book Antiqua"/>
                <w:bCs/>
              </w:rPr>
              <w:t>)</w:t>
            </w:r>
          </w:p>
        </w:tc>
        <w:tc>
          <w:tcPr>
            <w:tcW w:w="1985" w:type="dxa"/>
            <w:shd w:val="clear" w:color="auto" w:fill="FFFFFF"/>
          </w:tcPr>
          <w:p w14:paraId="62A4F165"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30.0 (28.0-34.0)</w:t>
            </w:r>
          </w:p>
        </w:tc>
        <w:tc>
          <w:tcPr>
            <w:tcW w:w="1984" w:type="dxa"/>
            <w:shd w:val="clear" w:color="auto" w:fill="FFFFFF"/>
          </w:tcPr>
          <w:p w14:paraId="6CCDA2C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13.5 (9.0-24.0)</w:t>
            </w:r>
          </w:p>
        </w:tc>
        <w:tc>
          <w:tcPr>
            <w:tcW w:w="2126" w:type="dxa"/>
            <w:shd w:val="clear" w:color="auto" w:fill="FFFFFF"/>
          </w:tcPr>
          <w:p w14:paraId="27EAAC7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18.0 (11.0-31.0)</w:t>
            </w:r>
          </w:p>
        </w:tc>
        <w:tc>
          <w:tcPr>
            <w:tcW w:w="2127" w:type="dxa"/>
            <w:shd w:val="clear" w:color="auto" w:fill="FFFFFF"/>
          </w:tcPr>
          <w:p w14:paraId="70E855E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19.0 (13.0-28.0)</w:t>
            </w:r>
          </w:p>
        </w:tc>
        <w:tc>
          <w:tcPr>
            <w:tcW w:w="963" w:type="dxa"/>
            <w:shd w:val="clear" w:color="auto" w:fill="FFFFFF"/>
          </w:tcPr>
          <w:p w14:paraId="1C339F76"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0.020</w:t>
            </w:r>
          </w:p>
        </w:tc>
      </w:tr>
      <w:tr w:rsidR="008E12E3" w:rsidRPr="008E12E3" w14:paraId="6C03BE3F" w14:textId="77777777" w:rsidTr="008E12E3">
        <w:trPr>
          <w:jc w:val="center"/>
        </w:trPr>
        <w:tc>
          <w:tcPr>
            <w:tcW w:w="2298" w:type="dxa"/>
            <w:shd w:val="clear" w:color="auto" w:fill="FFFFFF"/>
          </w:tcPr>
          <w:p w14:paraId="5D044B53" w14:textId="30049151"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MODS</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08CA95BC" w14:textId="516387FA"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 (54.5</w:t>
            </w:r>
            <w:r w:rsidR="009B4A71">
              <w:rPr>
                <w:rFonts w:ascii="Book Antiqua" w:hAnsi="Book Antiqua"/>
                <w:bCs/>
              </w:rPr>
              <w:t>)</w:t>
            </w:r>
          </w:p>
        </w:tc>
        <w:tc>
          <w:tcPr>
            <w:tcW w:w="1984" w:type="dxa"/>
            <w:shd w:val="clear" w:color="auto" w:fill="FFFFFF"/>
          </w:tcPr>
          <w:p w14:paraId="5EDEF3F5" w14:textId="0E3A1E49"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 (60.0</w:t>
            </w:r>
            <w:r w:rsidR="009B4A71">
              <w:rPr>
                <w:rFonts w:ascii="Book Antiqua" w:hAnsi="Book Antiqua"/>
                <w:bCs/>
              </w:rPr>
              <w:t>)</w:t>
            </w:r>
          </w:p>
        </w:tc>
        <w:tc>
          <w:tcPr>
            <w:tcW w:w="2126" w:type="dxa"/>
            <w:shd w:val="clear" w:color="auto" w:fill="FFFFFF"/>
          </w:tcPr>
          <w:p w14:paraId="2A41F3B8" w14:textId="6D802DC0"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27 (77.1</w:t>
            </w:r>
            <w:r w:rsidR="009B4A71">
              <w:rPr>
                <w:rFonts w:ascii="Book Antiqua" w:hAnsi="Book Antiqua"/>
                <w:bCs/>
              </w:rPr>
              <w:t>)</w:t>
            </w:r>
          </w:p>
        </w:tc>
        <w:tc>
          <w:tcPr>
            <w:tcW w:w="2127" w:type="dxa"/>
            <w:shd w:val="clear" w:color="auto" w:fill="FFFFFF"/>
          </w:tcPr>
          <w:p w14:paraId="3F2F9B08" w14:textId="59309721"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 (100.0</w:t>
            </w:r>
            <w:r w:rsidR="009B4A71">
              <w:rPr>
                <w:rFonts w:ascii="Book Antiqua" w:hAnsi="Book Antiqua"/>
                <w:bCs/>
              </w:rPr>
              <w:t>)</w:t>
            </w:r>
          </w:p>
        </w:tc>
        <w:tc>
          <w:tcPr>
            <w:tcW w:w="963" w:type="dxa"/>
            <w:shd w:val="clear" w:color="auto" w:fill="FFFFFF"/>
          </w:tcPr>
          <w:p w14:paraId="205B5CC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0.089</w:t>
            </w:r>
          </w:p>
        </w:tc>
      </w:tr>
      <w:tr w:rsidR="008E12E3" w:rsidRPr="008E12E3" w14:paraId="00CA73A0" w14:textId="77777777" w:rsidTr="008E12E3">
        <w:trPr>
          <w:jc w:val="center"/>
        </w:trPr>
        <w:tc>
          <w:tcPr>
            <w:tcW w:w="2298" w:type="dxa"/>
            <w:shd w:val="clear" w:color="auto" w:fill="FFFFFF"/>
          </w:tcPr>
          <w:p w14:paraId="66A6634E" w14:textId="71EA2C76"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Septic shock</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183CA13F" w14:textId="14554CDE"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 (0)</w:t>
            </w:r>
          </w:p>
        </w:tc>
        <w:tc>
          <w:tcPr>
            <w:tcW w:w="1984" w:type="dxa"/>
            <w:shd w:val="clear" w:color="auto" w:fill="FFFFFF"/>
          </w:tcPr>
          <w:p w14:paraId="6902B5AA" w14:textId="26CB2925"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 (6.7</w:t>
            </w:r>
            <w:r w:rsidR="009B4A71">
              <w:rPr>
                <w:rFonts w:ascii="Book Antiqua" w:hAnsi="Book Antiqua"/>
                <w:bCs/>
              </w:rPr>
              <w:t>)</w:t>
            </w:r>
          </w:p>
        </w:tc>
        <w:tc>
          <w:tcPr>
            <w:tcW w:w="2126" w:type="dxa"/>
            <w:shd w:val="clear" w:color="auto" w:fill="FFFFFF"/>
          </w:tcPr>
          <w:p w14:paraId="28003B69" w14:textId="306AD8EE"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9 (25.7</w:t>
            </w:r>
            <w:r w:rsidR="009B4A71">
              <w:rPr>
                <w:rFonts w:ascii="Book Antiqua" w:hAnsi="Book Antiqua"/>
                <w:bCs/>
              </w:rPr>
              <w:t>)</w:t>
            </w:r>
          </w:p>
        </w:tc>
        <w:tc>
          <w:tcPr>
            <w:tcW w:w="2127" w:type="dxa"/>
            <w:shd w:val="clear" w:color="auto" w:fill="FFFFFF"/>
          </w:tcPr>
          <w:p w14:paraId="2BF40044" w14:textId="3D21C25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5 (71.4</w:t>
            </w:r>
            <w:r w:rsidR="009B4A71">
              <w:rPr>
                <w:rFonts w:ascii="Book Antiqua" w:hAnsi="Book Antiqua"/>
                <w:bCs/>
              </w:rPr>
              <w:t>)</w:t>
            </w:r>
          </w:p>
        </w:tc>
        <w:tc>
          <w:tcPr>
            <w:tcW w:w="963" w:type="dxa"/>
            <w:shd w:val="clear" w:color="auto" w:fill="FFFFFF"/>
          </w:tcPr>
          <w:p w14:paraId="4ABAF15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40B8A0BF" w14:textId="77777777" w:rsidTr="008E12E3">
        <w:trPr>
          <w:jc w:val="center"/>
        </w:trPr>
        <w:tc>
          <w:tcPr>
            <w:tcW w:w="2298" w:type="dxa"/>
            <w:shd w:val="clear" w:color="auto" w:fill="FFFFFF"/>
          </w:tcPr>
          <w:p w14:paraId="71C277BF" w14:textId="2A42A664"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Death</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4C78C430" w14:textId="2772A6A2"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 (0)</w:t>
            </w:r>
          </w:p>
        </w:tc>
        <w:tc>
          <w:tcPr>
            <w:tcW w:w="1984" w:type="dxa"/>
            <w:shd w:val="clear" w:color="auto" w:fill="FFFFFF"/>
          </w:tcPr>
          <w:p w14:paraId="500B36BC" w14:textId="784E296A"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14 (46.7</w:t>
            </w:r>
            <w:r w:rsidR="009B4A71">
              <w:rPr>
                <w:rFonts w:ascii="Book Antiqua" w:hAnsi="Book Antiqua"/>
                <w:bCs/>
              </w:rPr>
              <w:t>)</w:t>
            </w:r>
          </w:p>
        </w:tc>
        <w:tc>
          <w:tcPr>
            <w:tcW w:w="2126" w:type="dxa"/>
            <w:shd w:val="clear" w:color="auto" w:fill="FFFFFF"/>
          </w:tcPr>
          <w:p w14:paraId="593FA735" w14:textId="7E14CB73"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19 (54.3</w:t>
            </w:r>
            <w:r w:rsidR="009B4A71">
              <w:rPr>
                <w:rFonts w:ascii="Book Antiqua" w:hAnsi="Book Antiqua"/>
                <w:bCs/>
              </w:rPr>
              <w:t>)</w:t>
            </w:r>
          </w:p>
        </w:tc>
        <w:tc>
          <w:tcPr>
            <w:tcW w:w="2127" w:type="dxa"/>
            <w:shd w:val="clear" w:color="auto" w:fill="FFFFFF"/>
          </w:tcPr>
          <w:p w14:paraId="79FE7F15" w14:textId="403354B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 (100.0</w:t>
            </w:r>
            <w:r w:rsidR="009B4A71">
              <w:rPr>
                <w:rFonts w:ascii="Book Antiqua" w:hAnsi="Book Antiqua"/>
                <w:bCs/>
              </w:rPr>
              <w:t>)</w:t>
            </w:r>
          </w:p>
        </w:tc>
        <w:tc>
          <w:tcPr>
            <w:tcW w:w="963" w:type="dxa"/>
            <w:shd w:val="clear" w:color="auto" w:fill="FFFFFF"/>
          </w:tcPr>
          <w:p w14:paraId="335E38D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0.037</w:t>
            </w:r>
          </w:p>
        </w:tc>
      </w:tr>
    </w:tbl>
    <w:p w14:paraId="13CCF240" w14:textId="1F3AC858" w:rsidR="00E2101A" w:rsidRDefault="008E12E3">
      <w:pPr>
        <w:spacing w:line="360" w:lineRule="auto"/>
        <w:jc w:val="both"/>
        <w:rPr>
          <w:rFonts w:ascii="Book Antiqua" w:hAnsi="Book Antiqua"/>
        </w:rPr>
      </w:pPr>
      <w:r w:rsidRPr="008E12E3">
        <w:rPr>
          <w:rFonts w:ascii="Book Antiqua" w:hAnsi="Book Antiqua"/>
        </w:rPr>
        <w:t>AGI</w:t>
      </w:r>
      <w:r>
        <w:rPr>
          <w:rFonts w:ascii="Book Antiqua" w:hAnsi="Book Antiqua"/>
        </w:rPr>
        <w:t>:</w:t>
      </w:r>
      <w:r w:rsidRPr="008E12E3">
        <w:rPr>
          <w:rFonts w:ascii="Book Antiqua" w:hAnsi="Book Antiqua"/>
        </w:rPr>
        <w:t xml:space="preserve"> </w:t>
      </w:r>
      <w:bookmarkStart w:id="1" w:name="_Hlk51001359"/>
      <w:r>
        <w:rPr>
          <w:rFonts w:ascii="Book Antiqua" w:hAnsi="Book Antiqua"/>
        </w:rPr>
        <w:t>A</w:t>
      </w:r>
      <w:r w:rsidRPr="008E12E3">
        <w:rPr>
          <w:rFonts w:ascii="Book Antiqua" w:hAnsi="Book Antiqua"/>
        </w:rPr>
        <w:t>cute gastrointestinal injury</w:t>
      </w:r>
      <w:bookmarkEnd w:id="1"/>
      <w:r w:rsidRPr="008E12E3">
        <w:rPr>
          <w:rFonts w:ascii="Book Antiqua" w:hAnsi="Book Antiqua"/>
        </w:rPr>
        <w:t>; BMI</w:t>
      </w:r>
      <w:r>
        <w:rPr>
          <w:rFonts w:ascii="Book Antiqua" w:hAnsi="Book Antiqua"/>
        </w:rPr>
        <w:t>: B</w:t>
      </w:r>
      <w:r w:rsidRPr="008E12E3">
        <w:rPr>
          <w:rFonts w:ascii="Book Antiqua" w:hAnsi="Book Antiqua"/>
        </w:rPr>
        <w:t>ody mass index; APACHEII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physiology and chronic health evaluation II; SOFA</w:t>
      </w:r>
      <w:r>
        <w:rPr>
          <w:rFonts w:ascii="Book Antiqua" w:hAnsi="Book Antiqua"/>
        </w:rPr>
        <w:t>:</w:t>
      </w:r>
      <w:r w:rsidRPr="008E12E3">
        <w:rPr>
          <w:rFonts w:ascii="Book Antiqua" w:hAnsi="Book Antiqua"/>
        </w:rPr>
        <w:t xml:space="preserve"> </w:t>
      </w:r>
      <w:r>
        <w:rPr>
          <w:rFonts w:ascii="Book Antiqua" w:hAnsi="Book Antiqua"/>
        </w:rPr>
        <w:t>S</w:t>
      </w:r>
      <w:r w:rsidRPr="008E12E3">
        <w:rPr>
          <w:rFonts w:ascii="Book Antiqua" w:hAnsi="Book Antiqua"/>
        </w:rPr>
        <w:t>equential organ failure assessment; CRP</w:t>
      </w:r>
      <w:r>
        <w:rPr>
          <w:rFonts w:ascii="Book Antiqua" w:hAnsi="Book Antiqua"/>
        </w:rPr>
        <w:t>:</w:t>
      </w:r>
      <w:r w:rsidRPr="008E12E3">
        <w:rPr>
          <w:rFonts w:ascii="Book Antiqua" w:hAnsi="Book Antiqua"/>
        </w:rPr>
        <w:t xml:space="preserve"> C-reactive protein; WBC</w:t>
      </w:r>
      <w:r>
        <w:rPr>
          <w:rFonts w:ascii="Book Antiqua" w:hAnsi="Book Antiqua"/>
        </w:rPr>
        <w:t>:</w:t>
      </w:r>
      <w:r w:rsidRPr="008E12E3">
        <w:rPr>
          <w:rFonts w:ascii="Book Antiqua" w:hAnsi="Book Antiqua"/>
        </w:rPr>
        <w:t xml:space="preserve"> </w:t>
      </w:r>
      <w:r>
        <w:rPr>
          <w:rFonts w:ascii="Book Antiqua" w:hAnsi="Book Antiqua"/>
        </w:rPr>
        <w:t>W</w:t>
      </w:r>
      <w:r w:rsidRPr="008E12E3">
        <w:rPr>
          <w:rFonts w:ascii="Book Antiqua" w:hAnsi="Book Antiqua"/>
        </w:rPr>
        <w:t>hite blood cell; PCT</w:t>
      </w:r>
      <w:r>
        <w:rPr>
          <w:rFonts w:ascii="Book Antiqua" w:hAnsi="Book Antiqua"/>
        </w:rPr>
        <w:t>:</w:t>
      </w:r>
      <w:r w:rsidRPr="008E12E3">
        <w:rPr>
          <w:rFonts w:ascii="Book Antiqua" w:hAnsi="Book Antiqua"/>
        </w:rPr>
        <w:t xml:space="preserve"> </w:t>
      </w:r>
      <w:r>
        <w:rPr>
          <w:rFonts w:ascii="Book Antiqua" w:hAnsi="Book Antiqua"/>
        </w:rPr>
        <w:t>P</w:t>
      </w:r>
      <w:r w:rsidRPr="008E12E3">
        <w:rPr>
          <w:rFonts w:ascii="Book Antiqua" w:hAnsi="Book Antiqua"/>
        </w:rPr>
        <w:t>rocalcitonin; ARDS</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respiratory distress syndrome; AKI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kidney injury; MV</w:t>
      </w:r>
      <w:r>
        <w:rPr>
          <w:rFonts w:ascii="Book Antiqua" w:hAnsi="Book Antiqua"/>
        </w:rPr>
        <w:t>:</w:t>
      </w:r>
      <w:r w:rsidRPr="008E12E3">
        <w:rPr>
          <w:rFonts w:ascii="Book Antiqua" w:hAnsi="Book Antiqua"/>
        </w:rPr>
        <w:t xml:space="preserve"> </w:t>
      </w:r>
      <w:r>
        <w:rPr>
          <w:rFonts w:ascii="Book Antiqua" w:hAnsi="Book Antiqua"/>
        </w:rPr>
        <w:t>M</w:t>
      </w:r>
      <w:r w:rsidRPr="008E12E3">
        <w:rPr>
          <w:rFonts w:ascii="Book Antiqua" w:hAnsi="Book Antiqua"/>
        </w:rPr>
        <w:t>echanical ventilation; CRRT</w:t>
      </w:r>
      <w:r>
        <w:rPr>
          <w:rFonts w:ascii="Book Antiqua" w:hAnsi="Book Antiqua"/>
        </w:rPr>
        <w:t>:</w:t>
      </w:r>
      <w:r w:rsidRPr="008E12E3">
        <w:rPr>
          <w:rFonts w:ascii="Book Antiqua" w:hAnsi="Book Antiqua"/>
        </w:rPr>
        <w:t xml:space="preserve"> </w:t>
      </w:r>
      <w:r>
        <w:rPr>
          <w:rFonts w:ascii="Book Antiqua" w:hAnsi="Book Antiqua"/>
        </w:rPr>
        <w:t>C</w:t>
      </w:r>
      <w:r w:rsidRPr="008E12E3">
        <w:rPr>
          <w:rFonts w:ascii="Book Antiqua" w:hAnsi="Book Antiqua"/>
        </w:rPr>
        <w:t>ontinuous renal replacement therapy; MODS</w:t>
      </w:r>
      <w:r>
        <w:rPr>
          <w:rFonts w:ascii="Book Antiqua" w:hAnsi="Book Antiqua"/>
        </w:rPr>
        <w:t>:</w:t>
      </w:r>
      <w:r w:rsidRPr="008E12E3">
        <w:rPr>
          <w:rFonts w:ascii="Book Antiqua" w:hAnsi="Book Antiqua"/>
        </w:rPr>
        <w:t xml:space="preserve"> </w:t>
      </w:r>
      <w:r>
        <w:rPr>
          <w:rFonts w:ascii="Book Antiqua" w:hAnsi="Book Antiqua"/>
        </w:rPr>
        <w:t>M</w:t>
      </w:r>
      <w:r w:rsidRPr="008E12E3">
        <w:rPr>
          <w:rFonts w:ascii="Book Antiqua" w:hAnsi="Book Antiqua"/>
        </w:rPr>
        <w:t>ultiple organ dysfunction syndrome.</w:t>
      </w:r>
    </w:p>
    <w:p w14:paraId="5629DE1C" w14:textId="2A7A8CC7" w:rsidR="008E12E3" w:rsidRDefault="00E2101A">
      <w:pPr>
        <w:spacing w:line="360" w:lineRule="auto"/>
        <w:jc w:val="both"/>
        <w:rPr>
          <w:rFonts w:ascii="Book Antiqua" w:hAnsi="Book Antiqua"/>
          <w:b/>
          <w:bCs/>
        </w:rPr>
      </w:pPr>
      <w:r>
        <w:rPr>
          <w:rFonts w:ascii="Book Antiqua" w:hAnsi="Book Antiqua"/>
        </w:rPr>
        <w:br w:type="page"/>
      </w:r>
      <w:r w:rsidRPr="00E2101A">
        <w:rPr>
          <w:rFonts w:ascii="Book Antiqua" w:hAnsi="Book Antiqua"/>
          <w:b/>
          <w:bCs/>
        </w:rPr>
        <w:lastRenderedPageBreak/>
        <w:t xml:space="preserve">Table 3 The incidences of different </w:t>
      </w:r>
      <w:r>
        <w:rPr>
          <w:rFonts w:ascii="Book Antiqua" w:hAnsi="Book Antiqua"/>
          <w:b/>
          <w:bCs/>
        </w:rPr>
        <w:t>a</w:t>
      </w:r>
      <w:r w:rsidRPr="00E2101A">
        <w:rPr>
          <w:rFonts w:ascii="Book Antiqua" w:hAnsi="Book Antiqua"/>
          <w:b/>
          <w:bCs/>
        </w:rPr>
        <w:t>cute gastrointestinal injury grades in non-survivors and survivors</w:t>
      </w:r>
      <w:r w:rsidR="00D60656" w:rsidRPr="00D60656">
        <w:rPr>
          <w:rFonts w:ascii="Book Antiqua" w:hAnsi="Book Antiqua"/>
          <w:b/>
          <w:bCs/>
        </w:rPr>
        <w:t xml:space="preserve">, </w:t>
      </w:r>
      <w:r w:rsidR="00D60656" w:rsidRPr="00D60656">
        <w:rPr>
          <w:rFonts w:ascii="Book Antiqua" w:hAnsi="Book Antiqua"/>
          <w:b/>
          <w:bCs/>
          <w:i/>
        </w:rPr>
        <w:t>n</w:t>
      </w:r>
      <w:r w:rsidR="00D60656" w:rsidRPr="00D60656">
        <w:rPr>
          <w:rFonts w:ascii="Book Antiqua" w:hAnsi="Book Antiqua"/>
          <w:b/>
          <w:bCs/>
        </w:rPr>
        <w:t xml:space="preserve"> (%)</w:t>
      </w:r>
    </w:p>
    <w:tbl>
      <w:tblPr>
        <w:tblW w:w="9798"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196"/>
        <w:gridCol w:w="2872"/>
        <w:gridCol w:w="2703"/>
        <w:gridCol w:w="2027"/>
      </w:tblGrid>
      <w:tr w:rsidR="00E2101A" w:rsidRPr="00E2101A" w14:paraId="32CA6B91" w14:textId="77777777" w:rsidTr="00E6546D">
        <w:trPr>
          <w:trHeight w:val="92"/>
        </w:trPr>
        <w:tc>
          <w:tcPr>
            <w:tcW w:w="2196" w:type="dxa"/>
            <w:tcBorders>
              <w:top w:val="single" w:sz="8" w:space="0" w:color="000000"/>
              <w:left w:val="nil"/>
              <w:bottom w:val="single" w:sz="8" w:space="0" w:color="000000"/>
              <w:right w:val="nil"/>
            </w:tcBorders>
            <w:shd w:val="clear" w:color="auto" w:fill="FFFFFF"/>
          </w:tcPr>
          <w:p w14:paraId="1C3180EE"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AGI grades</w:t>
            </w:r>
          </w:p>
        </w:tc>
        <w:tc>
          <w:tcPr>
            <w:tcW w:w="2872" w:type="dxa"/>
            <w:tcBorders>
              <w:top w:val="single" w:sz="8" w:space="0" w:color="000000"/>
              <w:left w:val="nil"/>
              <w:bottom w:val="single" w:sz="8" w:space="0" w:color="000000"/>
              <w:right w:val="nil"/>
            </w:tcBorders>
            <w:shd w:val="clear" w:color="auto" w:fill="FFFFFF"/>
          </w:tcPr>
          <w:p w14:paraId="5A0799AD" w14:textId="1059EE19"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Non-survivors (</w:t>
            </w:r>
            <w:r w:rsidRPr="00E2101A">
              <w:rPr>
                <w:rFonts w:ascii="Book Antiqua" w:hAnsi="Book Antiqua"/>
                <w:b/>
                <w:i/>
              </w:rPr>
              <w:t xml:space="preserve">n </w:t>
            </w:r>
            <w:r w:rsidRPr="00E2101A">
              <w:rPr>
                <w:rFonts w:ascii="Book Antiqua" w:hAnsi="Book Antiqua"/>
                <w:b/>
              </w:rPr>
              <w:t>=</w:t>
            </w:r>
            <w:r>
              <w:rPr>
                <w:rFonts w:ascii="Book Antiqua" w:hAnsi="Book Antiqua"/>
                <w:b/>
              </w:rPr>
              <w:t xml:space="preserve"> </w:t>
            </w:r>
            <w:r w:rsidRPr="00E2101A">
              <w:rPr>
                <w:rFonts w:ascii="Book Antiqua" w:hAnsi="Book Antiqua"/>
                <w:b/>
              </w:rPr>
              <w:t>40)</w:t>
            </w:r>
          </w:p>
        </w:tc>
        <w:tc>
          <w:tcPr>
            <w:tcW w:w="2703" w:type="dxa"/>
            <w:tcBorders>
              <w:top w:val="single" w:sz="8" w:space="0" w:color="000000"/>
              <w:left w:val="nil"/>
              <w:bottom w:val="single" w:sz="8" w:space="0" w:color="000000"/>
              <w:right w:val="nil"/>
            </w:tcBorders>
            <w:shd w:val="clear" w:color="auto" w:fill="FFFFFF"/>
          </w:tcPr>
          <w:p w14:paraId="2BFAA735" w14:textId="30E60A44"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Survivors</w:t>
            </w:r>
            <w:r w:rsidR="00E6546D">
              <w:rPr>
                <w:rFonts w:ascii="Book Antiqua" w:hAnsi="Book Antiqua" w:hint="eastAsia"/>
                <w:b/>
                <w:lang w:eastAsia="zh-CN"/>
              </w:rPr>
              <w:t xml:space="preserve"> </w:t>
            </w:r>
            <w:r w:rsidRPr="00E2101A">
              <w:rPr>
                <w:rFonts w:ascii="Book Antiqua" w:hAnsi="Book Antiqua"/>
                <w:b/>
              </w:rPr>
              <w:t>(</w:t>
            </w:r>
            <w:r w:rsidRPr="00E2101A">
              <w:rPr>
                <w:rFonts w:ascii="Book Antiqua" w:hAnsi="Book Antiqua"/>
                <w:b/>
                <w:i/>
              </w:rPr>
              <w:t xml:space="preserve">n </w:t>
            </w:r>
            <w:r w:rsidRPr="00E2101A">
              <w:rPr>
                <w:rFonts w:ascii="Book Antiqua" w:hAnsi="Book Antiqua"/>
                <w:b/>
              </w:rPr>
              <w:t>=</w:t>
            </w:r>
            <w:r>
              <w:rPr>
                <w:rFonts w:ascii="Book Antiqua" w:hAnsi="Book Antiqua"/>
                <w:b/>
              </w:rPr>
              <w:t xml:space="preserve"> </w:t>
            </w:r>
            <w:r w:rsidRPr="00E2101A">
              <w:rPr>
                <w:rFonts w:ascii="Book Antiqua" w:hAnsi="Book Antiqua"/>
                <w:b/>
              </w:rPr>
              <w:t>43)</w:t>
            </w:r>
          </w:p>
        </w:tc>
        <w:tc>
          <w:tcPr>
            <w:tcW w:w="2027" w:type="dxa"/>
            <w:tcBorders>
              <w:top w:val="single" w:sz="8" w:space="0" w:color="000000"/>
              <w:left w:val="nil"/>
              <w:bottom w:val="single" w:sz="8" w:space="0" w:color="000000"/>
              <w:right w:val="nil"/>
            </w:tcBorders>
            <w:shd w:val="clear" w:color="auto" w:fill="FFFFFF"/>
          </w:tcPr>
          <w:p w14:paraId="49ED61B6"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i/>
              </w:rPr>
              <w:t>P</w:t>
            </w:r>
            <w:r w:rsidRPr="00E2101A">
              <w:rPr>
                <w:rFonts w:ascii="Book Antiqua" w:hAnsi="Book Antiqua"/>
                <w:b/>
              </w:rPr>
              <w:t xml:space="preserve"> value</w:t>
            </w:r>
          </w:p>
        </w:tc>
      </w:tr>
      <w:tr w:rsidR="00E2101A" w:rsidRPr="00E2101A" w14:paraId="0862E695" w14:textId="77777777" w:rsidTr="00E6546D">
        <w:trPr>
          <w:trHeight w:val="452"/>
        </w:trPr>
        <w:tc>
          <w:tcPr>
            <w:tcW w:w="2196" w:type="dxa"/>
            <w:shd w:val="clear" w:color="auto" w:fill="FFFFFF"/>
          </w:tcPr>
          <w:p w14:paraId="1A8D7B76"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No AGI</w:t>
            </w:r>
          </w:p>
        </w:tc>
        <w:tc>
          <w:tcPr>
            <w:tcW w:w="2872" w:type="dxa"/>
            <w:shd w:val="clear" w:color="auto" w:fill="FFFFFF"/>
          </w:tcPr>
          <w:p w14:paraId="40C612EB" w14:textId="746F615A"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 (0)</w:t>
            </w:r>
          </w:p>
        </w:tc>
        <w:tc>
          <w:tcPr>
            <w:tcW w:w="2703" w:type="dxa"/>
            <w:shd w:val="clear" w:color="auto" w:fill="FFFFFF"/>
          </w:tcPr>
          <w:p w14:paraId="09D08BEE" w14:textId="75C13E09" w:rsidR="00E2101A" w:rsidRPr="00E2101A" w:rsidRDefault="00D60656" w:rsidP="00E2101A">
            <w:pPr>
              <w:autoSpaceDE w:val="0"/>
              <w:autoSpaceDN w:val="0"/>
              <w:adjustRightInd w:val="0"/>
              <w:spacing w:line="360" w:lineRule="auto"/>
              <w:jc w:val="both"/>
              <w:rPr>
                <w:rFonts w:ascii="Book Antiqua" w:hAnsi="Book Antiqua"/>
                <w:bCs/>
              </w:rPr>
            </w:pPr>
            <w:r>
              <w:rPr>
                <w:rFonts w:ascii="Book Antiqua" w:hAnsi="Book Antiqua"/>
                <w:bCs/>
              </w:rPr>
              <w:t>11 (25.6</w:t>
            </w:r>
            <w:r w:rsidR="00E2101A" w:rsidRPr="00E2101A">
              <w:rPr>
                <w:rFonts w:ascii="Book Antiqua" w:hAnsi="Book Antiqua"/>
                <w:bCs/>
              </w:rPr>
              <w:t>)</w:t>
            </w:r>
          </w:p>
        </w:tc>
        <w:tc>
          <w:tcPr>
            <w:tcW w:w="2027" w:type="dxa"/>
            <w:shd w:val="clear" w:color="auto" w:fill="FFFFFF"/>
          </w:tcPr>
          <w:p w14:paraId="2094D2AC" w14:textId="0E3B4F13"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&lt;</w:t>
            </w:r>
            <w:r>
              <w:rPr>
                <w:rFonts w:ascii="Book Antiqua" w:hAnsi="Book Antiqua"/>
                <w:bCs/>
              </w:rPr>
              <w:t xml:space="preserve"> </w:t>
            </w:r>
            <w:r w:rsidRPr="00E2101A">
              <w:rPr>
                <w:rFonts w:ascii="Book Antiqua" w:hAnsi="Book Antiqua"/>
                <w:bCs/>
              </w:rPr>
              <w:t>0.001</w:t>
            </w:r>
          </w:p>
        </w:tc>
      </w:tr>
      <w:tr w:rsidR="00E2101A" w:rsidRPr="00E2101A" w14:paraId="7874C685" w14:textId="77777777" w:rsidTr="00E6546D">
        <w:trPr>
          <w:trHeight w:val="465"/>
        </w:trPr>
        <w:tc>
          <w:tcPr>
            <w:tcW w:w="2196" w:type="dxa"/>
            <w:shd w:val="clear" w:color="auto" w:fill="FFFFFF"/>
          </w:tcPr>
          <w:p w14:paraId="55348A4A"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w:t>
            </w:r>
          </w:p>
        </w:tc>
        <w:tc>
          <w:tcPr>
            <w:tcW w:w="2872" w:type="dxa"/>
            <w:shd w:val="clear" w:color="auto" w:fill="FFFFFF"/>
          </w:tcPr>
          <w:p w14:paraId="5BAA2082" w14:textId="36A6A582"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14 (35.0</w:t>
            </w:r>
            <w:r w:rsidR="00D60656">
              <w:rPr>
                <w:rFonts w:ascii="Book Antiqua" w:hAnsi="Book Antiqua"/>
                <w:bCs/>
              </w:rPr>
              <w:t>)</w:t>
            </w:r>
          </w:p>
        </w:tc>
        <w:tc>
          <w:tcPr>
            <w:tcW w:w="2703" w:type="dxa"/>
            <w:shd w:val="clear" w:color="auto" w:fill="FFFFFF"/>
          </w:tcPr>
          <w:p w14:paraId="28ADFD16" w14:textId="4A51D72C"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16 (37.2</w:t>
            </w:r>
            <w:r w:rsidR="00D60656">
              <w:rPr>
                <w:rFonts w:ascii="Book Antiqua" w:hAnsi="Book Antiqua"/>
                <w:bCs/>
              </w:rPr>
              <w:t>)</w:t>
            </w:r>
          </w:p>
        </w:tc>
        <w:tc>
          <w:tcPr>
            <w:tcW w:w="2027" w:type="dxa"/>
            <w:shd w:val="clear" w:color="auto" w:fill="FFFFFF"/>
          </w:tcPr>
          <w:p w14:paraId="35D2F103"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0.834</w:t>
            </w:r>
          </w:p>
        </w:tc>
      </w:tr>
      <w:tr w:rsidR="00E2101A" w:rsidRPr="00E2101A" w14:paraId="032F1DDB" w14:textId="77777777" w:rsidTr="00E6546D">
        <w:trPr>
          <w:trHeight w:val="452"/>
        </w:trPr>
        <w:tc>
          <w:tcPr>
            <w:tcW w:w="2196" w:type="dxa"/>
            <w:shd w:val="clear" w:color="auto" w:fill="FFFFFF"/>
          </w:tcPr>
          <w:p w14:paraId="32F0D2A1"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II</w:t>
            </w:r>
          </w:p>
        </w:tc>
        <w:tc>
          <w:tcPr>
            <w:tcW w:w="2872" w:type="dxa"/>
            <w:shd w:val="clear" w:color="auto" w:fill="FFFFFF"/>
          </w:tcPr>
          <w:p w14:paraId="5BCD3D22" w14:textId="02D9EE02"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19 (47.5</w:t>
            </w:r>
            <w:r w:rsidR="00D60656">
              <w:rPr>
                <w:rFonts w:ascii="Book Antiqua" w:hAnsi="Book Antiqua"/>
                <w:bCs/>
              </w:rPr>
              <w:t>)</w:t>
            </w:r>
          </w:p>
        </w:tc>
        <w:tc>
          <w:tcPr>
            <w:tcW w:w="2703" w:type="dxa"/>
            <w:shd w:val="clear" w:color="auto" w:fill="FFFFFF"/>
          </w:tcPr>
          <w:p w14:paraId="6BAF289A" w14:textId="12D5C11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16 (37.2</w:t>
            </w:r>
            <w:r w:rsidR="00D60656">
              <w:rPr>
                <w:rFonts w:ascii="Book Antiqua" w:hAnsi="Book Antiqua"/>
                <w:bCs/>
              </w:rPr>
              <w:t>)</w:t>
            </w:r>
          </w:p>
        </w:tc>
        <w:tc>
          <w:tcPr>
            <w:tcW w:w="2027" w:type="dxa"/>
            <w:shd w:val="clear" w:color="auto" w:fill="FFFFFF"/>
          </w:tcPr>
          <w:p w14:paraId="39B58153"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0.343</w:t>
            </w:r>
          </w:p>
        </w:tc>
      </w:tr>
      <w:tr w:rsidR="00E2101A" w:rsidRPr="00E2101A" w14:paraId="2CFEB001" w14:textId="77777777" w:rsidTr="00E6546D">
        <w:trPr>
          <w:trHeight w:val="477"/>
        </w:trPr>
        <w:tc>
          <w:tcPr>
            <w:tcW w:w="2196" w:type="dxa"/>
            <w:shd w:val="clear" w:color="auto" w:fill="FFFFFF"/>
          </w:tcPr>
          <w:p w14:paraId="4198FFB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III-IV</w:t>
            </w:r>
          </w:p>
        </w:tc>
        <w:tc>
          <w:tcPr>
            <w:tcW w:w="2872" w:type="dxa"/>
            <w:shd w:val="clear" w:color="auto" w:fill="FFFFFF"/>
          </w:tcPr>
          <w:p w14:paraId="259739A6" w14:textId="704C5ADB"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7 (17.5</w:t>
            </w:r>
            <w:r w:rsidR="00D60656">
              <w:rPr>
                <w:rFonts w:ascii="Book Antiqua" w:hAnsi="Book Antiqua"/>
                <w:bCs/>
              </w:rPr>
              <w:t>)</w:t>
            </w:r>
          </w:p>
        </w:tc>
        <w:tc>
          <w:tcPr>
            <w:tcW w:w="2703" w:type="dxa"/>
            <w:shd w:val="clear" w:color="auto" w:fill="FFFFFF"/>
          </w:tcPr>
          <w:p w14:paraId="358B4CD4" w14:textId="6FF6A4FD"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 (0)</w:t>
            </w:r>
          </w:p>
        </w:tc>
        <w:tc>
          <w:tcPr>
            <w:tcW w:w="2027" w:type="dxa"/>
            <w:shd w:val="clear" w:color="auto" w:fill="FFFFFF"/>
          </w:tcPr>
          <w:p w14:paraId="3C0F2B58"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0.004</w:t>
            </w:r>
          </w:p>
        </w:tc>
      </w:tr>
    </w:tbl>
    <w:p w14:paraId="25D0E5A4" w14:textId="51777BFB" w:rsidR="00E2101A" w:rsidRDefault="00E2101A">
      <w:pPr>
        <w:spacing w:line="360" w:lineRule="auto"/>
        <w:jc w:val="both"/>
        <w:rPr>
          <w:rFonts w:ascii="Book Antiqua" w:hAnsi="Book Antiqua"/>
        </w:rPr>
      </w:pPr>
      <w:r w:rsidRPr="008E12E3">
        <w:rPr>
          <w:rFonts w:ascii="Book Antiqua" w:hAnsi="Book Antiqua"/>
        </w:rPr>
        <w:t>AGI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gastrointestinal injury</w:t>
      </w:r>
      <w:r>
        <w:rPr>
          <w:rFonts w:ascii="Book Antiqua" w:hAnsi="Book Antiqua"/>
        </w:rPr>
        <w:t>.</w:t>
      </w:r>
    </w:p>
    <w:p w14:paraId="11785C3E" w14:textId="45C7EA2A" w:rsidR="00E2101A" w:rsidRDefault="00E2101A">
      <w:pPr>
        <w:spacing w:line="360" w:lineRule="auto"/>
        <w:jc w:val="both"/>
        <w:rPr>
          <w:rFonts w:ascii="Book Antiqua" w:hAnsi="Book Antiqua"/>
          <w:b/>
          <w:bCs/>
        </w:rPr>
      </w:pPr>
      <w:r>
        <w:rPr>
          <w:rFonts w:ascii="Book Antiqua" w:hAnsi="Book Antiqua"/>
        </w:rPr>
        <w:br w:type="page"/>
      </w:r>
      <w:r w:rsidRPr="00E2101A">
        <w:rPr>
          <w:rFonts w:ascii="Book Antiqua" w:hAnsi="Book Antiqua"/>
          <w:b/>
          <w:bCs/>
        </w:rPr>
        <w:lastRenderedPageBreak/>
        <w:t xml:space="preserve">Table 4 Independent factors associated with </w:t>
      </w:r>
      <w:r>
        <w:rPr>
          <w:rFonts w:ascii="Book Antiqua" w:hAnsi="Book Antiqua"/>
          <w:b/>
          <w:bCs/>
        </w:rPr>
        <w:t>a</w:t>
      </w:r>
      <w:r w:rsidRPr="00E2101A">
        <w:rPr>
          <w:rFonts w:ascii="Book Antiqua" w:hAnsi="Book Antiqua"/>
          <w:b/>
          <w:bCs/>
        </w:rPr>
        <w:t>cute gastrointestinal injury grade II and above in multivariate logistic regression analysis</w:t>
      </w:r>
    </w:p>
    <w:tbl>
      <w:tblPr>
        <w:tblW w:w="0" w:type="auto"/>
        <w:tblInd w:w="121"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1982"/>
        <w:gridCol w:w="2282"/>
        <w:gridCol w:w="2748"/>
        <w:gridCol w:w="2182"/>
      </w:tblGrid>
      <w:tr w:rsidR="00E2101A" w:rsidRPr="00E2101A" w14:paraId="52767E18" w14:textId="77777777" w:rsidTr="0010123C">
        <w:trPr>
          <w:trHeight w:val="349"/>
        </w:trPr>
        <w:tc>
          <w:tcPr>
            <w:tcW w:w="1982" w:type="dxa"/>
            <w:tcBorders>
              <w:top w:val="single" w:sz="8" w:space="0" w:color="000000"/>
              <w:left w:val="nil"/>
              <w:bottom w:val="single" w:sz="8" w:space="0" w:color="000000"/>
              <w:right w:val="nil"/>
            </w:tcBorders>
            <w:shd w:val="clear" w:color="auto" w:fill="FFFFFF"/>
          </w:tcPr>
          <w:p w14:paraId="669FD805" w14:textId="04F3E33B"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Variable</w:t>
            </w:r>
          </w:p>
        </w:tc>
        <w:tc>
          <w:tcPr>
            <w:tcW w:w="2282" w:type="dxa"/>
            <w:tcBorders>
              <w:top w:val="single" w:sz="8" w:space="0" w:color="000000"/>
              <w:left w:val="nil"/>
              <w:bottom w:val="single" w:sz="8" w:space="0" w:color="000000"/>
              <w:right w:val="nil"/>
            </w:tcBorders>
            <w:shd w:val="clear" w:color="auto" w:fill="FFFFFF"/>
          </w:tcPr>
          <w:p w14:paraId="1D2F2D15"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OR</w:t>
            </w:r>
          </w:p>
        </w:tc>
        <w:tc>
          <w:tcPr>
            <w:tcW w:w="2748" w:type="dxa"/>
            <w:tcBorders>
              <w:top w:val="single" w:sz="8" w:space="0" w:color="000000"/>
              <w:left w:val="nil"/>
              <w:bottom w:val="single" w:sz="8" w:space="0" w:color="000000"/>
              <w:right w:val="nil"/>
            </w:tcBorders>
            <w:shd w:val="clear" w:color="auto" w:fill="FFFFFF"/>
          </w:tcPr>
          <w:p w14:paraId="35E13C5F"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95% CI</w:t>
            </w:r>
          </w:p>
        </w:tc>
        <w:tc>
          <w:tcPr>
            <w:tcW w:w="2182" w:type="dxa"/>
            <w:tcBorders>
              <w:top w:val="single" w:sz="8" w:space="0" w:color="000000"/>
              <w:left w:val="nil"/>
              <w:bottom w:val="single" w:sz="8" w:space="0" w:color="000000"/>
              <w:right w:val="nil"/>
            </w:tcBorders>
            <w:shd w:val="clear" w:color="auto" w:fill="FFFFFF"/>
          </w:tcPr>
          <w:p w14:paraId="1CD5D5C4"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i/>
              </w:rPr>
              <w:t xml:space="preserve">P </w:t>
            </w:r>
            <w:r w:rsidRPr="00E2101A">
              <w:rPr>
                <w:rFonts w:ascii="Book Antiqua" w:hAnsi="Book Antiqua"/>
                <w:b/>
              </w:rPr>
              <w:t>value</w:t>
            </w:r>
          </w:p>
        </w:tc>
      </w:tr>
      <w:tr w:rsidR="00E2101A" w:rsidRPr="00E2101A" w14:paraId="4FC32916" w14:textId="77777777" w:rsidTr="0010123C">
        <w:trPr>
          <w:trHeight w:val="291"/>
        </w:trPr>
        <w:tc>
          <w:tcPr>
            <w:tcW w:w="1982" w:type="dxa"/>
            <w:tcBorders>
              <w:left w:val="nil"/>
              <w:right w:val="nil"/>
            </w:tcBorders>
            <w:shd w:val="clear" w:color="auto" w:fill="FFFFFF"/>
          </w:tcPr>
          <w:p w14:paraId="26D039E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SOFA scores</w:t>
            </w:r>
          </w:p>
        </w:tc>
        <w:tc>
          <w:tcPr>
            <w:tcW w:w="2282" w:type="dxa"/>
            <w:tcBorders>
              <w:left w:val="nil"/>
              <w:right w:val="nil"/>
            </w:tcBorders>
            <w:shd w:val="clear" w:color="auto" w:fill="FFFFFF"/>
          </w:tcPr>
          <w:p w14:paraId="1D4A554C"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1.982</w:t>
            </w:r>
          </w:p>
        </w:tc>
        <w:tc>
          <w:tcPr>
            <w:tcW w:w="2748" w:type="dxa"/>
            <w:tcBorders>
              <w:left w:val="nil"/>
              <w:right w:val="nil"/>
            </w:tcBorders>
            <w:shd w:val="clear" w:color="auto" w:fill="FFFFFF"/>
          </w:tcPr>
          <w:p w14:paraId="47B6FA2F"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1.374-2.860</w:t>
            </w:r>
          </w:p>
        </w:tc>
        <w:tc>
          <w:tcPr>
            <w:tcW w:w="2182" w:type="dxa"/>
            <w:tcBorders>
              <w:left w:val="nil"/>
              <w:right w:val="nil"/>
            </w:tcBorders>
            <w:shd w:val="clear" w:color="auto" w:fill="FFFFFF"/>
          </w:tcPr>
          <w:p w14:paraId="51A8B20B" w14:textId="0726112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&lt;</w:t>
            </w:r>
            <w:r>
              <w:rPr>
                <w:rFonts w:ascii="Book Antiqua" w:hAnsi="Book Antiqua"/>
                <w:bCs/>
              </w:rPr>
              <w:t xml:space="preserve"> </w:t>
            </w:r>
            <w:r w:rsidRPr="00E2101A">
              <w:rPr>
                <w:rFonts w:ascii="Book Antiqua" w:hAnsi="Book Antiqua"/>
                <w:bCs/>
              </w:rPr>
              <w:t>0.001</w:t>
            </w:r>
          </w:p>
        </w:tc>
      </w:tr>
      <w:tr w:rsidR="00E2101A" w:rsidRPr="00E2101A" w14:paraId="79383B0E" w14:textId="77777777" w:rsidTr="0010123C">
        <w:trPr>
          <w:trHeight w:val="466"/>
        </w:trPr>
        <w:tc>
          <w:tcPr>
            <w:tcW w:w="1982" w:type="dxa"/>
            <w:tcBorders>
              <w:left w:val="nil"/>
              <w:right w:val="nil"/>
            </w:tcBorders>
            <w:shd w:val="clear" w:color="auto" w:fill="FFFFFF"/>
          </w:tcPr>
          <w:p w14:paraId="0D0C09B6"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WBC counts</w:t>
            </w:r>
          </w:p>
        </w:tc>
        <w:tc>
          <w:tcPr>
            <w:tcW w:w="2282" w:type="dxa"/>
            <w:tcBorders>
              <w:left w:val="nil"/>
              <w:right w:val="nil"/>
            </w:tcBorders>
            <w:shd w:val="clear" w:color="auto" w:fill="FFFFFF"/>
          </w:tcPr>
          <w:p w14:paraId="21DD40FE"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1.196</w:t>
            </w:r>
          </w:p>
        </w:tc>
        <w:tc>
          <w:tcPr>
            <w:tcW w:w="2748" w:type="dxa"/>
            <w:tcBorders>
              <w:left w:val="nil"/>
              <w:right w:val="nil"/>
            </w:tcBorders>
            <w:shd w:val="clear" w:color="auto" w:fill="FFFFFF"/>
          </w:tcPr>
          <w:p w14:paraId="40131AC1"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1.037-1.379</w:t>
            </w:r>
          </w:p>
        </w:tc>
        <w:tc>
          <w:tcPr>
            <w:tcW w:w="2182" w:type="dxa"/>
            <w:tcBorders>
              <w:left w:val="nil"/>
              <w:right w:val="nil"/>
            </w:tcBorders>
            <w:shd w:val="clear" w:color="auto" w:fill="FFFFFF"/>
          </w:tcPr>
          <w:p w14:paraId="37F626B8"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0.014</w:t>
            </w:r>
          </w:p>
        </w:tc>
      </w:tr>
      <w:tr w:rsidR="00E2101A" w:rsidRPr="00E2101A" w14:paraId="0F06D5A5" w14:textId="77777777" w:rsidTr="0010123C">
        <w:trPr>
          <w:trHeight w:val="466"/>
        </w:trPr>
        <w:tc>
          <w:tcPr>
            <w:tcW w:w="1982" w:type="dxa"/>
            <w:tcBorders>
              <w:left w:val="nil"/>
              <w:right w:val="nil"/>
            </w:tcBorders>
            <w:shd w:val="clear" w:color="auto" w:fill="FFFFFF"/>
          </w:tcPr>
          <w:p w14:paraId="7D3E7C9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MV days</w:t>
            </w:r>
          </w:p>
        </w:tc>
        <w:tc>
          <w:tcPr>
            <w:tcW w:w="2282" w:type="dxa"/>
            <w:tcBorders>
              <w:left w:val="nil"/>
              <w:right w:val="nil"/>
            </w:tcBorders>
            <w:shd w:val="clear" w:color="auto" w:fill="FFFFFF"/>
          </w:tcPr>
          <w:p w14:paraId="613EE4CD"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1.169</w:t>
            </w:r>
          </w:p>
        </w:tc>
        <w:tc>
          <w:tcPr>
            <w:tcW w:w="2748" w:type="dxa"/>
            <w:tcBorders>
              <w:left w:val="nil"/>
              <w:right w:val="nil"/>
            </w:tcBorders>
            <w:shd w:val="clear" w:color="auto" w:fill="FFFFFF"/>
          </w:tcPr>
          <w:p w14:paraId="44DC89FA"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1.020-1.340</w:t>
            </w:r>
          </w:p>
        </w:tc>
        <w:tc>
          <w:tcPr>
            <w:tcW w:w="2182" w:type="dxa"/>
            <w:tcBorders>
              <w:left w:val="nil"/>
              <w:right w:val="nil"/>
            </w:tcBorders>
            <w:shd w:val="clear" w:color="auto" w:fill="FFFFFF"/>
          </w:tcPr>
          <w:p w14:paraId="5BA61F2D"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0.025</w:t>
            </w:r>
          </w:p>
        </w:tc>
      </w:tr>
    </w:tbl>
    <w:p w14:paraId="216F1A83" w14:textId="2E8A33D6" w:rsidR="00E2101A" w:rsidRPr="00E2101A" w:rsidRDefault="00E2101A">
      <w:pPr>
        <w:spacing w:line="360" w:lineRule="auto"/>
        <w:jc w:val="both"/>
        <w:rPr>
          <w:rFonts w:ascii="Book Antiqua" w:hAnsi="Book Antiqua"/>
        </w:rPr>
      </w:pPr>
      <w:r>
        <w:rPr>
          <w:rFonts w:ascii="Book Antiqua" w:hAnsi="Book Antiqua"/>
        </w:rPr>
        <w:t xml:space="preserve">OR: </w:t>
      </w:r>
      <w:bookmarkStart w:id="2" w:name="_Hlk50367577"/>
      <w:r>
        <w:rPr>
          <w:rFonts w:ascii="Book Antiqua" w:eastAsia="Malgun Gothic" w:hAnsi="Book Antiqua"/>
        </w:rPr>
        <w:t>Odds ratio</w:t>
      </w:r>
      <w:bookmarkEnd w:id="2"/>
      <w:r>
        <w:rPr>
          <w:rFonts w:ascii="Book Antiqua" w:eastAsia="Malgun Gothic" w:hAnsi="Book Antiqua"/>
        </w:rPr>
        <w:t xml:space="preserve">; </w:t>
      </w:r>
      <w:r>
        <w:rPr>
          <w:rFonts w:ascii="Book Antiqua" w:hAnsi="Book Antiqua"/>
        </w:rPr>
        <w:t xml:space="preserve">CI: </w:t>
      </w:r>
      <w:r>
        <w:rPr>
          <w:rFonts w:ascii="Book Antiqua" w:eastAsia="Malgun Gothic" w:hAnsi="Book Antiqua"/>
        </w:rPr>
        <w:t>C</w:t>
      </w:r>
      <w:r w:rsidRPr="006F3921">
        <w:rPr>
          <w:rFonts w:ascii="Book Antiqua" w:eastAsia="Malgun Gothic" w:hAnsi="Book Antiqua"/>
        </w:rPr>
        <w:t>onfidence interval</w:t>
      </w:r>
      <w:r>
        <w:rPr>
          <w:rFonts w:ascii="Book Antiqua" w:eastAsia="Malgun Gothic" w:hAnsi="Book Antiqua"/>
        </w:rPr>
        <w:t xml:space="preserve">; </w:t>
      </w:r>
      <w:r w:rsidRPr="00E2101A">
        <w:rPr>
          <w:rFonts w:ascii="Book Antiqua" w:hAnsi="Book Antiqua"/>
        </w:rPr>
        <w:t>SOFA</w:t>
      </w:r>
      <w:r>
        <w:rPr>
          <w:rFonts w:ascii="Book Antiqua" w:hAnsi="Book Antiqua"/>
        </w:rPr>
        <w:t>: S</w:t>
      </w:r>
      <w:r w:rsidRPr="00E2101A">
        <w:rPr>
          <w:rFonts w:ascii="Book Antiqua" w:hAnsi="Book Antiqua"/>
        </w:rPr>
        <w:t>equential organ failure assessment; WBC</w:t>
      </w:r>
      <w:r>
        <w:rPr>
          <w:rFonts w:ascii="Book Antiqua" w:hAnsi="Book Antiqua"/>
        </w:rPr>
        <w:t>: W</w:t>
      </w:r>
      <w:r w:rsidRPr="00E2101A">
        <w:rPr>
          <w:rFonts w:ascii="Book Antiqua" w:hAnsi="Book Antiqua"/>
        </w:rPr>
        <w:t>hite blood cell; MV</w:t>
      </w:r>
      <w:r>
        <w:rPr>
          <w:rFonts w:ascii="Book Antiqua" w:hAnsi="Book Antiqua"/>
        </w:rPr>
        <w:t>: M</w:t>
      </w:r>
      <w:r w:rsidRPr="00E2101A">
        <w:rPr>
          <w:rFonts w:ascii="Book Antiqua" w:hAnsi="Book Antiqua"/>
        </w:rPr>
        <w:t>echanical ventilation.</w:t>
      </w:r>
    </w:p>
    <w:p w14:paraId="53AF429A" w14:textId="77777777" w:rsidR="00E2101A" w:rsidRPr="00E2101A" w:rsidRDefault="00E2101A">
      <w:pPr>
        <w:spacing w:line="360" w:lineRule="auto"/>
        <w:jc w:val="both"/>
        <w:rPr>
          <w:rFonts w:ascii="Book Antiqua" w:hAnsi="Book Antiqua"/>
        </w:rPr>
      </w:pPr>
    </w:p>
    <w:sectPr w:rsidR="00E2101A" w:rsidRPr="00E2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17FD" w14:textId="77777777" w:rsidR="00ED5A68" w:rsidRDefault="00ED5A68" w:rsidP="00514466">
      <w:r>
        <w:separator/>
      </w:r>
    </w:p>
  </w:endnote>
  <w:endnote w:type="continuationSeparator" w:id="0">
    <w:p w14:paraId="58EACD24" w14:textId="77777777" w:rsidR="00ED5A68" w:rsidRDefault="00ED5A68" w:rsidP="005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076784"/>
      <w:docPartObj>
        <w:docPartGallery w:val="Page Numbers (Bottom of Page)"/>
        <w:docPartUnique/>
      </w:docPartObj>
    </w:sdtPr>
    <w:sdtEndPr/>
    <w:sdtContent>
      <w:sdt>
        <w:sdtPr>
          <w:id w:val="-1705238520"/>
          <w:docPartObj>
            <w:docPartGallery w:val="Page Numbers (Top of Page)"/>
            <w:docPartUnique/>
          </w:docPartObj>
        </w:sdtPr>
        <w:sdtEndPr/>
        <w:sdtContent>
          <w:p w14:paraId="1A8FD120" w14:textId="0412E9DE" w:rsidR="00514466" w:rsidRDefault="00514466" w:rsidP="00514466">
            <w:pPr>
              <w:pStyle w:val="a7"/>
              <w:jc w:val="right"/>
            </w:pPr>
            <w:r w:rsidRPr="00514466">
              <w:rPr>
                <w:rFonts w:ascii="Book Antiqua" w:hAnsi="Book Antiqua"/>
                <w:sz w:val="24"/>
                <w:szCs w:val="24"/>
                <w:lang w:val="zh-CN" w:eastAsia="zh-CN"/>
              </w:rPr>
              <w:t xml:space="preserve"> </w:t>
            </w:r>
            <w:r w:rsidRPr="00514466">
              <w:rPr>
                <w:rFonts w:ascii="Book Antiqua" w:hAnsi="Book Antiqua"/>
                <w:sz w:val="24"/>
                <w:szCs w:val="24"/>
              </w:rPr>
              <w:fldChar w:fldCharType="begin"/>
            </w:r>
            <w:r w:rsidRPr="00514466">
              <w:rPr>
                <w:rFonts w:ascii="Book Antiqua" w:hAnsi="Book Antiqua"/>
                <w:sz w:val="24"/>
                <w:szCs w:val="24"/>
              </w:rPr>
              <w:instrText>PAGE</w:instrText>
            </w:r>
            <w:r w:rsidRPr="00514466">
              <w:rPr>
                <w:rFonts w:ascii="Book Antiqua" w:hAnsi="Book Antiqua"/>
                <w:sz w:val="24"/>
                <w:szCs w:val="24"/>
              </w:rPr>
              <w:fldChar w:fldCharType="separate"/>
            </w:r>
            <w:r w:rsidR="001032C4">
              <w:rPr>
                <w:rFonts w:ascii="Book Antiqua" w:hAnsi="Book Antiqua"/>
                <w:noProof/>
                <w:sz w:val="24"/>
                <w:szCs w:val="24"/>
              </w:rPr>
              <w:t>27</w:t>
            </w:r>
            <w:r w:rsidRPr="00514466">
              <w:rPr>
                <w:rFonts w:ascii="Book Antiqua" w:hAnsi="Book Antiqua"/>
                <w:sz w:val="24"/>
                <w:szCs w:val="24"/>
              </w:rPr>
              <w:fldChar w:fldCharType="end"/>
            </w:r>
            <w:r w:rsidRPr="00514466">
              <w:rPr>
                <w:rFonts w:ascii="Book Antiqua" w:hAnsi="Book Antiqua"/>
                <w:sz w:val="24"/>
                <w:szCs w:val="24"/>
                <w:lang w:val="zh-CN" w:eastAsia="zh-CN"/>
              </w:rPr>
              <w:t xml:space="preserve"> / </w:t>
            </w:r>
            <w:r w:rsidRPr="00514466">
              <w:rPr>
                <w:rFonts w:ascii="Book Antiqua" w:hAnsi="Book Antiqua"/>
                <w:sz w:val="24"/>
                <w:szCs w:val="24"/>
              </w:rPr>
              <w:fldChar w:fldCharType="begin"/>
            </w:r>
            <w:r w:rsidRPr="00514466">
              <w:rPr>
                <w:rFonts w:ascii="Book Antiqua" w:hAnsi="Book Antiqua"/>
                <w:sz w:val="24"/>
                <w:szCs w:val="24"/>
              </w:rPr>
              <w:instrText>NUMPAGES</w:instrText>
            </w:r>
            <w:r w:rsidRPr="00514466">
              <w:rPr>
                <w:rFonts w:ascii="Book Antiqua" w:hAnsi="Book Antiqua"/>
                <w:sz w:val="24"/>
                <w:szCs w:val="24"/>
              </w:rPr>
              <w:fldChar w:fldCharType="separate"/>
            </w:r>
            <w:r w:rsidR="001032C4">
              <w:rPr>
                <w:rFonts w:ascii="Book Antiqua" w:hAnsi="Book Antiqua"/>
                <w:noProof/>
                <w:sz w:val="24"/>
                <w:szCs w:val="24"/>
              </w:rPr>
              <w:t>28</w:t>
            </w:r>
            <w:r w:rsidRPr="00514466">
              <w:rPr>
                <w:rFonts w:ascii="Book Antiqua" w:hAnsi="Book Antiqua"/>
                <w:sz w:val="24"/>
                <w:szCs w:val="24"/>
              </w:rPr>
              <w:fldChar w:fldCharType="end"/>
            </w:r>
          </w:p>
        </w:sdtContent>
      </w:sdt>
    </w:sdtContent>
  </w:sdt>
  <w:p w14:paraId="3EC941BB" w14:textId="77777777" w:rsidR="00514466" w:rsidRDefault="005144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93453" w14:textId="77777777" w:rsidR="00ED5A68" w:rsidRDefault="00ED5A68" w:rsidP="00514466">
      <w:r>
        <w:separator/>
      </w:r>
    </w:p>
  </w:footnote>
  <w:footnote w:type="continuationSeparator" w:id="0">
    <w:p w14:paraId="55233BDE" w14:textId="77777777" w:rsidR="00ED5A68" w:rsidRDefault="00ED5A68" w:rsidP="0051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A79"/>
    <w:rsid w:val="0010123C"/>
    <w:rsid w:val="001032C4"/>
    <w:rsid w:val="002451AA"/>
    <w:rsid w:val="002D412F"/>
    <w:rsid w:val="002D544B"/>
    <w:rsid w:val="00301FC5"/>
    <w:rsid w:val="003B1C93"/>
    <w:rsid w:val="003B1E8B"/>
    <w:rsid w:val="00452524"/>
    <w:rsid w:val="0049286F"/>
    <w:rsid w:val="004D03C6"/>
    <w:rsid w:val="00504BEC"/>
    <w:rsid w:val="00514466"/>
    <w:rsid w:val="00516865"/>
    <w:rsid w:val="005802BF"/>
    <w:rsid w:val="0058086C"/>
    <w:rsid w:val="00586D6B"/>
    <w:rsid w:val="00587469"/>
    <w:rsid w:val="00590840"/>
    <w:rsid w:val="00635416"/>
    <w:rsid w:val="00725F2F"/>
    <w:rsid w:val="00895111"/>
    <w:rsid w:val="008E12E3"/>
    <w:rsid w:val="008E535C"/>
    <w:rsid w:val="00902A8A"/>
    <w:rsid w:val="0091343D"/>
    <w:rsid w:val="0094033D"/>
    <w:rsid w:val="009B3AEF"/>
    <w:rsid w:val="009B4A71"/>
    <w:rsid w:val="009C0D27"/>
    <w:rsid w:val="00A17E4A"/>
    <w:rsid w:val="00A63C30"/>
    <w:rsid w:val="00A77B3E"/>
    <w:rsid w:val="00AC21F7"/>
    <w:rsid w:val="00AD029D"/>
    <w:rsid w:val="00AE081A"/>
    <w:rsid w:val="00AF0676"/>
    <w:rsid w:val="00B23CBE"/>
    <w:rsid w:val="00B74456"/>
    <w:rsid w:val="00C20FF2"/>
    <w:rsid w:val="00C32022"/>
    <w:rsid w:val="00CA2A55"/>
    <w:rsid w:val="00D60656"/>
    <w:rsid w:val="00E07821"/>
    <w:rsid w:val="00E2101A"/>
    <w:rsid w:val="00E57855"/>
    <w:rsid w:val="00E6546D"/>
    <w:rsid w:val="00E9531B"/>
    <w:rsid w:val="00ED5A68"/>
    <w:rsid w:val="00EF5D2D"/>
    <w:rsid w:val="00F2734B"/>
    <w:rsid w:val="00F3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D7FF7"/>
  <w15:docId w15:val="{D9E0BB10-1682-4A55-A31A-F5C30C5B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081A"/>
    <w:rPr>
      <w:sz w:val="18"/>
      <w:szCs w:val="18"/>
    </w:rPr>
  </w:style>
  <w:style w:type="character" w:customStyle="1" w:styleId="a4">
    <w:name w:val="批注框文本 字符"/>
    <w:basedOn w:val="a0"/>
    <w:link w:val="a3"/>
    <w:rsid w:val="00AE081A"/>
    <w:rPr>
      <w:sz w:val="18"/>
      <w:szCs w:val="18"/>
    </w:rPr>
  </w:style>
  <w:style w:type="paragraph" w:styleId="a5">
    <w:name w:val="header"/>
    <w:basedOn w:val="a"/>
    <w:link w:val="a6"/>
    <w:unhideWhenUsed/>
    <w:rsid w:val="005144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4466"/>
    <w:rPr>
      <w:sz w:val="18"/>
      <w:szCs w:val="18"/>
    </w:rPr>
  </w:style>
  <w:style w:type="paragraph" w:styleId="a7">
    <w:name w:val="footer"/>
    <w:basedOn w:val="a"/>
    <w:link w:val="a8"/>
    <w:uiPriority w:val="99"/>
    <w:unhideWhenUsed/>
    <w:rsid w:val="00514466"/>
    <w:pPr>
      <w:tabs>
        <w:tab w:val="center" w:pos="4153"/>
        <w:tab w:val="right" w:pos="8306"/>
      </w:tabs>
      <w:snapToGrid w:val="0"/>
    </w:pPr>
    <w:rPr>
      <w:sz w:val="18"/>
      <w:szCs w:val="18"/>
    </w:rPr>
  </w:style>
  <w:style w:type="character" w:customStyle="1" w:styleId="a8">
    <w:name w:val="页脚 字符"/>
    <w:basedOn w:val="a0"/>
    <w:link w:val="a7"/>
    <w:uiPriority w:val="99"/>
    <w:rsid w:val="00514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yyjyc.08952.com/tgya/jfcha.asp?chaa=yet&amp;aa=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2020-09-15T22:36:00Z</dcterms:created>
  <dcterms:modified xsi:type="dcterms:W3CDTF">2020-09-15T22:36:00Z</dcterms:modified>
</cp:coreProperties>
</file>