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6D8B"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 xml:space="preserve">Name of Journal: </w:t>
      </w:r>
      <w:r w:rsidRPr="00E55E4C">
        <w:rPr>
          <w:rFonts w:ascii="Book Antiqua" w:eastAsia="Book Antiqua" w:hAnsi="Book Antiqua" w:cs="Book Antiqua"/>
          <w:i/>
          <w:color w:val="000000"/>
        </w:rPr>
        <w:t>World Journal of Gastrointestinal Endoscopy</w:t>
      </w:r>
    </w:p>
    <w:p w14:paraId="40252F49"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 xml:space="preserve">Manuscript NO: </w:t>
      </w:r>
      <w:r w:rsidRPr="00E55E4C">
        <w:rPr>
          <w:rFonts w:ascii="Book Antiqua" w:eastAsia="Book Antiqua" w:hAnsi="Book Antiqua" w:cs="Book Antiqua"/>
          <w:color w:val="000000"/>
        </w:rPr>
        <w:t>64871</w:t>
      </w:r>
    </w:p>
    <w:p w14:paraId="6D93C96D"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 xml:space="preserve">Manuscript Type: </w:t>
      </w:r>
      <w:r w:rsidRPr="00E55E4C">
        <w:rPr>
          <w:rFonts w:ascii="Book Antiqua" w:eastAsia="Book Antiqua" w:hAnsi="Book Antiqua" w:cs="Book Antiqua"/>
          <w:color w:val="000000"/>
        </w:rPr>
        <w:t>ORIGINAL ARTICLE</w:t>
      </w:r>
    </w:p>
    <w:p w14:paraId="59A351F5" w14:textId="77777777" w:rsidR="00E53B36" w:rsidRPr="00E55E4C" w:rsidRDefault="00E53B36" w:rsidP="00E53B36">
      <w:pPr>
        <w:spacing w:line="360" w:lineRule="auto"/>
        <w:jc w:val="both"/>
      </w:pPr>
    </w:p>
    <w:p w14:paraId="698C0B7A" w14:textId="77777777" w:rsidR="00E53B36" w:rsidRPr="00E55E4C" w:rsidRDefault="00E53B36" w:rsidP="00E53B36">
      <w:pPr>
        <w:spacing w:line="360" w:lineRule="auto"/>
        <w:jc w:val="both"/>
      </w:pPr>
      <w:r w:rsidRPr="00E55E4C">
        <w:rPr>
          <w:rFonts w:ascii="Book Antiqua" w:eastAsia="Book Antiqua" w:hAnsi="Book Antiqua" w:cs="Book Antiqua"/>
          <w:b/>
          <w:i/>
          <w:color w:val="000000"/>
        </w:rPr>
        <w:t>Observational Study</w:t>
      </w:r>
    </w:p>
    <w:p w14:paraId="3CA1419B" w14:textId="77777777" w:rsidR="00E53B36" w:rsidRPr="00E55E4C" w:rsidRDefault="00E53B36" w:rsidP="00E53B36">
      <w:pPr>
        <w:spacing w:line="360" w:lineRule="auto"/>
        <w:jc w:val="both"/>
      </w:pPr>
      <w:r w:rsidRPr="00E55E4C">
        <w:rPr>
          <w:rFonts w:ascii="Book Antiqua" w:eastAsia="Book Antiqua" w:hAnsi="Book Antiqua" w:cs="Book Antiqua"/>
          <w:b/>
          <w:color w:val="000000"/>
        </w:rPr>
        <w:t>COVID-19 in the endoscopy unit: How likely is transmission of infection? Results from an international, multicenter study</w:t>
      </w:r>
    </w:p>
    <w:p w14:paraId="115E9B92" w14:textId="77777777" w:rsidR="00E53B36" w:rsidRPr="00E55E4C" w:rsidRDefault="00E53B36" w:rsidP="00E53B36">
      <w:pPr>
        <w:spacing w:line="360" w:lineRule="auto"/>
        <w:jc w:val="both"/>
      </w:pPr>
    </w:p>
    <w:p w14:paraId="7582F5B8" w14:textId="33449865" w:rsidR="00E53B36" w:rsidRPr="00E55E4C" w:rsidRDefault="000B2D65" w:rsidP="00E53B36">
      <w:pPr>
        <w:spacing w:line="360" w:lineRule="auto"/>
        <w:jc w:val="both"/>
      </w:pPr>
      <w:r w:rsidRPr="00E55E4C">
        <w:rPr>
          <w:rFonts w:ascii="Book Antiqua" w:eastAsia="Book Antiqua" w:hAnsi="Book Antiqua" w:cs="Book Antiqua"/>
          <w:color w:val="000000"/>
        </w:rPr>
        <w:t xml:space="preserve">Papanikolaou IS </w:t>
      </w:r>
      <w:r w:rsidRPr="00E55E4C">
        <w:rPr>
          <w:rFonts w:ascii="Book Antiqua" w:eastAsia="Book Antiqua" w:hAnsi="Book Antiqua" w:cs="Book Antiqua"/>
          <w:i/>
          <w:iCs/>
          <w:color w:val="000000"/>
        </w:rPr>
        <w:t>et al</w:t>
      </w:r>
      <w:r w:rsidRPr="00E55E4C">
        <w:rPr>
          <w:rFonts w:ascii="Book Antiqua" w:eastAsia="Book Antiqua" w:hAnsi="Book Antiqua" w:cs="Book Antiqua"/>
          <w:color w:val="000000"/>
        </w:rPr>
        <w:t xml:space="preserve">. </w:t>
      </w:r>
      <w:r w:rsidR="00E53B36" w:rsidRPr="00E55E4C">
        <w:rPr>
          <w:rFonts w:ascii="Book Antiqua" w:eastAsia="Book Antiqua" w:hAnsi="Book Antiqua" w:cs="Book Antiqua"/>
          <w:color w:val="000000"/>
        </w:rPr>
        <w:t>COVID-19 infection likelihood in the endoscopy unit</w:t>
      </w:r>
    </w:p>
    <w:p w14:paraId="3C199133" w14:textId="77777777" w:rsidR="00E53B36" w:rsidRPr="00E55E4C" w:rsidRDefault="00E53B36" w:rsidP="00E53B36">
      <w:pPr>
        <w:spacing w:line="360" w:lineRule="auto"/>
        <w:jc w:val="both"/>
      </w:pPr>
    </w:p>
    <w:p w14:paraId="3BE42705" w14:textId="77777777" w:rsidR="00E53B36" w:rsidRPr="00E55E4C" w:rsidRDefault="00E53B36" w:rsidP="00E53B36">
      <w:pPr>
        <w:spacing w:line="360" w:lineRule="auto"/>
        <w:jc w:val="both"/>
      </w:pPr>
      <w:proofErr w:type="spellStart"/>
      <w:r w:rsidRPr="00E55E4C">
        <w:rPr>
          <w:rFonts w:ascii="Book Antiqua" w:eastAsia="Book Antiqua" w:hAnsi="Book Antiqua" w:cs="Book Antiqua"/>
          <w:color w:val="000000"/>
        </w:rPr>
        <w:t>Ioannis</w:t>
      </w:r>
      <w:proofErr w:type="spellEnd"/>
      <w:r w:rsidRPr="00E55E4C">
        <w:rPr>
          <w:rFonts w:ascii="Book Antiqua" w:eastAsia="Book Antiqua" w:hAnsi="Book Antiqua" w:cs="Book Antiqua"/>
          <w:color w:val="000000"/>
        </w:rPr>
        <w:t xml:space="preserve"> S Papanikolaou, Georgios </w:t>
      </w:r>
      <w:proofErr w:type="spellStart"/>
      <w:r w:rsidRPr="00E55E4C">
        <w:rPr>
          <w:rFonts w:ascii="Book Antiqua" w:eastAsia="Book Antiqua" w:hAnsi="Book Antiqua" w:cs="Book Antiqua"/>
          <w:color w:val="000000"/>
        </w:rPr>
        <w:t>Tziatzios</w:t>
      </w:r>
      <w:proofErr w:type="spellEnd"/>
      <w:r w:rsidRPr="00E55E4C">
        <w:rPr>
          <w:rFonts w:ascii="Book Antiqua" w:eastAsia="Book Antiqua" w:hAnsi="Book Antiqua" w:cs="Book Antiqua"/>
          <w:color w:val="000000"/>
        </w:rPr>
        <w:t xml:space="preserve">, Alexandros </w:t>
      </w:r>
      <w:proofErr w:type="spellStart"/>
      <w:r w:rsidRPr="00E55E4C">
        <w:rPr>
          <w:rFonts w:ascii="Book Antiqua" w:eastAsia="Book Antiqua" w:hAnsi="Book Antiqua" w:cs="Book Antiqua"/>
          <w:color w:val="000000"/>
        </w:rPr>
        <w:t>Chatzidakis</w:t>
      </w:r>
      <w:proofErr w:type="spellEnd"/>
      <w:r w:rsidRPr="00E55E4C">
        <w:rPr>
          <w:rFonts w:ascii="Book Antiqua" w:eastAsia="Book Antiqua" w:hAnsi="Book Antiqua" w:cs="Book Antiqua"/>
          <w:color w:val="000000"/>
        </w:rPr>
        <w:t xml:space="preserve">, Antonio </w:t>
      </w:r>
      <w:proofErr w:type="spellStart"/>
      <w:r w:rsidRPr="00E55E4C">
        <w:rPr>
          <w:rFonts w:ascii="Book Antiqua" w:eastAsia="Book Antiqua" w:hAnsi="Book Antiqua" w:cs="Book Antiqua"/>
          <w:color w:val="000000"/>
        </w:rPr>
        <w:t>Facciorusso</w:t>
      </w:r>
      <w:proofErr w:type="spellEnd"/>
      <w:r w:rsidRPr="00E55E4C">
        <w:rPr>
          <w:rFonts w:ascii="Book Antiqua" w:eastAsia="Book Antiqua" w:hAnsi="Book Antiqua" w:cs="Book Antiqua"/>
          <w:color w:val="000000"/>
        </w:rPr>
        <w:t xml:space="preserve">, Stefano Francesco </w:t>
      </w:r>
      <w:proofErr w:type="spellStart"/>
      <w:r w:rsidRPr="00E55E4C">
        <w:rPr>
          <w:rFonts w:ascii="Book Antiqua" w:eastAsia="Book Antiqua" w:hAnsi="Book Antiqua" w:cs="Book Antiqua"/>
          <w:color w:val="000000"/>
        </w:rPr>
        <w:t>Crinò</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Paraskevas</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Gkolfakis</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Gjorgi</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Deriban</w:t>
      </w:r>
      <w:proofErr w:type="spellEnd"/>
      <w:r w:rsidRPr="00E55E4C">
        <w:rPr>
          <w:rFonts w:ascii="Book Antiqua" w:eastAsia="Book Antiqua" w:hAnsi="Book Antiqua" w:cs="Book Antiqua"/>
          <w:color w:val="000000"/>
        </w:rPr>
        <w:t xml:space="preserve">, Mario Tadic, Goran Hauser, </w:t>
      </w:r>
      <w:proofErr w:type="spellStart"/>
      <w:r w:rsidRPr="00E55E4C">
        <w:rPr>
          <w:rFonts w:ascii="Book Antiqua" w:eastAsia="Book Antiqua" w:hAnsi="Book Antiqua" w:cs="Book Antiqua"/>
          <w:color w:val="000000"/>
        </w:rPr>
        <w:t>Antonios</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Vezakis</w:t>
      </w:r>
      <w:proofErr w:type="spellEnd"/>
      <w:r w:rsidRPr="00E55E4C">
        <w:rPr>
          <w:rFonts w:ascii="Book Antiqua" w:eastAsia="Book Antiqua" w:hAnsi="Book Antiqua" w:cs="Book Antiqua"/>
          <w:color w:val="000000"/>
        </w:rPr>
        <w:t xml:space="preserve">, Ivan Jovanovic, Nicola </w:t>
      </w:r>
      <w:proofErr w:type="spellStart"/>
      <w:r w:rsidRPr="00E55E4C">
        <w:rPr>
          <w:rFonts w:ascii="Book Antiqua" w:eastAsia="Book Antiqua" w:hAnsi="Book Antiqua" w:cs="Book Antiqua"/>
          <w:color w:val="000000"/>
        </w:rPr>
        <w:t>Muscatiello</w:t>
      </w:r>
      <w:proofErr w:type="spellEnd"/>
      <w:r w:rsidRPr="00E55E4C">
        <w:rPr>
          <w:rFonts w:ascii="Book Antiqua" w:eastAsia="Book Antiqua" w:hAnsi="Book Antiqua" w:cs="Book Antiqua"/>
          <w:color w:val="000000"/>
        </w:rPr>
        <w:t xml:space="preserve">, Anna </w:t>
      </w:r>
      <w:proofErr w:type="spellStart"/>
      <w:r w:rsidRPr="00E55E4C">
        <w:rPr>
          <w:rFonts w:ascii="Book Antiqua" w:eastAsia="Book Antiqua" w:hAnsi="Book Antiqua" w:cs="Book Antiqua"/>
          <w:color w:val="000000"/>
        </w:rPr>
        <w:t>Meneghetti</w:t>
      </w:r>
      <w:proofErr w:type="spellEnd"/>
      <w:r w:rsidRPr="00E55E4C">
        <w:rPr>
          <w:rFonts w:ascii="Book Antiqua" w:eastAsia="Book Antiqua" w:hAnsi="Book Antiqua" w:cs="Book Antiqua"/>
          <w:color w:val="000000"/>
        </w:rPr>
        <w:t xml:space="preserve">, Konstantinos </w:t>
      </w:r>
      <w:proofErr w:type="spellStart"/>
      <w:r w:rsidRPr="00E55E4C">
        <w:rPr>
          <w:rFonts w:ascii="Book Antiqua" w:eastAsia="Book Antiqua" w:hAnsi="Book Antiqua" w:cs="Book Antiqua"/>
          <w:color w:val="000000"/>
        </w:rPr>
        <w:t>Miltiadou</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Kalina</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Stardelova</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Alojzije</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Lacković</w:t>
      </w:r>
      <w:proofErr w:type="spellEnd"/>
      <w:r w:rsidRPr="00E55E4C">
        <w:rPr>
          <w:rFonts w:ascii="Book Antiqua" w:eastAsia="Book Antiqua" w:hAnsi="Book Antiqua" w:cs="Book Antiqua"/>
          <w:color w:val="000000"/>
        </w:rPr>
        <w:t>, Maria-</w:t>
      </w:r>
      <w:proofErr w:type="spellStart"/>
      <w:r w:rsidRPr="00E55E4C">
        <w:rPr>
          <w:rFonts w:ascii="Book Antiqua" w:eastAsia="Book Antiqua" w:hAnsi="Book Antiqua" w:cs="Book Antiqua"/>
          <w:color w:val="000000"/>
        </w:rPr>
        <w:t>Zoi</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Bourou</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Srdjan</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Djuranovic</w:t>
      </w:r>
      <w:proofErr w:type="spellEnd"/>
      <w:r w:rsidRPr="00E55E4C">
        <w:rPr>
          <w:rFonts w:ascii="Book Antiqua" w:eastAsia="Book Antiqua" w:hAnsi="Book Antiqua" w:cs="Book Antiqua"/>
          <w:color w:val="000000"/>
        </w:rPr>
        <w:t xml:space="preserve">, Konstantinos </w:t>
      </w:r>
      <w:proofErr w:type="spellStart"/>
      <w:r w:rsidRPr="00E55E4C">
        <w:rPr>
          <w:rFonts w:ascii="Book Antiqua" w:eastAsia="Book Antiqua" w:hAnsi="Book Antiqua" w:cs="Book Antiqua"/>
          <w:color w:val="000000"/>
        </w:rPr>
        <w:t>Triantafyllou</w:t>
      </w:r>
      <w:proofErr w:type="spellEnd"/>
    </w:p>
    <w:p w14:paraId="3AB9CE52" w14:textId="77777777" w:rsidR="00E53B36" w:rsidRPr="00E55E4C" w:rsidRDefault="00E53B36" w:rsidP="00E53B36">
      <w:pPr>
        <w:spacing w:line="360" w:lineRule="auto"/>
        <w:jc w:val="both"/>
      </w:pPr>
    </w:p>
    <w:p w14:paraId="052D0206" w14:textId="77777777" w:rsidR="00E53B36" w:rsidRPr="00E55E4C" w:rsidRDefault="00E53B36" w:rsidP="00E53B36">
      <w:pPr>
        <w:spacing w:line="360" w:lineRule="auto"/>
        <w:jc w:val="both"/>
      </w:pPr>
      <w:proofErr w:type="spellStart"/>
      <w:r w:rsidRPr="00E55E4C">
        <w:rPr>
          <w:rFonts w:ascii="Book Antiqua" w:eastAsia="Book Antiqua" w:hAnsi="Book Antiqua" w:cs="Book Antiqua"/>
          <w:b/>
          <w:bCs/>
          <w:color w:val="000000"/>
        </w:rPr>
        <w:t>Ioannis</w:t>
      </w:r>
      <w:proofErr w:type="spellEnd"/>
      <w:r w:rsidRPr="00E55E4C">
        <w:rPr>
          <w:rFonts w:ascii="Book Antiqua" w:eastAsia="Book Antiqua" w:hAnsi="Book Antiqua" w:cs="Book Antiqua"/>
          <w:b/>
          <w:bCs/>
          <w:color w:val="000000"/>
        </w:rPr>
        <w:t xml:space="preserve"> S Papanikolaou, Georgios </w:t>
      </w:r>
      <w:proofErr w:type="spellStart"/>
      <w:r w:rsidRPr="00E55E4C">
        <w:rPr>
          <w:rFonts w:ascii="Book Antiqua" w:eastAsia="Book Antiqua" w:hAnsi="Book Antiqua" w:cs="Book Antiqua"/>
          <w:b/>
          <w:bCs/>
          <w:color w:val="000000"/>
        </w:rPr>
        <w:t>Tziatzios</w:t>
      </w:r>
      <w:proofErr w:type="spellEnd"/>
      <w:r w:rsidRPr="00E55E4C">
        <w:rPr>
          <w:rFonts w:ascii="Book Antiqua" w:eastAsia="Book Antiqua" w:hAnsi="Book Antiqua" w:cs="Book Antiqua"/>
          <w:b/>
          <w:bCs/>
          <w:color w:val="000000"/>
        </w:rPr>
        <w:t xml:space="preserve">, Alexandros </w:t>
      </w:r>
      <w:proofErr w:type="spellStart"/>
      <w:r w:rsidRPr="00E55E4C">
        <w:rPr>
          <w:rFonts w:ascii="Book Antiqua" w:eastAsia="Book Antiqua" w:hAnsi="Book Antiqua" w:cs="Book Antiqua"/>
          <w:b/>
          <w:bCs/>
          <w:color w:val="000000"/>
        </w:rPr>
        <w:t>Chatzidakis</w:t>
      </w:r>
      <w:proofErr w:type="spellEnd"/>
      <w:r w:rsidRPr="00E55E4C">
        <w:rPr>
          <w:rFonts w:ascii="Book Antiqua" w:eastAsia="Book Antiqua" w:hAnsi="Book Antiqua" w:cs="Book Antiqua"/>
          <w:b/>
          <w:bCs/>
          <w:color w:val="000000"/>
        </w:rPr>
        <w:t xml:space="preserve">, Konstantinos </w:t>
      </w:r>
      <w:proofErr w:type="spellStart"/>
      <w:r w:rsidRPr="00E55E4C">
        <w:rPr>
          <w:rFonts w:ascii="Book Antiqua" w:eastAsia="Book Antiqua" w:hAnsi="Book Antiqua" w:cs="Book Antiqua"/>
          <w:b/>
          <w:bCs/>
          <w:color w:val="000000"/>
        </w:rPr>
        <w:t>Miltiadou</w:t>
      </w:r>
      <w:proofErr w:type="spellEnd"/>
      <w:r w:rsidRPr="00E55E4C">
        <w:rPr>
          <w:rFonts w:ascii="Book Antiqua" w:eastAsia="Book Antiqua" w:hAnsi="Book Antiqua" w:cs="Book Antiqua"/>
          <w:b/>
          <w:bCs/>
          <w:color w:val="000000"/>
        </w:rPr>
        <w:t xml:space="preserve">, Konstantinos </w:t>
      </w:r>
      <w:proofErr w:type="spellStart"/>
      <w:r w:rsidRPr="00E55E4C">
        <w:rPr>
          <w:rFonts w:ascii="Book Antiqua" w:eastAsia="Book Antiqua" w:hAnsi="Book Antiqua" w:cs="Book Antiqua"/>
          <w:b/>
          <w:bCs/>
          <w:color w:val="000000"/>
        </w:rPr>
        <w:t>Triantafyllou</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color w:val="000000"/>
        </w:rPr>
        <w:t>Hepatogastroenterology</w:t>
      </w:r>
      <w:proofErr w:type="spellEnd"/>
      <w:r w:rsidRPr="00E55E4C">
        <w:rPr>
          <w:rFonts w:ascii="Book Antiqua" w:eastAsia="Book Antiqua" w:hAnsi="Book Antiqua" w:cs="Book Antiqua"/>
          <w:color w:val="000000"/>
        </w:rPr>
        <w:t xml:space="preserve"> Unit, 2nd Department of Internal Medicine-Propaedeutic, National and </w:t>
      </w:r>
      <w:proofErr w:type="spellStart"/>
      <w:r w:rsidRPr="00E55E4C">
        <w:rPr>
          <w:rFonts w:ascii="Book Antiqua" w:eastAsia="Book Antiqua" w:hAnsi="Book Antiqua" w:cs="Book Antiqua"/>
          <w:color w:val="000000"/>
        </w:rPr>
        <w:t>Kapodistrian</w:t>
      </w:r>
      <w:proofErr w:type="spellEnd"/>
      <w:r w:rsidRPr="00E55E4C">
        <w:rPr>
          <w:rFonts w:ascii="Book Antiqua" w:eastAsia="Book Antiqua" w:hAnsi="Book Antiqua" w:cs="Book Antiqua"/>
          <w:color w:val="000000"/>
        </w:rPr>
        <w:t xml:space="preserve"> University of Athens, "</w:t>
      </w:r>
      <w:proofErr w:type="spellStart"/>
      <w:r w:rsidRPr="00E55E4C">
        <w:rPr>
          <w:rFonts w:ascii="Book Antiqua" w:eastAsia="Book Antiqua" w:hAnsi="Book Antiqua" w:cs="Book Antiqua"/>
          <w:color w:val="000000"/>
        </w:rPr>
        <w:t>Attikon</w:t>
      </w:r>
      <w:proofErr w:type="spellEnd"/>
      <w:r w:rsidRPr="00E55E4C">
        <w:rPr>
          <w:rFonts w:ascii="Book Antiqua" w:eastAsia="Book Antiqua" w:hAnsi="Book Antiqua" w:cs="Book Antiqua"/>
          <w:color w:val="000000"/>
        </w:rPr>
        <w:t>" University General Hospital, Athens 12462, Greece</w:t>
      </w:r>
    </w:p>
    <w:p w14:paraId="2AB358AD" w14:textId="77777777" w:rsidR="00E53B36" w:rsidRPr="00E55E4C" w:rsidRDefault="00E53B36" w:rsidP="00E53B36">
      <w:pPr>
        <w:spacing w:line="360" w:lineRule="auto"/>
        <w:jc w:val="both"/>
      </w:pPr>
    </w:p>
    <w:p w14:paraId="3D5DBD0A"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Antonio </w:t>
      </w:r>
      <w:proofErr w:type="spellStart"/>
      <w:r w:rsidRPr="00E55E4C">
        <w:rPr>
          <w:rFonts w:ascii="Book Antiqua" w:eastAsia="Book Antiqua" w:hAnsi="Book Antiqua" w:cs="Book Antiqua"/>
          <w:b/>
          <w:bCs/>
          <w:color w:val="000000"/>
        </w:rPr>
        <w:t>Facciorusso</w:t>
      </w:r>
      <w:proofErr w:type="spellEnd"/>
      <w:r w:rsidRPr="00E55E4C">
        <w:rPr>
          <w:rFonts w:ascii="Book Antiqua" w:eastAsia="Book Antiqua" w:hAnsi="Book Antiqua" w:cs="Book Antiqua"/>
          <w:b/>
          <w:bCs/>
          <w:color w:val="000000"/>
        </w:rPr>
        <w:t xml:space="preserve">, Nicola </w:t>
      </w:r>
      <w:proofErr w:type="spellStart"/>
      <w:r w:rsidRPr="00E55E4C">
        <w:rPr>
          <w:rFonts w:ascii="Book Antiqua" w:eastAsia="Book Antiqua" w:hAnsi="Book Antiqua" w:cs="Book Antiqua"/>
          <w:b/>
          <w:bCs/>
          <w:color w:val="000000"/>
        </w:rPr>
        <w:t>Muscatiello</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Gastroenterology Unit, Department of Surgical and Medical Sciences, University of Foggia AOU, Foggia 1245, Italy</w:t>
      </w:r>
    </w:p>
    <w:p w14:paraId="5029FA74" w14:textId="77777777" w:rsidR="00E53B36" w:rsidRPr="00E55E4C" w:rsidRDefault="00E53B36" w:rsidP="00E53B36">
      <w:pPr>
        <w:spacing w:line="360" w:lineRule="auto"/>
        <w:jc w:val="both"/>
      </w:pPr>
    </w:p>
    <w:p w14:paraId="757A1B77"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Stefano Francesco </w:t>
      </w:r>
      <w:proofErr w:type="spellStart"/>
      <w:r w:rsidRPr="00E55E4C">
        <w:rPr>
          <w:rFonts w:ascii="Book Antiqua" w:eastAsia="Book Antiqua" w:hAnsi="Book Antiqua" w:cs="Book Antiqua"/>
          <w:b/>
          <w:bCs/>
          <w:color w:val="000000"/>
        </w:rPr>
        <w:t>Crinò</w:t>
      </w:r>
      <w:proofErr w:type="spellEnd"/>
      <w:r w:rsidRPr="00E55E4C">
        <w:rPr>
          <w:rFonts w:ascii="Book Antiqua" w:eastAsia="Book Antiqua" w:hAnsi="Book Antiqua" w:cs="Book Antiqua"/>
          <w:b/>
          <w:bCs/>
          <w:color w:val="000000"/>
        </w:rPr>
        <w:t xml:space="preserve">, Anna </w:t>
      </w:r>
      <w:proofErr w:type="spellStart"/>
      <w:r w:rsidRPr="00E55E4C">
        <w:rPr>
          <w:rFonts w:ascii="Book Antiqua" w:eastAsia="Book Antiqua" w:hAnsi="Book Antiqua" w:cs="Book Antiqua"/>
          <w:b/>
          <w:bCs/>
          <w:color w:val="000000"/>
        </w:rPr>
        <w:t>Meneghetti</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Gastroenterology and Digestive Endoscopy Unit, The Pancreas Institute, University of Verona, Verona 37138, Italy</w:t>
      </w:r>
    </w:p>
    <w:p w14:paraId="687C9093" w14:textId="77777777" w:rsidR="00E53B36" w:rsidRPr="00E55E4C" w:rsidRDefault="00E53B36" w:rsidP="00E53B36">
      <w:pPr>
        <w:spacing w:line="360" w:lineRule="auto"/>
        <w:jc w:val="both"/>
      </w:pPr>
    </w:p>
    <w:p w14:paraId="0DC34A6C" w14:textId="77777777" w:rsidR="00E53B36" w:rsidRPr="00E55E4C" w:rsidRDefault="00E53B36" w:rsidP="00E53B36">
      <w:pPr>
        <w:spacing w:line="360" w:lineRule="auto"/>
        <w:jc w:val="both"/>
      </w:pPr>
      <w:proofErr w:type="spellStart"/>
      <w:r w:rsidRPr="00E55E4C">
        <w:rPr>
          <w:rFonts w:ascii="Book Antiqua" w:eastAsia="Book Antiqua" w:hAnsi="Book Antiqua" w:cs="Book Antiqua"/>
          <w:b/>
          <w:bCs/>
          <w:color w:val="000000"/>
        </w:rPr>
        <w:lastRenderedPageBreak/>
        <w:t>Paraskevas</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Gkolfakis</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 xml:space="preserve">Department of Gastroenterology, </w:t>
      </w:r>
      <w:proofErr w:type="spellStart"/>
      <w:r w:rsidRPr="00E55E4C">
        <w:rPr>
          <w:rFonts w:ascii="Book Antiqua" w:eastAsia="Book Antiqua" w:hAnsi="Book Antiqua" w:cs="Book Antiqua"/>
          <w:color w:val="000000"/>
        </w:rPr>
        <w:t>Hepatopancreatology</w:t>
      </w:r>
      <w:proofErr w:type="spellEnd"/>
      <w:r w:rsidRPr="00E55E4C">
        <w:rPr>
          <w:rFonts w:ascii="Book Antiqua" w:eastAsia="Book Antiqua" w:hAnsi="Book Antiqua" w:cs="Book Antiqua"/>
          <w:color w:val="000000"/>
        </w:rPr>
        <w:t xml:space="preserve"> and Digestive Oncology, </w:t>
      </w:r>
      <w:proofErr w:type="spellStart"/>
      <w:r w:rsidRPr="00E55E4C">
        <w:rPr>
          <w:rFonts w:ascii="Book Antiqua" w:eastAsia="Book Antiqua" w:hAnsi="Book Antiqua" w:cs="Book Antiqua"/>
          <w:color w:val="000000"/>
        </w:rPr>
        <w:t>Erasme</w:t>
      </w:r>
      <w:proofErr w:type="spellEnd"/>
      <w:r w:rsidRPr="00E55E4C">
        <w:rPr>
          <w:rFonts w:ascii="Book Antiqua" w:eastAsia="Book Antiqua" w:hAnsi="Book Antiqua" w:cs="Book Antiqua"/>
          <w:color w:val="000000"/>
        </w:rPr>
        <w:t xml:space="preserve"> University Hospital, Université Libre de </w:t>
      </w:r>
      <w:proofErr w:type="spellStart"/>
      <w:r w:rsidRPr="00E55E4C">
        <w:rPr>
          <w:rFonts w:ascii="Book Antiqua" w:eastAsia="Book Antiqua" w:hAnsi="Book Antiqua" w:cs="Book Antiqua"/>
          <w:color w:val="000000"/>
        </w:rPr>
        <w:t>Bruxelles</w:t>
      </w:r>
      <w:proofErr w:type="spellEnd"/>
      <w:r w:rsidRPr="00E55E4C">
        <w:rPr>
          <w:rFonts w:ascii="Book Antiqua" w:eastAsia="Book Antiqua" w:hAnsi="Book Antiqua" w:cs="Book Antiqua"/>
          <w:color w:val="000000"/>
        </w:rPr>
        <w:t>, Brussels 1070, Belgium</w:t>
      </w:r>
    </w:p>
    <w:p w14:paraId="180ABDBF" w14:textId="77777777" w:rsidR="00E53B36" w:rsidRPr="00E55E4C" w:rsidRDefault="00E53B36" w:rsidP="00E53B36">
      <w:pPr>
        <w:spacing w:line="360" w:lineRule="auto"/>
        <w:jc w:val="both"/>
      </w:pPr>
    </w:p>
    <w:p w14:paraId="6F1DF7D0" w14:textId="77777777" w:rsidR="00E53B36" w:rsidRPr="00E55E4C" w:rsidRDefault="00E53B36" w:rsidP="00E53B36">
      <w:pPr>
        <w:spacing w:line="360" w:lineRule="auto"/>
        <w:jc w:val="both"/>
      </w:pPr>
      <w:proofErr w:type="spellStart"/>
      <w:r w:rsidRPr="00E55E4C">
        <w:rPr>
          <w:rFonts w:ascii="Book Antiqua" w:eastAsia="Book Antiqua" w:hAnsi="Book Antiqua" w:cs="Book Antiqua"/>
          <w:b/>
          <w:bCs/>
          <w:color w:val="000000"/>
        </w:rPr>
        <w:t>Paraskevas</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Gkolfakis</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 xml:space="preserve">Department of Medical Oncology, </w:t>
      </w:r>
      <w:proofErr w:type="spellStart"/>
      <w:r w:rsidRPr="00E55E4C">
        <w:rPr>
          <w:rFonts w:ascii="Book Antiqua" w:eastAsia="Book Antiqua" w:hAnsi="Book Antiqua" w:cs="Book Antiqua"/>
          <w:color w:val="000000"/>
        </w:rPr>
        <w:t>Institut</w:t>
      </w:r>
      <w:proofErr w:type="spellEnd"/>
      <w:r w:rsidRPr="00E55E4C">
        <w:rPr>
          <w:rFonts w:ascii="Book Antiqua" w:eastAsia="Book Antiqua" w:hAnsi="Book Antiqua" w:cs="Book Antiqua"/>
          <w:color w:val="000000"/>
        </w:rPr>
        <w:t xml:space="preserve"> Jules Bordet, Brussels 1000, Belgium</w:t>
      </w:r>
    </w:p>
    <w:p w14:paraId="6BB8E5F0" w14:textId="77777777" w:rsidR="00E53B36" w:rsidRPr="00E55E4C" w:rsidRDefault="00E53B36" w:rsidP="00E53B36">
      <w:pPr>
        <w:spacing w:line="360" w:lineRule="auto"/>
        <w:jc w:val="both"/>
      </w:pPr>
    </w:p>
    <w:p w14:paraId="2F5A204D" w14:textId="77777777" w:rsidR="00E53B36" w:rsidRPr="00E55E4C" w:rsidRDefault="00E53B36" w:rsidP="00E53B36">
      <w:pPr>
        <w:spacing w:line="360" w:lineRule="auto"/>
        <w:jc w:val="both"/>
      </w:pPr>
      <w:proofErr w:type="spellStart"/>
      <w:r w:rsidRPr="00E55E4C">
        <w:rPr>
          <w:rFonts w:ascii="Book Antiqua" w:eastAsia="Book Antiqua" w:hAnsi="Book Antiqua" w:cs="Book Antiqua"/>
          <w:b/>
          <w:bCs/>
          <w:color w:val="000000"/>
        </w:rPr>
        <w:t>Gjorgi</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Deriban</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Kalina</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Stardelova</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 xml:space="preserve">University Clinic of </w:t>
      </w:r>
      <w:proofErr w:type="spellStart"/>
      <w:r w:rsidRPr="00E55E4C">
        <w:rPr>
          <w:rFonts w:ascii="Book Antiqua" w:eastAsia="Book Antiqua" w:hAnsi="Book Antiqua" w:cs="Book Antiqua"/>
          <w:color w:val="000000"/>
        </w:rPr>
        <w:t>Gastroenterohepatology</w:t>
      </w:r>
      <w:proofErr w:type="spellEnd"/>
      <w:r w:rsidRPr="00E55E4C">
        <w:rPr>
          <w:rFonts w:ascii="Book Antiqua" w:eastAsia="Book Antiqua" w:hAnsi="Book Antiqua" w:cs="Book Antiqua"/>
          <w:color w:val="000000"/>
        </w:rPr>
        <w:t>, Medical Faculty, University "Ss. Cyril and Methodius" Skopje, Republic of North Macedonia, Skopje 12345, Macedonia</w:t>
      </w:r>
    </w:p>
    <w:p w14:paraId="2F95E40B" w14:textId="77777777" w:rsidR="00E53B36" w:rsidRPr="00E55E4C" w:rsidRDefault="00E53B36" w:rsidP="00E53B36">
      <w:pPr>
        <w:spacing w:line="360" w:lineRule="auto"/>
        <w:jc w:val="both"/>
      </w:pPr>
    </w:p>
    <w:p w14:paraId="245A4B12"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Mario Tadic, </w:t>
      </w:r>
      <w:r w:rsidRPr="00E55E4C">
        <w:rPr>
          <w:rFonts w:ascii="Book Antiqua" w:eastAsia="Book Antiqua" w:hAnsi="Book Antiqua" w:cs="Book Antiqua"/>
          <w:color w:val="000000"/>
        </w:rPr>
        <w:t xml:space="preserve">Department of </w:t>
      </w:r>
      <w:proofErr w:type="spellStart"/>
      <w:r w:rsidRPr="00E55E4C">
        <w:rPr>
          <w:rFonts w:ascii="Book Antiqua" w:eastAsia="Book Antiqua" w:hAnsi="Book Antiqua" w:cs="Book Antiqua"/>
          <w:color w:val="000000"/>
        </w:rPr>
        <w:t>Gastroenetrology</w:t>
      </w:r>
      <w:proofErr w:type="spellEnd"/>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Dubrava</w:t>
      </w:r>
      <w:proofErr w:type="spellEnd"/>
      <w:r w:rsidRPr="00E55E4C">
        <w:rPr>
          <w:rFonts w:ascii="Book Antiqua" w:eastAsia="Book Antiqua" w:hAnsi="Book Antiqua" w:cs="Book Antiqua"/>
          <w:color w:val="000000"/>
        </w:rPr>
        <w:t xml:space="preserve"> University Hospital Zagreb, Zagreb 10040, Croatia</w:t>
      </w:r>
    </w:p>
    <w:p w14:paraId="36FEB98C" w14:textId="77777777" w:rsidR="00E53B36" w:rsidRPr="00E55E4C" w:rsidRDefault="00E53B36" w:rsidP="00E53B36">
      <w:pPr>
        <w:spacing w:line="360" w:lineRule="auto"/>
        <w:jc w:val="both"/>
      </w:pPr>
    </w:p>
    <w:p w14:paraId="6520F8B0"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Goran Hauser, </w:t>
      </w:r>
      <w:proofErr w:type="spellStart"/>
      <w:r w:rsidRPr="00E55E4C">
        <w:rPr>
          <w:rFonts w:ascii="Book Antiqua" w:eastAsia="Book Antiqua" w:hAnsi="Book Antiqua" w:cs="Book Antiqua"/>
          <w:b/>
          <w:bCs/>
          <w:color w:val="000000"/>
        </w:rPr>
        <w:t>Alojzije</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Lacković</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Clinical Hospital Center Rijeka, Faculty of Medicine, University of Rijeka, Rijeka 1245, Cuba</w:t>
      </w:r>
    </w:p>
    <w:p w14:paraId="3CF1670F" w14:textId="77777777" w:rsidR="00E53B36" w:rsidRPr="00E55E4C" w:rsidRDefault="00E53B36" w:rsidP="00E53B36">
      <w:pPr>
        <w:spacing w:line="360" w:lineRule="auto"/>
        <w:jc w:val="both"/>
      </w:pPr>
    </w:p>
    <w:p w14:paraId="140B6C3D" w14:textId="77777777" w:rsidR="00E53B36" w:rsidRPr="00E55E4C" w:rsidRDefault="00E53B36" w:rsidP="00E53B36">
      <w:pPr>
        <w:spacing w:line="360" w:lineRule="auto"/>
        <w:jc w:val="both"/>
      </w:pPr>
      <w:proofErr w:type="spellStart"/>
      <w:r w:rsidRPr="00E55E4C">
        <w:rPr>
          <w:rFonts w:ascii="Book Antiqua" w:eastAsia="Book Antiqua" w:hAnsi="Book Antiqua" w:cs="Book Antiqua"/>
          <w:b/>
          <w:bCs/>
          <w:color w:val="000000"/>
        </w:rPr>
        <w:t>Antonios</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Vezakis</w:t>
      </w:r>
      <w:proofErr w:type="spellEnd"/>
      <w:r w:rsidRPr="00E55E4C">
        <w:rPr>
          <w:rFonts w:ascii="Book Antiqua" w:eastAsia="Book Antiqua" w:hAnsi="Book Antiqua" w:cs="Book Antiqua"/>
          <w:b/>
          <w:bCs/>
          <w:color w:val="000000"/>
        </w:rPr>
        <w:t>, Maria-</w:t>
      </w:r>
      <w:proofErr w:type="spellStart"/>
      <w:r w:rsidRPr="00E55E4C">
        <w:rPr>
          <w:rFonts w:ascii="Book Antiqua" w:eastAsia="Book Antiqua" w:hAnsi="Book Antiqua" w:cs="Book Antiqua"/>
          <w:b/>
          <w:bCs/>
          <w:color w:val="000000"/>
        </w:rPr>
        <w:t>Zoi</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Bourou</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 xml:space="preserve">2nd Department of Surgery, </w:t>
      </w:r>
      <w:proofErr w:type="spellStart"/>
      <w:r w:rsidRPr="00E55E4C">
        <w:rPr>
          <w:rFonts w:ascii="Book Antiqua" w:eastAsia="Book Antiqua" w:hAnsi="Book Antiqua" w:cs="Book Antiqua"/>
          <w:color w:val="000000"/>
        </w:rPr>
        <w:t>Aretaieio</w:t>
      </w:r>
      <w:proofErr w:type="spellEnd"/>
      <w:r w:rsidRPr="00E55E4C">
        <w:rPr>
          <w:rFonts w:ascii="Book Antiqua" w:eastAsia="Book Antiqua" w:hAnsi="Book Antiqua" w:cs="Book Antiqua"/>
          <w:color w:val="000000"/>
        </w:rPr>
        <w:t xml:space="preserve"> Hospital, School of Medicine, National and </w:t>
      </w:r>
      <w:proofErr w:type="spellStart"/>
      <w:r w:rsidRPr="00E55E4C">
        <w:rPr>
          <w:rFonts w:ascii="Book Antiqua" w:eastAsia="Book Antiqua" w:hAnsi="Book Antiqua" w:cs="Book Antiqua"/>
          <w:color w:val="000000"/>
        </w:rPr>
        <w:t>Kapodistrian</w:t>
      </w:r>
      <w:proofErr w:type="spellEnd"/>
      <w:r w:rsidRPr="00E55E4C">
        <w:rPr>
          <w:rFonts w:ascii="Book Antiqua" w:eastAsia="Book Antiqua" w:hAnsi="Book Antiqua" w:cs="Book Antiqua"/>
          <w:color w:val="000000"/>
        </w:rPr>
        <w:t xml:space="preserve"> University of Athens, Athens 11528, Greece</w:t>
      </w:r>
    </w:p>
    <w:p w14:paraId="15442612" w14:textId="77777777" w:rsidR="00E53B36" w:rsidRPr="00E55E4C" w:rsidRDefault="00E53B36" w:rsidP="00E53B36">
      <w:pPr>
        <w:spacing w:line="360" w:lineRule="auto"/>
        <w:jc w:val="both"/>
      </w:pPr>
    </w:p>
    <w:p w14:paraId="72754612"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Ivan Jovanovic, </w:t>
      </w:r>
      <w:proofErr w:type="spellStart"/>
      <w:r w:rsidRPr="00E55E4C">
        <w:rPr>
          <w:rFonts w:ascii="Book Antiqua" w:eastAsia="Book Antiqua" w:hAnsi="Book Antiqua" w:cs="Book Antiqua"/>
          <w:b/>
          <w:bCs/>
          <w:color w:val="000000"/>
        </w:rPr>
        <w:t>Srdjan</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Djuranovic</w:t>
      </w:r>
      <w:proofErr w:type="spellEnd"/>
      <w:r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Clinical Center of Serbia, Clinic for Gastroenterology and Hepatology, University of Belgrade Faculty of Medicine, Beograd 12345, Serbia</w:t>
      </w:r>
    </w:p>
    <w:p w14:paraId="643A33AE" w14:textId="77777777" w:rsidR="00A77B3E" w:rsidRPr="00E55E4C" w:rsidRDefault="00A77B3E" w:rsidP="00BC3C5D">
      <w:pPr>
        <w:adjustRightInd w:val="0"/>
        <w:snapToGrid w:val="0"/>
        <w:spacing w:line="360" w:lineRule="auto"/>
        <w:jc w:val="both"/>
        <w:rPr>
          <w:rFonts w:ascii="Book Antiqua" w:hAnsi="Book Antiqua"/>
        </w:rPr>
      </w:pPr>
    </w:p>
    <w:p w14:paraId="0BBFC9EA" w14:textId="64B6379B"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Author contributions: </w:t>
      </w:r>
      <w:r w:rsidRPr="00E55E4C">
        <w:rPr>
          <w:rFonts w:ascii="Book Antiqua" w:eastAsia="Book Antiqua" w:hAnsi="Book Antiqua" w:cs="Book Antiqua"/>
          <w:color w:val="000000"/>
        </w:rPr>
        <w:t>Papanikolaou</w:t>
      </w:r>
      <w:r w:rsidRPr="00E55E4C">
        <w:rPr>
          <w:rFonts w:ascii="Book Antiqua" w:eastAsia="Book Antiqua" w:hAnsi="Book Antiqua" w:cs="Book Antiqua"/>
          <w:b/>
          <w:bCs/>
          <w:color w:val="000000"/>
        </w:rPr>
        <w:t xml:space="preserve"> </w:t>
      </w:r>
      <w:r w:rsidR="0052712E" w:rsidRPr="00E55E4C">
        <w:rPr>
          <w:rFonts w:ascii="Book Antiqua" w:eastAsia="Book Antiqua" w:hAnsi="Book Antiqua" w:cs="Book Antiqua"/>
          <w:color w:val="000000"/>
        </w:rPr>
        <w:t xml:space="preserve">IS </w:t>
      </w:r>
      <w:r w:rsidRPr="00E55E4C">
        <w:rPr>
          <w:rFonts w:ascii="Book Antiqua" w:eastAsia="Book Antiqua" w:hAnsi="Book Antiqua" w:cs="Book Antiqua"/>
          <w:color w:val="000000"/>
        </w:rPr>
        <w:t>designed the study, was involved with data collection, and drafted the manuscript</w:t>
      </w:r>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color w:val="000000"/>
        </w:rPr>
        <w:t>Tziatzios</w:t>
      </w:r>
      <w:proofErr w:type="spellEnd"/>
      <w:r w:rsidR="0052712E" w:rsidRPr="00E55E4C">
        <w:rPr>
          <w:rFonts w:ascii="Book Antiqua" w:eastAsia="Book Antiqua" w:hAnsi="Book Antiqua" w:cs="Book Antiqua"/>
          <w:color w:val="000000"/>
        </w:rPr>
        <w:t xml:space="preserve"> G</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Chatzidakis</w:t>
      </w:r>
      <w:proofErr w:type="spellEnd"/>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Facciorusso</w:t>
      </w:r>
      <w:proofErr w:type="spellEnd"/>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xml:space="preserve">,  Francesco </w:t>
      </w:r>
      <w:proofErr w:type="spellStart"/>
      <w:r w:rsidRPr="00E55E4C">
        <w:rPr>
          <w:rFonts w:ascii="Book Antiqua" w:eastAsia="Book Antiqua" w:hAnsi="Book Antiqua" w:cs="Book Antiqua"/>
          <w:color w:val="000000"/>
        </w:rPr>
        <w:t>Crinò</w:t>
      </w:r>
      <w:proofErr w:type="spellEnd"/>
      <w:r w:rsidR="0052712E" w:rsidRPr="00E55E4C">
        <w:rPr>
          <w:rFonts w:ascii="Book Antiqua" w:eastAsia="Book Antiqua" w:hAnsi="Book Antiqua" w:cs="Book Antiqua"/>
          <w:color w:val="000000"/>
        </w:rPr>
        <w:t xml:space="preserve"> S</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Gkolfakis</w:t>
      </w:r>
      <w:proofErr w:type="spellEnd"/>
      <w:r w:rsidR="0052712E" w:rsidRPr="00E55E4C">
        <w:rPr>
          <w:rFonts w:ascii="Book Antiqua" w:eastAsia="Book Antiqua" w:hAnsi="Book Antiqua" w:cs="Book Antiqua"/>
          <w:color w:val="000000"/>
        </w:rPr>
        <w:t xml:space="preserve"> P</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Deriban</w:t>
      </w:r>
      <w:proofErr w:type="spellEnd"/>
      <w:r w:rsidR="0052712E" w:rsidRPr="00E55E4C">
        <w:rPr>
          <w:rFonts w:ascii="Book Antiqua" w:eastAsia="Book Antiqua" w:hAnsi="Book Antiqua" w:cs="Book Antiqua"/>
          <w:color w:val="000000"/>
        </w:rPr>
        <w:t xml:space="preserve"> G</w:t>
      </w:r>
      <w:r w:rsidRPr="00E55E4C">
        <w:rPr>
          <w:rFonts w:ascii="Book Antiqua" w:eastAsia="Book Antiqua" w:hAnsi="Book Antiqua" w:cs="Book Antiqua"/>
          <w:color w:val="000000"/>
        </w:rPr>
        <w:t>, Tadic</w:t>
      </w:r>
      <w:r w:rsidR="0052712E" w:rsidRPr="00E55E4C">
        <w:rPr>
          <w:rFonts w:ascii="Book Antiqua" w:eastAsia="Book Antiqua" w:hAnsi="Book Antiqua" w:cs="Book Antiqua"/>
          <w:color w:val="000000"/>
        </w:rPr>
        <w:t xml:space="preserve"> M</w:t>
      </w:r>
      <w:r w:rsidRPr="00E55E4C">
        <w:rPr>
          <w:rFonts w:ascii="Book Antiqua" w:eastAsia="Book Antiqua" w:hAnsi="Book Antiqua" w:cs="Book Antiqua"/>
          <w:color w:val="000000"/>
        </w:rPr>
        <w:t>, Hauser</w:t>
      </w:r>
      <w:r w:rsidR="0052712E" w:rsidRPr="00E55E4C">
        <w:rPr>
          <w:rFonts w:ascii="Book Antiqua" w:eastAsia="Book Antiqua" w:hAnsi="Book Antiqua" w:cs="Book Antiqua"/>
          <w:color w:val="000000"/>
        </w:rPr>
        <w:t xml:space="preserve"> G</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Vezakis</w:t>
      </w:r>
      <w:proofErr w:type="spellEnd"/>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Jovanovic</w:t>
      </w:r>
      <w:r w:rsidR="0052712E" w:rsidRPr="00E55E4C">
        <w:rPr>
          <w:rFonts w:ascii="Book Antiqua" w:eastAsia="Book Antiqua" w:hAnsi="Book Antiqua" w:cs="Book Antiqua"/>
          <w:color w:val="000000"/>
        </w:rPr>
        <w:t xml:space="preserve"> I</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Muscatiello</w:t>
      </w:r>
      <w:proofErr w:type="spellEnd"/>
      <w:r w:rsidR="0052712E" w:rsidRPr="00E55E4C">
        <w:rPr>
          <w:rFonts w:ascii="Book Antiqua" w:eastAsia="Book Antiqua" w:hAnsi="Book Antiqua" w:cs="Book Antiqua"/>
          <w:color w:val="000000"/>
        </w:rPr>
        <w:t xml:space="preserve"> N</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Meneghetti</w:t>
      </w:r>
      <w:proofErr w:type="spellEnd"/>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Miltiadou</w:t>
      </w:r>
      <w:proofErr w:type="spellEnd"/>
      <w:r w:rsidR="0052712E" w:rsidRPr="00E55E4C">
        <w:rPr>
          <w:rFonts w:ascii="Book Antiqua" w:eastAsia="Book Antiqua" w:hAnsi="Book Antiqua" w:cs="Book Antiqua"/>
          <w:color w:val="000000"/>
        </w:rPr>
        <w:t xml:space="preserve"> K</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Stardelova</w:t>
      </w:r>
      <w:proofErr w:type="spellEnd"/>
      <w:r w:rsidR="0052712E" w:rsidRPr="00E55E4C">
        <w:rPr>
          <w:rFonts w:ascii="Book Antiqua" w:eastAsia="Book Antiqua" w:hAnsi="Book Antiqua" w:cs="Book Antiqua"/>
          <w:color w:val="000000"/>
        </w:rPr>
        <w:t xml:space="preserve"> K</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Lacković</w:t>
      </w:r>
      <w:proofErr w:type="spellEnd"/>
      <w:r w:rsidR="0052712E" w:rsidRPr="00E55E4C">
        <w:rPr>
          <w:rFonts w:ascii="Book Antiqua" w:eastAsia="Book Antiqua" w:hAnsi="Book Antiqua" w:cs="Book Antiqua"/>
          <w:color w:val="000000"/>
        </w:rPr>
        <w:t xml:space="preserve"> A</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Bourou</w:t>
      </w:r>
      <w:proofErr w:type="spellEnd"/>
      <w:r w:rsidR="0052712E" w:rsidRPr="00E55E4C">
        <w:rPr>
          <w:rFonts w:ascii="Book Antiqua" w:eastAsia="Book Antiqua" w:hAnsi="Book Antiqua" w:cs="Book Antiqua"/>
          <w:color w:val="000000"/>
        </w:rPr>
        <w:t xml:space="preserve"> MZ</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Djuranovic</w:t>
      </w:r>
      <w:proofErr w:type="spellEnd"/>
      <w:r w:rsidRPr="00E55E4C">
        <w:rPr>
          <w:rFonts w:ascii="Book Antiqua" w:eastAsia="Book Antiqua" w:hAnsi="Book Antiqua" w:cs="Book Antiqua"/>
          <w:color w:val="000000"/>
        </w:rPr>
        <w:t xml:space="preserve"> </w:t>
      </w:r>
      <w:r w:rsidR="0052712E" w:rsidRPr="00E55E4C">
        <w:rPr>
          <w:rFonts w:ascii="Book Antiqua" w:eastAsia="Book Antiqua" w:hAnsi="Book Antiqua" w:cs="Book Antiqua"/>
          <w:color w:val="000000"/>
        </w:rPr>
        <w:t xml:space="preserve">S </w:t>
      </w:r>
      <w:r w:rsidRPr="00E55E4C">
        <w:rPr>
          <w:rFonts w:ascii="Book Antiqua" w:eastAsia="Book Antiqua" w:hAnsi="Book Antiqua" w:cs="Book Antiqua"/>
          <w:color w:val="000000"/>
        </w:rPr>
        <w:t xml:space="preserve">were involved with data collection, and drafted the manuscript; </w:t>
      </w:r>
      <w:proofErr w:type="spellStart"/>
      <w:r w:rsidRPr="00E55E4C">
        <w:rPr>
          <w:rFonts w:ascii="Book Antiqua" w:eastAsia="Book Antiqua" w:hAnsi="Book Antiqua" w:cs="Book Antiqua"/>
          <w:color w:val="000000"/>
        </w:rPr>
        <w:lastRenderedPageBreak/>
        <w:t>Triantafyllou</w:t>
      </w:r>
      <w:proofErr w:type="spellEnd"/>
      <w:r w:rsidRPr="00E55E4C">
        <w:rPr>
          <w:rFonts w:ascii="Book Antiqua" w:eastAsia="Book Antiqua" w:hAnsi="Book Antiqua" w:cs="Book Antiqua"/>
          <w:color w:val="000000"/>
        </w:rPr>
        <w:t xml:space="preserve"> </w:t>
      </w:r>
      <w:r w:rsidR="0052712E" w:rsidRPr="00E55E4C">
        <w:rPr>
          <w:rFonts w:ascii="Book Antiqua" w:eastAsia="Book Antiqua" w:hAnsi="Book Antiqua" w:cs="Book Antiqua"/>
          <w:color w:val="000000"/>
        </w:rPr>
        <w:t xml:space="preserve">K </w:t>
      </w:r>
      <w:r w:rsidRPr="00E55E4C">
        <w:rPr>
          <w:rFonts w:ascii="Book Antiqua" w:eastAsia="Book Antiqua" w:hAnsi="Book Antiqua" w:cs="Book Antiqua"/>
          <w:color w:val="000000"/>
        </w:rPr>
        <w:t xml:space="preserve">participated in design of the study, and drafted the manuscript; </w:t>
      </w:r>
      <w:r w:rsidR="0052712E" w:rsidRPr="00E55E4C">
        <w:rPr>
          <w:rFonts w:ascii="Book Antiqua" w:eastAsia="Book Antiqua" w:hAnsi="Book Antiqua" w:cs="Book Antiqua"/>
          <w:color w:val="000000"/>
        </w:rPr>
        <w:t>A</w:t>
      </w:r>
      <w:r w:rsidRPr="00E55E4C">
        <w:rPr>
          <w:rFonts w:ascii="Book Antiqua" w:eastAsia="Book Antiqua" w:hAnsi="Book Antiqua" w:cs="Book Antiqua"/>
          <w:color w:val="000000"/>
        </w:rPr>
        <w:t xml:space="preserve">ll authors read and approved the final manuscript. </w:t>
      </w:r>
    </w:p>
    <w:p w14:paraId="57B1BD32" w14:textId="77777777" w:rsidR="00A77B3E" w:rsidRPr="00E55E4C" w:rsidRDefault="00A77B3E" w:rsidP="00BC3C5D">
      <w:pPr>
        <w:adjustRightInd w:val="0"/>
        <w:snapToGrid w:val="0"/>
        <w:spacing w:line="360" w:lineRule="auto"/>
        <w:jc w:val="both"/>
        <w:rPr>
          <w:rFonts w:ascii="Book Antiqua" w:hAnsi="Book Antiqua"/>
        </w:rPr>
      </w:pPr>
    </w:p>
    <w:p w14:paraId="0B52ED04"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Corresponding author: </w:t>
      </w:r>
      <w:proofErr w:type="spellStart"/>
      <w:r w:rsidRPr="00E55E4C">
        <w:rPr>
          <w:rFonts w:ascii="Book Antiqua" w:eastAsia="Book Antiqua" w:hAnsi="Book Antiqua" w:cs="Book Antiqua"/>
          <w:b/>
          <w:bCs/>
          <w:color w:val="000000"/>
        </w:rPr>
        <w:t>Paraskevas</w:t>
      </w:r>
      <w:proofErr w:type="spellEnd"/>
      <w:r w:rsidRPr="00E55E4C">
        <w:rPr>
          <w:rFonts w:ascii="Book Antiqua" w:eastAsia="Book Antiqua" w:hAnsi="Book Antiqua" w:cs="Book Antiqua"/>
          <w:b/>
          <w:bCs/>
          <w:color w:val="000000"/>
        </w:rPr>
        <w:t xml:space="preserve"> </w:t>
      </w:r>
      <w:proofErr w:type="spellStart"/>
      <w:r w:rsidRPr="00E55E4C">
        <w:rPr>
          <w:rFonts w:ascii="Book Antiqua" w:eastAsia="Book Antiqua" w:hAnsi="Book Antiqua" w:cs="Book Antiqua"/>
          <w:b/>
          <w:bCs/>
          <w:color w:val="000000"/>
        </w:rPr>
        <w:t>Gkolfakis</w:t>
      </w:r>
      <w:proofErr w:type="spellEnd"/>
      <w:r w:rsidRPr="00E55E4C">
        <w:rPr>
          <w:rFonts w:ascii="Book Antiqua" w:eastAsia="Book Antiqua" w:hAnsi="Book Antiqua" w:cs="Book Antiqua"/>
          <w:b/>
          <w:bCs/>
          <w:color w:val="000000"/>
        </w:rPr>
        <w:t xml:space="preserve">, MD, Research Associate, </w:t>
      </w:r>
      <w:r w:rsidRPr="00E55E4C">
        <w:rPr>
          <w:rFonts w:ascii="Book Antiqua" w:eastAsia="Book Antiqua" w:hAnsi="Book Antiqua" w:cs="Book Antiqua"/>
          <w:color w:val="000000"/>
        </w:rPr>
        <w:t xml:space="preserve">Department of Gastroenterology, </w:t>
      </w:r>
      <w:proofErr w:type="spellStart"/>
      <w:r w:rsidRPr="00E55E4C">
        <w:rPr>
          <w:rFonts w:ascii="Book Antiqua" w:eastAsia="Book Antiqua" w:hAnsi="Book Antiqua" w:cs="Book Antiqua"/>
          <w:color w:val="000000"/>
        </w:rPr>
        <w:t>Hepatopancreatology</w:t>
      </w:r>
      <w:proofErr w:type="spellEnd"/>
      <w:r w:rsidRPr="00E55E4C">
        <w:rPr>
          <w:rFonts w:ascii="Book Antiqua" w:eastAsia="Book Antiqua" w:hAnsi="Book Antiqua" w:cs="Book Antiqua"/>
          <w:color w:val="000000"/>
        </w:rPr>
        <w:t xml:space="preserve"> and Digestive Oncology, </w:t>
      </w:r>
      <w:proofErr w:type="spellStart"/>
      <w:r w:rsidRPr="00E55E4C">
        <w:rPr>
          <w:rFonts w:ascii="Book Antiqua" w:eastAsia="Book Antiqua" w:hAnsi="Book Antiqua" w:cs="Book Antiqua"/>
          <w:color w:val="000000"/>
        </w:rPr>
        <w:t>Erasme</w:t>
      </w:r>
      <w:proofErr w:type="spellEnd"/>
      <w:r w:rsidRPr="00E55E4C">
        <w:rPr>
          <w:rFonts w:ascii="Book Antiqua" w:eastAsia="Book Antiqua" w:hAnsi="Book Antiqua" w:cs="Book Antiqua"/>
          <w:color w:val="000000"/>
        </w:rPr>
        <w:t xml:space="preserve"> University Hospital, Université Libre de </w:t>
      </w:r>
      <w:proofErr w:type="spellStart"/>
      <w:r w:rsidRPr="00E55E4C">
        <w:rPr>
          <w:rFonts w:ascii="Book Antiqua" w:eastAsia="Book Antiqua" w:hAnsi="Book Antiqua" w:cs="Book Antiqua"/>
          <w:color w:val="000000"/>
        </w:rPr>
        <w:t>Bruxelles</w:t>
      </w:r>
      <w:proofErr w:type="spellEnd"/>
      <w:r w:rsidRPr="00E55E4C">
        <w:rPr>
          <w:rFonts w:ascii="Book Antiqua" w:eastAsia="Book Antiqua" w:hAnsi="Book Antiqua" w:cs="Book Antiqua"/>
          <w:color w:val="000000"/>
        </w:rPr>
        <w:t xml:space="preserve">, Rue de </w:t>
      </w:r>
      <w:proofErr w:type="spellStart"/>
      <w:r w:rsidRPr="00E55E4C">
        <w:rPr>
          <w:rFonts w:ascii="Book Antiqua" w:eastAsia="Book Antiqua" w:hAnsi="Book Antiqua" w:cs="Book Antiqua"/>
          <w:color w:val="000000"/>
        </w:rPr>
        <w:t>Lennik</w:t>
      </w:r>
      <w:proofErr w:type="spellEnd"/>
      <w:r w:rsidRPr="00E55E4C">
        <w:rPr>
          <w:rFonts w:ascii="Book Antiqua" w:eastAsia="Book Antiqua" w:hAnsi="Book Antiqua" w:cs="Book Antiqua"/>
          <w:color w:val="000000"/>
        </w:rPr>
        <w:t xml:space="preserve"> 808, Brussels 1070, Belgium. pgkolfakis@med.uoa.gr</w:t>
      </w:r>
    </w:p>
    <w:p w14:paraId="0C94752B" w14:textId="77777777" w:rsidR="00A77B3E" w:rsidRPr="00E55E4C" w:rsidRDefault="00A77B3E" w:rsidP="00BC3C5D">
      <w:pPr>
        <w:adjustRightInd w:val="0"/>
        <w:snapToGrid w:val="0"/>
        <w:spacing w:line="360" w:lineRule="auto"/>
        <w:jc w:val="both"/>
        <w:rPr>
          <w:rFonts w:ascii="Book Antiqua" w:hAnsi="Book Antiqua"/>
        </w:rPr>
      </w:pPr>
    </w:p>
    <w:p w14:paraId="33ADFFC2"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Received: </w:t>
      </w:r>
      <w:r w:rsidRPr="00E55E4C">
        <w:rPr>
          <w:rFonts w:ascii="Book Antiqua" w:eastAsia="Book Antiqua" w:hAnsi="Book Antiqua" w:cs="Book Antiqua"/>
          <w:color w:val="000000"/>
        </w:rPr>
        <w:t>February 25, 2021</w:t>
      </w:r>
    </w:p>
    <w:p w14:paraId="35397B89"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Revised: </w:t>
      </w:r>
      <w:r w:rsidRPr="00E55E4C">
        <w:rPr>
          <w:rFonts w:ascii="Book Antiqua" w:eastAsia="Book Antiqua" w:hAnsi="Book Antiqua" w:cs="Book Antiqua"/>
          <w:color w:val="000000"/>
        </w:rPr>
        <w:t>April 27, 2021</w:t>
      </w:r>
    </w:p>
    <w:p w14:paraId="79450A3D" w14:textId="49A68BCC"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Accepted: </w:t>
      </w:r>
      <w:bookmarkStart w:id="0" w:name="OLE_LINK15"/>
      <w:bookmarkStart w:id="1" w:name="OLE_LINK33"/>
      <w:bookmarkStart w:id="2" w:name="OLE_LINK48"/>
      <w:r w:rsidR="0081315E">
        <w:rPr>
          <w:rFonts w:ascii="Book Antiqua" w:eastAsia="宋体" w:hAnsi="Book Antiqua"/>
          <w:color w:val="000000" w:themeColor="text1"/>
        </w:rPr>
        <w:t>J</w:t>
      </w:r>
      <w:r w:rsidR="0081315E">
        <w:rPr>
          <w:rFonts w:ascii="Book Antiqua" w:eastAsia="宋体" w:hAnsi="Book Antiqua" w:hint="eastAsia"/>
          <w:color w:val="000000" w:themeColor="text1"/>
        </w:rPr>
        <w:t>u</w:t>
      </w:r>
      <w:r w:rsidR="0081315E">
        <w:rPr>
          <w:rFonts w:ascii="Book Antiqua" w:eastAsia="宋体" w:hAnsi="Book Antiqua"/>
          <w:color w:val="000000" w:themeColor="text1"/>
        </w:rPr>
        <w:t>ly</w:t>
      </w:r>
      <w:r w:rsidR="0081315E" w:rsidRPr="00F06907">
        <w:rPr>
          <w:rFonts w:ascii="Book Antiqua" w:eastAsia="宋体" w:hAnsi="Book Antiqua"/>
          <w:color w:val="000000" w:themeColor="text1"/>
        </w:rPr>
        <w:t xml:space="preserve"> </w:t>
      </w:r>
      <w:r w:rsidR="0081315E">
        <w:rPr>
          <w:rFonts w:ascii="Book Antiqua" w:eastAsia="宋体" w:hAnsi="Book Antiqua"/>
          <w:color w:val="000000" w:themeColor="text1"/>
        </w:rPr>
        <w:t>21</w:t>
      </w:r>
      <w:r w:rsidR="0081315E" w:rsidRPr="00F06907">
        <w:rPr>
          <w:rFonts w:ascii="Book Antiqua" w:eastAsia="宋体" w:hAnsi="Book Antiqua"/>
          <w:color w:val="000000" w:themeColor="text1"/>
        </w:rPr>
        <w:t>, 2021</w:t>
      </w:r>
      <w:bookmarkEnd w:id="0"/>
      <w:bookmarkEnd w:id="1"/>
      <w:bookmarkEnd w:id="2"/>
    </w:p>
    <w:p w14:paraId="68A6AD56" w14:textId="77777777" w:rsidR="00E53B36" w:rsidRPr="00E55E4C" w:rsidRDefault="00E53B36" w:rsidP="00E53B36">
      <w:pPr>
        <w:spacing w:line="360" w:lineRule="auto"/>
        <w:jc w:val="both"/>
      </w:pPr>
      <w:r w:rsidRPr="00E55E4C">
        <w:rPr>
          <w:rFonts w:ascii="Book Antiqua" w:eastAsia="Book Antiqua" w:hAnsi="Book Antiqua" w:cs="Book Antiqua"/>
          <w:b/>
          <w:bCs/>
          <w:color w:val="000000"/>
        </w:rPr>
        <w:t xml:space="preserve">Published online: </w:t>
      </w:r>
    </w:p>
    <w:p w14:paraId="54055C06" w14:textId="6A1B4835"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 </w:t>
      </w:r>
    </w:p>
    <w:p w14:paraId="6CA83130" w14:textId="77777777" w:rsidR="00A77B3E" w:rsidRPr="00E55E4C" w:rsidRDefault="00A77B3E" w:rsidP="00BC3C5D">
      <w:pPr>
        <w:adjustRightInd w:val="0"/>
        <w:snapToGrid w:val="0"/>
        <w:spacing w:line="360" w:lineRule="auto"/>
        <w:jc w:val="both"/>
        <w:rPr>
          <w:rFonts w:ascii="Book Antiqua" w:hAnsi="Book Antiqua"/>
        </w:rPr>
        <w:sectPr w:rsidR="00A77B3E" w:rsidRPr="00E55E4C">
          <w:headerReference w:type="default" r:id="rId6"/>
          <w:footerReference w:type="default" r:id="rId7"/>
          <w:pgSz w:w="12240" w:h="15840"/>
          <w:pgMar w:top="1440" w:right="1440" w:bottom="1440" w:left="1440" w:header="720" w:footer="720" w:gutter="0"/>
          <w:cols w:space="720"/>
          <w:docGrid w:linePitch="360"/>
        </w:sectPr>
      </w:pPr>
    </w:p>
    <w:p w14:paraId="0B73E49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lastRenderedPageBreak/>
        <w:t>Abstract</w:t>
      </w:r>
    </w:p>
    <w:p w14:paraId="7814585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BACKGROUND</w:t>
      </w:r>
    </w:p>
    <w:p w14:paraId="3F8D7D8F" w14:textId="0E47AC86" w:rsidR="00A77B3E" w:rsidRPr="00E55E4C" w:rsidRDefault="008B5968"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Coronavirus disease 2019 (COVID-19)</w:t>
      </w:r>
      <w:r w:rsidR="00F728E5" w:rsidRPr="00E55E4C">
        <w:rPr>
          <w:rFonts w:ascii="Book Antiqua" w:eastAsia="Book Antiqua" w:hAnsi="Book Antiqua" w:cs="Book Antiqua"/>
          <w:color w:val="000000"/>
        </w:rPr>
        <w:t xml:space="preserve"> significantly affected endoscopic practice, as gastrointestinal endoscopy is considered a risky procedure for transmission of infection to patients and personnel of endoscopy units (PEU).</w:t>
      </w:r>
    </w:p>
    <w:p w14:paraId="3216B848" w14:textId="77777777" w:rsidR="00A77B3E" w:rsidRPr="00E55E4C" w:rsidRDefault="00A77B3E" w:rsidP="00BC3C5D">
      <w:pPr>
        <w:adjustRightInd w:val="0"/>
        <w:snapToGrid w:val="0"/>
        <w:spacing w:line="360" w:lineRule="auto"/>
        <w:jc w:val="both"/>
        <w:rPr>
          <w:rFonts w:ascii="Book Antiqua" w:hAnsi="Book Antiqua"/>
        </w:rPr>
      </w:pPr>
    </w:p>
    <w:p w14:paraId="2CA87A20"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AIM</w:t>
      </w:r>
    </w:p>
    <w:p w14:paraId="5661DA8A" w14:textId="4618F948" w:rsidR="00A77B3E" w:rsidRPr="00E55E4C" w:rsidRDefault="008B5968"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T</w:t>
      </w:r>
      <w:r w:rsidR="00F728E5" w:rsidRPr="00E55E4C">
        <w:rPr>
          <w:rFonts w:ascii="Book Antiqua" w:eastAsia="Book Antiqua" w:hAnsi="Book Antiqua" w:cs="Book Antiqua"/>
          <w:color w:val="000000"/>
        </w:rPr>
        <w:t>o assess the impact of COVID-19 on endoscopy during the first European lockdown (March-May 2020).</w:t>
      </w:r>
    </w:p>
    <w:p w14:paraId="0309D3D3" w14:textId="77777777" w:rsidR="00A77B3E" w:rsidRPr="00E55E4C" w:rsidRDefault="00A77B3E" w:rsidP="00BC3C5D">
      <w:pPr>
        <w:adjustRightInd w:val="0"/>
        <w:snapToGrid w:val="0"/>
        <w:spacing w:line="360" w:lineRule="auto"/>
        <w:jc w:val="both"/>
        <w:rPr>
          <w:rFonts w:ascii="Book Antiqua" w:hAnsi="Book Antiqua"/>
        </w:rPr>
      </w:pPr>
    </w:p>
    <w:p w14:paraId="2B100A83"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METHODS</w:t>
      </w:r>
    </w:p>
    <w:p w14:paraId="21701AA9" w14:textId="1F01A70B"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Patients undergoing endoscopy in nine </w:t>
      </w:r>
      <w:r w:rsidR="00B24554" w:rsidRPr="00E55E4C">
        <w:rPr>
          <w:rFonts w:ascii="Book Antiqua" w:eastAsia="Book Antiqua" w:hAnsi="Book Antiqua" w:cs="Book Antiqua"/>
          <w:color w:val="000000"/>
        </w:rPr>
        <w:t>endoscopy units</w:t>
      </w:r>
      <w:r w:rsidR="00B24554" w:rsidRPr="00E55E4C" w:rsidDel="00B24554">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across six European countries during the period of the first European lockdown for COVID-19 (March-May 2020) were included. Prior to endoscopy procedure, participants were stratified as low- or high- risk for potential COVID-19 infection, according to the ESGE/ESGENA joint statement and contacted 7-14 d later to assess COVID-19 infection status. PEU were questioned regarding COVID-19 symptoms and/or infection </w:t>
      </w:r>
      <w:r w:rsidRPr="00E55E4C">
        <w:rPr>
          <w:rFonts w:ascii="Book Antiqua" w:eastAsia="Book Antiqua" w:hAnsi="Book Antiqua" w:cs="Book Antiqua"/>
          <w:i/>
          <w:iCs/>
          <w:color w:val="000000"/>
        </w:rPr>
        <w:t>via</w:t>
      </w:r>
      <w:r w:rsidRPr="00E55E4C">
        <w:rPr>
          <w:rFonts w:ascii="Book Antiqua" w:eastAsia="Book Antiqua" w:hAnsi="Book Antiqua" w:cs="Book Antiqua"/>
          <w:color w:val="000000"/>
        </w:rPr>
        <w:t xml:space="preserve"> questionnaire while information regarding hospitalizations, </w:t>
      </w:r>
      <w:r w:rsidR="008B5968" w:rsidRPr="00E55E4C">
        <w:rPr>
          <w:rFonts w:ascii="Book Antiqua" w:eastAsia="Book Antiqua" w:hAnsi="Book Antiqua" w:cs="Book Antiqua"/>
          <w:color w:val="000000"/>
        </w:rPr>
        <w:t>intensive care unit</w:t>
      </w:r>
      <w:r w:rsidRPr="00E55E4C">
        <w:rPr>
          <w:rFonts w:ascii="Book Antiqua" w:eastAsia="Book Antiqua" w:hAnsi="Book Antiqua" w:cs="Book Antiqua"/>
          <w:color w:val="000000"/>
        </w:rPr>
        <w:t xml:space="preserve">-admissions and COVID-19-related deaths were collected. The number of weekly endoscopies in each center during the lockdown period was also recorded. </w:t>
      </w:r>
    </w:p>
    <w:p w14:paraId="64BB926B" w14:textId="77777777" w:rsidR="00A77B3E" w:rsidRPr="00E55E4C" w:rsidRDefault="00A77B3E" w:rsidP="00BC3C5D">
      <w:pPr>
        <w:adjustRightInd w:val="0"/>
        <w:snapToGrid w:val="0"/>
        <w:spacing w:line="360" w:lineRule="auto"/>
        <w:jc w:val="both"/>
        <w:rPr>
          <w:rFonts w:ascii="Book Antiqua" w:hAnsi="Book Antiqua"/>
        </w:rPr>
      </w:pPr>
    </w:p>
    <w:p w14:paraId="0AED089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RESULTS</w:t>
      </w:r>
    </w:p>
    <w:p w14:paraId="426F23AE" w14:textId="3E163A1B"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One thousand two hundred sixty-seven endoscopies were performed in 1222 individuals, across 9 European </w:t>
      </w:r>
      <w:r w:rsidR="009220FF" w:rsidRPr="00E55E4C">
        <w:rPr>
          <w:rFonts w:ascii="Book Antiqua" w:eastAsia="Book Antiqua" w:hAnsi="Book Antiqua" w:cs="Book Antiqua"/>
          <w:color w:val="000000"/>
        </w:rPr>
        <w:t xml:space="preserve">endoscopic departments </w:t>
      </w:r>
      <w:r w:rsidRPr="00E55E4C">
        <w:rPr>
          <w:rFonts w:ascii="Book Antiqua" w:eastAsia="Book Antiqua" w:hAnsi="Book Antiqua" w:cs="Book Antiqua"/>
          <w:color w:val="000000"/>
        </w:rPr>
        <w:t xml:space="preserve">(6 countries). </w:t>
      </w:r>
      <w:r w:rsidR="008B5968" w:rsidRPr="00E55E4C">
        <w:rPr>
          <w:rFonts w:ascii="Book Antiqua" w:eastAsia="Book Antiqua" w:hAnsi="Book Antiqua" w:cs="Book Antiqua"/>
          <w:color w:val="000000"/>
        </w:rPr>
        <w:t xml:space="preserve">Of </w:t>
      </w:r>
      <w:r w:rsidR="006E3139" w:rsidRPr="00E55E4C">
        <w:rPr>
          <w:rFonts w:ascii="Book Antiqua" w:eastAsia="Book Antiqua" w:hAnsi="Book Antiqua" w:cs="Book Antiqua"/>
          <w:color w:val="000000"/>
        </w:rPr>
        <w:t xml:space="preserve">them, </w:t>
      </w:r>
      <w:r w:rsidRPr="00E55E4C">
        <w:rPr>
          <w:rFonts w:ascii="Book Antiqua" w:eastAsia="Book Antiqua" w:hAnsi="Book Antiqua" w:cs="Book Antiqua"/>
          <w:color w:val="000000"/>
        </w:rPr>
        <w:t xml:space="preserve">87 (7%) were excluded due to initial positive testing.  Among the 1135 pre-endoscopically low risk or </w:t>
      </w:r>
      <w:r w:rsidR="00126154" w:rsidRPr="00E55E4C">
        <w:rPr>
          <w:rFonts w:ascii="Book Antiqua" w:eastAsia="Book Antiqua" w:hAnsi="Book Antiqua" w:cs="Book Antiqua"/>
          <w:color w:val="000000"/>
        </w:rPr>
        <w:t xml:space="preserve">polymerase chain reaction </w:t>
      </w:r>
      <w:r w:rsidRPr="00E55E4C">
        <w:rPr>
          <w:rFonts w:ascii="Book Antiqua" w:eastAsia="Book Antiqua" w:hAnsi="Book Antiqua" w:cs="Book Antiqua"/>
          <w:color w:val="000000"/>
        </w:rPr>
        <w:t xml:space="preserve">negative for COVID-19, 254 (22.4%) were tested post-endoscopy and 8 were eventually found positive, resulting in an infection rate of 0.7% </w:t>
      </w:r>
      <w:r w:rsidR="008B5968" w:rsidRPr="00E55E4C">
        <w:rPr>
          <w:rFonts w:ascii="Book Antiqua" w:eastAsia="Book Antiqua" w:hAnsi="Book Antiqua" w:cs="Book Antiqua"/>
          <w:color w:val="000000"/>
        </w:rPr>
        <w:t>[</w:t>
      </w:r>
      <w:r w:rsidRPr="00E55E4C">
        <w:rPr>
          <w:rFonts w:ascii="Book Antiqua" w:eastAsia="Book Antiqua" w:hAnsi="Book Antiqua" w:cs="Book Antiqua"/>
          <w:color w:val="000000"/>
        </w:rPr>
        <w:t>95%</w:t>
      </w:r>
      <w:r w:rsidR="008B5968" w:rsidRPr="00E55E4C">
        <w:rPr>
          <w:rFonts w:ascii="Book Antiqua" w:hAnsi="Book Antiqua"/>
        </w:rPr>
        <w:t xml:space="preserve"> </w:t>
      </w:r>
      <w:r w:rsidR="008B5968" w:rsidRPr="00E55E4C">
        <w:rPr>
          <w:rFonts w:ascii="Book Antiqua" w:eastAsia="Book Antiqua" w:hAnsi="Book Antiqua" w:cs="Book Antiqua"/>
          <w:color w:val="000000"/>
        </w:rPr>
        <w:t>confidence interval (CI)</w:t>
      </w:r>
      <w:r w:rsidRPr="00E55E4C">
        <w:rPr>
          <w:rFonts w:ascii="Book Antiqua" w:eastAsia="Book Antiqua" w:hAnsi="Book Antiqua" w:cs="Book Antiqua"/>
          <w:color w:val="000000"/>
        </w:rPr>
        <w:t>: 0.2-0.12</w:t>
      </w:r>
      <w:r w:rsidR="008B5968" w:rsidRPr="00E55E4C">
        <w:rPr>
          <w:rFonts w:ascii="Book Antiqua" w:eastAsia="Book Antiqua" w:hAnsi="Book Antiqua" w:cs="Book Antiqua"/>
          <w:color w:val="000000"/>
        </w:rPr>
        <w:t>]</w:t>
      </w:r>
      <w:r w:rsidRPr="00E55E4C">
        <w:rPr>
          <w:rFonts w:ascii="Book Antiqua" w:eastAsia="Book Antiqua" w:hAnsi="Book Antiqua" w:cs="Book Antiqua"/>
          <w:color w:val="000000"/>
        </w:rPr>
        <w:t xml:space="preserve">. The majority (6 patients, </w:t>
      </w:r>
      <w:r w:rsidRPr="00E55E4C">
        <w:rPr>
          <w:rFonts w:ascii="Book Antiqua" w:eastAsia="Book Antiqua" w:hAnsi="Book Antiqua" w:cs="Book Antiqua"/>
          <w:i/>
          <w:iCs/>
          <w:color w:val="000000"/>
        </w:rPr>
        <w:t>i.e.</w:t>
      </w:r>
      <w:r w:rsidRPr="00E55E4C">
        <w:rPr>
          <w:rFonts w:ascii="Book Antiqua" w:eastAsia="Book Antiqua" w:hAnsi="Book Antiqua" w:cs="Book Antiqua"/>
          <w:color w:val="000000"/>
        </w:rPr>
        <w:t xml:space="preserve">, 75%) had undergone esophagogastroduodenoscopy. Data for </w:t>
      </w:r>
      <w:r w:rsidR="001908A7" w:rsidRPr="00E55E4C">
        <w:rPr>
          <w:rFonts w:ascii="Book Antiqua" w:eastAsia="Book Antiqua" w:hAnsi="Book Antiqua" w:cs="Book Antiqua"/>
          <w:color w:val="000000"/>
        </w:rPr>
        <w:t xml:space="preserve">all </w:t>
      </w:r>
      <w:r w:rsidRPr="00E55E4C">
        <w:rPr>
          <w:rFonts w:ascii="Book Antiqua" w:eastAsia="Book Antiqua" w:hAnsi="Book Antiqua" w:cs="Book Antiqua"/>
          <w:color w:val="000000"/>
        </w:rPr>
        <w:t xml:space="preserve">163 PEU </w:t>
      </w:r>
      <w:r w:rsidR="001908A7" w:rsidRPr="00E55E4C">
        <w:rPr>
          <w:rFonts w:ascii="Book Antiqua" w:eastAsia="Book Antiqua" w:hAnsi="Book Antiqua" w:cs="Book Antiqua"/>
          <w:color w:val="000000"/>
        </w:rPr>
        <w:t xml:space="preserve">were </w:t>
      </w:r>
      <w:r w:rsidRPr="00E55E4C">
        <w:rPr>
          <w:rFonts w:ascii="Book Antiqua" w:eastAsia="Book Antiqua" w:hAnsi="Book Antiqua" w:cs="Book Antiqua"/>
          <w:color w:val="000000"/>
        </w:rPr>
        <w:t>recorded; five [</w:t>
      </w:r>
      <w:r w:rsidRPr="00E55E4C">
        <w:rPr>
          <w:rFonts w:ascii="Book Antiqua" w:eastAsia="Book Antiqua" w:hAnsi="Book Antiqua" w:cs="Book Antiqua"/>
          <w:i/>
          <w:iCs/>
          <w:color w:val="000000"/>
        </w:rPr>
        <w:t>n</w:t>
      </w:r>
      <w:r w:rsidR="008B5968" w:rsidRPr="00E55E4C">
        <w:rPr>
          <w:rFonts w:ascii="Book Antiqua" w:eastAsia="Book Antiqua" w:hAnsi="Book Antiqua" w:cs="Book Antiqua"/>
          <w:i/>
          <w:iCs/>
          <w:color w:val="000000"/>
        </w:rPr>
        <w:t xml:space="preserve"> </w:t>
      </w:r>
      <w:r w:rsidRPr="00E55E4C">
        <w:rPr>
          <w:rFonts w:ascii="Book Antiqua" w:eastAsia="Book Antiqua" w:hAnsi="Book Antiqua" w:cs="Book Antiqua"/>
          <w:color w:val="000000"/>
        </w:rPr>
        <w:t>=</w:t>
      </w:r>
      <w:r w:rsidR="008B5968"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5/163, (3%); </w:t>
      </w:r>
      <w:r w:rsidRPr="00E55E4C">
        <w:rPr>
          <w:rFonts w:ascii="Book Antiqua" w:eastAsia="Book Antiqua" w:hAnsi="Book Antiqua" w:cs="Book Antiqua"/>
          <w:color w:val="000000"/>
        </w:rPr>
        <w:lastRenderedPageBreak/>
        <w:t xml:space="preserve">95%CI: 0.4-5.7)] tested positive during the study period. A decrease of 68.7% (95%CI: 64.8-72.7) in the number of weekly endoscopies was recorded in all centers after March 2020. All centers implemented appropriate personal protective measures (PPM) from the initial phases of the lockdown.  </w:t>
      </w:r>
    </w:p>
    <w:p w14:paraId="3CB8A519" w14:textId="77777777" w:rsidR="00A77B3E" w:rsidRPr="00E55E4C" w:rsidRDefault="00A77B3E" w:rsidP="00BC3C5D">
      <w:pPr>
        <w:adjustRightInd w:val="0"/>
        <w:snapToGrid w:val="0"/>
        <w:spacing w:line="360" w:lineRule="auto"/>
        <w:jc w:val="both"/>
        <w:rPr>
          <w:rFonts w:ascii="Book Antiqua" w:hAnsi="Book Antiqua"/>
        </w:rPr>
      </w:pPr>
    </w:p>
    <w:p w14:paraId="12A2969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CONCLUSION</w:t>
      </w:r>
    </w:p>
    <w:p w14:paraId="0277BE8E"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COVID-19 transmission in endoscopic units is highly unlikely in a lockdown setting, provided endoscopies are reduced to emergency cases and PPM are implemented.</w:t>
      </w:r>
    </w:p>
    <w:p w14:paraId="46D5FAB1" w14:textId="77777777" w:rsidR="00A77B3E" w:rsidRPr="00E55E4C" w:rsidRDefault="00A77B3E" w:rsidP="00BC3C5D">
      <w:pPr>
        <w:adjustRightInd w:val="0"/>
        <w:snapToGrid w:val="0"/>
        <w:spacing w:line="360" w:lineRule="auto"/>
        <w:jc w:val="both"/>
        <w:rPr>
          <w:rFonts w:ascii="Book Antiqua" w:hAnsi="Book Antiqua"/>
        </w:rPr>
      </w:pPr>
    </w:p>
    <w:p w14:paraId="19FF3F7B" w14:textId="6F6F574C"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Key Words: </w:t>
      </w:r>
      <w:r w:rsidRPr="00E55E4C">
        <w:rPr>
          <w:rFonts w:ascii="Book Antiqua" w:eastAsia="Book Antiqua" w:hAnsi="Book Antiqua" w:cs="Book Antiqua"/>
          <w:color w:val="000000"/>
        </w:rPr>
        <w:t xml:space="preserve">COVID-19; SARS-CoV-2; </w:t>
      </w:r>
      <w:r w:rsidR="008B5968" w:rsidRPr="00E55E4C">
        <w:rPr>
          <w:rFonts w:ascii="Book Antiqua" w:eastAsia="Book Antiqua" w:hAnsi="Book Antiqua" w:cs="Book Antiqua"/>
          <w:color w:val="000000"/>
        </w:rPr>
        <w:t>G</w:t>
      </w:r>
      <w:r w:rsidRPr="00E55E4C">
        <w:rPr>
          <w:rFonts w:ascii="Book Antiqua" w:eastAsia="Book Antiqua" w:hAnsi="Book Antiqua" w:cs="Book Antiqua"/>
          <w:color w:val="000000"/>
        </w:rPr>
        <w:t xml:space="preserve">astrointestinal endoscopy; </w:t>
      </w:r>
      <w:r w:rsidR="008B5968" w:rsidRPr="00E55E4C">
        <w:rPr>
          <w:rFonts w:ascii="Book Antiqua" w:eastAsia="Book Antiqua" w:hAnsi="Book Antiqua" w:cs="Book Antiqua"/>
          <w:color w:val="000000"/>
        </w:rPr>
        <w:t>P</w:t>
      </w:r>
      <w:r w:rsidRPr="00E55E4C">
        <w:rPr>
          <w:rFonts w:ascii="Book Antiqua" w:eastAsia="Book Antiqua" w:hAnsi="Book Antiqua" w:cs="Book Antiqua"/>
          <w:color w:val="000000"/>
        </w:rPr>
        <w:t xml:space="preserve">ersonal protection measures; </w:t>
      </w:r>
      <w:r w:rsidR="008B5968" w:rsidRPr="00E55E4C">
        <w:rPr>
          <w:rFonts w:ascii="Book Antiqua" w:eastAsia="Book Antiqua" w:hAnsi="Book Antiqua" w:cs="Book Antiqua"/>
          <w:color w:val="000000"/>
        </w:rPr>
        <w:t>T</w:t>
      </w:r>
      <w:r w:rsidRPr="00E55E4C">
        <w:rPr>
          <w:rFonts w:ascii="Book Antiqua" w:eastAsia="Book Antiqua" w:hAnsi="Book Antiqua" w:cs="Book Antiqua"/>
          <w:color w:val="000000"/>
        </w:rPr>
        <w:t xml:space="preserve">ransmission; </w:t>
      </w:r>
      <w:r w:rsidR="008B5968" w:rsidRPr="00E55E4C">
        <w:rPr>
          <w:rFonts w:ascii="Book Antiqua" w:eastAsia="Book Antiqua" w:hAnsi="Book Antiqua" w:cs="Book Antiqua"/>
          <w:color w:val="000000"/>
        </w:rPr>
        <w:t>L</w:t>
      </w:r>
      <w:r w:rsidRPr="00E55E4C">
        <w:rPr>
          <w:rFonts w:ascii="Book Antiqua" w:eastAsia="Book Antiqua" w:hAnsi="Book Antiqua" w:cs="Book Antiqua"/>
          <w:color w:val="000000"/>
        </w:rPr>
        <w:t>ockdown</w:t>
      </w:r>
    </w:p>
    <w:p w14:paraId="703320BB" w14:textId="77777777" w:rsidR="00A77B3E" w:rsidRPr="00E55E4C" w:rsidRDefault="00A77B3E" w:rsidP="00BC3C5D">
      <w:pPr>
        <w:adjustRightInd w:val="0"/>
        <w:snapToGrid w:val="0"/>
        <w:spacing w:line="360" w:lineRule="auto"/>
        <w:jc w:val="both"/>
        <w:rPr>
          <w:rFonts w:ascii="Book Antiqua" w:hAnsi="Book Antiqua"/>
        </w:rPr>
      </w:pPr>
    </w:p>
    <w:p w14:paraId="747B97F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Papanikolaou IS, </w:t>
      </w:r>
      <w:proofErr w:type="spellStart"/>
      <w:r w:rsidRPr="00E55E4C">
        <w:rPr>
          <w:rFonts w:ascii="Book Antiqua" w:eastAsia="Book Antiqua" w:hAnsi="Book Antiqua" w:cs="Book Antiqua"/>
          <w:color w:val="000000"/>
        </w:rPr>
        <w:t>Tziatzios</w:t>
      </w:r>
      <w:proofErr w:type="spellEnd"/>
      <w:r w:rsidRPr="00E55E4C">
        <w:rPr>
          <w:rFonts w:ascii="Book Antiqua" w:eastAsia="Book Antiqua" w:hAnsi="Book Antiqua" w:cs="Book Antiqua"/>
          <w:color w:val="000000"/>
        </w:rPr>
        <w:t xml:space="preserve"> G, </w:t>
      </w:r>
      <w:proofErr w:type="spellStart"/>
      <w:r w:rsidRPr="00E55E4C">
        <w:rPr>
          <w:rFonts w:ascii="Book Antiqua" w:eastAsia="Book Antiqua" w:hAnsi="Book Antiqua" w:cs="Book Antiqua"/>
          <w:color w:val="000000"/>
        </w:rPr>
        <w:t>Chatzidakis</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Facciorusso</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Crinò</w:t>
      </w:r>
      <w:proofErr w:type="spellEnd"/>
      <w:r w:rsidRPr="00E55E4C">
        <w:rPr>
          <w:rFonts w:ascii="Book Antiqua" w:eastAsia="Book Antiqua" w:hAnsi="Book Antiqua" w:cs="Book Antiqua"/>
          <w:color w:val="000000"/>
        </w:rPr>
        <w:t xml:space="preserve"> SF, </w:t>
      </w:r>
      <w:proofErr w:type="spellStart"/>
      <w:r w:rsidRPr="00E55E4C">
        <w:rPr>
          <w:rFonts w:ascii="Book Antiqua" w:eastAsia="Book Antiqua" w:hAnsi="Book Antiqua" w:cs="Book Antiqua"/>
          <w:color w:val="000000"/>
        </w:rPr>
        <w:t>Gkolfakis</w:t>
      </w:r>
      <w:proofErr w:type="spellEnd"/>
      <w:r w:rsidRPr="00E55E4C">
        <w:rPr>
          <w:rFonts w:ascii="Book Antiqua" w:eastAsia="Book Antiqua" w:hAnsi="Book Antiqua" w:cs="Book Antiqua"/>
          <w:color w:val="000000"/>
        </w:rPr>
        <w:t xml:space="preserve"> P, </w:t>
      </w:r>
      <w:proofErr w:type="spellStart"/>
      <w:r w:rsidRPr="00E55E4C">
        <w:rPr>
          <w:rFonts w:ascii="Book Antiqua" w:eastAsia="Book Antiqua" w:hAnsi="Book Antiqua" w:cs="Book Antiqua"/>
          <w:color w:val="000000"/>
        </w:rPr>
        <w:t>Deriban</w:t>
      </w:r>
      <w:proofErr w:type="spellEnd"/>
      <w:r w:rsidRPr="00E55E4C">
        <w:rPr>
          <w:rFonts w:ascii="Book Antiqua" w:eastAsia="Book Antiqua" w:hAnsi="Book Antiqua" w:cs="Book Antiqua"/>
          <w:color w:val="000000"/>
        </w:rPr>
        <w:t xml:space="preserve"> G, Tadic M, Hauser G, </w:t>
      </w:r>
      <w:proofErr w:type="spellStart"/>
      <w:r w:rsidRPr="00E55E4C">
        <w:rPr>
          <w:rFonts w:ascii="Book Antiqua" w:eastAsia="Book Antiqua" w:hAnsi="Book Antiqua" w:cs="Book Antiqua"/>
          <w:color w:val="000000"/>
        </w:rPr>
        <w:t>Vezakis</w:t>
      </w:r>
      <w:proofErr w:type="spellEnd"/>
      <w:r w:rsidRPr="00E55E4C">
        <w:rPr>
          <w:rFonts w:ascii="Book Antiqua" w:eastAsia="Book Antiqua" w:hAnsi="Book Antiqua" w:cs="Book Antiqua"/>
          <w:color w:val="000000"/>
        </w:rPr>
        <w:t xml:space="preserve"> A, Jovanovic I, </w:t>
      </w:r>
      <w:proofErr w:type="spellStart"/>
      <w:r w:rsidRPr="00E55E4C">
        <w:rPr>
          <w:rFonts w:ascii="Book Antiqua" w:eastAsia="Book Antiqua" w:hAnsi="Book Antiqua" w:cs="Book Antiqua"/>
          <w:color w:val="000000"/>
        </w:rPr>
        <w:t>Muscatiello</w:t>
      </w:r>
      <w:proofErr w:type="spellEnd"/>
      <w:r w:rsidRPr="00E55E4C">
        <w:rPr>
          <w:rFonts w:ascii="Book Antiqua" w:eastAsia="Book Antiqua" w:hAnsi="Book Antiqua" w:cs="Book Antiqua"/>
          <w:color w:val="000000"/>
        </w:rPr>
        <w:t xml:space="preserve"> N, </w:t>
      </w:r>
      <w:proofErr w:type="spellStart"/>
      <w:r w:rsidRPr="00E55E4C">
        <w:rPr>
          <w:rFonts w:ascii="Book Antiqua" w:eastAsia="Book Antiqua" w:hAnsi="Book Antiqua" w:cs="Book Antiqua"/>
          <w:color w:val="000000"/>
        </w:rPr>
        <w:t>Meneghetti</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Miltiadou</w:t>
      </w:r>
      <w:proofErr w:type="spellEnd"/>
      <w:r w:rsidRPr="00E55E4C">
        <w:rPr>
          <w:rFonts w:ascii="Book Antiqua" w:eastAsia="Book Antiqua" w:hAnsi="Book Antiqua" w:cs="Book Antiqua"/>
          <w:color w:val="000000"/>
        </w:rPr>
        <w:t xml:space="preserve"> K, </w:t>
      </w:r>
      <w:proofErr w:type="spellStart"/>
      <w:r w:rsidRPr="00E55E4C">
        <w:rPr>
          <w:rFonts w:ascii="Book Antiqua" w:eastAsia="Book Antiqua" w:hAnsi="Book Antiqua" w:cs="Book Antiqua"/>
          <w:color w:val="000000"/>
        </w:rPr>
        <w:t>Stardelova</w:t>
      </w:r>
      <w:proofErr w:type="spellEnd"/>
      <w:r w:rsidRPr="00E55E4C">
        <w:rPr>
          <w:rFonts w:ascii="Book Antiqua" w:eastAsia="Book Antiqua" w:hAnsi="Book Antiqua" w:cs="Book Antiqua"/>
          <w:color w:val="000000"/>
        </w:rPr>
        <w:t xml:space="preserve"> K, </w:t>
      </w:r>
      <w:proofErr w:type="spellStart"/>
      <w:r w:rsidRPr="00E55E4C">
        <w:rPr>
          <w:rFonts w:ascii="Book Antiqua" w:eastAsia="Book Antiqua" w:hAnsi="Book Antiqua" w:cs="Book Antiqua"/>
          <w:color w:val="000000"/>
        </w:rPr>
        <w:t>Lacković</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Bourou</w:t>
      </w:r>
      <w:proofErr w:type="spellEnd"/>
      <w:r w:rsidRPr="00E55E4C">
        <w:rPr>
          <w:rFonts w:ascii="Book Antiqua" w:eastAsia="Book Antiqua" w:hAnsi="Book Antiqua" w:cs="Book Antiqua"/>
          <w:color w:val="000000"/>
        </w:rPr>
        <w:t xml:space="preserve"> MZ, </w:t>
      </w:r>
      <w:proofErr w:type="spellStart"/>
      <w:r w:rsidRPr="00E55E4C">
        <w:rPr>
          <w:rFonts w:ascii="Book Antiqua" w:eastAsia="Book Antiqua" w:hAnsi="Book Antiqua" w:cs="Book Antiqua"/>
          <w:color w:val="000000"/>
        </w:rPr>
        <w:t>Djuranovic</w:t>
      </w:r>
      <w:proofErr w:type="spellEnd"/>
      <w:r w:rsidRPr="00E55E4C">
        <w:rPr>
          <w:rFonts w:ascii="Book Antiqua" w:eastAsia="Book Antiqua" w:hAnsi="Book Antiqua" w:cs="Book Antiqua"/>
          <w:color w:val="000000"/>
        </w:rPr>
        <w:t xml:space="preserve"> S, </w:t>
      </w:r>
      <w:proofErr w:type="spellStart"/>
      <w:r w:rsidRPr="00E55E4C">
        <w:rPr>
          <w:rFonts w:ascii="Book Antiqua" w:eastAsia="Book Antiqua" w:hAnsi="Book Antiqua" w:cs="Book Antiqua"/>
          <w:color w:val="000000"/>
        </w:rPr>
        <w:t>Triantafyllou</w:t>
      </w:r>
      <w:proofErr w:type="spellEnd"/>
      <w:r w:rsidRPr="00E55E4C">
        <w:rPr>
          <w:rFonts w:ascii="Book Antiqua" w:eastAsia="Book Antiqua" w:hAnsi="Book Antiqua" w:cs="Book Antiqua"/>
          <w:color w:val="000000"/>
        </w:rPr>
        <w:t xml:space="preserve"> K. COVID-19 in the endoscopy unit: How likely is transmission of infection? Results from an international, multicenter study. </w:t>
      </w:r>
      <w:r w:rsidRPr="00E55E4C">
        <w:rPr>
          <w:rFonts w:ascii="Book Antiqua" w:eastAsia="Book Antiqua" w:hAnsi="Book Antiqua" w:cs="Book Antiqua"/>
          <w:i/>
          <w:iCs/>
          <w:color w:val="000000"/>
        </w:rPr>
        <w:t xml:space="preserve">World J </w:t>
      </w:r>
      <w:proofErr w:type="spellStart"/>
      <w:r w:rsidRPr="00E55E4C">
        <w:rPr>
          <w:rFonts w:ascii="Book Antiqua" w:eastAsia="Book Antiqua" w:hAnsi="Book Antiqua" w:cs="Book Antiqua"/>
          <w:i/>
          <w:iCs/>
          <w:color w:val="000000"/>
        </w:rPr>
        <w:t>Gastrointest</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color w:val="000000"/>
        </w:rPr>
        <w:t xml:space="preserve"> 2021; In press</w:t>
      </w:r>
    </w:p>
    <w:p w14:paraId="448216FB" w14:textId="77777777" w:rsidR="00A77B3E" w:rsidRPr="00E55E4C" w:rsidRDefault="00A77B3E" w:rsidP="00BC3C5D">
      <w:pPr>
        <w:adjustRightInd w:val="0"/>
        <w:snapToGrid w:val="0"/>
        <w:spacing w:line="360" w:lineRule="auto"/>
        <w:jc w:val="both"/>
        <w:rPr>
          <w:rFonts w:ascii="Book Antiqua" w:hAnsi="Book Antiqua"/>
        </w:rPr>
      </w:pPr>
    </w:p>
    <w:p w14:paraId="4DB867D6" w14:textId="618F2156"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Core Tip: </w:t>
      </w:r>
      <w:r w:rsidR="008B5968" w:rsidRPr="00E55E4C">
        <w:rPr>
          <w:rFonts w:ascii="Book Antiqua" w:eastAsia="Book Antiqua" w:hAnsi="Book Antiqua" w:cs="Book Antiqua"/>
          <w:color w:val="000000"/>
        </w:rPr>
        <w:t>Coronavirus disease 2019 (COVID-19)</w:t>
      </w:r>
      <w:r w:rsidRPr="00E55E4C">
        <w:rPr>
          <w:rFonts w:ascii="Book Antiqua" w:eastAsia="Book Antiqua" w:hAnsi="Book Antiqua" w:cs="Book Antiqua"/>
          <w:color w:val="000000"/>
        </w:rPr>
        <w:t xml:space="preserve"> pandemic outbreak caused an unprecedented disruption in everyday endoscopic practice worldwide, with recent guidelines advocating suspension of non-emergency endoscopies, implementation of strict personal protection measures (PPM) and post-endoscopy patients’ evaluation, regarding their COVID-19 status. This was an international, multicenter, study seeking to evaluate the impact of COVID-19 on endoscopy during the first European lockdown (March-May 2020). COVID-19 transmission across endoscopic units proved to be highly unlikely in lockdown circumstances, as long as endoscopy performance is restricted to emergency cases and sufficient PPM are available.</w:t>
      </w:r>
    </w:p>
    <w:p w14:paraId="0EB64404" w14:textId="77777777" w:rsidR="0081315E" w:rsidRDefault="0081315E" w:rsidP="00BC3C5D">
      <w:pPr>
        <w:adjustRightInd w:val="0"/>
        <w:snapToGrid w:val="0"/>
        <w:spacing w:line="360" w:lineRule="auto"/>
        <w:jc w:val="both"/>
        <w:rPr>
          <w:rFonts w:ascii="Book Antiqua" w:hAnsi="Book Antiqua"/>
        </w:rPr>
        <w:sectPr w:rsidR="0081315E">
          <w:pgSz w:w="12240" w:h="15840"/>
          <w:pgMar w:top="1440" w:right="1440" w:bottom="1440" w:left="1440" w:header="720" w:footer="720" w:gutter="0"/>
          <w:cols w:space="720"/>
          <w:docGrid w:linePitch="360"/>
        </w:sectPr>
      </w:pPr>
    </w:p>
    <w:p w14:paraId="271F0FD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lastRenderedPageBreak/>
        <w:t>INTRODUCTION</w:t>
      </w:r>
    </w:p>
    <w:p w14:paraId="6DAF1107" w14:textId="7F52721B"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The pandemic of coronavirus disease 2019 (COVID-19) has spread throughout the world in a short period of time, rapidly affecting medical practice. Although the disease usually manifests with respiratory symptoms, gastrointestinal (GI) symptoms are not rare and, in some cases, constitute basic clinical manifestations</w:t>
      </w:r>
      <w:r w:rsidRPr="00E55E4C">
        <w:rPr>
          <w:rFonts w:ascii="Book Antiqua" w:eastAsia="Book Antiqua" w:hAnsi="Book Antiqua" w:cs="Book Antiqua"/>
          <w:color w:val="000000"/>
          <w:vertAlign w:val="superscript"/>
        </w:rPr>
        <w:t>[</w:t>
      </w:r>
      <w:hyperlink w:anchor="_ENREF_1" w:tooltip="Gu, 2020 #4163" w:history="1">
        <w:r w:rsidRPr="00E55E4C">
          <w:rPr>
            <w:rFonts w:ascii="Book Antiqua" w:eastAsia="Book Antiqua" w:hAnsi="Book Antiqua" w:cs="Book Antiqua"/>
            <w:color w:val="000000"/>
            <w:u w:val="single" w:color="0000EE"/>
            <w:vertAlign w:val="superscript"/>
          </w:rPr>
          <w:t>1</w:t>
        </w:r>
      </w:hyperlink>
      <w:r w:rsidRPr="00E55E4C">
        <w:rPr>
          <w:rFonts w:ascii="Book Antiqua" w:eastAsia="Book Antiqua" w:hAnsi="Book Antiqua" w:cs="Book Antiqua"/>
          <w:color w:val="000000"/>
          <w:vertAlign w:val="superscript"/>
        </w:rPr>
        <w:t>,</w:t>
      </w:r>
      <w:hyperlink w:anchor="_ENREF_2" w:tooltip="Song, 2020 #4164" w:history="1">
        <w:r w:rsidRPr="00E55E4C">
          <w:rPr>
            <w:rFonts w:ascii="Book Antiqua" w:eastAsia="Book Antiqua" w:hAnsi="Book Antiqua" w:cs="Book Antiqua"/>
            <w:color w:val="000000"/>
            <w:u w:val="single" w:color="0000EE"/>
            <w:vertAlign w:val="superscript"/>
          </w:rPr>
          <w:t>2</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GI-endoscopy is considered a risky procedure for transmission of the infection: During endoscopy, close contact of the endoscopist with the patient takes place, respiratory droplets and aerosols are generated and contact with contaminated material, body fluids and </w:t>
      </w:r>
      <w:proofErr w:type="spellStart"/>
      <w:r w:rsidRPr="00E55E4C">
        <w:rPr>
          <w:rFonts w:ascii="Book Antiqua" w:eastAsia="Book Antiqua" w:hAnsi="Book Antiqua" w:cs="Book Antiqua"/>
          <w:color w:val="000000"/>
        </w:rPr>
        <w:t>faeces</w:t>
      </w:r>
      <w:proofErr w:type="spellEnd"/>
      <w:r w:rsidRPr="00E55E4C">
        <w:rPr>
          <w:rFonts w:ascii="Book Antiqua" w:eastAsia="Book Antiqua" w:hAnsi="Book Antiqua" w:cs="Book Antiqua"/>
          <w:color w:val="000000"/>
        </w:rPr>
        <w:t xml:space="preserve"> is likely to occur. Moreover, endoscopy involves also the assisting personnel of the endoscopy units (PEU), </w:t>
      </w:r>
      <w:r w:rsidRPr="00E55E4C">
        <w:rPr>
          <w:rFonts w:ascii="Book Antiqua" w:eastAsia="Book Antiqua" w:hAnsi="Book Antiqua" w:cs="Book Antiqua"/>
          <w:i/>
          <w:iCs/>
          <w:color w:val="000000"/>
        </w:rPr>
        <w:t>i.e.</w:t>
      </w:r>
      <w:r w:rsidRPr="00E55E4C">
        <w:rPr>
          <w:rFonts w:ascii="Book Antiqua" w:eastAsia="Book Antiqua" w:hAnsi="Book Antiqua" w:cs="Book Antiqua"/>
          <w:color w:val="000000"/>
        </w:rPr>
        <w:t>, not only the endoscopist, but also the assisting personnel including nurses and paramedical staff. In light of these considerations, specific protective measures and disinfection procedures have been recommended by scientific societies, as well as renowned experts</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3-5</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Endoscopic societies such as ESGE and ESGENA published timely a joint position statement for GI-endoscopy during the COVID-19 pandemic regarding safe endoscopies for patients and PEU</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suggesting minimization of non-emergency endoscopies, implementation of personal protection measures (PPM), and post-endoscopy calls to patients 7 </w:t>
      </w:r>
      <w:r w:rsidR="00126154" w:rsidRPr="00E55E4C">
        <w:rPr>
          <w:rFonts w:ascii="Book Antiqua" w:eastAsia="Book Antiqua" w:hAnsi="Book Antiqua" w:cs="Book Antiqua"/>
          <w:color w:val="000000"/>
        </w:rPr>
        <w:t xml:space="preserve">d </w:t>
      </w:r>
      <w:r w:rsidRPr="00E55E4C">
        <w:rPr>
          <w:rFonts w:ascii="Book Antiqua" w:eastAsia="Book Antiqua" w:hAnsi="Book Antiqua" w:cs="Book Antiqua"/>
          <w:color w:val="000000"/>
        </w:rPr>
        <w:t>and 14 d after the endoscopy in order to check their COVID-19 status. In a study from the heavily affected Northern Italy, the number of post-endoscopy COVID-19 infections was negligible and the number of infected PEU was very small</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The aim of this study was to evaluate the impact of endoscopic procedures on risk of transmission for patients and PEU on a European multicenter basis, using as tool the telephone contacts suggested by ESGE and ESGENA. </w:t>
      </w:r>
    </w:p>
    <w:p w14:paraId="702D31A7" w14:textId="77777777" w:rsidR="00A77B3E" w:rsidRPr="00E55E4C" w:rsidRDefault="00A77B3E" w:rsidP="00BC3C5D">
      <w:pPr>
        <w:adjustRightInd w:val="0"/>
        <w:snapToGrid w:val="0"/>
        <w:spacing w:line="360" w:lineRule="auto"/>
        <w:jc w:val="both"/>
        <w:rPr>
          <w:rFonts w:ascii="Book Antiqua" w:hAnsi="Book Antiqua"/>
        </w:rPr>
      </w:pPr>
    </w:p>
    <w:p w14:paraId="10D6B41B"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MATERIALS AND METHODS</w:t>
      </w:r>
    </w:p>
    <w:p w14:paraId="72B10831"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Study design</w:t>
      </w:r>
    </w:p>
    <w:p w14:paraId="0C942AE0" w14:textId="2B0CF418"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 xml:space="preserve">This was an international, multicenter study conducted during the period of the first European lockdown for COVID-19 (March-May 2020) in nine high-volume </w:t>
      </w:r>
      <w:r w:rsidR="0093445A" w:rsidRPr="00E55E4C">
        <w:rPr>
          <w:rFonts w:ascii="Book Antiqua" w:eastAsia="Book Antiqua" w:hAnsi="Book Antiqua" w:cs="Book Antiqua"/>
          <w:color w:val="000000"/>
        </w:rPr>
        <w:t xml:space="preserve">endoscopy departments </w:t>
      </w:r>
      <w:r w:rsidRPr="00E55E4C">
        <w:rPr>
          <w:rFonts w:ascii="Book Antiqua" w:eastAsia="Book Antiqua" w:hAnsi="Book Antiqua" w:cs="Book Antiqua"/>
          <w:color w:val="000000"/>
        </w:rPr>
        <w:t xml:space="preserve">across six European countries [Athens, Greece (two centers), Foggia/Verona, Italy (two centers), Brussels, Belgium, Skopje, Republic of North </w:t>
      </w:r>
      <w:r w:rsidRPr="00E55E4C">
        <w:rPr>
          <w:rFonts w:ascii="Book Antiqua" w:eastAsia="Book Antiqua" w:hAnsi="Book Antiqua" w:cs="Book Antiqua"/>
          <w:color w:val="000000"/>
        </w:rPr>
        <w:lastRenderedPageBreak/>
        <w:t xml:space="preserve">Macedonia, Zagreb/Rijeka, Croatia (two centers) and Belgrade, Serbia]. The centers were included, based on their high volume of endoscopic procedures prior to the COVID-19 outbreak and the fact that they represented regions with a high prevalence of the disease on the one side of the spectrum (Verona and Brussels) as well as regions with lower </w:t>
      </w:r>
      <w:proofErr w:type="spellStart"/>
      <w:r w:rsidRPr="00E55E4C">
        <w:rPr>
          <w:rFonts w:ascii="Book Antiqua" w:eastAsia="Book Antiqua" w:hAnsi="Book Antiqua" w:cs="Book Antiqua"/>
          <w:color w:val="000000"/>
        </w:rPr>
        <w:t>prevalences</w:t>
      </w:r>
      <w:proofErr w:type="spellEnd"/>
      <w:r w:rsidRPr="00E55E4C">
        <w:rPr>
          <w:rFonts w:ascii="Book Antiqua" w:eastAsia="Book Antiqua" w:hAnsi="Book Antiqua" w:cs="Book Antiqua"/>
          <w:color w:val="000000"/>
        </w:rPr>
        <w:t xml:space="preserve"> of COVID-19 (centers of the European South). This is analysis of retrospectively collected data within a prospectively built database. </w:t>
      </w:r>
    </w:p>
    <w:p w14:paraId="2617F385" w14:textId="77777777" w:rsidR="00126154" w:rsidRPr="00E55E4C" w:rsidRDefault="00126154" w:rsidP="00BC3C5D">
      <w:pPr>
        <w:adjustRightInd w:val="0"/>
        <w:snapToGrid w:val="0"/>
        <w:spacing w:line="360" w:lineRule="auto"/>
        <w:jc w:val="both"/>
        <w:rPr>
          <w:rFonts w:ascii="Book Antiqua" w:eastAsia="Book Antiqua" w:hAnsi="Book Antiqua" w:cs="Book Antiqua"/>
          <w:b/>
          <w:bCs/>
          <w:i/>
          <w:iCs/>
          <w:color w:val="000000"/>
        </w:rPr>
      </w:pPr>
    </w:p>
    <w:p w14:paraId="2B3D9C95" w14:textId="33FDAE64"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Inclusion criteria</w:t>
      </w:r>
    </w:p>
    <w:p w14:paraId="75ACC55C" w14:textId="732C3D53"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 xml:space="preserve">All consecutive patients undergoing any endoscopic procedure, including upper and lower GI endoscopy (colonoscopy or </w:t>
      </w:r>
      <w:proofErr w:type="spellStart"/>
      <w:r w:rsidRPr="00E55E4C">
        <w:rPr>
          <w:rFonts w:ascii="Book Antiqua" w:eastAsia="Book Antiqua" w:hAnsi="Book Antiqua" w:cs="Book Antiqua"/>
          <w:color w:val="000000"/>
        </w:rPr>
        <w:t>rectosigmoidoscopy</w:t>
      </w:r>
      <w:proofErr w:type="spellEnd"/>
      <w:r w:rsidRPr="00E55E4C">
        <w:rPr>
          <w:rFonts w:ascii="Book Antiqua" w:eastAsia="Book Antiqua" w:hAnsi="Book Antiqua" w:cs="Book Antiqua"/>
          <w:color w:val="000000"/>
        </w:rPr>
        <w:t>), endoscopic retrograde cholangiopancreatography (ERCP) and endoscopic ultrasonography (EUS) during the aforementioned</w:t>
      </w:r>
      <w:r w:rsidR="00126154"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period across each one of the abovementioned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were considered eligible for inclusion. </w:t>
      </w:r>
    </w:p>
    <w:p w14:paraId="03399982" w14:textId="77777777" w:rsidR="00126154" w:rsidRPr="00E55E4C" w:rsidRDefault="00126154" w:rsidP="00BC3C5D">
      <w:pPr>
        <w:adjustRightInd w:val="0"/>
        <w:snapToGrid w:val="0"/>
        <w:spacing w:line="360" w:lineRule="auto"/>
        <w:jc w:val="both"/>
        <w:rPr>
          <w:rFonts w:ascii="Book Antiqua" w:hAnsi="Book Antiqua"/>
        </w:rPr>
      </w:pPr>
    </w:p>
    <w:p w14:paraId="001C5456" w14:textId="53C2C98C"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Study population</w:t>
      </w:r>
    </w:p>
    <w:p w14:paraId="6947F58E" w14:textId="2AFCFE6F"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b/>
          <w:bCs/>
          <w:color w:val="000000"/>
        </w:rPr>
        <w:t>Patients undergoing endoscopy</w:t>
      </w:r>
      <w:r w:rsidR="00126154" w:rsidRPr="00E55E4C">
        <w:rPr>
          <w:rFonts w:ascii="Book Antiqua" w:eastAsia="Book Antiqua" w:hAnsi="Book Antiqua" w:cs="Book Antiqua"/>
          <w:b/>
          <w:bCs/>
          <w:color w:val="000000"/>
        </w:rPr>
        <w:t xml:space="preserve">: </w:t>
      </w:r>
      <w:r w:rsidRPr="00E55E4C">
        <w:rPr>
          <w:rFonts w:ascii="Book Antiqua" w:eastAsia="Book Antiqua" w:hAnsi="Book Antiqua" w:cs="Book Antiqua"/>
          <w:color w:val="000000"/>
        </w:rPr>
        <w:t>According to each center’s triage protocol, the day of the endoscopy or the day before all patients were questioned by one of the predetermined local study’s coordinator for symptoms and contacts that could be linked to COVID-19 and then stratified as low- or high- risk for potential COVID-19 infection, according to the ESGE/ESGENA joint statement</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Demographic data and procedural information regarding the endoscopy performed as well as previous performance of testing for </w:t>
      </w:r>
      <w:r w:rsidR="00126154" w:rsidRPr="00E55E4C">
        <w:rPr>
          <w:rFonts w:ascii="Book Antiqua" w:eastAsia="Book Antiqua" w:hAnsi="Book Antiqua" w:cs="Book Antiqua"/>
          <w:color w:val="000000"/>
        </w:rPr>
        <w:t>severe acute respiratory syndrome coronavirus 2 (</w:t>
      </w:r>
      <w:r w:rsidRPr="00E55E4C">
        <w:rPr>
          <w:rFonts w:ascii="Book Antiqua" w:eastAsia="Book Antiqua" w:hAnsi="Book Antiqua" w:cs="Book Antiqua"/>
          <w:color w:val="000000"/>
        </w:rPr>
        <w:t>SARS-CoV-2</w:t>
      </w:r>
      <w:r w:rsidR="00126154" w:rsidRPr="00E55E4C">
        <w:rPr>
          <w:rFonts w:ascii="Book Antiqua" w:eastAsia="Book Antiqua" w:hAnsi="Book Antiqua" w:cs="Book Antiqua"/>
          <w:color w:val="000000"/>
        </w:rPr>
        <w:t>)</w:t>
      </w:r>
      <w:r w:rsidRPr="00E55E4C">
        <w:rPr>
          <w:rFonts w:ascii="Book Antiqua" w:eastAsia="Book Antiqua" w:hAnsi="Book Antiqua" w:cs="Book Antiqua"/>
          <w:color w:val="000000"/>
        </w:rPr>
        <w:t xml:space="preserve"> were also recorded. Following the ESGE/ESGENA joint statement recommendation regarding post-procedure risk management</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local study coordinators contacted the patients </w:t>
      </w:r>
      <w:r w:rsidRPr="00E55E4C">
        <w:rPr>
          <w:rFonts w:ascii="Book Antiqua" w:eastAsia="Book Antiqua" w:hAnsi="Book Antiqua" w:cs="Book Antiqua"/>
          <w:i/>
          <w:iCs/>
          <w:color w:val="000000"/>
        </w:rPr>
        <w:t>via</w:t>
      </w:r>
      <w:r w:rsidRPr="00E55E4C">
        <w:rPr>
          <w:rFonts w:ascii="Book Antiqua" w:eastAsia="Book Antiqua" w:hAnsi="Book Antiqua" w:cs="Book Antiqua"/>
          <w:color w:val="000000"/>
        </w:rPr>
        <w:t xml:space="preserve"> telephone calls at  day 7 and day 14 after the endoscopy to inquire about any new COVID-19 diagnosis, or development of COVID-19 symptoms. This was carried out by a structured and identical across all centers questionnaire (Supplementary Table 1) filled out for each patient. </w:t>
      </w:r>
      <w:r w:rsidR="007B620E" w:rsidRPr="00E55E4C">
        <w:rPr>
          <w:rFonts w:ascii="Book Antiqua" w:eastAsia="Book Antiqua" w:hAnsi="Book Antiqua" w:cs="Book Antiqua"/>
          <w:color w:val="000000"/>
        </w:rPr>
        <w:t xml:space="preserve">Polymerase </w:t>
      </w:r>
      <w:r w:rsidR="00126154" w:rsidRPr="00E55E4C">
        <w:rPr>
          <w:rFonts w:ascii="Book Antiqua" w:eastAsia="Book Antiqua" w:hAnsi="Book Antiqua" w:cs="Book Antiqua"/>
          <w:color w:val="000000"/>
        </w:rPr>
        <w:t xml:space="preserve">chain reaction (PCR) </w:t>
      </w:r>
      <w:r w:rsidRPr="00E55E4C">
        <w:rPr>
          <w:rFonts w:ascii="Book Antiqua" w:eastAsia="Book Antiqua" w:hAnsi="Book Antiqua" w:cs="Book Antiqua"/>
          <w:color w:val="000000"/>
        </w:rPr>
        <w:t>-</w:t>
      </w:r>
      <w:r w:rsidR="00126154"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testing </w:t>
      </w:r>
      <w:r w:rsidRPr="00E55E4C">
        <w:rPr>
          <w:rFonts w:ascii="Book Antiqua" w:eastAsia="Book Antiqua" w:hAnsi="Book Antiqua" w:cs="Book Antiqua"/>
          <w:i/>
          <w:iCs/>
          <w:color w:val="000000"/>
        </w:rPr>
        <w:t xml:space="preserve">a posteriori </w:t>
      </w:r>
      <w:r w:rsidRPr="00E55E4C">
        <w:rPr>
          <w:rFonts w:ascii="Book Antiqua" w:eastAsia="Book Antiqua" w:hAnsi="Book Antiqua" w:cs="Book Antiqua"/>
          <w:color w:val="000000"/>
        </w:rPr>
        <w:t>the endoscopic procedure</w:t>
      </w:r>
      <w:r w:rsidRPr="00E55E4C">
        <w:rPr>
          <w:rFonts w:ascii="Book Antiqua" w:eastAsia="Book Antiqua" w:hAnsi="Book Antiqua" w:cs="Book Antiqua"/>
          <w:i/>
          <w:iCs/>
          <w:color w:val="000000"/>
        </w:rPr>
        <w:t xml:space="preserve"> </w:t>
      </w:r>
      <w:r w:rsidRPr="00E55E4C">
        <w:rPr>
          <w:rFonts w:ascii="Book Antiqua" w:eastAsia="Book Antiqua" w:hAnsi="Book Antiqua" w:cs="Book Antiqua"/>
          <w:color w:val="000000"/>
        </w:rPr>
        <w:t xml:space="preserve">was possible at physician’s discretion on a case-by-case basis, taking into account each </w:t>
      </w:r>
      <w:r w:rsidRPr="00E55E4C">
        <w:rPr>
          <w:rFonts w:ascii="Book Antiqua" w:eastAsia="Book Antiqua" w:hAnsi="Book Antiqua" w:cs="Book Antiqua"/>
          <w:color w:val="000000"/>
        </w:rPr>
        <w:lastRenderedPageBreak/>
        <w:t xml:space="preserve">patient’s clinical status. For those tested positive after the endoscopic procedure, additional information regarding need for hospitalization, intensive care unit (ICU) - admission for COVID-19 and COVID-19-related deaths were also collected. </w:t>
      </w:r>
    </w:p>
    <w:p w14:paraId="015423EC" w14:textId="77777777" w:rsidR="00126154" w:rsidRPr="00E55E4C" w:rsidRDefault="00126154" w:rsidP="00BC3C5D">
      <w:pPr>
        <w:adjustRightInd w:val="0"/>
        <w:snapToGrid w:val="0"/>
        <w:spacing w:line="360" w:lineRule="auto"/>
        <w:jc w:val="both"/>
        <w:rPr>
          <w:rFonts w:ascii="Book Antiqua" w:hAnsi="Book Antiqua"/>
        </w:rPr>
      </w:pPr>
    </w:p>
    <w:p w14:paraId="1C9E37B4" w14:textId="015C0953" w:rsidR="00A77B3E" w:rsidRPr="00E55E4C" w:rsidRDefault="000B2D6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b/>
          <w:bCs/>
          <w:color w:val="000000"/>
        </w:rPr>
        <w:t>PEU</w:t>
      </w:r>
      <w:r w:rsidR="00126154" w:rsidRPr="00E55E4C">
        <w:rPr>
          <w:rFonts w:ascii="Book Antiqua" w:eastAsia="Book Antiqua" w:hAnsi="Book Antiqua" w:cs="Book Antiqua"/>
          <w:b/>
          <w:bCs/>
          <w:color w:val="000000"/>
        </w:rPr>
        <w:t xml:space="preserve">: </w:t>
      </w:r>
      <w:r w:rsidR="008B5968" w:rsidRPr="00E55E4C">
        <w:rPr>
          <w:rFonts w:ascii="Book Antiqua" w:eastAsia="Book Antiqua" w:hAnsi="Book Antiqua" w:cs="Book Antiqua"/>
          <w:color w:val="000000"/>
        </w:rPr>
        <w:t>PEU</w:t>
      </w:r>
      <w:r w:rsidR="00F728E5" w:rsidRPr="00E55E4C">
        <w:rPr>
          <w:rFonts w:ascii="Book Antiqua" w:eastAsia="Book Antiqua" w:hAnsi="Book Antiqua" w:cs="Book Antiqua"/>
          <w:color w:val="000000"/>
        </w:rPr>
        <w:t xml:space="preserve"> were questioned regarding potential COVID-19 symptoms and/or SARS-CoV-2 infection with the use of a structured questionnaire (Supplementary Table 2). PEU included not only medical and nursing staff, but also assisting staff working in the </w:t>
      </w:r>
      <w:r w:rsidR="008B5968" w:rsidRPr="00E55E4C">
        <w:rPr>
          <w:rFonts w:ascii="Book Antiqua" w:eastAsia="Book Antiqua" w:hAnsi="Book Antiqua" w:cs="Book Antiqua"/>
          <w:color w:val="000000"/>
        </w:rPr>
        <w:t>PEU</w:t>
      </w:r>
      <w:r w:rsidR="00F728E5" w:rsidRPr="00E55E4C">
        <w:rPr>
          <w:rFonts w:ascii="Book Antiqua" w:eastAsia="Book Antiqua" w:hAnsi="Book Antiqua" w:cs="Book Antiqua"/>
          <w:color w:val="000000"/>
        </w:rPr>
        <w:t xml:space="preserve"> who could contact patients or material potentially infected by SARS-CoV-2, </w:t>
      </w:r>
      <w:r w:rsidR="00F728E5" w:rsidRPr="00E55E4C">
        <w:rPr>
          <w:rFonts w:ascii="Book Antiqua" w:eastAsia="Book Antiqua" w:hAnsi="Book Antiqua" w:cs="Book Antiqua"/>
          <w:i/>
          <w:iCs/>
          <w:color w:val="000000"/>
        </w:rPr>
        <w:t>i.e.</w:t>
      </w:r>
      <w:r w:rsidR="00126154" w:rsidRPr="00E55E4C">
        <w:rPr>
          <w:rFonts w:ascii="Book Antiqua" w:eastAsia="Book Antiqua" w:hAnsi="Book Antiqua" w:cs="Book Antiqua"/>
          <w:color w:val="000000"/>
        </w:rPr>
        <w:t>,</w:t>
      </w:r>
      <w:r w:rsidR="00F728E5" w:rsidRPr="00E55E4C">
        <w:rPr>
          <w:rFonts w:ascii="Book Antiqua" w:eastAsia="Book Antiqua" w:hAnsi="Book Antiqua" w:cs="Book Antiqua"/>
          <w:color w:val="000000"/>
        </w:rPr>
        <w:t xml:space="preserve"> cleaning personnel, transporters and secretarial staff of units. For those positive for SARS-CoV-2, information regarding hospitalizations, ICU-admissions and COVID-19-related deaths were collected. Additionally, the final part of the questionnaire recorded the total number of endoscopies conducted pre-, during and post- implementation of COVID-19 transmission preventative measures. </w:t>
      </w:r>
    </w:p>
    <w:p w14:paraId="47EA3FB1" w14:textId="77777777" w:rsidR="00126154" w:rsidRPr="00E55E4C" w:rsidRDefault="00126154" w:rsidP="00BC3C5D">
      <w:pPr>
        <w:adjustRightInd w:val="0"/>
        <w:snapToGrid w:val="0"/>
        <w:spacing w:line="360" w:lineRule="auto"/>
        <w:jc w:val="both"/>
        <w:rPr>
          <w:rFonts w:ascii="Book Antiqua" w:hAnsi="Book Antiqua"/>
          <w:b/>
          <w:bCs/>
        </w:rPr>
      </w:pPr>
    </w:p>
    <w:p w14:paraId="7CCBA95D" w14:textId="009A3B94"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Study endpoints</w:t>
      </w:r>
    </w:p>
    <w:p w14:paraId="2C2D3EBC" w14:textId="077C631A"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The primary endpoint of the study was the incidence of infection among patients that underwent endoscopy during the established time period. Secondary endpoints comprised: (</w:t>
      </w:r>
      <w:r w:rsidR="00126154" w:rsidRPr="00E55E4C">
        <w:rPr>
          <w:rFonts w:ascii="Book Antiqua" w:eastAsia="Book Antiqua" w:hAnsi="Book Antiqua" w:cs="Book Antiqua"/>
          <w:color w:val="000000"/>
        </w:rPr>
        <w:t>1</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I</w:t>
      </w:r>
      <w:r w:rsidRPr="00E55E4C">
        <w:rPr>
          <w:rFonts w:ascii="Book Antiqua" w:eastAsia="Book Antiqua" w:hAnsi="Book Antiqua" w:cs="Book Antiqua"/>
          <w:color w:val="000000"/>
        </w:rPr>
        <w:t>ncidence and outcome of hospitalization, ICU-admission for COVID-19 and COVID-19-related deaths, among patients who tested positive; (</w:t>
      </w:r>
      <w:r w:rsidR="00126154" w:rsidRPr="00E55E4C">
        <w:rPr>
          <w:rFonts w:ascii="Book Antiqua" w:eastAsia="Book Antiqua" w:hAnsi="Book Antiqua" w:cs="Book Antiqua"/>
          <w:color w:val="000000"/>
        </w:rPr>
        <w:t>2</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P</w:t>
      </w:r>
      <w:r w:rsidRPr="00E55E4C">
        <w:rPr>
          <w:rFonts w:ascii="Book Antiqua" w:eastAsia="Book Antiqua" w:hAnsi="Book Antiqua" w:cs="Book Antiqua"/>
          <w:color w:val="000000"/>
        </w:rPr>
        <w:t>revalence of COVID-19 symptoms and/or positive SARS-CoV-2 testing among PEU; (</w:t>
      </w:r>
      <w:r w:rsidR="00126154" w:rsidRPr="00E55E4C">
        <w:rPr>
          <w:rFonts w:ascii="Book Antiqua" w:eastAsia="Book Antiqua" w:hAnsi="Book Antiqua" w:cs="Book Antiqua"/>
          <w:color w:val="000000"/>
        </w:rPr>
        <w:t>3</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I</w:t>
      </w:r>
      <w:r w:rsidRPr="00E55E4C">
        <w:rPr>
          <w:rFonts w:ascii="Book Antiqua" w:eastAsia="Book Antiqua" w:hAnsi="Book Antiqua" w:cs="Book Antiqua"/>
          <w:color w:val="000000"/>
        </w:rPr>
        <w:t xml:space="preserve">ncidence and outcome of hospitalization, ICU-admission for COVID-19 and COVID-19-related deaths, among PEU tested positive; </w:t>
      </w:r>
      <w:r w:rsidR="00126154" w:rsidRPr="00E55E4C">
        <w:rPr>
          <w:rFonts w:ascii="Book Antiqua" w:eastAsia="Book Antiqua" w:hAnsi="Book Antiqua" w:cs="Book Antiqua"/>
          <w:color w:val="000000"/>
        </w:rPr>
        <w:t xml:space="preserve">and </w:t>
      </w:r>
      <w:r w:rsidRPr="00E55E4C">
        <w:rPr>
          <w:rFonts w:ascii="Book Antiqua" w:eastAsia="Book Antiqua" w:hAnsi="Book Antiqua" w:cs="Book Antiqua"/>
          <w:color w:val="000000"/>
        </w:rPr>
        <w:t>(</w:t>
      </w:r>
      <w:r w:rsidR="00126154" w:rsidRPr="00E55E4C">
        <w:rPr>
          <w:rFonts w:ascii="Book Antiqua" w:eastAsia="Book Antiqua" w:hAnsi="Book Antiqua" w:cs="Book Antiqua"/>
          <w:color w:val="000000"/>
        </w:rPr>
        <w:t>4</w:t>
      </w:r>
      <w:r w:rsidRPr="00E55E4C">
        <w:rPr>
          <w:rFonts w:ascii="Book Antiqua" w:eastAsia="Book Antiqua" w:hAnsi="Book Antiqua" w:cs="Book Antiqua"/>
          <w:color w:val="000000"/>
        </w:rPr>
        <w:t>) percentage of decrement in the overall number of endoscopies before and after lockdown measures implementation, as well as implementation of PPM in the study centers.</w:t>
      </w:r>
    </w:p>
    <w:p w14:paraId="5ECC8624" w14:textId="2B933590"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For the purposes of the current study, only PCR - testing was deemed adequately accurate for confirmation of infection`s diagnosis, while rapid tests, when performed needed to be confirmed </w:t>
      </w:r>
      <w:r w:rsidRPr="00E55E4C">
        <w:rPr>
          <w:rFonts w:ascii="Book Antiqua" w:eastAsia="Book Antiqua" w:hAnsi="Book Antiqua" w:cs="Book Antiqua"/>
          <w:i/>
          <w:iCs/>
          <w:color w:val="000000"/>
        </w:rPr>
        <w:t>via</w:t>
      </w:r>
      <w:r w:rsidRPr="00E55E4C">
        <w:rPr>
          <w:rFonts w:ascii="Book Antiqua" w:eastAsia="Book Antiqua" w:hAnsi="Book Antiqua" w:cs="Book Antiqua"/>
          <w:color w:val="000000"/>
        </w:rPr>
        <w:t xml:space="preserve"> PCR.</w:t>
      </w:r>
    </w:p>
    <w:p w14:paraId="6742F6BB" w14:textId="77777777" w:rsidR="00A77B3E" w:rsidRPr="00E55E4C" w:rsidRDefault="00A77B3E" w:rsidP="00BC3C5D">
      <w:pPr>
        <w:adjustRightInd w:val="0"/>
        <w:snapToGrid w:val="0"/>
        <w:spacing w:line="360" w:lineRule="auto"/>
        <w:jc w:val="both"/>
        <w:rPr>
          <w:rFonts w:ascii="Book Antiqua" w:hAnsi="Book Antiqua"/>
        </w:rPr>
      </w:pPr>
    </w:p>
    <w:p w14:paraId="0F00541B"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Statistical analyses</w:t>
      </w:r>
    </w:p>
    <w:p w14:paraId="1AA74011" w14:textId="0DA6D88C" w:rsidR="00A77B3E"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lastRenderedPageBreak/>
        <w:t>Categorical data are presented as number (%) with respective 95% confidence intervals (CI). Distribution of quantitative data was evaluated for normality after Kolmogorov–Smirnov’s statistic and expressed as mean (±</w:t>
      </w:r>
      <w:r w:rsidR="00126154"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 xml:space="preserve">SD) or mean (IQR) according to their distribution. A </w:t>
      </w:r>
      <w:r w:rsidR="0081315E" w:rsidRPr="0081315E">
        <w:rPr>
          <w:rFonts w:ascii="Book Antiqua" w:eastAsia="Book Antiqua" w:hAnsi="Book Antiqua" w:cs="Book Antiqua"/>
          <w:i/>
          <w:iCs/>
          <w:color w:val="000000"/>
        </w:rPr>
        <w:t>P</w:t>
      </w:r>
      <w:r w:rsidR="0081315E">
        <w:rPr>
          <w:rFonts w:ascii="Book Antiqua" w:eastAsia="Book Antiqua" w:hAnsi="Book Antiqua" w:cs="Book Antiqua"/>
          <w:color w:val="000000"/>
        </w:rPr>
        <w:t xml:space="preserve"> </w:t>
      </w:r>
      <w:r w:rsidRPr="00E55E4C">
        <w:rPr>
          <w:rFonts w:ascii="Book Antiqua" w:eastAsia="Book Antiqua" w:hAnsi="Book Antiqua" w:cs="Book Antiqua"/>
          <w:color w:val="000000"/>
        </w:rPr>
        <w:t>value &lt; 0.05 was considered significant. The statistical review of the study was performed by a biomedical statistician (IP).</w:t>
      </w:r>
    </w:p>
    <w:p w14:paraId="5C47D181" w14:textId="77777777" w:rsidR="00126154" w:rsidRPr="00E55E4C" w:rsidRDefault="00126154" w:rsidP="00BC3C5D">
      <w:pPr>
        <w:adjustRightInd w:val="0"/>
        <w:snapToGrid w:val="0"/>
        <w:spacing w:line="360" w:lineRule="auto"/>
        <w:jc w:val="both"/>
        <w:rPr>
          <w:rFonts w:ascii="Book Antiqua" w:eastAsia="Book Antiqua" w:hAnsi="Book Antiqua" w:cs="Book Antiqua"/>
          <w:b/>
          <w:bCs/>
          <w:i/>
          <w:iCs/>
          <w:color w:val="000000"/>
        </w:rPr>
      </w:pPr>
    </w:p>
    <w:p w14:paraId="1D517EC1" w14:textId="2A3C21F0"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Ethica</w:t>
      </w:r>
      <w:r w:rsidR="00126154" w:rsidRPr="00E55E4C">
        <w:rPr>
          <w:rFonts w:ascii="Book Antiqua" w:eastAsia="Book Antiqua" w:hAnsi="Book Antiqua" w:cs="Book Antiqua"/>
          <w:b/>
          <w:bCs/>
          <w:i/>
          <w:iCs/>
          <w:color w:val="000000"/>
        </w:rPr>
        <w:t>l ap</w:t>
      </w:r>
      <w:r w:rsidRPr="00E55E4C">
        <w:rPr>
          <w:rFonts w:ascii="Book Antiqua" w:eastAsia="Book Antiqua" w:hAnsi="Book Antiqua" w:cs="Book Antiqua"/>
          <w:b/>
          <w:bCs/>
          <w:i/>
          <w:iCs/>
          <w:color w:val="000000"/>
        </w:rPr>
        <w:t>proval</w:t>
      </w:r>
    </w:p>
    <w:p w14:paraId="5A787CE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The protocol of this study was reviewed and approved by the local Institutional Review Board (BΠΠΚ EBΔ 320/10-6-20). The study was conducted in accordance with the ethical principles of the Declaration of Helsinki and in compliance with good clinical practice.</w:t>
      </w:r>
    </w:p>
    <w:p w14:paraId="5B5C1B4E" w14:textId="77777777" w:rsidR="00A77B3E" w:rsidRPr="00E55E4C" w:rsidRDefault="00A77B3E" w:rsidP="00BC3C5D">
      <w:pPr>
        <w:adjustRightInd w:val="0"/>
        <w:snapToGrid w:val="0"/>
        <w:spacing w:line="360" w:lineRule="auto"/>
        <w:jc w:val="both"/>
        <w:rPr>
          <w:rFonts w:ascii="Book Antiqua" w:hAnsi="Book Antiqua"/>
        </w:rPr>
      </w:pPr>
    </w:p>
    <w:p w14:paraId="77906F6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RESULTS</w:t>
      </w:r>
    </w:p>
    <w:p w14:paraId="2144A3C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Overall, 1267 endoscopies were performed in 1222 patients during the study’s time period. Of them, 87 (7%) were excluded due to initial positive testing, thus 1135 patients were enrolled in the study (Figure 1). Patients’ baseline characteristics and recruitment rate per center are presented in Table 1.</w:t>
      </w:r>
    </w:p>
    <w:p w14:paraId="614D0DA5" w14:textId="77777777" w:rsidR="00A77B3E" w:rsidRPr="00E55E4C" w:rsidRDefault="00A77B3E" w:rsidP="00BC3C5D">
      <w:pPr>
        <w:adjustRightInd w:val="0"/>
        <w:snapToGrid w:val="0"/>
        <w:spacing w:line="360" w:lineRule="auto"/>
        <w:jc w:val="both"/>
        <w:rPr>
          <w:rFonts w:ascii="Book Antiqua" w:hAnsi="Book Antiqua"/>
        </w:rPr>
      </w:pPr>
    </w:p>
    <w:p w14:paraId="64115DCA"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Primary endpoint</w:t>
      </w:r>
    </w:p>
    <w:p w14:paraId="0947E8FA" w14:textId="06CD5A4C"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Among the 1135 enrolled patients, 254 (22.4%) were retested the days following endoscopy due to new symptoms onset that could indicate a potential COVID-19 infection and eight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8) were eventually found positive. Thus, the incidence of infection among patients undergoing endoscopy was 0.7% (95%CI: 0.2-0.12). Of these eight patients, the majority had undergone upper GI-endoscopy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6/8, 75%), while a negative pre-endoscopy PCR testing was available in only one case. A detailed overview of the infected patients’ characteristics is presented in Table 2. </w:t>
      </w:r>
    </w:p>
    <w:p w14:paraId="26C16316" w14:textId="77777777" w:rsidR="00A77B3E" w:rsidRPr="00E55E4C" w:rsidRDefault="00A77B3E" w:rsidP="00BC3C5D">
      <w:pPr>
        <w:adjustRightInd w:val="0"/>
        <w:snapToGrid w:val="0"/>
        <w:spacing w:line="360" w:lineRule="auto"/>
        <w:jc w:val="both"/>
        <w:rPr>
          <w:rFonts w:ascii="Book Antiqua" w:hAnsi="Book Antiqua"/>
        </w:rPr>
      </w:pPr>
    </w:p>
    <w:p w14:paraId="64031988" w14:textId="77777777" w:rsidR="00A77B3E" w:rsidRPr="00E55E4C" w:rsidRDefault="00F728E5" w:rsidP="00BC3C5D">
      <w:pPr>
        <w:adjustRightInd w:val="0"/>
        <w:snapToGrid w:val="0"/>
        <w:spacing w:line="360" w:lineRule="auto"/>
        <w:jc w:val="both"/>
        <w:rPr>
          <w:rFonts w:ascii="Book Antiqua" w:hAnsi="Book Antiqua"/>
          <w:b/>
          <w:bCs/>
        </w:rPr>
      </w:pPr>
      <w:r w:rsidRPr="00E55E4C">
        <w:rPr>
          <w:rFonts w:ascii="Book Antiqua" w:eastAsia="Book Antiqua" w:hAnsi="Book Antiqua" w:cs="Book Antiqua"/>
          <w:b/>
          <w:bCs/>
          <w:i/>
          <w:iCs/>
          <w:color w:val="000000"/>
        </w:rPr>
        <w:t>Secondary endpoints</w:t>
      </w:r>
    </w:p>
    <w:p w14:paraId="60603DEC" w14:textId="3B1327C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Of the eight SARS-CoV-2 positive cases, 2 (25%) presented with a very mild illness and did not require hospitalization at all; the other 6 (75%) were hospitalized at some point, </w:t>
      </w:r>
      <w:r w:rsidRPr="00E55E4C">
        <w:rPr>
          <w:rFonts w:ascii="Book Antiqua" w:eastAsia="Book Antiqua" w:hAnsi="Book Antiqua" w:cs="Book Antiqua"/>
          <w:color w:val="000000"/>
        </w:rPr>
        <w:lastRenderedPageBreak/>
        <w:t>with 2 (33.3%) of them finally dying due to COVID-19. Another 2 (33.3%) patients died, but the cause of death was considered their underlying cancer while the rest 2 (33.3%) were discharged to home and to a nursing residency, respectively.  </w:t>
      </w:r>
    </w:p>
    <w:p w14:paraId="67346AD6" w14:textId="68EAA4E2"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Overall, data regarding COVID-19 infection status of 163 PEU from the nine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were recorded. These included 84/163 (51.5%) physicians (attendings as well as trainees), 62/163 (38%) nurses and 17/163 (10.4%) assisting staff working exclusively (or mostly) in the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t>
      </w:r>
      <w:r w:rsidRPr="00E55E4C">
        <w:rPr>
          <w:rFonts w:ascii="Book Antiqua" w:eastAsia="Book Antiqua" w:hAnsi="Book Antiqua" w:cs="Book Antiqua"/>
          <w:i/>
          <w:iCs/>
          <w:color w:val="000000"/>
        </w:rPr>
        <w:t>i.e.</w:t>
      </w:r>
      <w:r w:rsidRPr="00E55E4C">
        <w:rPr>
          <w:rFonts w:ascii="Book Antiqua" w:eastAsia="Book Antiqua" w:hAnsi="Book Antiqua" w:cs="Book Antiqua"/>
          <w:color w:val="000000"/>
        </w:rPr>
        <w:t>, cleaning personnel, transporters and secretarial staff of the units). Overall, 5/163 of the total PEU tested positive during the study period (2 physicians, 3 nurses), giving an incidence of infection of 3% (95%CI: 0.4-5.7). In the majority of them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4, 80%), the infection was considered to be associated to their work environment. These cases represent 2.3% (4/163) of the total PEU of our study and 7% and 16.6% of the PEU of their own units, respectively. </w:t>
      </w:r>
    </w:p>
    <w:p w14:paraId="799C924F" w14:textId="12AEF01D"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None (0/5) of the infected PEU developed severe disease, none required hospitalization and no COVID-19 related death of the PEU that were included in our study occurred. </w:t>
      </w:r>
    </w:p>
    <w:p w14:paraId="24E58D57" w14:textId="05C9C2A9"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Preventative measures in accordance with the ESGE/ESGENA position statement (reduction of cases to focus on emergency therapies, use of PPM </w:t>
      </w:r>
      <w:r w:rsidRPr="00E55E4C">
        <w:rPr>
          <w:rFonts w:ascii="Book Antiqua" w:eastAsia="Book Antiqua" w:hAnsi="Book Antiqua" w:cs="Book Antiqua"/>
          <w:i/>
          <w:iCs/>
          <w:color w:val="000000"/>
        </w:rPr>
        <w:t>i.e.</w:t>
      </w:r>
      <w:r w:rsidRPr="00E55E4C">
        <w:rPr>
          <w:rFonts w:ascii="Book Antiqua" w:eastAsia="Book Antiqua" w:hAnsi="Book Antiqua" w:cs="Book Antiqua"/>
          <w:color w:val="000000"/>
        </w:rPr>
        <w:t>, gowns, goggles and masks) were implemented and adhered in all participating centers during the initial phase of the study (spanning from the 9</w:t>
      </w:r>
      <w:r w:rsidR="00126154" w:rsidRPr="00E55E4C">
        <w:rPr>
          <w:rFonts w:ascii="Book Antiqua" w:eastAsia="Book Antiqua" w:hAnsi="Book Antiqua" w:cs="Book Antiqua"/>
          <w:color w:val="000000"/>
        </w:rPr>
        <w:t xml:space="preserve"> March, 2020</w:t>
      </w:r>
      <w:r w:rsidRPr="00E55E4C">
        <w:rPr>
          <w:rFonts w:ascii="Book Antiqua" w:eastAsia="Book Antiqua" w:hAnsi="Book Antiqua" w:cs="Book Antiqua"/>
          <w:color w:val="000000"/>
        </w:rPr>
        <w:t xml:space="preserve"> to the 23 March</w:t>
      </w:r>
      <w:r w:rsidR="00126154" w:rsidRPr="00E55E4C">
        <w:rPr>
          <w:rFonts w:ascii="Book Antiqua" w:eastAsia="Book Antiqua" w:hAnsi="Book Antiqua" w:cs="Book Antiqua"/>
          <w:color w:val="000000"/>
        </w:rPr>
        <w:t>,</w:t>
      </w:r>
      <w:r w:rsidRPr="00E55E4C">
        <w:rPr>
          <w:rFonts w:ascii="Book Antiqua" w:eastAsia="Book Antiqua" w:hAnsi="Book Antiqua" w:cs="Book Antiqua"/>
          <w:color w:val="000000"/>
        </w:rPr>
        <w:t xml:space="preserve"> 2020). Overall, a significant reduction in the number of endoscopies was evident throughout all participating centers after March 2020 (Figure 2). In detail, one week before implementation of the ESGE/ESGENA position statement the total number of endoscopies across all centers was 534 (246 upper GI-endoscopies, 209 colonoscopies/</w:t>
      </w:r>
      <w:proofErr w:type="spellStart"/>
      <w:r w:rsidRPr="00E55E4C">
        <w:rPr>
          <w:rFonts w:ascii="Book Antiqua" w:eastAsia="Book Antiqua" w:hAnsi="Book Antiqua" w:cs="Book Antiqua"/>
          <w:color w:val="000000"/>
        </w:rPr>
        <w:t>rectosigmoidoscopies</w:t>
      </w:r>
      <w:proofErr w:type="spellEnd"/>
      <w:r w:rsidRPr="00E55E4C">
        <w:rPr>
          <w:rFonts w:ascii="Book Antiqua" w:eastAsia="Book Antiqua" w:hAnsi="Book Antiqua" w:cs="Book Antiqua"/>
          <w:color w:val="000000"/>
        </w:rPr>
        <w:t xml:space="preserve">, 56 ERCPs and 23 EUS). During the 6 following weeks this number gradually dropped, reaching a plateau phase with a mean of 167 ± 14 endoscopies per week, estimating a 68.7% (95%CI: 64.8-72.7) decrease in endoscopic procedures performance. </w:t>
      </w:r>
    </w:p>
    <w:p w14:paraId="156BFF27" w14:textId="77777777" w:rsidR="00A77B3E" w:rsidRPr="00E55E4C" w:rsidRDefault="00A77B3E" w:rsidP="00BC3C5D">
      <w:pPr>
        <w:adjustRightInd w:val="0"/>
        <w:snapToGrid w:val="0"/>
        <w:spacing w:line="360" w:lineRule="auto"/>
        <w:jc w:val="both"/>
        <w:rPr>
          <w:rFonts w:ascii="Book Antiqua" w:hAnsi="Book Antiqua"/>
        </w:rPr>
      </w:pPr>
    </w:p>
    <w:p w14:paraId="6B2825A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DISCUSSION</w:t>
      </w:r>
    </w:p>
    <w:p w14:paraId="7E39512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lastRenderedPageBreak/>
        <w:t>Endoscopic procedures were deemed as risky procedures for bidirectional COVID-19 infection transmission</w:t>
      </w:r>
      <w:r w:rsidRPr="00E55E4C">
        <w:rPr>
          <w:rFonts w:ascii="Book Antiqua" w:eastAsia="Book Antiqua" w:hAnsi="Book Antiqua" w:cs="Book Antiqua"/>
          <w:color w:val="000000"/>
          <w:vertAlign w:val="superscript"/>
        </w:rPr>
        <w:t>[</w:t>
      </w:r>
      <w:hyperlink w:anchor="_ENREF_1" w:tooltip="Gu, 2020 #4163" w:history="1">
        <w:r w:rsidRPr="00E55E4C">
          <w:rPr>
            <w:rFonts w:ascii="Book Antiqua" w:eastAsia="Book Antiqua" w:hAnsi="Book Antiqua" w:cs="Book Antiqua"/>
            <w:color w:val="000000"/>
            <w:u w:val="single" w:color="0000EE"/>
            <w:vertAlign w:val="superscript"/>
          </w:rPr>
          <w:t>1</w:t>
        </w:r>
      </w:hyperlink>
      <w:r w:rsidRPr="00E55E4C">
        <w:rPr>
          <w:rFonts w:ascii="Book Antiqua" w:eastAsia="Book Antiqua" w:hAnsi="Book Antiqua" w:cs="Book Antiqua"/>
          <w:color w:val="000000"/>
          <w:vertAlign w:val="superscript"/>
        </w:rPr>
        <w:t>,</w:t>
      </w:r>
      <w:hyperlink w:anchor="_ENREF_2" w:tooltip="Song, 2020 #4164" w:history="1">
        <w:r w:rsidRPr="00E55E4C">
          <w:rPr>
            <w:rFonts w:ascii="Book Antiqua" w:eastAsia="Book Antiqua" w:hAnsi="Book Antiqua" w:cs="Book Antiqua"/>
            <w:color w:val="000000"/>
            <w:u w:val="single" w:color="0000EE"/>
            <w:vertAlign w:val="superscript"/>
          </w:rPr>
          <w:t>2</w:t>
        </w:r>
      </w:hyperlink>
      <w:r w:rsidRPr="00E55E4C">
        <w:rPr>
          <w:rFonts w:ascii="Book Antiqua" w:eastAsia="Book Antiqua" w:hAnsi="Book Antiqua" w:cs="Book Antiqua"/>
          <w:color w:val="000000"/>
          <w:vertAlign w:val="superscript"/>
        </w:rPr>
        <w:t>,</w:t>
      </w:r>
      <w:hyperlink w:anchor="_ENREF_7" w:tooltip="Ang, 2020 #4169" w:history="1">
        <w:r w:rsidRPr="00E55E4C">
          <w:rPr>
            <w:rFonts w:ascii="Book Antiqua" w:eastAsia="Book Antiqua" w:hAnsi="Book Antiqua" w:cs="Book Antiqua"/>
            <w:color w:val="000000"/>
            <w:u w:val="single" w:color="0000EE"/>
            <w:vertAlign w:val="superscript"/>
          </w:rPr>
          <w:t>7</w:t>
        </w:r>
      </w:hyperlink>
      <w:r w:rsidRPr="00E55E4C">
        <w:rPr>
          <w:rFonts w:ascii="Book Antiqua" w:eastAsia="Book Antiqua" w:hAnsi="Book Antiqua" w:cs="Book Antiqua"/>
          <w:color w:val="000000"/>
          <w:vertAlign w:val="superscript"/>
        </w:rPr>
        <w:t>,</w:t>
      </w:r>
      <w:hyperlink w:anchor="_ENREF_8" w:tooltip="Tian, 2020 #4171" w:history="1">
        <w:r w:rsidRPr="00E55E4C">
          <w:rPr>
            <w:rFonts w:ascii="Book Antiqua" w:eastAsia="Book Antiqua" w:hAnsi="Book Antiqua" w:cs="Book Antiqua"/>
            <w:color w:val="000000"/>
            <w:u w:val="single" w:color="0000EE"/>
            <w:vertAlign w:val="superscript"/>
          </w:rPr>
          <w:t>8</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In this analysis of retrospectively collected data within a prospectively built database conducted across nine European endoscopic facilities, we showed that risk of COVID-19 infection for patients undergoing GI endoscopy is extremely low in a lockdown setting, underlining the value of following ESGE/ESGENA recommendations to address the danger of COVID-19 infection in everyday, real-world clinical practice. </w:t>
      </w:r>
    </w:p>
    <w:p w14:paraId="77EA5AB1" w14:textId="24812450"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Although COVID-19 infection and its potential implications have been at the focal point of ongoing research worldwide, evidence regarding this risk for professional and patient infection post-endoscopy remain scarce</w:t>
      </w:r>
      <w:r w:rsidRPr="00E55E4C">
        <w:rPr>
          <w:rFonts w:ascii="Book Antiqua" w:eastAsia="Book Antiqua" w:hAnsi="Book Antiqua" w:cs="Book Antiqua"/>
          <w:color w:val="000000"/>
          <w:vertAlign w:val="superscript"/>
        </w:rPr>
        <w:t>[</w:t>
      </w:r>
      <w:hyperlink w:anchor="_ENREF_9" w:tooltip="Gines, 2020 #4177" w:history="1">
        <w:r w:rsidRPr="00E55E4C">
          <w:rPr>
            <w:rFonts w:ascii="Book Antiqua" w:eastAsia="Book Antiqua" w:hAnsi="Book Antiqua" w:cs="Book Antiqua"/>
            <w:color w:val="000000"/>
            <w:u w:val="single" w:color="0000EE"/>
            <w:vertAlign w:val="superscript"/>
          </w:rPr>
          <w:t>9</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In one of the few studies, </w:t>
      </w:r>
      <w:proofErr w:type="spellStart"/>
      <w:r w:rsidRPr="00E55E4C">
        <w:rPr>
          <w:rFonts w:ascii="Book Antiqua" w:eastAsia="Book Antiqua" w:hAnsi="Book Antiqua" w:cs="Book Antiqua"/>
          <w:color w:val="000000"/>
        </w:rPr>
        <w:t>Repici</w:t>
      </w:r>
      <w:proofErr w:type="spellEnd"/>
      <w:r w:rsidRPr="00E55E4C">
        <w:rPr>
          <w:rFonts w:ascii="Book Antiqua" w:eastAsia="Book Antiqua" w:hAnsi="Book Antiqua" w:cs="Book Antiqua"/>
          <w:color w:val="000000"/>
        </w:rPr>
        <w:t xml:space="preserve"> </w:t>
      </w:r>
      <w:r w:rsidRPr="00E55E4C">
        <w:rPr>
          <w:rFonts w:ascii="Book Antiqua" w:eastAsia="Book Antiqua" w:hAnsi="Book Antiqua" w:cs="Book Antiqua"/>
          <w:i/>
          <w:iCs/>
          <w:color w:val="000000"/>
        </w:rPr>
        <w:t>et al</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analyzed retrospectively data from 802 patients and 968 PEU across 41 hospitals in Northern Italy. Their results suggested that the number of post-endoscopy patient infections is negligible (namely 1 infection out of 802 patients - proven infection rate of 0.12%). Similarly in a much smaller multicenter, retrospective study, patients that underwent stent placement for upper </w:t>
      </w:r>
      <w:r w:rsidR="008B5968" w:rsidRPr="00E55E4C">
        <w:rPr>
          <w:rFonts w:ascii="Book Antiqua" w:eastAsia="Book Antiqua" w:hAnsi="Book Antiqua" w:cs="Book Antiqua"/>
          <w:color w:val="000000"/>
        </w:rPr>
        <w:t>GI</w:t>
      </w:r>
      <w:r w:rsidRPr="00E55E4C">
        <w:rPr>
          <w:rFonts w:ascii="Book Antiqua" w:eastAsia="Book Antiqua" w:hAnsi="Book Antiqua" w:cs="Book Antiqua"/>
          <w:color w:val="000000"/>
        </w:rPr>
        <w:t xml:space="preserve"> obstruction were evaluated</w:t>
      </w:r>
      <w:r w:rsidRPr="00E55E4C">
        <w:rPr>
          <w:rFonts w:ascii="Book Antiqua" w:eastAsia="Book Antiqua" w:hAnsi="Book Antiqua" w:cs="Book Antiqua"/>
          <w:color w:val="000000"/>
          <w:vertAlign w:val="superscript"/>
        </w:rPr>
        <w:t>[</w:t>
      </w:r>
      <w:hyperlink w:anchor="_ENREF_10" w:tooltip="Rodrigues-Pinto, 2021 #4176" w:history="1">
        <w:r w:rsidRPr="00E55E4C">
          <w:rPr>
            <w:rFonts w:ascii="Book Antiqua" w:eastAsia="Book Antiqua" w:hAnsi="Book Antiqua" w:cs="Book Antiqua"/>
            <w:color w:val="000000"/>
            <w:u w:val="single" w:color="0000EE"/>
            <w:vertAlign w:val="superscript"/>
          </w:rPr>
          <w:t>10</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only one out of 29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1/29, 3.4%) was tested positive for SARS-CoV-2 after the procedure, while all medical staff involved in stenting procedures remained COVID-19 free 14 d later. Results of our multicenter study are also in the same direction, as only 8 out of the 1135 patients who were deemed pre-endoscopically SARS-CoV-2 Low risk or negative, became positive. Indeed, these results are further corroborated by the findings of a recent cross-sectional study. In a high-volume Japanese endoscopic facility, not a single positive result was detected among 783 PCR-analyzed saliva samples from patients undergoing endoscopic procedures</w:t>
      </w:r>
      <w:r w:rsidRPr="00E55E4C">
        <w:rPr>
          <w:rFonts w:ascii="Book Antiqua" w:eastAsia="Book Antiqua" w:hAnsi="Book Antiqua" w:cs="Book Antiqua"/>
          <w:color w:val="000000"/>
          <w:vertAlign w:val="superscript"/>
        </w:rPr>
        <w:t>[</w:t>
      </w:r>
      <w:hyperlink w:anchor="_ENREF_11" w:tooltip="Miyake, 2021 #4181" w:history="1">
        <w:r w:rsidRPr="00E55E4C">
          <w:rPr>
            <w:rFonts w:ascii="Book Antiqua" w:eastAsia="Book Antiqua" w:hAnsi="Book Antiqua" w:cs="Book Antiqua"/>
            <w:color w:val="000000"/>
            <w:u w:val="single" w:color="0000EE"/>
            <w:vertAlign w:val="superscript"/>
          </w:rPr>
          <w:t>11</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p>
    <w:p w14:paraId="74A6344E" w14:textId="6CBC8D0C"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Regarding PEU infection after endoscopy, our study also concurs to that of </w:t>
      </w:r>
      <w:proofErr w:type="spellStart"/>
      <w:r w:rsidRPr="00E55E4C">
        <w:rPr>
          <w:rFonts w:ascii="Book Antiqua" w:eastAsia="Book Antiqua" w:hAnsi="Book Antiqua" w:cs="Book Antiqua"/>
          <w:color w:val="000000"/>
        </w:rPr>
        <w:t>Repici</w:t>
      </w:r>
      <w:proofErr w:type="spellEnd"/>
      <w:r w:rsidRPr="00E55E4C">
        <w:rPr>
          <w:rFonts w:ascii="Book Antiqua" w:eastAsia="Book Antiqua" w:hAnsi="Book Antiqua" w:cs="Book Antiqua"/>
          <w:color w:val="000000"/>
        </w:rPr>
        <w:t xml:space="preserve"> </w:t>
      </w:r>
      <w:r w:rsidRPr="00E55E4C">
        <w:rPr>
          <w:rFonts w:ascii="Book Antiqua" w:eastAsia="Book Antiqua" w:hAnsi="Book Antiqua" w:cs="Book Antiqua"/>
          <w:i/>
          <w:iCs/>
          <w:color w:val="000000"/>
        </w:rPr>
        <w:t>et al</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showing a very low risk for PEU contamination. Indeed, the Italian study demonstrated  a very small number of infected PEU (42 cases, which represents a mere 4.3% of the total PEU of their study, with 85.7% of infections occurring before PPM were introduced); moreover, even for those PEU who were infected, less than 1% needed hospitalization and none required admission in </w:t>
      </w:r>
      <w:r w:rsidR="00126154" w:rsidRPr="00E55E4C">
        <w:rPr>
          <w:rFonts w:ascii="Book Antiqua" w:eastAsia="Book Antiqua" w:hAnsi="Book Antiqua" w:cs="Book Antiqua"/>
          <w:color w:val="000000"/>
        </w:rPr>
        <w:t>ICU</w:t>
      </w:r>
      <w:r w:rsidRPr="00E55E4C">
        <w:rPr>
          <w:rFonts w:ascii="Book Antiqua" w:eastAsia="Book Antiqua" w:hAnsi="Book Antiqua" w:cs="Book Antiqua"/>
          <w:color w:val="000000"/>
        </w:rPr>
        <w:t xml:space="preserve"> or died</w:t>
      </w:r>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Outside Europe, the risk </w:t>
      </w:r>
      <w:r w:rsidRPr="00E55E4C">
        <w:rPr>
          <w:rFonts w:ascii="Book Antiqua" w:eastAsia="Book Antiqua" w:hAnsi="Book Antiqua" w:cs="Book Antiqua"/>
          <w:color w:val="000000"/>
        </w:rPr>
        <w:lastRenderedPageBreak/>
        <w:t>of COVID-19 infection for PEU may be even higher reaching up to 23.9%, especially among endoscopy technicians</w:t>
      </w:r>
      <w:r w:rsidRPr="00E55E4C">
        <w:rPr>
          <w:rFonts w:ascii="Book Antiqua" w:eastAsia="Book Antiqua" w:hAnsi="Book Antiqua" w:cs="Book Antiqua"/>
          <w:color w:val="000000"/>
          <w:vertAlign w:val="superscript"/>
        </w:rPr>
        <w:t>[</w:t>
      </w:r>
      <w:hyperlink w:anchor="_ENREF_12" w:tooltip="Kumar Goenka, 2021 #4182" w:history="1">
        <w:r w:rsidRPr="00E55E4C">
          <w:rPr>
            <w:rFonts w:ascii="Book Antiqua" w:eastAsia="Book Antiqua" w:hAnsi="Book Antiqua" w:cs="Book Antiqua"/>
            <w:color w:val="000000"/>
            <w:u w:val="single" w:color="0000EE"/>
            <w:vertAlign w:val="superscript"/>
          </w:rPr>
          <w:t>12</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Our study showed even more impressive results with only 5 PEU testing positive during the study period, representing a 3% of the total PEU involved in the endoscopies that were performed in the study and in only 4 of the total PEU included in our study (1 physician, 3 nurses) was the infection considered to be linked to their work. As in the Italian study, none of the infected PEU of our study group developed severe disease, neither required hospitalization nor died, compared to 2 COVID-19-related deaths that occurred among the 8 patients that became positive post-endoscopy. Whether this was merely a random association, or a result of the younger age and better health status of the PEU compared to that of our patient population -who were severely ill individuals undergoing emergency endoscopies- remains unclear. Published data suggest that PEU, when affected, suffer a relatively mild disease, but as the numbers are extremely small, we cannot provide further insights</w:t>
      </w:r>
      <w:r w:rsidRPr="00E55E4C">
        <w:rPr>
          <w:rFonts w:ascii="Book Antiqua" w:eastAsia="Book Antiqua" w:hAnsi="Book Antiqua" w:cs="Book Antiqua"/>
          <w:color w:val="000000"/>
          <w:vertAlign w:val="superscript"/>
        </w:rPr>
        <w:t>[</w:t>
      </w:r>
      <w:hyperlink w:anchor="_ENREF_5" w:tooltip="Lui, 2020 #4174" w:history="1">
        <w:r w:rsidRPr="00E55E4C">
          <w:rPr>
            <w:rFonts w:ascii="Book Antiqua" w:eastAsia="Book Antiqua" w:hAnsi="Book Antiqua" w:cs="Book Antiqua"/>
            <w:color w:val="000000"/>
            <w:u w:val="single" w:color="0000EE"/>
            <w:vertAlign w:val="superscript"/>
          </w:rPr>
          <w:t>5</w:t>
        </w:r>
      </w:hyperlink>
      <w:r w:rsidRPr="00E55E4C">
        <w:rPr>
          <w:rFonts w:ascii="Book Antiqua" w:eastAsia="Book Antiqua" w:hAnsi="Book Antiqua" w:cs="Book Antiqua"/>
          <w:color w:val="000000"/>
          <w:vertAlign w:val="superscript"/>
        </w:rPr>
        <w:t>,</w:t>
      </w:r>
      <w:hyperlink w:anchor="_ENREF_6" w:tooltip="Repici, 2020 #4168" w:history="1">
        <w:r w:rsidRPr="00E55E4C">
          <w:rPr>
            <w:rFonts w:ascii="Book Antiqua" w:eastAsia="Book Antiqua" w:hAnsi="Book Antiqua" w:cs="Book Antiqua"/>
            <w:color w:val="000000"/>
            <w:u w:val="single" w:color="0000EE"/>
            <w:vertAlign w:val="superscript"/>
          </w:rPr>
          <w:t>6</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Notably, a case-by-case analysis revealed a clustering of infections, as all PEU found positive worked in a unit performing almost exclusively ERCPs. A possible explanation could be speculated based on the longer duration of these particular examinations compared to standard upper GI-endoscopies, resulting in increased risk for transmission.</w:t>
      </w:r>
    </w:p>
    <w:p w14:paraId="273185DB" w14:textId="77777777"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Pre-endoscopic testing for COVID-19 was available only for one fourth of the patients of our study (326/1222, 26.7%). One might consider this percentage low; however, it should be underlined that this policy is in accordance with the ESGE/ESGENA recommendations that do not advocate SARS-CoV-2 tests as a prerequisite for GI-endoscopy. Contrariwise, they put a spotlight on appropriate triaging of non-emergency endoscopies and PPM. Our low post-endoscopy infection rates for both patients and PEU seem to justify these suggestions. </w:t>
      </w:r>
    </w:p>
    <w:p w14:paraId="31E8DD3B" w14:textId="2808AD72"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The finding that COVID-19 pandemic led to significant reduction in the volume of endoscopic procedures is not novel. Beyond patients’ stratification as low- or high- risk for potential COVID-19 infection, the position statement for GI-endoscopy during the COVID-19 pandemic by ESGE/ESGENA, also clearly lists which endoscopic procedures should be definitely performed and which can be postponed, policy uniformly applied </w:t>
      </w:r>
      <w:r w:rsidRPr="00E55E4C">
        <w:rPr>
          <w:rFonts w:ascii="Book Antiqua" w:eastAsia="Book Antiqua" w:hAnsi="Book Antiqua" w:cs="Book Antiqua"/>
          <w:color w:val="000000"/>
        </w:rPr>
        <w:lastRenderedPageBreak/>
        <w:t xml:space="preserve">all participating centers of our study, as well. Thus, all the endoscopies performed in our series, if not emergency were nevertheless completely necessary and none were pure elective. Still, the optimal policy, when resumption of endoscopy services comes into question remains to be elucidated. In this regard, a stepwise approach taking into account: </w:t>
      </w:r>
      <w:r w:rsidR="00126154" w:rsidRPr="00E55E4C">
        <w:rPr>
          <w:rFonts w:ascii="Book Antiqua" w:eastAsia="Book Antiqua" w:hAnsi="Book Antiqua" w:cs="Book Antiqua"/>
          <w:color w:val="000000"/>
        </w:rPr>
        <w:t>(1</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T</w:t>
      </w:r>
      <w:r w:rsidRPr="00E55E4C">
        <w:rPr>
          <w:rFonts w:ascii="Book Antiqua" w:eastAsia="Book Antiqua" w:hAnsi="Book Antiqua" w:cs="Book Antiqua"/>
          <w:color w:val="000000"/>
        </w:rPr>
        <w:t>he regional prevalence of COVID-19 with stricter guidelines in endoscopy and use of PPE in high-prevalence (&gt;</w:t>
      </w:r>
      <w:r w:rsidR="00126154"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2%) areas</w:t>
      </w:r>
      <w:r w:rsidRPr="00E55E4C">
        <w:rPr>
          <w:rFonts w:ascii="Book Antiqua" w:eastAsia="Book Antiqua" w:hAnsi="Book Antiqua" w:cs="Book Antiqua"/>
          <w:color w:val="000000"/>
          <w:vertAlign w:val="superscript"/>
        </w:rPr>
        <w:t>[</w:t>
      </w:r>
      <w:hyperlink w:anchor="_ENREF_13" w:tooltip="Bhandari, 2020 #4188" w:history="1">
        <w:r w:rsidRPr="00E55E4C">
          <w:rPr>
            <w:rFonts w:ascii="Book Antiqua" w:eastAsia="Book Antiqua" w:hAnsi="Book Antiqua" w:cs="Book Antiqua"/>
            <w:color w:val="000000"/>
            <w:u w:val="single" w:color="0000EE"/>
            <w:vertAlign w:val="superscript"/>
          </w:rPr>
          <w:t>13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(2</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P</w:t>
      </w:r>
      <w:r w:rsidRPr="00E55E4C">
        <w:rPr>
          <w:rFonts w:ascii="Book Antiqua" w:eastAsia="Book Antiqua" w:hAnsi="Book Antiqua" w:cs="Book Antiqua"/>
          <w:color w:val="000000"/>
        </w:rPr>
        <w:t>atient stratification to procedures that should be performed immediately or postponed as well as low or high risk for infection</w:t>
      </w:r>
      <w:r w:rsidRPr="00E55E4C">
        <w:rPr>
          <w:rFonts w:ascii="Book Antiqua" w:eastAsia="Book Antiqua" w:hAnsi="Book Antiqua" w:cs="Book Antiqua"/>
          <w:color w:val="000000"/>
          <w:vertAlign w:val="superscript"/>
        </w:rPr>
        <w:t>[</w:t>
      </w:r>
      <w:hyperlink w:anchor="_ENREF_3" w:tooltip="Gralnek, 2020 #4166" w:history="1">
        <w:r w:rsidRPr="00E55E4C">
          <w:rPr>
            <w:rFonts w:ascii="Book Antiqua" w:eastAsia="Book Antiqua" w:hAnsi="Book Antiqua" w:cs="Book Antiqua"/>
            <w:color w:val="000000"/>
            <w:u w:val="single" w:color="0000EE"/>
            <w:vertAlign w:val="superscript"/>
          </w:rPr>
          <w:t>3</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r w:rsidR="00126154" w:rsidRPr="00E55E4C">
        <w:rPr>
          <w:rFonts w:ascii="Book Antiqua" w:eastAsia="Book Antiqua" w:hAnsi="Book Antiqua" w:cs="Book Antiqua"/>
          <w:color w:val="000000"/>
        </w:rPr>
        <w:t>and (3</w:t>
      </w:r>
      <w:r w:rsidRPr="00E55E4C">
        <w:rPr>
          <w:rFonts w:ascii="Book Antiqua" w:eastAsia="Book Antiqua" w:hAnsi="Book Antiqua" w:cs="Book Antiqua"/>
          <w:color w:val="000000"/>
        </w:rPr>
        <w:t xml:space="preserve">) modifications in </w:t>
      </w:r>
      <w:r w:rsidR="008B5968" w:rsidRPr="00E55E4C">
        <w:rPr>
          <w:rFonts w:ascii="Book Antiqua" w:eastAsia="Book Antiqua" w:hAnsi="Book Antiqua" w:cs="Book Antiqua"/>
          <w:color w:val="000000"/>
        </w:rPr>
        <w:t>PEU</w:t>
      </w:r>
      <w:r w:rsidRPr="00E55E4C">
        <w:rPr>
          <w:rFonts w:ascii="Book Antiqua" w:eastAsia="Book Antiqua" w:hAnsi="Book Antiqua" w:cs="Book Antiqua"/>
          <w:color w:val="000000"/>
        </w:rPr>
        <w:t xml:space="preserve"> working schedule to prevent hospital-based transmission, seems the most appropriate</w:t>
      </w:r>
      <w:r w:rsidRPr="00E55E4C">
        <w:rPr>
          <w:rFonts w:ascii="Book Antiqua" w:eastAsia="Book Antiqua" w:hAnsi="Book Antiqua" w:cs="Book Antiqua"/>
          <w:color w:val="000000"/>
          <w:vertAlign w:val="superscript"/>
        </w:rPr>
        <w:t>[</w:t>
      </w:r>
      <w:hyperlink w:anchor="_ENREF_14" w:tooltip="Gupta, 2020 #4184" w:history="1">
        <w:r w:rsidRPr="00E55E4C">
          <w:rPr>
            <w:rFonts w:ascii="Book Antiqua" w:eastAsia="Book Antiqua" w:hAnsi="Book Antiqua" w:cs="Book Antiqua"/>
            <w:color w:val="000000"/>
            <w:u w:val="single" w:color="0000EE"/>
            <w:vertAlign w:val="superscript"/>
          </w:rPr>
          <w:t>14</w:t>
        </w:r>
      </w:hyperlink>
      <w:r w:rsidRPr="00E55E4C">
        <w:rPr>
          <w:rFonts w:ascii="Book Antiqua" w:eastAsia="Book Antiqua" w:hAnsi="Book Antiqua" w:cs="Book Antiqua"/>
          <w:color w:val="000000"/>
          <w:vertAlign w:val="superscript"/>
        </w:rPr>
        <w:t>,</w:t>
      </w:r>
      <w:hyperlink w:anchor="_ENREF_15" w:tooltip="Hennessy, 2020 #4186" w:history="1">
        <w:r w:rsidRPr="00E55E4C">
          <w:rPr>
            <w:rFonts w:ascii="Book Antiqua" w:eastAsia="Book Antiqua" w:hAnsi="Book Antiqua" w:cs="Book Antiqua"/>
            <w:color w:val="000000"/>
            <w:u w:val="single" w:color="0000EE"/>
            <w:vertAlign w:val="superscript"/>
          </w:rPr>
          <w:t>15</w:t>
        </w:r>
      </w:hyperlink>
      <w:r w:rsidRPr="00E55E4C">
        <w:rPr>
          <w:rFonts w:ascii="Book Antiqua" w:eastAsia="Book Antiqua" w:hAnsi="Book Antiqua" w:cs="Book Antiqua"/>
          <w:color w:val="000000"/>
          <w:vertAlign w:val="superscript"/>
        </w:rPr>
        <w:t>]</w:t>
      </w:r>
      <w:r w:rsidRPr="00E55E4C">
        <w:rPr>
          <w:rFonts w:ascii="Book Antiqua" w:eastAsia="Book Antiqua" w:hAnsi="Book Antiqua" w:cs="Book Antiqua"/>
          <w:color w:val="000000"/>
        </w:rPr>
        <w:t xml:space="preserve">. </w:t>
      </w:r>
    </w:p>
    <w:p w14:paraId="4D7BDC87" w14:textId="3F71A6E6"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 xml:space="preserve">A number of strengths related to our study could be cited. First, this iteration is one of the few studies addressing the question of safety of endoscopy during COVID-19 pandemic. Second, we enrolled patients from different countries, giving a more representative overview of the impact of COVID-19 outbreak on </w:t>
      </w:r>
      <w:r w:rsidR="009D1366" w:rsidRPr="00E55E4C">
        <w:rPr>
          <w:rFonts w:ascii="Book Antiqua" w:eastAsia="Book Antiqua" w:hAnsi="Book Antiqua" w:cs="Book Antiqua"/>
          <w:color w:val="000000"/>
        </w:rPr>
        <w:t>endoscopy units</w:t>
      </w:r>
      <w:r w:rsidRPr="00E55E4C">
        <w:rPr>
          <w:rFonts w:ascii="Book Antiqua" w:eastAsia="Book Antiqua" w:hAnsi="Book Antiqua" w:cs="Book Antiqua"/>
          <w:color w:val="000000"/>
        </w:rPr>
        <w:t>. Third, our questionnaire was guided by the ESGE/ESGENA position statement. Finally, our population was homogenous, including patients who underwent endoscopic procedures involving both the upper and lower GI tract as well as the respective participating PEU.</w:t>
      </w:r>
    </w:p>
    <w:p w14:paraId="23C7F472" w14:textId="3250C79B" w:rsidR="00A77B3E" w:rsidRPr="00E55E4C" w:rsidRDefault="00F728E5" w:rsidP="00BC3C5D">
      <w:pPr>
        <w:adjustRightInd w:val="0"/>
        <w:snapToGrid w:val="0"/>
        <w:spacing w:line="360" w:lineRule="auto"/>
        <w:ind w:firstLineChars="200" w:firstLine="480"/>
        <w:jc w:val="both"/>
        <w:rPr>
          <w:rFonts w:ascii="Book Antiqua" w:hAnsi="Book Antiqua"/>
        </w:rPr>
      </w:pPr>
      <w:r w:rsidRPr="00E55E4C">
        <w:rPr>
          <w:rFonts w:ascii="Book Antiqua" w:eastAsia="Book Antiqua" w:hAnsi="Book Antiqua" w:cs="Book Antiqua"/>
          <w:color w:val="000000"/>
        </w:rPr>
        <w:t>On the other hand, there are also limitations that merit attention. Absence of testing for SARS-CoV-2 among patients presenting for endoscopy without COVID-19 symptoms and a heterogeneity on PEU testing could initially be seen as such; however, this practice is followed in accordance to endoscopic societies’ recommendations (including those by ESGE/ESGENA) and should therefore be considered unavoidable, although it undoubtedly has in impact on our epidemiological data, as the rate of asymptomatic patients in our group remains unknown, hindering the complete tracking of the infection. Another shortcoming is the possibility of recall bias, given that study’s data was acquired by asking patients to recall their symptoms. Again, this was unavoidable, as it complied with the ESGE/ESGENA directive, stating that patients should be contacted 7-</w:t>
      </w:r>
      <w:r w:rsidR="00126154" w:rsidRPr="00E55E4C">
        <w:rPr>
          <w:rFonts w:ascii="Book Antiqua" w:eastAsia="Book Antiqua" w:hAnsi="Book Antiqua" w:cs="Book Antiqua"/>
          <w:color w:val="000000"/>
        </w:rPr>
        <w:t>d</w:t>
      </w:r>
      <w:r w:rsidRPr="00E55E4C">
        <w:rPr>
          <w:rFonts w:ascii="Book Antiqua" w:eastAsia="Book Antiqua" w:hAnsi="Book Antiqua" w:cs="Book Antiqua"/>
          <w:color w:val="000000"/>
        </w:rPr>
        <w:t xml:space="preserve"> and 14-d post endoscopy. Finally, the small number of positive cases and study design are factors preventing a definitive causal relationship to be established; however, aim of this study was not to address issues related to potential route of infection transmission, rather than </w:t>
      </w:r>
      <w:r w:rsidRPr="00E55E4C">
        <w:rPr>
          <w:rFonts w:ascii="Book Antiqua" w:eastAsia="Book Antiqua" w:hAnsi="Book Antiqua" w:cs="Book Antiqua"/>
          <w:color w:val="000000"/>
        </w:rPr>
        <w:lastRenderedPageBreak/>
        <w:t>investigate the actual possibility of COVID-19 transmission in endoscopic units, when established guidelines are implemented.</w:t>
      </w:r>
    </w:p>
    <w:p w14:paraId="48F9853E" w14:textId="77777777" w:rsidR="00A77B3E" w:rsidRPr="00E55E4C" w:rsidRDefault="00A77B3E" w:rsidP="00BC3C5D">
      <w:pPr>
        <w:adjustRightInd w:val="0"/>
        <w:snapToGrid w:val="0"/>
        <w:spacing w:line="360" w:lineRule="auto"/>
        <w:jc w:val="both"/>
        <w:rPr>
          <w:rFonts w:ascii="Book Antiqua" w:hAnsi="Book Antiqua"/>
        </w:rPr>
      </w:pPr>
    </w:p>
    <w:p w14:paraId="27796E7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CONCLUSION</w:t>
      </w:r>
    </w:p>
    <w:p w14:paraId="788FCE5A"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In conclusion, COVID-19 transmission in endoscopic units is a highly unlikely event for both patients and PEU in a lockdown setting, provided endoscopies are effectively reduced to emergency cases and appropriate, stringent PPM are implemented. In the extremely rare cases that PEU infection occurred in our series, the disease was relatively mild, with no hospitalizations or COVID-19 related deaths. </w:t>
      </w:r>
    </w:p>
    <w:p w14:paraId="3FEC4DF4" w14:textId="77777777" w:rsidR="00A77B3E" w:rsidRPr="00E55E4C" w:rsidRDefault="00A77B3E" w:rsidP="00BC3C5D">
      <w:pPr>
        <w:adjustRightInd w:val="0"/>
        <w:snapToGrid w:val="0"/>
        <w:spacing w:line="360" w:lineRule="auto"/>
        <w:jc w:val="both"/>
        <w:rPr>
          <w:rFonts w:ascii="Book Antiqua" w:hAnsi="Book Antiqua"/>
        </w:rPr>
      </w:pPr>
    </w:p>
    <w:p w14:paraId="67775BD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aps/>
          <w:color w:val="000000"/>
          <w:u w:val="single"/>
        </w:rPr>
        <w:t>ARTICLE HIGHLIGHTS</w:t>
      </w:r>
    </w:p>
    <w:p w14:paraId="690B048B"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background</w:t>
      </w:r>
    </w:p>
    <w:p w14:paraId="66BA4699" w14:textId="2888B963" w:rsidR="00A77B3E" w:rsidRPr="00E55E4C" w:rsidRDefault="00126154"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Coronavirus disease 2019 (COVID-19)</w:t>
      </w:r>
      <w:r w:rsidR="00F728E5" w:rsidRPr="00E55E4C">
        <w:rPr>
          <w:rFonts w:ascii="Book Antiqua" w:eastAsia="Book Antiqua" w:hAnsi="Book Antiqua" w:cs="Book Antiqua"/>
          <w:color w:val="000000"/>
        </w:rPr>
        <w:t xml:space="preserve"> outbreak significantly affected endoscopic practice, as gastrointestinal endoscopy is considered a risky procedure for transmission of infection. Endoscopic societies such as ESGE and ESGENA published a position statement for endoscopy during the COVID-19 pandemic regarding safe endoscopies for patients and </w:t>
      </w:r>
      <w:r w:rsidRPr="00E55E4C">
        <w:rPr>
          <w:rFonts w:ascii="Book Antiqua" w:eastAsia="Book Antiqua" w:hAnsi="Book Antiqua" w:cs="Book Antiqua"/>
          <w:color w:val="000000"/>
        </w:rPr>
        <w:t>personnel of endoscopy units (PEU)</w:t>
      </w:r>
      <w:r w:rsidR="00F728E5" w:rsidRPr="00E55E4C">
        <w:rPr>
          <w:rFonts w:ascii="Book Antiqua" w:eastAsia="Book Antiqua" w:hAnsi="Book Antiqua" w:cs="Book Antiqua"/>
          <w:color w:val="000000"/>
        </w:rPr>
        <w:t>. However, the incidence and outcome of infection among patients undergoing endoscopy and PEU remains to be determined.</w:t>
      </w:r>
    </w:p>
    <w:p w14:paraId="13335053" w14:textId="77777777" w:rsidR="00A77B3E" w:rsidRPr="00E55E4C" w:rsidRDefault="00A77B3E" w:rsidP="00BC3C5D">
      <w:pPr>
        <w:adjustRightInd w:val="0"/>
        <w:snapToGrid w:val="0"/>
        <w:spacing w:line="360" w:lineRule="auto"/>
        <w:jc w:val="both"/>
        <w:rPr>
          <w:rFonts w:ascii="Book Antiqua" w:hAnsi="Book Antiqua"/>
        </w:rPr>
      </w:pPr>
    </w:p>
    <w:p w14:paraId="329D337B"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motivation</w:t>
      </w:r>
    </w:p>
    <w:p w14:paraId="53CCB96B" w14:textId="11050F6C"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Currently, there is insufficient data investigating the incidence and outcome of COVID-19 infection among patients undergoing endoscopy and </w:t>
      </w:r>
      <w:r w:rsidR="00126154" w:rsidRPr="00E55E4C">
        <w:rPr>
          <w:rFonts w:ascii="Book Antiqua" w:eastAsia="Book Antiqua" w:hAnsi="Book Antiqua" w:cs="Book Antiqua"/>
          <w:color w:val="000000"/>
        </w:rPr>
        <w:t>PEU</w:t>
      </w:r>
      <w:r w:rsidRPr="00E55E4C">
        <w:rPr>
          <w:rFonts w:ascii="Book Antiqua" w:eastAsia="Book Antiqua" w:hAnsi="Book Antiqua" w:cs="Book Antiqua"/>
          <w:color w:val="000000"/>
        </w:rPr>
        <w:t>.</w:t>
      </w:r>
    </w:p>
    <w:p w14:paraId="6FF21F80" w14:textId="77777777" w:rsidR="00A77B3E" w:rsidRPr="00E55E4C" w:rsidRDefault="00A77B3E" w:rsidP="00BC3C5D">
      <w:pPr>
        <w:adjustRightInd w:val="0"/>
        <w:snapToGrid w:val="0"/>
        <w:spacing w:line="360" w:lineRule="auto"/>
        <w:jc w:val="both"/>
        <w:rPr>
          <w:rFonts w:ascii="Book Antiqua" w:hAnsi="Book Antiqua"/>
        </w:rPr>
      </w:pPr>
    </w:p>
    <w:p w14:paraId="36AF655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objectives</w:t>
      </w:r>
    </w:p>
    <w:p w14:paraId="01CF8D8E"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We aimed to evaluate the impact of endoscopic procedures on risk of transmission for patients and PEU on a European multicenter basis, using as tool the telephone contacts suggested by ESGE and ESGENA.</w:t>
      </w:r>
      <w:r w:rsidRPr="00E55E4C">
        <w:rPr>
          <w:rFonts w:ascii="Book Antiqua" w:eastAsia="Book Antiqua" w:hAnsi="Book Antiqua" w:cs="Book Antiqua"/>
          <w:b/>
          <w:bCs/>
          <w:color w:val="000000"/>
        </w:rPr>
        <w:t xml:space="preserve"> </w:t>
      </w:r>
    </w:p>
    <w:p w14:paraId="127636FD" w14:textId="77777777" w:rsidR="00A77B3E" w:rsidRPr="00E55E4C" w:rsidRDefault="00A77B3E" w:rsidP="00BC3C5D">
      <w:pPr>
        <w:adjustRightInd w:val="0"/>
        <w:snapToGrid w:val="0"/>
        <w:spacing w:line="360" w:lineRule="auto"/>
        <w:jc w:val="both"/>
        <w:rPr>
          <w:rFonts w:ascii="Book Antiqua" w:hAnsi="Book Antiqua"/>
        </w:rPr>
      </w:pPr>
    </w:p>
    <w:p w14:paraId="5C28367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methods</w:t>
      </w:r>
    </w:p>
    <w:p w14:paraId="0DBD762E" w14:textId="080FFAD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lastRenderedPageBreak/>
        <w:t xml:space="preserve">Patients undergoing endoscopy in nine </w:t>
      </w:r>
      <w:r w:rsidR="00155ECA" w:rsidRPr="00E55E4C">
        <w:rPr>
          <w:rFonts w:ascii="Book Antiqua" w:eastAsia="Book Antiqua" w:hAnsi="Book Antiqua" w:cs="Book Antiqua"/>
          <w:color w:val="000000"/>
        </w:rPr>
        <w:t xml:space="preserve">endoscopy departments </w:t>
      </w:r>
      <w:r w:rsidRPr="00E55E4C">
        <w:rPr>
          <w:rFonts w:ascii="Book Antiqua" w:eastAsia="Book Antiqua" w:hAnsi="Book Antiqua" w:cs="Book Antiqua"/>
          <w:color w:val="000000"/>
        </w:rPr>
        <w:t xml:space="preserve">across six European countries during the period of the first European lockdown for COVID-19 (March-May 2020) were included. Participants were stratified as low- or high- risk for potential COVID-19 infection, according to the ESGE/ESGENA joint statement and contacted 7-14 d later to assess COVID-19 infection status. PEU were questioned regarding COVID-19 symptoms and/or infection </w:t>
      </w:r>
      <w:r w:rsidRPr="00E55E4C">
        <w:rPr>
          <w:rFonts w:ascii="Book Antiqua" w:eastAsia="Book Antiqua" w:hAnsi="Book Antiqua" w:cs="Book Antiqua"/>
          <w:i/>
          <w:iCs/>
          <w:color w:val="000000"/>
        </w:rPr>
        <w:t>via</w:t>
      </w:r>
      <w:r w:rsidRPr="00E55E4C">
        <w:rPr>
          <w:rFonts w:ascii="Book Antiqua" w:eastAsia="Book Antiqua" w:hAnsi="Book Antiqua" w:cs="Book Antiqua"/>
          <w:color w:val="000000"/>
        </w:rPr>
        <w:t xml:space="preserve"> questionnaire while information regarding hospitalizations, ICU-admissions and COVID-19-related deaths were collected. The number of weekly endoscopies during the lockdown period was also recorded.</w:t>
      </w:r>
    </w:p>
    <w:p w14:paraId="386B701E" w14:textId="77777777" w:rsidR="00A77B3E" w:rsidRPr="00E55E4C" w:rsidRDefault="00A77B3E" w:rsidP="00BC3C5D">
      <w:pPr>
        <w:adjustRightInd w:val="0"/>
        <w:snapToGrid w:val="0"/>
        <w:spacing w:line="360" w:lineRule="auto"/>
        <w:jc w:val="both"/>
        <w:rPr>
          <w:rFonts w:ascii="Book Antiqua" w:hAnsi="Book Antiqua"/>
        </w:rPr>
      </w:pPr>
    </w:p>
    <w:p w14:paraId="0CB90B9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results</w:t>
      </w:r>
    </w:p>
    <w:p w14:paraId="31FE476B" w14:textId="6C4314E8"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One thousand two hundred sixty-seven endoscopies were performed in 1222 individuals. 87 (7%) were excluded due to initial positive PCR testing. Among the 1135 pre-endoscopically low risk or PCR negative for COVID-19, 254 (22.4%) were tested post-endoscopy and 8 were eventually found positive, resulting in an infection rate of 0.7% </w:t>
      </w:r>
      <w:r w:rsidR="009D1C51" w:rsidRPr="00E55E4C">
        <w:rPr>
          <w:rFonts w:ascii="Book Antiqua" w:eastAsia="Book Antiqua" w:hAnsi="Book Antiqua" w:cs="Book Antiqua"/>
          <w:color w:val="000000"/>
        </w:rPr>
        <w:t>[</w:t>
      </w:r>
      <w:r w:rsidRPr="00E55E4C">
        <w:rPr>
          <w:rFonts w:ascii="Book Antiqua" w:eastAsia="Book Antiqua" w:hAnsi="Book Antiqua" w:cs="Book Antiqua"/>
          <w:color w:val="000000"/>
        </w:rPr>
        <w:t>95%</w:t>
      </w:r>
      <w:r w:rsidR="009D1C51" w:rsidRPr="00E55E4C">
        <w:rPr>
          <w:rFonts w:ascii="Book Antiqua" w:eastAsia="Book Antiqua" w:hAnsi="Book Antiqua" w:cs="Book Antiqua"/>
          <w:color w:val="000000"/>
        </w:rPr>
        <w:t xml:space="preserve"> confidence interval (CI)</w:t>
      </w:r>
      <w:r w:rsidRPr="00E55E4C">
        <w:rPr>
          <w:rFonts w:ascii="Book Antiqua" w:eastAsia="Book Antiqua" w:hAnsi="Book Antiqua" w:cs="Book Antiqua"/>
          <w:color w:val="000000"/>
        </w:rPr>
        <w:t>: 0.2-0.12</w:t>
      </w:r>
      <w:r w:rsidR="009D1C51" w:rsidRPr="00E55E4C">
        <w:rPr>
          <w:rFonts w:ascii="Book Antiqua" w:eastAsia="Book Antiqua" w:hAnsi="Book Antiqua" w:cs="Book Antiqua"/>
          <w:color w:val="000000"/>
        </w:rPr>
        <w:t>]</w:t>
      </w:r>
      <w:r w:rsidRPr="00E55E4C">
        <w:rPr>
          <w:rFonts w:ascii="Book Antiqua" w:eastAsia="Book Antiqua" w:hAnsi="Book Antiqua" w:cs="Book Antiqua"/>
          <w:color w:val="000000"/>
        </w:rPr>
        <w:t xml:space="preserve">. The majority (6 patients, </w:t>
      </w:r>
      <w:r w:rsidRPr="00E55E4C">
        <w:rPr>
          <w:rFonts w:ascii="Book Antiqua" w:eastAsia="Book Antiqua" w:hAnsi="Book Antiqua" w:cs="Book Antiqua"/>
          <w:i/>
          <w:iCs/>
          <w:color w:val="000000"/>
        </w:rPr>
        <w:t>i.e.</w:t>
      </w:r>
      <w:r w:rsidRPr="00E55E4C">
        <w:rPr>
          <w:rFonts w:ascii="Book Antiqua" w:eastAsia="Book Antiqua" w:hAnsi="Book Antiqua" w:cs="Book Antiqua"/>
          <w:color w:val="000000"/>
        </w:rPr>
        <w:t>, 75%) had undergone esophagogastroduodenoscopy. Data regarding for a total number of 163 PEU was recorded; five [</w:t>
      </w:r>
      <w:r w:rsidRPr="00E55E4C">
        <w:rPr>
          <w:rFonts w:ascii="Book Antiqua" w:eastAsia="Book Antiqua" w:hAnsi="Book Antiqua" w:cs="Book Antiqua"/>
          <w:i/>
          <w:iCs/>
          <w:color w:val="000000"/>
        </w:rPr>
        <w:t>n</w:t>
      </w:r>
      <w:r w:rsidR="009D1C51"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w:t>
      </w:r>
      <w:r w:rsidR="009D1C51" w:rsidRPr="00E55E4C">
        <w:rPr>
          <w:rFonts w:ascii="Book Antiqua" w:eastAsia="Book Antiqua" w:hAnsi="Book Antiqua" w:cs="Book Antiqua"/>
          <w:color w:val="000000"/>
        </w:rPr>
        <w:t xml:space="preserve"> </w:t>
      </w:r>
      <w:r w:rsidRPr="00E55E4C">
        <w:rPr>
          <w:rFonts w:ascii="Book Antiqua" w:eastAsia="Book Antiqua" w:hAnsi="Book Antiqua" w:cs="Book Antiqua"/>
          <w:color w:val="000000"/>
        </w:rPr>
        <w:t>5/163, (3%); 95%CI: 0.4-5.7)] tested positive during the study period. In four of them (</w:t>
      </w:r>
      <w:r w:rsidRPr="00E55E4C">
        <w:rPr>
          <w:rFonts w:ascii="Book Antiqua" w:eastAsia="Book Antiqua" w:hAnsi="Book Antiqua" w:cs="Book Antiqua"/>
          <w:i/>
          <w:iCs/>
          <w:color w:val="000000"/>
        </w:rPr>
        <w:t>n</w:t>
      </w:r>
      <w:r w:rsidRPr="00E55E4C">
        <w:rPr>
          <w:rFonts w:ascii="Book Antiqua" w:eastAsia="Book Antiqua" w:hAnsi="Book Antiqua" w:cs="Book Antiqua"/>
          <w:color w:val="000000"/>
        </w:rPr>
        <w:t xml:space="preserve"> = 4/163, 2% of the total), the infection was deemed relevant to their work environment. A decrease of 68.7% (95%CI: 64.8-72.7) in the number of endoscopies was recorded. </w:t>
      </w:r>
    </w:p>
    <w:p w14:paraId="0306AA1E" w14:textId="77777777" w:rsidR="00A77B3E" w:rsidRPr="00E55E4C" w:rsidRDefault="00A77B3E" w:rsidP="00BC3C5D">
      <w:pPr>
        <w:adjustRightInd w:val="0"/>
        <w:snapToGrid w:val="0"/>
        <w:spacing w:line="360" w:lineRule="auto"/>
        <w:jc w:val="both"/>
        <w:rPr>
          <w:rFonts w:ascii="Book Antiqua" w:hAnsi="Book Antiqua"/>
        </w:rPr>
      </w:pPr>
    </w:p>
    <w:p w14:paraId="31B8F6F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conclusions</w:t>
      </w:r>
    </w:p>
    <w:p w14:paraId="1FE87406"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This study showed that COVID-19 transmission in endoscopic units is highly unlikely during a lockdown setting, provided endoscopies are reduced to emergency cases and PPM are implemented. </w:t>
      </w:r>
    </w:p>
    <w:p w14:paraId="33B7DD6D" w14:textId="77777777" w:rsidR="00A77B3E" w:rsidRPr="00E55E4C" w:rsidRDefault="00A77B3E" w:rsidP="00BC3C5D">
      <w:pPr>
        <w:adjustRightInd w:val="0"/>
        <w:snapToGrid w:val="0"/>
        <w:spacing w:line="360" w:lineRule="auto"/>
        <w:jc w:val="both"/>
        <w:rPr>
          <w:rFonts w:ascii="Book Antiqua" w:hAnsi="Book Antiqua"/>
        </w:rPr>
      </w:pPr>
    </w:p>
    <w:p w14:paraId="2FB670D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i/>
          <w:color w:val="000000"/>
        </w:rPr>
        <w:t>Research perspectives</w:t>
      </w:r>
    </w:p>
    <w:p w14:paraId="0514DF6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shd w:val="clear" w:color="auto" w:fill="FFFFFF"/>
        </w:rPr>
        <w:t xml:space="preserve">More robust data are definitely warranted to identify various clinical factors that contributes to higher risk for endoscopy-related COVID-19 infection risk. </w:t>
      </w:r>
    </w:p>
    <w:p w14:paraId="45834F24" w14:textId="77777777" w:rsidR="00A77B3E" w:rsidRPr="00E55E4C" w:rsidRDefault="00A77B3E" w:rsidP="00BC3C5D">
      <w:pPr>
        <w:adjustRightInd w:val="0"/>
        <w:snapToGrid w:val="0"/>
        <w:spacing w:line="360" w:lineRule="auto"/>
        <w:jc w:val="both"/>
        <w:rPr>
          <w:rFonts w:ascii="Book Antiqua" w:hAnsi="Book Antiqua"/>
        </w:rPr>
      </w:pPr>
    </w:p>
    <w:p w14:paraId="597FFB95"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REFERENCES</w:t>
      </w:r>
    </w:p>
    <w:p w14:paraId="1DE3655D" w14:textId="77777777" w:rsidR="00A77B3E" w:rsidRPr="00E55E4C" w:rsidRDefault="00F728E5" w:rsidP="00BC3C5D">
      <w:pPr>
        <w:adjustRightInd w:val="0"/>
        <w:snapToGrid w:val="0"/>
        <w:spacing w:line="360" w:lineRule="auto"/>
        <w:jc w:val="both"/>
        <w:rPr>
          <w:rFonts w:ascii="Book Antiqua" w:hAnsi="Book Antiqua"/>
        </w:rPr>
      </w:pPr>
      <w:bookmarkStart w:id="3" w:name="OLE_LINK1"/>
      <w:r w:rsidRPr="00E55E4C">
        <w:rPr>
          <w:rFonts w:ascii="Book Antiqua" w:eastAsia="Book Antiqua" w:hAnsi="Book Antiqua" w:cs="Book Antiqua"/>
          <w:color w:val="000000"/>
        </w:rPr>
        <w:t xml:space="preserve">1 </w:t>
      </w:r>
      <w:r w:rsidRPr="00E55E4C">
        <w:rPr>
          <w:rFonts w:ascii="Book Antiqua" w:eastAsia="Book Antiqua" w:hAnsi="Book Antiqua" w:cs="Book Antiqua"/>
          <w:b/>
          <w:bCs/>
          <w:color w:val="000000"/>
        </w:rPr>
        <w:t>Gu J</w:t>
      </w:r>
      <w:r w:rsidRPr="00E55E4C">
        <w:rPr>
          <w:rFonts w:ascii="Book Antiqua" w:eastAsia="Book Antiqua" w:hAnsi="Book Antiqua" w:cs="Book Antiqua"/>
          <w:color w:val="000000"/>
        </w:rPr>
        <w:t xml:space="preserve">, Han B, Wang J. COVID-19: Gastrointestinal Manifestations and Potential Fecal-Oral Transmission. </w:t>
      </w:r>
      <w:r w:rsidRPr="00E55E4C">
        <w:rPr>
          <w:rFonts w:ascii="Book Antiqua" w:eastAsia="Book Antiqua" w:hAnsi="Book Antiqua" w:cs="Book Antiqua"/>
          <w:i/>
          <w:iCs/>
          <w:color w:val="000000"/>
        </w:rPr>
        <w:t>Gastroenterology</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158</w:t>
      </w:r>
      <w:r w:rsidRPr="00E55E4C">
        <w:rPr>
          <w:rFonts w:ascii="Book Antiqua" w:eastAsia="Book Antiqua" w:hAnsi="Book Antiqua" w:cs="Book Antiqua"/>
          <w:color w:val="000000"/>
        </w:rPr>
        <w:t>: 1518-1519 [PMID: 32142785 DOI: 10.1053/j.gastro.2020.02.054]</w:t>
      </w:r>
    </w:p>
    <w:p w14:paraId="37B45948"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2 </w:t>
      </w:r>
      <w:r w:rsidRPr="00E55E4C">
        <w:rPr>
          <w:rFonts w:ascii="Book Antiqua" w:eastAsia="Book Antiqua" w:hAnsi="Book Antiqua" w:cs="Book Antiqua"/>
          <w:b/>
          <w:bCs/>
          <w:color w:val="000000"/>
        </w:rPr>
        <w:t>Song Y</w:t>
      </w:r>
      <w:r w:rsidRPr="00E55E4C">
        <w:rPr>
          <w:rFonts w:ascii="Book Antiqua" w:eastAsia="Book Antiqua" w:hAnsi="Book Antiqua" w:cs="Book Antiqua"/>
          <w:color w:val="000000"/>
        </w:rPr>
        <w:t xml:space="preserve">, Liu P, Shi XL, Chu YL, Zhang J, Xia J, Gao XZ, Qu T, Wang MY. SARS-CoV-2 induced </w:t>
      </w:r>
      <w:proofErr w:type="spellStart"/>
      <w:r w:rsidRPr="00E55E4C">
        <w:rPr>
          <w:rFonts w:ascii="Book Antiqua" w:eastAsia="Book Antiqua" w:hAnsi="Book Antiqua" w:cs="Book Antiqua"/>
          <w:color w:val="000000"/>
        </w:rPr>
        <w:t>diarrhoea</w:t>
      </w:r>
      <w:proofErr w:type="spellEnd"/>
      <w:r w:rsidRPr="00E55E4C">
        <w:rPr>
          <w:rFonts w:ascii="Book Antiqua" w:eastAsia="Book Antiqua" w:hAnsi="Book Antiqua" w:cs="Book Antiqua"/>
          <w:color w:val="000000"/>
        </w:rPr>
        <w:t xml:space="preserve"> as onset symptom in patient with COVID-19. </w:t>
      </w:r>
      <w:r w:rsidRPr="00E55E4C">
        <w:rPr>
          <w:rFonts w:ascii="Book Antiqua" w:eastAsia="Book Antiqua" w:hAnsi="Book Antiqua" w:cs="Book Antiqua"/>
          <w:i/>
          <w:iCs/>
          <w:color w:val="000000"/>
        </w:rPr>
        <w:t>Gut</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69</w:t>
      </w:r>
      <w:r w:rsidRPr="00E55E4C">
        <w:rPr>
          <w:rFonts w:ascii="Book Antiqua" w:eastAsia="Book Antiqua" w:hAnsi="Book Antiqua" w:cs="Book Antiqua"/>
          <w:color w:val="000000"/>
        </w:rPr>
        <w:t>: 1143-1144 [PMID: 32139552 DOI: 10.1136/gutjnl-2020-320891]</w:t>
      </w:r>
    </w:p>
    <w:p w14:paraId="1CD1F75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3 </w:t>
      </w:r>
      <w:proofErr w:type="spellStart"/>
      <w:r w:rsidRPr="00E55E4C">
        <w:rPr>
          <w:rFonts w:ascii="Book Antiqua" w:eastAsia="Book Antiqua" w:hAnsi="Book Antiqua" w:cs="Book Antiqua"/>
          <w:b/>
          <w:bCs/>
          <w:color w:val="000000"/>
        </w:rPr>
        <w:t>Gralnek</w:t>
      </w:r>
      <w:proofErr w:type="spellEnd"/>
      <w:r w:rsidRPr="00E55E4C">
        <w:rPr>
          <w:rFonts w:ascii="Book Antiqua" w:eastAsia="Book Antiqua" w:hAnsi="Book Antiqua" w:cs="Book Antiqua"/>
          <w:b/>
          <w:bCs/>
          <w:color w:val="000000"/>
        </w:rPr>
        <w:t xml:space="preserve"> IM</w:t>
      </w:r>
      <w:r w:rsidRPr="00E55E4C">
        <w:rPr>
          <w:rFonts w:ascii="Book Antiqua" w:eastAsia="Book Antiqua" w:hAnsi="Book Antiqua" w:cs="Book Antiqua"/>
          <w:color w:val="000000"/>
        </w:rPr>
        <w:t xml:space="preserve">, Hassan C, </w:t>
      </w:r>
      <w:proofErr w:type="spellStart"/>
      <w:r w:rsidRPr="00E55E4C">
        <w:rPr>
          <w:rFonts w:ascii="Book Antiqua" w:eastAsia="Book Antiqua" w:hAnsi="Book Antiqua" w:cs="Book Antiqua"/>
          <w:color w:val="000000"/>
        </w:rPr>
        <w:t>Beilenhoff</w:t>
      </w:r>
      <w:proofErr w:type="spellEnd"/>
      <w:r w:rsidRPr="00E55E4C">
        <w:rPr>
          <w:rFonts w:ascii="Book Antiqua" w:eastAsia="Book Antiqua" w:hAnsi="Book Antiqua" w:cs="Book Antiqua"/>
          <w:color w:val="000000"/>
        </w:rPr>
        <w:t xml:space="preserve"> U, Antonelli G, </w:t>
      </w:r>
      <w:proofErr w:type="spellStart"/>
      <w:r w:rsidRPr="00E55E4C">
        <w:rPr>
          <w:rFonts w:ascii="Book Antiqua" w:eastAsia="Book Antiqua" w:hAnsi="Book Antiqua" w:cs="Book Antiqua"/>
          <w:color w:val="000000"/>
        </w:rPr>
        <w:t>Ebigbo</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Pellisè</w:t>
      </w:r>
      <w:proofErr w:type="spellEnd"/>
      <w:r w:rsidRPr="00E55E4C">
        <w:rPr>
          <w:rFonts w:ascii="Book Antiqua" w:eastAsia="Book Antiqua" w:hAnsi="Book Antiqua" w:cs="Book Antiqua"/>
          <w:color w:val="000000"/>
        </w:rPr>
        <w:t xml:space="preserve"> M, </w:t>
      </w:r>
      <w:proofErr w:type="spellStart"/>
      <w:r w:rsidRPr="00E55E4C">
        <w:rPr>
          <w:rFonts w:ascii="Book Antiqua" w:eastAsia="Book Antiqua" w:hAnsi="Book Antiqua" w:cs="Book Antiqua"/>
          <w:color w:val="000000"/>
        </w:rPr>
        <w:t>Arvanitakis</w:t>
      </w:r>
      <w:proofErr w:type="spellEnd"/>
      <w:r w:rsidRPr="00E55E4C">
        <w:rPr>
          <w:rFonts w:ascii="Book Antiqua" w:eastAsia="Book Antiqua" w:hAnsi="Book Antiqua" w:cs="Book Antiqua"/>
          <w:color w:val="000000"/>
        </w:rPr>
        <w:t xml:space="preserve"> M, Bhandari P, </w:t>
      </w:r>
      <w:proofErr w:type="spellStart"/>
      <w:r w:rsidRPr="00E55E4C">
        <w:rPr>
          <w:rFonts w:ascii="Book Antiqua" w:eastAsia="Book Antiqua" w:hAnsi="Book Antiqua" w:cs="Book Antiqua"/>
          <w:color w:val="000000"/>
        </w:rPr>
        <w:t>Bisschops</w:t>
      </w:r>
      <w:proofErr w:type="spellEnd"/>
      <w:r w:rsidRPr="00E55E4C">
        <w:rPr>
          <w:rFonts w:ascii="Book Antiqua" w:eastAsia="Book Antiqua" w:hAnsi="Book Antiqua" w:cs="Book Antiqua"/>
          <w:color w:val="000000"/>
        </w:rPr>
        <w:t xml:space="preserve"> R, Van </w:t>
      </w:r>
      <w:proofErr w:type="spellStart"/>
      <w:r w:rsidRPr="00E55E4C">
        <w:rPr>
          <w:rFonts w:ascii="Book Antiqua" w:eastAsia="Book Antiqua" w:hAnsi="Book Antiqua" w:cs="Book Antiqua"/>
          <w:color w:val="000000"/>
        </w:rPr>
        <w:t>Hooft</w:t>
      </w:r>
      <w:proofErr w:type="spellEnd"/>
      <w:r w:rsidRPr="00E55E4C">
        <w:rPr>
          <w:rFonts w:ascii="Book Antiqua" w:eastAsia="Book Antiqua" w:hAnsi="Book Antiqua" w:cs="Book Antiqua"/>
          <w:color w:val="000000"/>
        </w:rPr>
        <w:t xml:space="preserve"> JE, Kaminski MF, </w:t>
      </w:r>
      <w:proofErr w:type="spellStart"/>
      <w:r w:rsidRPr="00E55E4C">
        <w:rPr>
          <w:rFonts w:ascii="Book Antiqua" w:eastAsia="Book Antiqua" w:hAnsi="Book Antiqua" w:cs="Book Antiqua"/>
          <w:color w:val="000000"/>
        </w:rPr>
        <w:t>Triantafyllou</w:t>
      </w:r>
      <w:proofErr w:type="spellEnd"/>
      <w:r w:rsidRPr="00E55E4C">
        <w:rPr>
          <w:rFonts w:ascii="Book Antiqua" w:eastAsia="Book Antiqua" w:hAnsi="Book Antiqua" w:cs="Book Antiqua"/>
          <w:color w:val="000000"/>
        </w:rPr>
        <w:t xml:space="preserve"> K, Webster G, Pohl H, Dunkley I, </w:t>
      </w:r>
      <w:proofErr w:type="spellStart"/>
      <w:r w:rsidRPr="00E55E4C">
        <w:rPr>
          <w:rFonts w:ascii="Book Antiqua" w:eastAsia="Book Antiqua" w:hAnsi="Book Antiqua" w:cs="Book Antiqua"/>
          <w:color w:val="000000"/>
        </w:rPr>
        <w:t>Fehrke</w:t>
      </w:r>
      <w:proofErr w:type="spellEnd"/>
      <w:r w:rsidRPr="00E55E4C">
        <w:rPr>
          <w:rFonts w:ascii="Book Antiqua" w:eastAsia="Book Antiqua" w:hAnsi="Book Antiqua" w:cs="Book Antiqua"/>
          <w:color w:val="000000"/>
        </w:rPr>
        <w:t xml:space="preserve"> B, </w:t>
      </w:r>
      <w:proofErr w:type="spellStart"/>
      <w:r w:rsidRPr="00E55E4C">
        <w:rPr>
          <w:rFonts w:ascii="Book Antiqua" w:eastAsia="Book Antiqua" w:hAnsi="Book Antiqua" w:cs="Book Antiqua"/>
          <w:color w:val="000000"/>
        </w:rPr>
        <w:t>Gazic</w:t>
      </w:r>
      <w:proofErr w:type="spellEnd"/>
      <w:r w:rsidRPr="00E55E4C">
        <w:rPr>
          <w:rFonts w:ascii="Book Antiqua" w:eastAsia="Book Antiqua" w:hAnsi="Book Antiqua" w:cs="Book Antiqua"/>
          <w:color w:val="000000"/>
        </w:rPr>
        <w:t xml:space="preserve"> M, </w:t>
      </w:r>
      <w:proofErr w:type="spellStart"/>
      <w:r w:rsidRPr="00E55E4C">
        <w:rPr>
          <w:rFonts w:ascii="Book Antiqua" w:eastAsia="Book Antiqua" w:hAnsi="Book Antiqua" w:cs="Book Antiqua"/>
          <w:color w:val="000000"/>
        </w:rPr>
        <w:t>Gjergek</w:t>
      </w:r>
      <w:proofErr w:type="spellEnd"/>
      <w:r w:rsidRPr="00E55E4C">
        <w:rPr>
          <w:rFonts w:ascii="Book Antiqua" w:eastAsia="Book Antiqua" w:hAnsi="Book Antiqua" w:cs="Book Antiqua"/>
          <w:color w:val="000000"/>
        </w:rPr>
        <w:t xml:space="preserve"> T, </w:t>
      </w:r>
      <w:proofErr w:type="spellStart"/>
      <w:r w:rsidRPr="00E55E4C">
        <w:rPr>
          <w:rFonts w:ascii="Book Antiqua" w:eastAsia="Book Antiqua" w:hAnsi="Book Antiqua" w:cs="Book Antiqua"/>
          <w:color w:val="000000"/>
        </w:rPr>
        <w:t>Maasen</w:t>
      </w:r>
      <w:proofErr w:type="spellEnd"/>
      <w:r w:rsidRPr="00E55E4C">
        <w:rPr>
          <w:rFonts w:ascii="Book Antiqua" w:eastAsia="Book Antiqua" w:hAnsi="Book Antiqua" w:cs="Book Antiqua"/>
          <w:color w:val="000000"/>
        </w:rPr>
        <w:t xml:space="preserve"> S, </w:t>
      </w:r>
      <w:proofErr w:type="spellStart"/>
      <w:r w:rsidRPr="00E55E4C">
        <w:rPr>
          <w:rFonts w:ascii="Book Antiqua" w:eastAsia="Book Antiqua" w:hAnsi="Book Antiqua" w:cs="Book Antiqua"/>
          <w:color w:val="000000"/>
        </w:rPr>
        <w:t>Waagenes</w:t>
      </w:r>
      <w:proofErr w:type="spellEnd"/>
      <w:r w:rsidRPr="00E55E4C">
        <w:rPr>
          <w:rFonts w:ascii="Book Antiqua" w:eastAsia="Book Antiqua" w:hAnsi="Book Antiqua" w:cs="Book Antiqua"/>
          <w:color w:val="000000"/>
        </w:rPr>
        <w:t xml:space="preserve"> W, de Pater M, </w:t>
      </w:r>
      <w:proofErr w:type="spellStart"/>
      <w:r w:rsidRPr="00E55E4C">
        <w:rPr>
          <w:rFonts w:ascii="Book Antiqua" w:eastAsia="Book Antiqua" w:hAnsi="Book Antiqua" w:cs="Book Antiqua"/>
          <w:color w:val="000000"/>
        </w:rPr>
        <w:t>Ponchon</w:t>
      </w:r>
      <w:proofErr w:type="spellEnd"/>
      <w:r w:rsidRPr="00E55E4C">
        <w:rPr>
          <w:rFonts w:ascii="Book Antiqua" w:eastAsia="Book Antiqua" w:hAnsi="Book Antiqua" w:cs="Book Antiqua"/>
          <w:color w:val="000000"/>
        </w:rPr>
        <w:t xml:space="preserve"> T, </w:t>
      </w:r>
      <w:proofErr w:type="spellStart"/>
      <w:r w:rsidRPr="00E55E4C">
        <w:rPr>
          <w:rFonts w:ascii="Book Antiqua" w:eastAsia="Book Antiqua" w:hAnsi="Book Antiqua" w:cs="Book Antiqua"/>
          <w:color w:val="000000"/>
        </w:rPr>
        <w:t>Siersema</w:t>
      </w:r>
      <w:proofErr w:type="spellEnd"/>
      <w:r w:rsidRPr="00E55E4C">
        <w:rPr>
          <w:rFonts w:ascii="Book Antiqua" w:eastAsia="Book Antiqua" w:hAnsi="Book Antiqua" w:cs="Book Antiqua"/>
          <w:color w:val="000000"/>
        </w:rPr>
        <w:t xml:space="preserve"> PD, </w:t>
      </w:r>
      <w:proofErr w:type="spellStart"/>
      <w:r w:rsidRPr="00E55E4C">
        <w:rPr>
          <w:rFonts w:ascii="Book Antiqua" w:eastAsia="Book Antiqua" w:hAnsi="Book Antiqua" w:cs="Book Antiqua"/>
          <w:color w:val="000000"/>
        </w:rPr>
        <w:t>Messmann</w:t>
      </w:r>
      <w:proofErr w:type="spellEnd"/>
      <w:r w:rsidRPr="00E55E4C">
        <w:rPr>
          <w:rFonts w:ascii="Book Antiqua" w:eastAsia="Book Antiqua" w:hAnsi="Book Antiqua" w:cs="Book Antiqua"/>
          <w:color w:val="000000"/>
        </w:rPr>
        <w:t xml:space="preserve"> H, </w:t>
      </w:r>
      <w:proofErr w:type="spellStart"/>
      <w:r w:rsidRPr="00E55E4C">
        <w:rPr>
          <w:rFonts w:ascii="Book Antiqua" w:eastAsia="Book Antiqua" w:hAnsi="Book Antiqua" w:cs="Book Antiqua"/>
          <w:color w:val="000000"/>
        </w:rPr>
        <w:t>Dinis</w:t>
      </w:r>
      <w:proofErr w:type="spellEnd"/>
      <w:r w:rsidRPr="00E55E4C">
        <w:rPr>
          <w:rFonts w:ascii="Book Antiqua" w:eastAsia="Book Antiqua" w:hAnsi="Book Antiqua" w:cs="Book Antiqua"/>
          <w:color w:val="000000"/>
        </w:rPr>
        <w:t xml:space="preserve">-Ribeiro M. ESGE and ESGENA Position Statement on gastrointestinal endoscopy and the COVID-19 pandemic. </w:t>
      </w:r>
      <w:r w:rsidRPr="00E55E4C">
        <w:rPr>
          <w:rFonts w:ascii="Book Antiqua" w:eastAsia="Book Antiqua" w:hAnsi="Book Antiqua" w:cs="Book Antiqua"/>
          <w:i/>
          <w:iCs/>
          <w:color w:val="000000"/>
        </w:rPr>
        <w:t>Endoscopy</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52</w:t>
      </w:r>
      <w:r w:rsidRPr="00E55E4C">
        <w:rPr>
          <w:rFonts w:ascii="Book Antiqua" w:eastAsia="Book Antiqua" w:hAnsi="Book Antiqua" w:cs="Book Antiqua"/>
          <w:color w:val="000000"/>
        </w:rPr>
        <w:t>: 483-490 [PMID: 32303090 DOI: 10.1055/a-1155-6229]</w:t>
      </w:r>
    </w:p>
    <w:p w14:paraId="3E0AE32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4 </w:t>
      </w:r>
      <w:proofErr w:type="spellStart"/>
      <w:r w:rsidRPr="00E55E4C">
        <w:rPr>
          <w:rFonts w:ascii="Book Antiqua" w:eastAsia="Book Antiqua" w:hAnsi="Book Antiqua" w:cs="Book Antiqua"/>
          <w:b/>
          <w:bCs/>
          <w:color w:val="000000"/>
        </w:rPr>
        <w:t>Repici</w:t>
      </w:r>
      <w:proofErr w:type="spellEnd"/>
      <w:r w:rsidRPr="00E55E4C">
        <w:rPr>
          <w:rFonts w:ascii="Book Antiqua" w:eastAsia="Book Antiqua" w:hAnsi="Book Antiqua" w:cs="Book Antiqua"/>
          <w:b/>
          <w:bCs/>
          <w:color w:val="000000"/>
        </w:rPr>
        <w:t xml:space="preserve"> A</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Maselli</w:t>
      </w:r>
      <w:proofErr w:type="spellEnd"/>
      <w:r w:rsidRPr="00E55E4C">
        <w:rPr>
          <w:rFonts w:ascii="Book Antiqua" w:eastAsia="Book Antiqua" w:hAnsi="Book Antiqua" w:cs="Book Antiqua"/>
          <w:color w:val="000000"/>
        </w:rPr>
        <w:t xml:space="preserve"> R, Colombo M, Gabbiadini R, </w:t>
      </w:r>
      <w:proofErr w:type="spellStart"/>
      <w:r w:rsidRPr="00E55E4C">
        <w:rPr>
          <w:rFonts w:ascii="Book Antiqua" w:eastAsia="Book Antiqua" w:hAnsi="Book Antiqua" w:cs="Book Antiqua"/>
          <w:color w:val="000000"/>
        </w:rPr>
        <w:t>Spadaccini</w:t>
      </w:r>
      <w:proofErr w:type="spellEnd"/>
      <w:r w:rsidRPr="00E55E4C">
        <w:rPr>
          <w:rFonts w:ascii="Book Antiqua" w:eastAsia="Book Antiqua" w:hAnsi="Book Antiqua" w:cs="Book Antiqua"/>
          <w:color w:val="000000"/>
        </w:rPr>
        <w:t xml:space="preserve"> M, </w:t>
      </w:r>
      <w:proofErr w:type="spellStart"/>
      <w:r w:rsidRPr="00E55E4C">
        <w:rPr>
          <w:rFonts w:ascii="Book Antiqua" w:eastAsia="Book Antiqua" w:hAnsi="Book Antiqua" w:cs="Book Antiqua"/>
          <w:color w:val="000000"/>
        </w:rPr>
        <w:t>Anderloni</w:t>
      </w:r>
      <w:proofErr w:type="spellEnd"/>
      <w:r w:rsidRPr="00E55E4C">
        <w:rPr>
          <w:rFonts w:ascii="Book Antiqua" w:eastAsia="Book Antiqua" w:hAnsi="Book Antiqua" w:cs="Book Antiqua"/>
          <w:color w:val="000000"/>
        </w:rPr>
        <w:t xml:space="preserve"> A, Carrara S, </w:t>
      </w:r>
      <w:proofErr w:type="spellStart"/>
      <w:r w:rsidRPr="00E55E4C">
        <w:rPr>
          <w:rFonts w:ascii="Book Antiqua" w:eastAsia="Book Antiqua" w:hAnsi="Book Antiqua" w:cs="Book Antiqua"/>
          <w:color w:val="000000"/>
        </w:rPr>
        <w:t>Fugazza</w:t>
      </w:r>
      <w:proofErr w:type="spellEnd"/>
      <w:r w:rsidRPr="00E55E4C">
        <w:rPr>
          <w:rFonts w:ascii="Book Antiqua" w:eastAsia="Book Antiqua" w:hAnsi="Book Antiqua" w:cs="Book Antiqua"/>
          <w:color w:val="000000"/>
        </w:rPr>
        <w:t xml:space="preserve"> A, Di Leo M, </w:t>
      </w:r>
      <w:proofErr w:type="spellStart"/>
      <w:r w:rsidRPr="00E55E4C">
        <w:rPr>
          <w:rFonts w:ascii="Book Antiqua" w:eastAsia="Book Antiqua" w:hAnsi="Book Antiqua" w:cs="Book Antiqua"/>
          <w:color w:val="000000"/>
        </w:rPr>
        <w:t>Galtieri</w:t>
      </w:r>
      <w:proofErr w:type="spellEnd"/>
      <w:r w:rsidRPr="00E55E4C">
        <w:rPr>
          <w:rFonts w:ascii="Book Antiqua" w:eastAsia="Book Antiqua" w:hAnsi="Book Antiqua" w:cs="Book Antiqua"/>
          <w:color w:val="000000"/>
        </w:rPr>
        <w:t xml:space="preserve"> PA, </w:t>
      </w:r>
      <w:proofErr w:type="spellStart"/>
      <w:r w:rsidRPr="00E55E4C">
        <w:rPr>
          <w:rFonts w:ascii="Book Antiqua" w:eastAsia="Book Antiqua" w:hAnsi="Book Antiqua" w:cs="Book Antiqua"/>
          <w:color w:val="000000"/>
        </w:rPr>
        <w:t>Pellegatta</w:t>
      </w:r>
      <w:proofErr w:type="spellEnd"/>
      <w:r w:rsidRPr="00E55E4C">
        <w:rPr>
          <w:rFonts w:ascii="Book Antiqua" w:eastAsia="Book Antiqua" w:hAnsi="Book Antiqua" w:cs="Book Antiqua"/>
          <w:color w:val="000000"/>
        </w:rPr>
        <w:t xml:space="preserve"> G, Ferrara EC, </w:t>
      </w:r>
      <w:proofErr w:type="spellStart"/>
      <w:r w:rsidRPr="00E55E4C">
        <w:rPr>
          <w:rFonts w:ascii="Book Antiqua" w:eastAsia="Book Antiqua" w:hAnsi="Book Antiqua" w:cs="Book Antiqua"/>
          <w:color w:val="000000"/>
        </w:rPr>
        <w:t>Azzolini</w:t>
      </w:r>
      <w:proofErr w:type="spellEnd"/>
      <w:r w:rsidRPr="00E55E4C">
        <w:rPr>
          <w:rFonts w:ascii="Book Antiqua" w:eastAsia="Book Antiqua" w:hAnsi="Book Antiqua" w:cs="Book Antiqua"/>
          <w:color w:val="000000"/>
        </w:rPr>
        <w:t xml:space="preserve"> E, </w:t>
      </w:r>
      <w:proofErr w:type="spellStart"/>
      <w:r w:rsidRPr="00E55E4C">
        <w:rPr>
          <w:rFonts w:ascii="Book Antiqua" w:eastAsia="Book Antiqua" w:hAnsi="Book Antiqua" w:cs="Book Antiqua"/>
          <w:color w:val="000000"/>
        </w:rPr>
        <w:t>Lagioia</w:t>
      </w:r>
      <w:proofErr w:type="spellEnd"/>
      <w:r w:rsidRPr="00E55E4C">
        <w:rPr>
          <w:rFonts w:ascii="Book Antiqua" w:eastAsia="Book Antiqua" w:hAnsi="Book Antiqua" w:cs="Book Antiqua"/>
          <w:color w:val="000000"/>
        </w:rPr>
        <w:t xml:space="preserve"> M. Coronavirus (COVID-19) outbreak: what the department of endoscopy should know. </w:t>
      </w:r>
      <w:proofErr w:type="spellStart"/>
      <w:r w:rsidRPr="00E55E4C">
        <w:rPr>
          <w:rFonts w:ascii="Book Antiqua" w:eastAsia="Book Antiqua" w:hAnsi="Book Antiqua" w:cs="Book Antiqua"/>
          <w:i/>
          <w:iCs/>
          <w:color w:val="000000"/>
        </w:rPr>
        <w:t>Gastrointest</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92</w:t>
      </w:r>
      <w:r w:rsidRPr="00E55E4C">
        <w:rPr>
          <w:rFonts w:ascii="Book Antiqua" w:eastAsia="Book Antiqua" w:hAnsi="Book Antiqua" w:cs="Book Antiqua"/>
          <w:color w:val="000000"/>
        </w:rPr>
        <w:t>: 192-197 [PMID: 32179106 DOI: 10.1016/j.gie.2020.03.019]</w:t>
      </w:r>
    </w:p>
    <w:p w14:paraId="42B9367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5 </w:t>
      </w:r>
      <w:r w:rsidRPr="00E55E4C">
        <w:rPr>
          <w:rFonts w:ascii="Book Antiqua" w:eastAsia="Book Antiqua" w:hAnsi="Book Antiqua" w:cs="Book Antiqua"/>
          <w:b/>
          <w:bCs/>
          <w:color w:val="000000"/>
        </w:rPr>
        <w:t>Lui RN</w:t>
      </w:r>
      <w:r w:rsidRPr="00E55E4C">
        <w:rPr>
          <w:rFonts w:ascii="Book Antiqua" w:eastAsia="Book Antiqua" w:hAnsi="Book Antiqua" w:cs="Book Antiqua"/>
          <w:color w:val="000000"/>
        </w:rPr>
        <w:t xml:space="preserve">. Safety in Endoscopy for Patients and Healthcare Workers During the COVID-19 Pandemic. </w:t>
      </w:r>
      <w:r w:rsidRPr="00E55E4C">
        <w:rPr>
          <w:rFonts w:ascii="Book Antiqua" w:eastAsia="Book Antiqua" w:hAnsi="Book Antiqua" w:cs="Book Antiqua"/>
          <w:i/>
          <w:iCs/>
          <w:color w:val="000000"/>
        </w:rPr>
        <w:t xml:space="preserve">Tech </w:t>
      </w:r>
      <w:proofErr w:type="spellStart"/>
      <w:r w:rsidRPr="00E55E4C">
        <w:rPr>
          <w:rFonts w:ascii="Book Antiqua" w:eastAsia="Book Antiqua" w:hAnsi="Book Antiqua" w:cs="Book Antiqua"/>
          <w:i/>
          <w:iCs/>
          <w:color w:val="000000"/>
        </w:rPr>
        <w:t>Innov</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Gastrointest</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color w:val="000000"/>
        </w:rPr>
        <w:t xml:space="preserve"> 2021; </w:t>
      </w:r>
      <w:r w:rsidRPr="00E55E4C">
        <w:rPr>
          <w:rFonts w:ascii="Book Antiqua" w:eastAsia="Book Antiqua" w:hAnsi="Book Antiqua" w:cs="Book Antiqua"/>
          <w:b/>
          <w:bCs/>
          <w:color w:val="000000"/>
        </w:rPr>
        <w:t>23</w:t>
      </w:r>
      <w:r w:rsidRPr="00E55E4C">
        <w:rPr>
          <w:rFonts w:ascii="Book Antiqua" w:eastAsia="Book Antiqua" w:hAnsi="Book Antiqua" w:cs="Book Antiqua"/>
          <w:color w:val="000000"/>
        </w:rPr>
        <w:t>: 170-178 [PMID: 33103130 DOI: 10.1016/j.tige.2020.10.004]</w:t>
      </w:r>
    </w:p>
    <w:p w14:paraId="566C6C1E"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6 </w:t>
      </w:r>
      <w:proofErr w:type="spellStart"/>
      <w:r w:rsidRPr="00E55E4C">
        <w:rPr>
          <w:rFonts w:ascii="Book Antiqua" w:eastAsia="Book Antiqua" w:hAnsi="Book Antiqua" w:cs="Book Antiqua"/>
          <w:b/>
          <w:bCs/>
          <w:color w:val="000000"/>
        </w:rPr>
        <w:t>Repici</w:t>
      </w:r>
      <w:proofErr w:type="spellEnd"/>
      <w:r w:rsidRPr="00E55E4C">
        <w:rPr>
          <w:rFonts w:ascii="Book Antiqua" w:eastAsia="Book Antiqua" w:hAnsi="Book Antiqua" w:cs="Book Antiqua"/>
          <w:b/>
          <w:bCs/>
          <w:color w:val="000000"/>
        </w:rPr>
        <w:t xml:space="preserve"> A</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Aragona</w:t>
      </w:r>
      <w:proofErr w:type="spellEnd"/>
      <w:r w:rsidRPr="00E55E4C">
        <w:rPr>
          <w:rFonts w:ascii="Book Antiqua" w:eastAsia="Book Antiqua" w:hAnsi="Book Antiqua" w:cs="Book Antiqua"/>
          <w:color w:val="000000"/>
        </w:rPr>
        <w:t xml:space="preserve"> G, </w:t>
      </w:r>
      <w:proofErr w:type="spellStart"/>
      <w:r w:rsidRPr="00E55E4C">
        <w:rPr>
          <w:rFonts w:ascii="Book Antiqua" w:eastAsia="Book Antiqua" w:hAnsi="Book Antiqua" w:cs="Book Antiqua"/>
          <w:color w:val="000000"/>
        </w:rPr>
        <w:t>Cengia</w:t>
      </w:r>
      <w:proofErr w:type="spellEnd"/>
      <w:r w:rsidRPr="00E55E4C">
        <w:rPr>
          <w:rFonts w:ascii="Book Antiqua" w:eastAsia="Book Antiqua" w:hAnsi="Book Antiqua" w:cs="Book Antiqua"/>
          <w:color w:val="000000"/>
        </w:rPr>
        <w:t xml:space="preserve"> G, </w:t>
      </w:r>
      <w:proofErr w:type="spellStart"/>
      <w:r w:rsidRPr="00E55E4C">
        <w:rPr>
          <w:rFonts w:ascii="Book Antiqua" w:eastAsia="Book Antiqua" w:hAnsi="Book Antiqua" w:cs="Book Antiqua"/>
          <w:color w:val="000000"/>
        </w:rPr>
        <w:t>Cantù</w:t>
      </w:r>
      <w:proofErr w:type="spellEnd"/>
      <w:r w:rsidRPr="00E55E4C">
        <w:rPr>
          <w:rFonts w:ascii="Book Antiqua" w:eastAsia="Book Antiqua" w:hAnsi="Book Antiqua" w:cs="Book Antiqua"/>
          <w:color w:val="000000"/>
        </w:rPr>
        <w:t xml:space="preserve"> P, </w:t>
      </w:r>
      <w:proofErr w:type="spellStart"/>
      <w:r w:rsidRPr="00E55E4C">
        <w:rPr>
          <w:rFonts w:ascii="Book Antiqua" w:eastAsia="Book Antiqua" w:hAnsi="Book Antiqua" w:cs="Book Antiqua"/>
          <w:color w:val="000000"/>
        </w:rPr>
        <w:t>Spadaccini</w:t>
      </w:r>
      <w:proofErr w:type="spellEnd"/>
      <w:r w:rsidRPr="00E55E4C">
        <w:rPr>
          <w:rFonts w:ascii="Book Antiqua" w:eastAsia="Book Antiqua" w:hAnsi="Book Antiqua" w:cs="Book Antiqua"/>
          <w:color w:val="000000"/>
        </w:rPr>
        <w:t xml:space="preserve"> M, </w:t>
      </w:r>
      <w:proofErr w:type="spellStart"/>
      <w:r w:rsidRPr="00E55E4C">
        <w:rPr>
          <w:rFonts w:ascii="Book Antiqua" w:eastAsia="Book Antiqua" w:hAnsi="Book Antiqua" w:cs="Book Antiqua"/>
          <w:color w:val="000000"/>
        </w:rPr>
        <w:t>Maselli</w:t>
      </w:r>
      <w:proofErr w:type="spellEnd"/>
      <w:r w:rsidRPr="00E55E4C">
        <w:rPr>
          <w:rFonts w:ascii="Book Antiqua" w:eastAsia="Book Antiqua" w:hAnsi="Book Antiqua" w:cs="Book Antiqua"/>
          <w:color w:val="000000"/>
        </w:rPr>
        <w:t xml:space="preserve"> R, Carrara S, </w:t>
      </w:r>
      <w:proofErr w:type="spellStart"/>
      <w:r w:rsidRPr="00E55E4C">
        <w:rPr>
          <w:rFonts w:ascii="Book Antiqua" w:eastAsia="Book Antiqua" w:hAnsi="Book Antiqua" w:cs="Book Antiqua"/>
          <w:color w:val="000000"/>
        </w:rPr>
        <w:t>Anderloni</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Fugazza</w:t>
      </w:r>
      <w:proofErr w:type="spellEnd"/>
      <w:r w:rsidRPr="00E55E4C">
        <w:rPr>
          <w:rFonts w:ascii="Book Antiqua" w:eastAsia="Book Antiqua" w:hAnsi="Book Antiqua" w:cs="Book Antiqua"/>
          <w:color w:val="000000"/>
        </w:rPr>
        <w:t xml:space="preserve"> A, Pace F, </w:t>
      </w:r>
      <w:proofErr w:type="spellStart"/>
      <w:r w:rsidRPr="00E55E4C">
        <w:rPr>
          <w:rFonts w:ascii="Book Antiqua" w:eastAsia="Book Antiqua" w:hAnsi="Book Antiqua" w:cs="Book Antiqua"/>
          <w:color w:val="000000"/>
        </w:rPr>
        <w:t>Rösch</w:t>
      </w:r>
      <w:proofErr w:type="spellEnd"/>
      <w:r w:rsidRPr="00E55E4C">
        <w:rPr>
          <w:rFonts w:ascii="Book Antiqua" w:eastAsia="Book Antiqua" w:hAnsi="Book Antiqua" w:cs="Book Antiqua"/>
          <w:color w:val="000000"/>
        </w:rPr>
        <w:t xml:space="preserve"> T; ITALIAN GI-COVID19 Working Group. Low risk of COVID-19 transmission in GI endoscopy. </w:t>
      </w:r>
      <w:r w:rsidRPr="00E55E4C">
        <w:rPr>
          <w:rFonts w:ascii="Book Antiqua" w:eastAsia="Book Antiqua" w:hAnsi="Book Antiqua" w:cs="Book Antiqua"/>
          <w:i/>
          <w:iCs/>
          <w:color w:val="000000"/>
        </w:rPr>
        <w:t>Gut</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69</w:t>
      </w:r>
      <w:r w:rsidRPr="00E55E4C">
        <w:rPr>
          <w:rFonts w:ascii="Book Antiqua" w:eastAsia="Book Antiqua" w:hAnsi="Book Antiqua" w:cs="Book Antiqua"/>
          <w:color w:val="000000"/>
        </w:rPr>
        <w:t>: 1925-1927 [PMID: 32321857 DOI: 10.1136/gutjnl-2020-321341]</w:t>
      </w:r>
    </w:p>
    <w:p w14:paraId="187CADC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7 </w:t>
      </w:r>
      <w:r w:rsidRPr="00E55E4C">
        <w:rPr>
          <w:rFonts w:ascii="Book Antiqua" w:eastAsia="Book Antiqua" w:hAnsi="Book Antiqua" w:cs="Book Antiqua"/>
          <w:b/>
          <w:bCs/>
          <w:color w:val="000000"/>
        </w:rPr>
        <w:t>Ang TL</w:t>
      </w:r>
      <w:r w:rsidRPr="00E55E4C">
        <w:rPr>
          <w:rFonts w:ascii="Book Antiqua" w:eastAsia="Book Antiqua" w:hAnsi="Book Antiqua" w:cs="Book Antiqua"/>
          <w:color w:val="000000"/>
        </w:rPr>
        <w:t xml:space="preserve">. Gastrointestinal endoscopy during COVID-19 pandemic. </w:t>
      </w:r>
      <w:r w:rsidRPr="00E55E4C">
        <w:rPr>
          <w:rFonts w:ascii="Book Antiqua" w:eastAsia="Book Antiqua" w:hAnsi="Book Antiqua" w:cs="Book Antiqua"/>
          <w:i/>
          <w:iCs/>
          <w:color w:val="000000"/>
        </w:rPr>
        <w:t>J Gastroenterol Hepatol</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35</w:t>
      </w:r>
      <w:r w:rsidRPr="00E55E4C">
        <w:rPr>
          <w:rFonts w:ascii="Book Antiqua" w:eastAsia="Book Antiqua" w:hAnsi="Book Antiqua" w:cs="Book Antiqua"/>
          <w:color w:val="000000"/>
        </w:rPr>
        <w:t>: 701-702 [PMID: 32216110 DOI: 10.1111/jgh.15048]</w:t>
      </w:r>
    </w:p>
    <w:p w14:paraId="0222FD2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lastRenderedPageBreak/>
        <w:t xml:space="preserve">8 </w:t>
      </w:r>
      <w:r w:rsidRPr="00E55E4C">
        <w:rPr>
          <w:rFonts w:ascii="Book Antiqua" w:eastAsia="Book Antiqua" w:hAnsi="Book Antiqua" w:cs="Book Antiqua"/>
          <w:b/>
          <w:bCs/>
          <w:color w:val="000000"/>
        </w:rPr>
        <w:t>Tian Y</w:t>
      </w:r>
      <w:r w:rsidRPr="00E55E4C">
        <w:rPr>
          <w:rFonts w:ascii="Book Antiqua" w:eastAsia="Book Antiqua" w:hAnsi="Book Antiqua" w:cs="Book Antiqua"/>
          <w:color w:val="000000"/>
        </w:rPr>
        <w:t xml:space="preserve">, Rong L, </w:t>
      </w:r>
      <w:proofErr w:type="spellStart"/>
      <w:r w:rsidRPr="00E55E4C">
        <w:rPr>
          <w:rFonts w:ascii="Book Antiqua" w:eastAsia="Book Antiqua" w:hAnsi="Book Antiqua" w:cs="Book Antiqua"/>
          <w:color w:val="000000"/>
        </w:rPr>
        <w:t>Nian</w:t>
      </w:r>
      <w:proofErr w:type="spellEnd"/>
      <w:r w:rsidRPr="00E55E4C">
        <w:rPr>
          <w:rFonts w:ascii="Book Antiqua" w:eastAsia="Book Antiqua" w:hAnsi="Book Antiqua" w:cs="Book Antiqua"/>
          <w:color w:val="000000"/>
        </w:rPr>
        <w:t xml:space="preserve"> W, He Y. Review article: gastrointestinal features in COVID-19 and the possibility of </w:t>
      </w:r>
      <w:proofErr w:type="spellStart"/>
      <w:r w:rsidRPr="00E55E4C">
        <w:rPr>
          <w:rFonts w:ascii="Book Antiqua" w:eastAsia="Book Antiqua" w:hAnsi="Book Antiqua" w:cs="Book Antiqua"/>
          <w:color w:val="000000"/>
        </w:rPr>
        <w:t>faecal</w:t>
      </w:r>
      <w:proofErr w:type="spellEnd"/>
      <w:r w:rsidRPr="00E55E4C">
        <w:rPr>
          <w:rFonts w:ascii="Book Antiqua" w:eastAsia="Book Antiqua" w:hAnsi="Book Antiqua" w:cs="Book Antiqua"/>
          <w:color w:val="000000"/>
        </w:rPr>
        <w:t xml:space="preserve"> transmission. </w:t>
      </w:r>
      <w:r w:rsidRPr="00E55E4C">
        <w:rPr>
          <w:rFonts w:ascii="Book Antiqua" w:eastAsia="Book Antiqua" w:hAnsi="Book Antiqua" w:cs="Book Antiqua"/>
          <w:i/>
          <w:iCs/>
          <w:color w:val="000000"/>
        </w:rPr>
        <w:t xml:space="preserve">Aliment </w:t>
      </w:r>
      <w:proofErr w:type="spellStart"/>
      <w:r w:rsidRPr="00E55E4C">
        <w:rPr>
          <w:rFonts w:ascii="Book Antiqua" w:eastAsia="Book Antiqua" w:hAnsi="Book Antiqua" w:cs="Book Antiqua"/>
          <w:i/>
          <w:iCs/>
          <w:color w:val="000000"/>
        </w:rPr>
        <w:t>Pharmacol</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Ther</w:t>
      </w:r>
      <w:proofErr w:type="spellEnd"/>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51</w:t>
      </w:r>
      <w:r w:rsidRPr="00E55E4C">
        <w:rPr>
          <w:rFonts w:ascii="Book Antiqua" w:eastAsia="Book Antiqua" w:hAnsi="Book Antiqua" w:cs="Book Antiqua"/>
          <w:color w:val="000000"/>
        </w:rPr>
        <w:t>: 843-851 [PMID: 32222988 DOI: 10.1111/apt.15731]</w:t>
      </w:r>
    </w:p>
    <w:p w14:paraId="135605C1"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9 </w:t>
      </w:r>
      <w:proofErr w:type="spellStart"/>
      <w:r w:rsidRPr="00E55E4C">
        <w:rPr>
          <w:rFonts w:ascii="Book Antiqua" w:eastAsia="Book Antiqua" w:hAnsi="Book Antiqua" w:cs="Book Antiqua"/>
          <w:b/>
          <w:bCs/>
          <w:color w:val="000000"/>
        </w:rPr>
        <w:t>Ginès</w:t>
      </w:r>
      <w:proofErr w:type="spellEnd"/>
      <w:r w:rsidRPr="00E55E4C">
        <w:rPr>
          <w:rFonts w:ascii="Book Antiqua" w:eastAsia="Book Antiqua" w:hAnsi="Book Antiqua" w:cs="Book Antiqua"/>
          <w:b/>
          <w:bCs/>
          <w:color w:val="000000"/>
        </w:rPr>
        <w:t xml:space="preserve"> À</w:t>
      </w:r>
      <w:r w:rsidRPr="00E55E4C">
        <w:rPr>
          <w:rFonts w:ascii="Book Antiqua" w:eastAsia="Book Antiqua" w:hAnsi="Book Antiqua" w:cs="Book Antiqua"/>
          <w:color w:val="000000"/>
        </w:rPr>
        <w:t>, Fernández-</w:t>
      </w:r>
      <w:proofErr w:type="spellStart"/>
      <w:r w:rsidRPr="00E55E4C">
        <w:rPr>
          <w:rFonts w:ascii="Book Antiqua" w:eastAsia="Book Antiqua" w:hAnsi="Book Antiqua" w:cs="Book Antiqua"/>
          <w:color w:val="000000"/>
        </w:rPr>
        <w:t>Esparrach</w:t>
      </w:r>
      <w:proofErr w:type="spellEnd"/>
      <w:r w:rsidRPr="00E55E4C">
        <w:rPr>
          <w:rFonts w:ascii="Book Antiqua" w:eastAsia="Book Antiqua" w:hAnsi="Book Antiqua" w:cs="Book Antiqua"/>
          <w:color w:val="000000"/>
        </w:rPr>
        <w:t xml:space="preserve"> G, </w:t>
      </w:r>
      <w:proofErr w:type="spellStart"/>
      <w:r w:rsidRPr="00E55E4C">
        <w:rPr>
          <w:rFonts w:ascii="Book Antiqua" w:eastAsia="Book Antiqua" w:hAnsi="Book Antiqua" w:cs="Book Antiqua"/>
          <w:color w:val="000000"/>
        </w:rPr>
        <w:t>Pellisé</w:t>
      </w:r>
      <w:proofErr w:type="spellEnd"/>
      <w:r w:rsidRPr="00E55E4C">
        <w:rPr>
          <w:rFonts w:ascii="Book Antiqua" w:eastAsia="Book Antiqua" w:hAnsi="Book Antiqua" w:cs="Book Antiqua"/>
          <w:color w:val="000000"/>
        </w:rPr>
        <w:t xml:space="preserve"> M, </w:t>
      </w:r>
      <w:proofErr w:type="spellStart"/>
      <w:r w:rsidRPr="00E55E4C">
        <w:rPr>
          <w:rFonts w:ascii="Book Antiqua" w:eastAsia="Book Antiqua" w:hAnsi="Book Antiqua" w:cs="Book Antiqua"/>
          <w:color w:val="000000"/>
        </w:rPr>
        <w:t>Sendino</w:t>
      </w:r>
      <w:proofErr w:type="spellEnd"/>
      <w:r w:rsidRPr="00E55E4C">
        <w:rPr>
          <w:rFonts w:ascii="Book Antiqua" w:eastAsia="Book Antiqua" w:hAnsi="Book Antiqua" w:cs="Book Antiqua"/>
          <w:color w:val="000000"/>
        </w:rPr>
        <w:t xml:space="preserve"> O, Balaguer F, </w:t>
      </w:r>
      <w:proofErr w:type="spellStart"/>
      <w:r w:rsidRPr="00E55E4C">
        <w:rPr>
          <w:rFonts w:ascii="Book Antiqua" w:eastAsia="Book Antiqua" w:hAnsi="Book Antiqua" w:cs="Book Antiqua"/>
          <w:color w:val="000000"/>
        </w:rPr>
        <w:t>Llach</w:t>
      </w:r>
      <w:proofErr w:type="spellEnd"/>
      <w:r w:rsidRPr="00E55E4C">
        <w:rPr>
          <w:rFonts w:ascii="Book Antiqua" w:eastAsia="Book Antiqua" w:hAnsi="Book Antiqua" w:cs="Book Antiqua"/>
          <w:color w:val="000000"/>
        </w:rPr>
        <w:t xml:space="preserve"> J, González-Suárez B, </w:t>
      </w:r>
      <w:proofErr w:type="spellStart"/>
      <w:r w:rsidRPr="00E55E4C">
        <w:rPr>
          <w:rFonts w:ascii="Book Antiqua" w:eastAsia="Book Antiqua" w:hAnsi="Book Antiqua" w:cs="Book Antiqua"/>
          <w:color w:val="000000"/>
        </w:rPr>
        <w:t>Saló</w:t>
      </w:r>
      <w:proofErr w:type="spellEnd"/>
      <w:r w:rsidRPr="00E55E4C">
        <w:rPr>
          <w:rFonts w:ascii="Book Antiqua" w:eastAsia="Book Antiqua" w:hAnsi="Book Antiqua" w:cs="Book Antiqua"/>
          <w:color w:val="000000"/>
        </w:rPr>
        <w:t xml:space="preserve"> S. Critical importance of early introduction of prevention measures for SARS-CoV-2 infection in endoscopy units. </w:t>
      </w:r>
      <w:proofErr w:type="spellStart"/>
      <w:r w:rsidRPr="00E55E4C">
        <w:rPr>
          <w:rFonts w:ascii="Book Antiqua" w:eastAsia="Book Antiqua" w:hAnsi="Book Antiqua" w:cs="Book Antiqua"/>
          <w:i/>
          <w:iCs/>
          <w:color w:val="000000"/>
        </w:rPr>
        <w:t>Gastrointest</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92</w:t>
      </w:r>
      <w:r w:rsidRPr="00E55E4C">
        <w:rPr>
          <w:rFonts w:ascii="Book Antiqua" w:eastAsia="Book Antiqua" w:hAnsi="Book Antiqua" w:cs="Book Antiqua"/>
          <w:color w:val="000000"/>
        </w:rPr>
        <w:t>: 936-937 [PMID: 32553570 DOI: 10.1016/j.gie.2020.06.023]</w:t>
      </w:r>
    </w:p>
    <w:p w14:paraId="66276F0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10 </w:t>
      </w:r>
      <w:r w:rsidRPr="00E55E4C">
        <w:rPr>
          <w:rFonts w:ascii="Book Antiqua" w:eastAsia="Book Antiqua" w:hAnsi="Book Antiqua" w:cs="Book Antiqua"/>
          <w:b/>
          <w:bCs/>
          <w:color w:val="000000"/>
        </w:rPr>
        <w:t>Rodrigues-Pinto E</w:t>
      </w:r>
      <w:r w:rsidRPr="00E55E4C">
        <w:rPr>
          <w:rFonts w:ascii="Book Antiqua" w:eastAsia="Book Antiqua" w:hAnsi="Book Antiqua" w:cs="Book Antiqua"/>
          <w:color w:val="000000"/>
        </w:rPr>
        <w:t xml:space="preserve">, Ferreira-Silva J, </w:t>
      </w:r>
      <w:proofErr w:type="spellStart"/>
      <w:r w:rsidRPr="00E55E4C">
        <w:rPr>
          <w:rFonts w:ascii="Book Antiqua" w:eastAsia="Book Antiqua" w:hAnsi="Book Antiqua" w:cs="Book Antiqua"/>
          <w:color w:val="000000"/>
        </w:rPr>
        <w:t>Fugazza</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Capogreco</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Repici</w:t>
      </w:r>
      <w:proofErr w:type="spellEnd"/>
      <w:r w:rsidRPr="00E55E4C">
        <w:rPr>
          <w:rFonts w:ascii="Book Antiqua" w:eastAsia="Book Antiqua" w:hAnsi="Book Antiqua" w:cs="Book Antiqua"/>
          <w:color w:val="000000"/>
        </w:rPr>
        <w:t xml:space="preserve"> A, Everett S, Albers D, Schumacher B, </w:t>
      </w:r>
      <w:proofErr w:type="spellStart"/>
      <w:r w:rsidRPr="00E55E4C">
        <w:rPr>
          <w:rFonts w:ascii="Book Antiqua" w:eastAsia="Book Antiqua" w:hAnsi="Book Antiqua" w:cs="Book Antiqua"/>
          <w:color w:val="000000"/>
        </w:rPr>
        <w:t>Gines</w:t>
      </w:r>
      <w:proofErr w:type="spellEnd"/>
      <w:r w:rsidRPr="00E55E4C">
        <w:rPr>
          <w:rFonts w:ascii="Book Antiqua" w:eastAsia="Book Antiqua" w:hAnsi="Book Antiqua" w:cs="Book Antiqua"/>
          <w:color w:val="000000"/>
        </w:rPr>
        <w:t xml:space="preserve"> A, </w:t>
      </w:r>
      <w:proofErr w:type="spellStart"/>
      <w:r w:rsidRPr="00E55E4C">
        <w:rPr>
          <w:rFonts w:ascii="Book Antiqua" w:eastAsia="Book Antiqua" w:hAnsi="Book Antiqua" w:cs="Book Antiqua"/>
          <w:color w:val="000000"/>
        </w:rPr>
        <w:t>Siersema</w:t>
      </w:r>
      <w:proofErr w:type="spellEnd"/>
      <w:r w:rsidRPr="00E55E4C">
        <w:rPr>
          <w:rFonts w:ascii="Book Antiqua" w:eastAsia="Book Antiqua" w:hAnsi="Book Antiqua" w:cs="Book Antiqua"/>
          <w:color w:val="000000"/>
        </w:rPr>
        <w:t xml:space="preserve"> PD, Macedo G. Upper gastrointestinal stenting during the SARS-CoV-2 outbreak: impact of mitigation measures and risk of contamination for patients and staff.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i/>
          <w:iCs/>
          <w:color w:val="000000"/>
        </w:rPr>
        <w:t xml:space="preserve"> Int Open</w:t>
      </w:r>
      <w:r w:rsidRPr="00E55E4C">
        <w:rPr>
          <w:rFonts w:ascii="Book Antiqua" w:eastAsia="Book Antiqua" w:hAnsi="Book Antiqua" w:cs="Book Antiqua"/>
          <w:color w:val="000000"/>
        </w:rPr>
        <w:t xml:space="preserve"> 2021; </w:t>
      </w:r>
      <w:r w:rsidRPr="00E55E4C">
        <w:rPr>
          <w:rFonts w:ascii="Book Antiqua" w:eastAsia="Book Antiqua" w:hAnsi="Book Antiqua" w:cs="Book Antiqua"/>
          <w:b/>
          <w:bCs/>
          <w:color w:val="000000"/>
        </w:rPr>
        <w:t>9</w:t>
      </w:r>
      <w:r w:rsidRPr="00E55E4C">
        <w:rPr>
          <w:rFonts w:ascii="Book Antiqua" w:eastAsia="Book Antiqua" w:hAnsi="Book Antiqua" w:cs="Book Antiqua"/>
          <w:color w:val="000000"/>
        </w:rPr>
        <w:t>: E76-E86 [PMID: 33403239 DOI: 10.1055/a-1319-1201]</w:t>
      </w:r>
    </w:p>
    <w:p w14:paraId="11DADC40" w14:textId="18A971C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11 </w:t>
      </w:r>
      <w:r w:rsidRPr="00E55E4C">
        <w:rPr>
          <w:rFonts w:ascii="Book Antiqua" w:eastAsia="Book Antiqua" w:hAnsi="Book Antiqua" w:cs="Book Antiqua"/>
          <w:b/>
          <w:bCs/>
          <w:color w:val="000000"/>
        </w:rPr>
        <w:t>Miyake S</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Ashikari</w:t>
      </w:r>
      <w:proofErr w:type="spellEnd"/>
      <w:r w:rsidRPr="00E55E4C">
        <w:rPr>
          <w:rFonts w:ascii="Book Antiqua" w:eastAsia="Book Antiqua" w:hAnsi="Book Antiqua" w:cs="Book Antiqua"/>
          <w:color w:val="000000"/>
        </w:rPr>
        <w:t xml:space="preserve"> K, Kato S, Takatsu T, </w:t>
      </w:r>
      <w:proofErr w:type="spellStart"/>
      <w:r w:rsidRPr="00E55E4C">
        <w:rPr>
          <w:rFonts w:ascii="Book Antiqua" w:eastAsia="Book Antiqua" w:hAnsi="Book Antiqua" w:cs="Book Antiqua"/>
          <w:color w:val="000000"/>
        </w:rPr>
        <w:t>Kuwashima</w:t>
      </w:r>
      <w:proofErr w:type="spellEnd"/>
      <w:r w:rsidRPr="00E55E4C">
        <w:rPr>
          <w:rFonts w:ascii="Book Antiqua" w:eastAsia="Book Antiqua" w:hAnsi="Book Antiqua" w:cs="Book Antiqua"/>
          <w:color w:val="000000"/>
        </w:rPr>
        <w:t xml:space="preserve"> H, Kaneko H, Nagai K, </w:t>
      </w:r>
      <w:proofErr w:type="spellStart"/>
      <w:r w:rsidRPr="00E55E4C">
        <w:rPr>
          <w:rFonts w:ascii="Book Antiqua" w:eastAsia="Book Antiqua" w:hAnsi="Book Antiqua" w:cs="Book Antiqua"/>
          <w:color w:val="000000"/>
        </w:rPr>
        <w:t>Watari</w:t>
      </w:r>
      <w:proofErr w:type="spellEnd"/>
      <w:r w:rsidRPr="00E55E4C">
        <w:rPr>
          <w:rFonts w:ascii="Book Antiqua" w:eastAsia="Book Antiqua" w:hAnsi="Book Antiqua" w:cs="Book Antiqua"/>
          <w:color w:val="000000"/>
        </w:rPr>
        <w:t xml:space="preserve"> I, Sato T, Yamaoka Y, Yamamoto T, Ryo A, Maeda S, Nakajima A, </w:t>
      </w:r>
      <w:proofErr w:type="spellStart"/>
      <w:r w:rsidRPr="00E55E4C">
        <w:rPr>
          <w:rFonts w:ascii="Book Antiqua" w:eastAsia="Book Antiqua" w:hAnsi="Book Antiqua" w:cs="Book Antiqua"/>
          <w:color w:val="000000"/>
        </w:rPr>
        <w:t>Higurashi</w:t>
      </w:r>
      <w:proofErr w:type="spellEnd"/>
      <w:r w:rsidRPr="00E55E4C">
        <w:rPr>
          <w:rFonts w:ascii="Book Antiqua" w:eastAsia="Book Antiqua" w:hAnsi="Book Antiqua" w:cs="Book Antiqua"/>
          <w:color w:val="000000"/>
        </w:rPr>
        <w:t xml:space="preserve"> T. Severe acute respiratory syndrome coronavirus 2 prevalence in saliva and gastric and intestinal fluid in patients undergoing gastrointestinal endoscopy in coronavirus disease 2019 endemic areas: Prospective cross-sectional study in Japan. </w:t>
      </w:r>
      <w:r w:rsidRPr="00E55E4C">
        <w:rPr>
          <w:rFonts w:ascii="Book Antiqua" w:eastAsia="Book Antiqua" w:hAnsi="Book Antiqua" w:cs="Book Antiqua"/>
          <w:i/>
          <w:iCs/>
          <w:color w:val="000000"/>
        </w:rPr>
        <w:t xml:space="preserve">Dig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color w:val="000000"/>
        </w:rPr>
        <w:t xml:space="preserve"> 2021</w:t>
      </w:r>
      <w:r w:rsidR="009D1C51" w:rsidRPr="00E55E4C">
        <w:rPr>
          <w:rFonts w:ascii="Book Antiqua" w:hAnsi="Book Antiqua"/>
        </w:rPr>
        <w:t xml:space="preserve"> </w:t>
      </w:r>
      <w:proofErr w:type="spellStart"/>
      <w:r w:rsidR="009D1C51" w:rsidRPr="00E55E4C">
        <w:rPr>
          <w:rFonts w:ascii="Book Antiqua" w:eastAsia="Book Antiqua" w:hAnsi="Book Antiqua" w:cs="Book Antiqua"/>
          <w:color w:val="000000"/>
        </w:rPr>
        <w:t>epub</w:t>
      </w:r>
      <w:proofErr w:type="spellEnd"/>
      <w:r w:rsidR="009D1C51" w:rsidRPr="00E55E4C">
        <w:rPr>
          <w:rFonts w:ascii="Book Antiqua" w:eastAsia="Book Antiqua" w:hAnsi="Book Antiqua" w:cs="Book Antiqua"/>
          <w:color w:val="000000"/>
        </w:rPr>
        <w:t xml:space="preserve"> ahead of print</w:t>
      </w:r>
      <w:r w:rsidRPr="00E55E4C">
        <w:rPr>
          <w:rFonts w:ascii="Book Antiqua" w:eastAsia="Book Antiqua" w:hAnsi="Book Antiqua" w:cs="Book Antiqua"/>
          <w:color w:val="000000"/>
        </w:rPr>
        <w:t xml:space="preserve"> [PMID: 33548095 DOI: 10.1111/den.13945]</w:t>
      </w:r>
    </w:p>
    <w:p w14:paraId="14403707" w14:textId="69871CE0"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12 </w:t>
      </w:r>
      <w:r w:rsidR="009D1C51" w:rsidRPr="00E55E4C">
        <w:rPr>
          <w:rFonts w:ascii="Book Antiqua" w:eastAsia="Book Antiqua" w:hAnsi="Book Antiqua" w:cs="Book Antiqua"/>
          <w:b/>
          <w:bCs/>
          <w:color w:val="000000"/>
        </w:rPr>
        <w:t xml:space="preserve">Kumar </w:t>
      </w:r>
      <w:proofErr w:type="spellStart"/>
      <w:r w:rsidR="009D1C51" w:rsidRPr="00E55E4C">
        <w:rPr>
          <w:rFonts w:ascii="Book Antiqua" w:eastAsia="Book Antiqua" w:hAnsi="Book Antiqua" w:cs="Book Antiqua"/>
          <w:b/>
          <w:bCs/>
          <w:color w:val="000000"/>
        </w:rPr>
        <w:t>Goenka</w:t>
      </w:r>
      <w:proofErr w:type="spellEnd"/>
      <w:r w:rsidR="009D1C51" w:rsidRPr="00E55E4C">
        <w:rPr>
          <w:rFonts w:ascii="Book Antiqua" w:eastAsia="Book Antiqua" w:hAnsi="Book Antiqua" w:cs="Book Antiqua"/>
          <w:b/>
          <w:bCs/>
          <w:color w:val="000000"/>
        </w:rPr>
        <w:t xml:space="preserve"> M</w:t>
      </w:r>
      <w:r w:rsidR="009D1C51" w:rsidRPr="00E55E4C">
        <w:rPr>
          <w:rFonts w:ascii="Book Antiqua" w:eastAsia="Book Antiqua" w:hAnsi="Book Antiqua" w:cs="Book Antiqua"/>
          <w:color w:val="000000"/>
        </w:rPr>
        <w:t xml:space="preserve">, Bharat Shah B, </w:t>
      </w:r>
      <w:proofErr w:type="spellStart"/>
      <w:r w:rsidR="009D1C51" w:rsidRPr="00E55E4C">
        <w:rPr>
          <w:rFonts w:ascii="Book Antiqua" w:eastAsia="Book Antiqua" w:hAnsi="Book Antiqua" w:cs="Book Antiqua"/>
          <w:color w:val="000000"/>
        </w:rPr>
        <w:t>Goenka</w:t>
      </w:r>
      <w:proofErr w:type="spellEnd"/>
      <w:r w:rsidR="009D1C51" w:rsidRPr="00E55E4C">
        <w:rPr>
          <w:rFonts w:ascii="Book Antiqua" w:eastAsia="Book Antiqua" w:hAnsi="Book Antiqua" w:cs="Book Antiqua"/>
          <w:color w:val="000000"/>
        </w:rPr>
        <w:t xml:space="preserve"> U, Das SS, </w:t>
      </w:r>
      <w:proofErr w:type="spellStart"/>
      <w:r w:rsidR="009D1C51" w:rsidRPr="00E55E4C">
        <w:rPr>
          <w:rFonts w:ascii="Book Antiqua" w:eastAsia="Book Antiqua" w:hAnsi="Book Antiqua" w:cs="Book Antiqua"/>
          <w:color w:val="000000"/>
        </w:rPr>
        <w:t>Afzalpurkar</w:t>
      </w:r>
      <w:proofErr w:type="spellEnd"/>
      <w:r w:rsidR="009D1C51" w:rsidRPr="00E55E4C">
        <w:rPr>
          <w:rFonts w:ascii="Book Antiqua" w:eastAsia="Book Antiqua" w:hAnsi="Book Antiqua" w:cs="Book Antiqua"/>
          <w:color w:val="000000"/>
        </w:rPr>
        <w:t xml:space="preserve"> S, Mukherjee M, Patil VU, </w:t>
      </w:r>
      <w:proofErr w:type="spellStart"/>
      <w:r w:rsidR="009D1C51" w:rsidRPr="00E55E4C">
        <w:rPr>
          <w:rFonts w:ascii="Book Antiqua" w:eastAsia="Book Antiqua" w:hAnsi="Book Antiqua" w:cs="Book Antiqua"/>
          <w:color w:val="000000"/>
        </w:rPr>
        <w:t>Jajodia</w:t>
      </w:r>
      <w:proofErr w:type="spellEnd"/>
      <w:r w:rsidR="009D1C51" w:rsidRPr="00E55E4C">
        <w:rPr>
          <w:rFonts w:ascii="Book Antiqua" w:eastAsia="Book Antiqua" w:hAnsi="Book Antiqua" w:cs="Book Antiqua"/>
          <w:color w:val="000000"/>
        </w:rPr>
        <w:t xml:space="preserve"> S, </w:t>
      </w:r>
      <w:proofErr w:type="spellStart"/>
      <w:r w:rsidR="009D1C51" w:rsidRPr="00E55E4C">
        <w:rPr>
          <w:rFonts w:ascii="Book Antiqua" w:eastAsia="Book Antiqua" w:hAnsi="Book Antiqua" w:cs="Book Antiqua"/>
          <w:color w:val="000000"/>
        </w:rPr>
        <w:t>Ashokrao</w:t>
      </w:r>
      <w:proofErr w:type="spellEnd"/>
      <w:r w:rsidR="009D1C51" w:rsidRPr="00E55E4C">
        <w:rPr>
          <w:rFonts w:ascii="Book Antiqua" w:eastAsia="Book Antiqua" w:hAnsi="Book Antiqua" w:cs="Book Antiqua"/>
          <w:color w:val="000000"/>
        </w:rPr>
        <w:t xml:space="preserve"> </w:t>
      </w:r>
      <w:proofErr w:type="spellStart"/>
      <w:r w:rsidR="009D1C51" w:rsidRPr="00E55E4C">
        <w:rPr>
          <w:rFonts w:ascii="Book Antiqua" w:eastAsia="Book Antiqua" w:hAnsi="Book Antiqua" w:cs="Book Antiqua"/>
          <w:color w:val="000000"/>
        </w:rPr>
        <w:t>Rodge</w:t>
      </w:r>
      <w:proofErr w:type="spellEnd"/>
      <w:r w:rsidR="009D1C51" w:rsidRPr="00E55E4C">
        <w:rPr>
          <w:rFonts w:ascii="Book Antiqua" w:eastAsia="Book Antiqua" w:hAnsi="Book Antiqua" w:cs="Book Antiqua"/>
          <w:color w:val="000000"/>
        </w:rPr>
        <w:t xml:space="preserve"> G, Khan U, </w:t>
      </w:r>
      <w:proofErr w:type="spellStart"/>
      <w:r w:rsidR="009D1C51" w:rsidRPr="00E55E4C">
        <w:rPr>
          <w:rFonts w:ascii="Book Antiqua" w:eastAsia="Book Antiqua" w:hAnsi="Book Antiqua" w:cs="Book Antiqua"/>
          <w:color w:val="000000"/>
        </w:rPr>
        <w:t>Bandopadhyay</w:t>
      </w:r>
      <w:proofErr w:type="spellEnd"/>
      <w:r w:rsidR="009D1C51" w:rsidRPr="00E55E4C">
        <w:rPr>
          <w:rFonts w:ascii="Book Antiqua" w:eastAsia="Book Antiqua" w:hAnsi="Book Antiqua" w:cs="Book Antiqua"/>
          <w:color w:val="000000"/>
        </w:rPr>
        <w:t xml:space="preserve"> S. COVID-19 prevalence among health-care workers of Gastroenterology department: An audit from a tertiary-care hospital in India.</w:t>
      </w:r>
      <w:r w:rsidR="009D1C51" w:rsidRPr="00E55E4C">
        <w:rPr>
          <w:rFonts w:ascii="Book Antiqua" w:eastAsia="Book Antiqua" w:hAnsi="Book Antiqua" w:cs="Book Antiqua"/>
          <w:i/>
          <w:iCs/>
          <w:color w:val="000000"/>
        </w:rPr>
        <w:t xml:space="preserve"> JGH Open</w:t>
      </w:r>
      <w:r w:rsidR="009D1C51" w:rsidRPr="00E55E4C">
        <w:rPr>
          <w:rFonts w:ascii="Book Antiqua" w:eastAsia="Book Antiqua" w:hAnsi="Book Antiqua" w:cs="Book Antiqua"/>
          <w:color w:val="000000"/>
        </w:rPr>
        <w:t xml:space="preserve"> 2021; </w:t>
      </w:r>
      <w:r w:rsidR="009D1C51" w:rsidRPr="00E55E4C">
        <w:rPr>
          <w:rFonts w:ascii="Book Antiqua" w:eastAsia="Book Antiqua" w:hAnsi="Book Antiqua" w:cs="Book Antiqua"/>
          <w:b/>
          <w:bCs/>
          <w:color w:val="000000"/>
        </w:rPr>
        <w:t>5</w:t>
      </w:r>
      <w:r w:rsidR="009D1C51" w:rsidRPr="00E55E4C">
        <w:rPr>
          <w:rFonts w:ascii="Book Antiqua" w:eastAsia="Book Antiqua" w:hAnsi="Book Antiqua" w:cs="Book Antiqua"/>
          <w:color w:val="000000"/>
        </w:rPr>
        <w:t>: 56-63 [PMID: 33490614 DOI: 10.1002/jgh3.12447]</w:t>
      </w:r>
    </w:p>
    <w:p w14:paraId="7E8BCEB9"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13 </w:t>
      </w:r>
      <w:r w:rsidRPr="00E55E4C">
        <w:rPr>
          <w:rFonts w:ascii="Book Antiqua" w:eastAsia="Book Antiqua" w:hAnsi="Book Antiqua" w:cs="Book Antiqua"/>
          <w:b/>
          <w:bCs/>
          <w:color w:val="000000"/>
        </w:rPr>
        <w:t>Bhandari P</w:t>
      </w:r>
      <w:r w:rsidRPr="00E55E4C">
        <w:rPr>
          <w:rFonts w:ascii="Book Antiqua" w:eastAsia="Book Antiqua" w:hAnsi="Book Antiqua" w:cs="Book Antiqua"/>
          <w:color w:val="000000"/>
        </w:rPr>
        <w:t xml:space="preserve">, Subramaniam S, Bourke MJ, </w:t>
      </w:r>
      <w:proofErr w:type="spellStart"/>
      <w:r w:rsidRPr="00E55E4C">
        <w:rPr>
          <w:rFonts w:ascii="Book Antiqua" w:eastAsia="Book Antiqua" w:hAnsi="Book Antiqua" w:cs="Book Antiqua"/>
          <w:color w:val="000000"/>
        </w:rPr>
        <w:t>Alkandari</w:t>
      </w:r>
      <w:proofErr w:type="spellEnd"/>
      <w:r w:rsidRPr="00E55E4C">
        <w:rPr>
          <w:rFonts w:ascii="Book Antiqua" w:eastAsia="Book Antiqua" w:hAnsi="Book Antiqua" w:cs="Book Antiqua"/>
          <w:color w:val="000000"/>
        </w:rPr>
        <w:t xml:space="preserve"> A, Chiu PWY, Brown JF, </w:t>
      </w:r>
      <w:proofErr w:type="spellStart"/>
      <w:r w:rsidRPr="00E55E4C">
        <w:rPr>
          <w:rFonts w:ascii="Book Antiqua" w:eastAsia="Book Antiqua" w:hAnsi="Book Antiqua" w:cs="Book Antiqua"/>
          <w:color w:val="000000"/>
        </w:rPr>
        <w:t>Keswani</w:t>
      </w:r>
      <w:proofErr w:type="spellEnd"/>
      <w:r w:rsidRPr="00E55E4C">
        <w:rPr>
          <w:rFonts w:ascii="Book Antiqua" w:eastAsia="Book Antiqua" w:hAnsi="Book Antiqua" w:cs="Book Antiqua"/>
          <w:color w:val="000000"/>
        </w:rPr>
        <w:t xml:space="preserve"> RN, </w:t>
      </w:r>
      <w:proofErr w:type="spellStart"/>
      <w:r w:rsidRPr="00E55E4C">
        <w:rPr>
          <w:rFonts w:ascii="Book Antiqua" w:eastAsia="Book Antiqua" w:hAnsi="Book Antiqua" w:cs="Book Antiqua"/>
          <w:color w:val="000000"/>
        </w:rPr>
        <w:t>Bisschops</w:t>
      </w:r>
      <w:proofErr w:type="spellEnd"/>
      <w:r w:rsidRPr="00E55E4C">
        <w:rPr>
          <w:rFonts w:ascii="Book Antiqua" w:eastAsia="Book Antiqua" w:hAnsi="Book Antiqua" w:cs="Book Antiqua"/>
          <w:color w:val="000000"/>
        </w:rPr>
        <w:t xml:space="preserve"> R, Hassan C, Raju GS, Muthusamy VR, Sethi A, May GR, </w:t>
      </w:r>
      <w:proofErr w:type="spellStart"/>
      <w:r w:rsidRPr="00E55E4C">
        <w:rPr>
          <w:rFonts w:ascii="Book Antiqua" w:eastAsia="Book Antiqua" w:hAnsi="Book Antiqua" w:cs="Book Antiqua"/>
          <w:color w:val="000000"/>
        </w:rPr>
        <w:t>Albéniz</w:t>
      </w:r>
      <w:proofErr w:type="spellEnd"/>
      <w:r w:rsidRPr="00E55E4C">
        <w:rPr>
          <w:rFonts w:ascii="Book Antiqua" w:eastAsia="Book Antiqua" w:hAnsi="Book Antiqua" w:cs="Book Antiqua"/>
          <w:color w:val="000000"/>
        </w:rPr>
        <w:t xml:space="preserve"> E, Bruno M, Kaminski MF, </w:t>
      </w:r>
      <w:proofErr w:type="spellStart"/>
      <w:r w:rsidRPr="00E55E4C">
        <w:rPr>
          <w:rFonts w:ascii="Book Antiqua" w:eastAsia="Book Antiqua" w:hAnsi="Book Antiqua" w:cs="Book Antiqua"/>
          <w:color w:val="000000"/>
        </w:rPr>
        <w:t>Alkhatry</w:t>
      </w:r>
      <w:proofErr w:type="spellEnd"/>
      <w:r w:rsidRPr="00E55E4C">
        <w:rPr>
          <w:rFonts w:ascii="Book Antiqua" w:eastAsia="Book Antiqua" w:hAnsi="Book Antiqua" w:cs="Book Antiqua"/>
          <w:color w:val="000000"/>
        </w:rPr>
        <w:t xml:space="preserve"> M, </w:t>
      </w:r>
      <w:proofErr w:type="spellStart"/>
      <w:r w:rsidRPr="00E55E4C">
        <w:rPr>
          <w:rFonts w:ascii="Book Antiqua" w:eastAsia="Book Antiqua" w:hAnsi="Book Antiqua" w:cs="Book Antiqua"/>
          <w:color w:val="000000"/>
        </w:rPr>
        <w:t>Almadi</w:t>
      </w:r>
      <w:proofErr w:type="spellEnd"/>
      <w:r w:rsidRPr="00E55E4C">
        <w:rPr>
          <w:rFonts w:ascii="Book Antiqua" w:eastAsia="Book Antiqua" w:hAnsi="Book Antiqua" w:cs="Book Antiqua"/>
          <w:color w:val="000000"/>
        </w:rPr>
        <w:t xml:space="preserve"> M, Ibrahim M, </w:t>
      </w:r>
      <w:proofErr w:type="spellStart"/>
      <w:r w:rsidRPr="00E55E4C">
        <w:rPr>
          <w:rFonts w:ascii="Book Antiqua" w:eastAsia="Book Antiqua" w:hAnsi="Book Antiqua" w:cs="Book Antiqua"/>
          <w:color w:val="000000"/>
        </w:rPr>
        <w:t>Emura</w:t>
      </w:r>
      <w:proofErr w:type="spellEnd"/>
      <w:r w:rsidRPr="00E55E4C">
        <w:rPr>
          <w:rFonts w:ascii="Book Antiqua" w:eastAsia="Book Antiqua" w:hAnsi="Book Antiqua" w:cs="Book Antiqua"/>
          <w:color w:val="000000"/>
        </w:rPr>
        <w:t xml:space="preserve"> F, Moura E, Navarrete C, </w:t>
      </w:r>
      <w:proofErr w:type="spellStart"/>
      <w:r w:rsidRPr="00E55E4C">
        <w:rPr>
          <w:rFonts w:ascii="Book Antiqua" w:eastAsia="Book Antiqua" w:hAnsi="Book Antiqua" w:cs="Book Antiqua"/>
          <w:color w:val="000000"/>
        </w:rPr>
        <w:t>Wulfson</w:t>
      </w:r>
      <w:proofErr w:type="spellEnd"/>
      <w:r w:rsidRPr="00E55E4C">
        <w:rPr>
          <w:rFonts w:ascii="Book Antiqua" w:eastAsia="Book Antiqua" w:hAnsi="Book Antiqua" w:cs="Book Antiqua"/>
          <w:color w:val="000000"/>
        </w:rPr>
        <w:t xml:space="preserve"> A, Khor C, </w:t>
      </w:r>
      <w:proofErr w:type="spellStart"/>
      <w:r w:rsidRPr="00E55E4C">
        <w:rPr>
          <w:rFonts w:ascii="Book Antiqua" w:eastAsia="Book Antiqua" w:hAnsi="Book Antiqua" w:cs="Book Antiqua"/>
          <w:color w:val="000000"/>
        </w:rPr>
        <w:t>Ponnudurai</w:t>
      </w:r>
      <w:proofErr w:type="spellEnd"/>
      <w:r w:rsidRPr="00E55E4C">
        <w:rPr>
          <w:rFonts w:ascii="Book Antiqua" w:eastAsia="Book Antiqua" w:hAnsi="Book Antiqua" w:cs="Book Antiqua"/>
          <w:color w:val="000000"/>
        </w:rPr>
        <w:t xml:space="preserve"> R, Inoue H, Saito Y, Yahagi N, </w:t>
      </w:r>
      <w:proofErr w:type="spellStart"/>
      <w:r w:rsidRPr="00E55E4C">
        <w:rPr>
          <w:rFonts w:ascii="Book Antiqua" w:eastAsia="Book Antiqua" w:hAnsi="Book Antiqua" w:cs="Book Antiqua"/>
          <w:color w:val="000000"/>
        </w:rPr>
        <w:t>Kashin</w:t>
      </w:r>
      <w:proofErr w:type="spellEnd"/>
      <w:r w:rsidRPr="00E55E4C">
        <w:rPr>
          <w:rFonts w:ascii="Book Antiqua" w:eastAsia="Book Antiqua" w:hAnsi="Book Antiqua" w:cs="Book Antiqua"/>
          <w:color w:val="000000"/>
        </w:rPr>
        <w:t xml:space="preserve"> S, </w:t>
      </w:r>
      <w:proofErr w:type="spellStart"/>
      <w:r w:rsidRPr="00E55E4C">
        <w:rPr>
          <w:rFonts w:ascii="Book Antiqua" w:eastAsia="Book Antiqua" w:hAnsi="Book Antiqua" w:cs="Book Antiqua"/>
          <w:color w:val="000000"/>
        </w:rPr>
        <w:t>Nikonov</w:t>
      </w:r>
      <w:proofErr w:type="spellEnd"/>
      <w:r w:rsidRPr="00E55E4C">
        <w:rPr>
          <w:rFonts w:ascii="Book Antiqua" w:eastAsia="Book Antiqua" w:hAnsi="Book Antiqua" w:cs="Book Antiqua"/>
          <w:color w:val="000000"/>
        </w:rPr>
        <w:t xml:space="preserve"> E, Yu H, </w:t>
      </w:r>
      <w:proofErr w:type="spellStart"/>
      <w:r w:rsidRPr="00E55E4C">
        <w:rPr>
          <w:rFonts w:ascii="Book Antiqua" w:eastAsia="Book Antiqua" w:hAnsi="Book Antiqua" w:cs="Book Antiqua"/>
          <w:color w:val="000000"/>
        </w:rPr>
        <w:t>Maydeo</w:t>
      </w:r>
      <w:proofErr w:type="spellEnd"/>
      <w:r w:rsidRPr="00E55E4C">
        <w:rPr>
          <w:rFonts w:ascii="Book Antiqua" w:eastAsia="Book Antiqua" w:hAnsi="Book Antiqua" w:cs="Book Antiqua"/>
          <w:color w:val="000000"/>
        </w:rPr>
        <w:t xml:space="preserve"> AP, Reddy DN, Wallace MB, </w:t>
      </w:r>
      <w:proofErr w:type="spellStart"/>
      <w:r w:rsidRPr="00E55E4C">
        <w:rPr>
          <w:rFonts w:ascii="Book Antiqua" w:eastAsia="Book Antiqua" w:hAnsi="Book Antiqua" w:cs="Book Antiqua"/>
          <w:color w:val="000000"/>
        </w:rPr>
        <w:t>Pochapin</w:t>
      </w:r>
      <w:proofErr w:type="spellEnd"/>
      <w:r w:rsidRPr="00E55E4C">
        <w:rPr>
          <w:rFonts w:ascii="Book Antiqua" w:eastAsia="Book Antiqua" w:hAnsi="Book Antiqua" w:cs="Book Antiqua"/>
          <w:color w:val="000000"/>
        </w:rPr>
        <w:t xml:space="preserve"> MB, </w:t>
      </w:r>
      <w:proofErr w:type="spellStart"/>
      <w:r w:rsidRPr="00E55E4C">
        <w:rPr>
          <w:rFonts w:ascii="Book Antiqua" w:eastAsia="Book Antiqua" w:hAnsi="Book Antiqua" w:cs="Book Antiqua"/>
          <w:color w:val="000000"/>
        </w:rPr>
        <w:t>Rösch</w:t>
      </w:r>
      <w:proofErr w:type="spellEnd"/>
      <w:r w:rsidRPr="00E55E4C">
        <w:rPr>
          <w:rFonts w:ascii="Book Antiqua" w:eastAsia="Book Antiqua" w:hAnsi="Book Antiqua" w:cs="Book Antiqua"/>
          <w:color w:val="000000"/>
        </w:rPr>
        <w:t xml:space="preserve"> T, Sharma P, </w:t>
      </w:r>
      <w:proofErr w:type="spellStart"/>
      <w:r w:rsidRPr="00E55E4C">
        <w:rPr>
          <w:rFonts w:ascii="Book Antiqua" w:eastAsia="Book Antiqua" w:hAnsi="Book Antiqua" w:cs="Book Antiqua"/>
          <w:color w:val="000000"/>
        </w:rPr>
        <w:t>Repici</w:t>
      </w:r>
      <w:proofErr w:type="spellEnd"/>
      <w:r w:rsidRPr="00E55E4C">
        <w:rPr>
          <w:rFonts w:ascii="Book Antiqua" w:eastAsia="Book Antiqua" w:hAnsi="Book Antiqua" w:cs="Book Antiqua"/>
          <w:color w:val="000000"/>
        </w:rPr>
        <w:t xml:space="preserve"> A. Recovery of endoscopy services in the era of COVID-19: recommendations from an </w:t>
      </w:r>
      <w:r w:rsidRPr="00E55E4C">
        <w:rPr>
          <w:rFonts w:ascii="Book Antiqua" w:eastAsia="Book Antiqua" w:hAnsi="Book Antiqua" w:cs="Book Antiqua"/>
          <w:color w:val="000000"/>
        </w:rPr>
        <w:lastRenderedPageBreak/>
        <w:t xml:space="preserve">international Delphi consensus. </w:t>
      </w:r>
      <w:r w:rsidRPr="00E55E4C">
        <w:rPr>
          <w:rFonts w:ascii="Book Antiqua" w:eastAsia="Book Antiqua" w:hAnsi="Book Antiqua" w:cs="Book Antiqua"/>
          <w:i/>
          <w:iCs/>
          <w:color w:val="000000"/>
        </w:rPr>
        <w:t>Gut</w:t>
      </w:r>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69</w:t>
      </w:r>
      <w:r w:rsidRPr="00E55E4C">
        <w:rPr>
          <w:rFonts w:ascii="Book Antiqua" w:eastAsia="Book Antiqua" w:hAnsi="Book Antiqua" w:cs="Book Antiqua"/>
          <w:color w:val="000000"/>
        </w:rPr>
        <w:t>: 1915-1924 [PMID: 32816921 DOI: 10.1136/gutjnl-2020-322329]</w:t>
      </w:r>
    </w:p>
    <w:p w14:paraId="083BB7AC" w14:textId="77777777" w:rsidR="009D1C51" w:rsidRPr="00E55E4C" w:rsidRDefault="00F728E5" w:rsidP="00BC3C5D">
      <w:pPr>
        <w:adjustRightInd w:val="0"/>
        <w:snapToGrid w:val="0"/>
        <w:spacing w:line="360" w:lineRule="auto"/>
        <w:jc w:val="both"/>
        <w:rPr>
          <w:rFonts w:ascii="Book Antiqua" w:eastAsia="Book Antiqua" w:hAnsi="Book Antiqua" w:cs="Book Antiqua"/>
          <w:color w:val="000000"/>
        </w:rPr>
      </w:pPr>
      <w:r w:rsidRPr="00E55E4C">
        <w:rPr>
          <w:rFonts w:ascii="Book Antiqua" w:eastAsia="Book Antiqua" w:hAnsi="Book Antiqua" w:cs="Book Antiqua"/>
          <w:color w:val="000000"/>
        </w:rPr>
        <w:t xml:space="preserve">14 </w:t>
      </w:r>
      <w:r w:rsidR="009D1C51" w:rsidRPr="00E55E4C">
        <w:rPr>
          <w:rFonts w:ascii="Book Antiqua" w:eastAsia="Book Antiqua" w:hAnsi="Book Antiqua" w:cs="Book Antiqua"/>
          <w:b/>
          <w:bCs/>
          <w:color w:val="000000"/>
        </w:rPr>
        <w:t>1 Gupta S</w:t>
      </w:r>
      <w:r w:rsidR="009D1C51" w:rsidRPr="00E55E4C">
        <w:rPr>
          <w:rFonts w:ascii="Book Antiqua" w:eastAsia="Book Antiqua" w:hAnsi="Book Antiqua" w:cs="Book Antiqua"/>
          <w:color w:val="000000"/>
        </w:rPr>
        <w:t xml:space="preserve">, Shahidi N, Gilroy N, Rex DK, Burgess NG, Bourke MJ. Proposal for the return to routine endoscopy during the COVID-19 pandemic. </w:t>
      </w:r>
      <w:proofErr w:type="spellStart"/>
      <w:r w:rsidR="009D1C51" w:rsidRPr="00E55E4C">
        <w:rPr>
          <w:rFonts w:ascii="Book Antiqua" w:eastAsia="Book Antiqua" w:hAnsi="Book Antiqua" w:cs="Book Antiqua"/>
          <w:i/>
          <w:iCs/>
          <w:color w:val="000000"/>
        </w:rPr>
        <w:t>Gastrointest</w:t>
      </w:r>
      <w:proofErr w:type="spellEnd"/>
      <w:r w:rsidR="009D1C51" w:rsidRPr="00E55E4C">
        <w:rPr>
          <w:rFonts w:ascii="Book Antiqua" w:eastAsia="Book Antiqua" w:hAnsi="Book Antiqua" w:cs="Book Antiqua"/>
          <w:i/>
          <w:iCs/>
          <w:color w:val="000000"/>
        </w:rPr>
        <w:t xml:space="preserve"> </w:t>
      </w:r>
      <w:proofErr w:type="spellStart"/>
      <w:r w:rsidR="009D1C51" w:rsidRPr="00E55E4C">
        <w:rPr>
          <w:rFonts w:ascii="Book Antiqua" w:eastAsia="Book Antiqua" w:hAnsi="Book Antiqua" w:cs="Book Antiqua"/>
          <w:i/>
          <w:iCs/>
          <w:color w:val="000000"/>
        </w:rPr>
        <w:t>Endosc</w:t>
      </w:r>
      <w:proofErr w:type="spellEnd"/>
      <w:r w:rsidR="009D1C51" w:rsidRPr="00E55E4C">
        <w:rPr>
          <w:rFonts w:ascii="Book Antiqua" w:eastAsia="Book Antiqua" w:hAnsi="Book Antiqua" w:cs="Book Antiqua"/>
          <w:color w:val="000000"/>
        </w:rPr>
        <w:t xml:space="preserve"> 2020; </w:t>
      </w:r>
      <w:r w:rsidR="009D1C51" w:rsidRPr="00E55E4C">
        <w:rPr>
          <w:rFonts w:ascii="Book Antiqua" w:eastAsia="Book Antiqua" w:hAnsi="Book Antiqua" w:cs="Book Antiqua"/>
          <w:b/>
          <w:bCs/>
          <w:color w:val="000000"/>
        </w:rPr>
        <w:t>92</w:t>
      </w:r>
      <w:r w:rsidR="009D1C51" w:rsidRPr="00E55E4C">
        <w:rPr>
          <w:rFonts w:ascii="Book Antiqua" w:eastAsia="Book Antiqua" w:hAnsi="Book Antiqua" w:cs="Book Antiqua"/>
          <w:color w:val="000000"/>
        </w:rPr>
        <w:t>: 735-742 [PMID: 32360301 DOI: 10.1016/j.gie.2020.04.050]</w:t>
      </w:r>
    </w:p>
    <w:p w14:paraId="46AEDE1E" w14:textId="46A05633"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 xml:space="preserve">15 </w:t>
      </w:r>
      <w:r w:rsidRPr="00E55E4C">
        <w:rPr>
          <w:rFonts w:ascii="Book Antiqua" w:eastAsia="Book Antiqua" w:hAnsi="Book Antiqua" w:cs="Book Antiqua"/>
          <w:b/>
          <w:bCs/>
          <w:color w:val="000000"/>
        </w:rPr>
        <w:t>Hennessy B</w:t>
      </w:r>
      <w:r w:rsidRPr="00E55E4C">
        <w:rPr>
          <w:rFonts w:ascii="Book Antiqua" w:eastAsia="Book Antiqua" w:hAnsi="Book Antiqua" w:cs="Book Antiqua"/>
          <w:color w:val="000000"/>
        </w:rPr>
        <w:t xml:space="preserve">, </w:t>
      </w:r>
      <w:proofErr w:type="spellStart"/>
      <w:r w:rsidRPr="00E55E4C">
        <w:rPr>
          <w:rFonts w:ascii="Book Antiqua" w:eastAsia="Book Antiqua" w:hAnsi="Book Antiqua" w:cs="Book Antiqua"/>
          <w:color w:val="000000"/>
        </w:rPr>
        <w:t>Vicari</w:t>
      </w:r>
      <w:proofErr w:type="spellEnd"/>
      <w:r w:rsidRPr="00E55E4C">
        <w:rPr>
          <w:rFonts w:ascii="Book Antiqua" w:eastAsia="Book Antiqua" w:hAnsi="Book Antiqua" w:cs="Book Antiqua"/>
          <w:color w:val="000000"/>
        </w:rPr>
        <w:t xml:space="preserve"> J, Bernstein B, Chapman F, </w:t>
      </w:r>
      <w:proofErr w:type="spellStart"/>
      <w:r w:rsidRPr="00E55E4C">
        <w:rPr>
          <w:rFonts w:ascii="Book Antiqua" w:eastAsia="Book Antiqua" w:hAnsi="Book Antiqua" w:cs="Book Antiqua"/>
          <w:color w:val="000000"/>
        </w:rPr>
        <w:t>Khaykis</w:t>
      </w:r>
      <w:proofErr w:type="spellEnd"/>
      <w:r w:rsidRPr="00E55E4C">
        <w:rPr>
          <w:rFonts w:ascii="Book Antiqua" w:eastAsia="Book Antiqua" w:hAnsi="Book Antiqua" w:cs="Book Antiqua"/>
          <w:color w:val="000000"/>
        </w:rPr>
        <w:t xml:space="preserve"> I, </w:t>
      </w:r>
      <w:proofErr w:type="spellStart"/>
      <w:r w:rsidRPr="00E55E4C">
        <w:rPr>
          <w:rFonts w:ascii="Book Antiqua" w:eastAsia="Book Antiqua" w:hAnsi="Book Antiqua" w:cs="Book Antiqua"/>
          <w:color w:val="000000"/>
        </w:rPr>
        <w:t>Littenberg</w:t>
      </w:r>
      <w:proofErr w:type="spellEnd"/>
      <w:r w:rsidRPr="00E55E4C">
        <w:rPr>
          <w:rFonts w:ascii="Book Antiqua" w:eastAsia="Book Antiqua" w:hAnsi="Book Antiqua" w:cs="Book Antiqua"/>
          <w:color w:val="000000"/>
        </w:rPr>
        <w:t xml:space="preserve"> G, Robbins D. Guidance for resuming GI endoscopy and practice operations after the COVID-19 pandemic. </w:t>
      </w:r>
      <w:proofErr w:type="spellStart"/>
      <w:r w:rsidRPr="00E55E4C">
        <w:rPr>
          <w:rFonts w:ascii="Book Antiqua" w:eastAsia="Book Antiqua" w:hAnsi="Book Antiqua" w:cs="Book Antiqua"/>
          <w:i/>
          <w:iCs/>
          <w:color w:val="000000"/>
        </w:rPr>
        <w:t>Gastrointest</w:t>
      </w:r>
      <w:proofErr w:type="spellEnd"/>
      <w:r w:rsidRPr="00E55E4C">
        <w:rPr>
          <w:rFonts w:ascii="Book Antiqua" w:eastAsia="Book Antiqua" w:hAnsi="Book Antiqua" w:cs="Book Antiqua"/>
          <w:i/>
          <w:iCs/>
          <w:color w:val="000000"/>
        </w:rPr>
        <w:t xml:space="preserve"> </w:t>
      </w:r>
      <w:proofErr w:type="spellStart"/>
      <w:r w:rsidRPr="00E55E4C">
        <w:rPr>
          <w:rFonts w:ascii="Book Antiqua" w:eastAsia="Book Antiqua" w:hAnsi="Book Antiqua" w:cs="Book Antiqua"/>
          <w:i/>
          <w:iCs/>
          <w:color w:val="000000"/>
        </w:rPr>
        <w:t>Endosc</w:t>
      </w:r>
      <w:proofErr w:type="spellEnd"/>
      <w:r w:rsidRPr="00E55E4C">
        <w:rPr>
          <w:rFonts w:ascii="Book Antiqua" w:eastAsia="Book Antiqua" w:hAnsi="Book Antiqua" w:cs="Book Antiqua"/>
          <w:color w:val="000000"/>
        </w:rPr>
        <w:t xml:space="preserve"> 2020; </w:t>
      </w:r>
      <w:r w:rsidRPr="00E55E4C">
        <w:rPr>
          <w:rFonts w:ascii="Book Antiqua" w:eastAsia="Book Antiqua" w:hAnsi="Book Antiqua" w:cs="Book Antiqua"/>
          <w:b/>
          <w:bCs/>
          <w:color w:val="000000"/>
        </w:rPr>
        <w:t>92</w:t>
      </w:r>
      <w:r w:rsidRPr="00E55E4C">
        <w:rPr>
          <w:rFonts w:ascii="Book Antiqua" w:eastAsia="Book Antiqua" w:hAnsi="Book Antiqua" w:cs="Book Antiqua"/>
          <w:color w:val="000000"/>
        </w:rPr>
        <w:t>: 743-747 [PMID: 32437712 DOI: 10.1016/j.gie.2020.05.006]</w:t>
      </w:r>
    </w:p>
    <w:bookmarkEnd w:id="3"/>
    <w:p w14:paraId="3D8C0FE6" w14:textId="77777777" w:rsidR="00A77B3E" w:rsidRPr="00E55E4C" w:rsidRDefault="00A77B3E" w:rsidP="00BC3C5D">
      <w:pPr>
        <w:adjustRightInd w:val="0"/>
        <w:snapToGrid w:val="0"/>
        <w:spacing w:line="360" w:lineRule="auto"/>
        <w:jc w:val="both"/>
        <w:rPr>
          <w:rFonts w:ascii="Book Antiqua" w:hAnsi="Book Antiqua"/>
        </w:rPr>
        <w:sectPr w:rsidR="00A77B3E" w:rsidRPr="00E55E4C">
          <w:pgSz w:w="12240" w:h="15840"/>
          <w:pgMar w:top="1440" w:right="1440" w:bottom="1440" w:left="1440" w:header="720" w:footer="720" w:gutter="0"/>
          <w:cols w:space="720"/>
          <w:docGrid w:linePitch="360"/>
        </w:sectPr>
      </w:pPr>
    </w:p>
    <w:p w14:paraId="414AACB7"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lastRenderedPageBreak/>
        <w:t>Footnotes</w:t>
      </w:r>
    </w:p>
    <w:p w14:paraId="68D0D13A"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Institutional review board statement: </w:t>
      </w:r>
      <w:r w:rsidRPr="00E55E4C">
        <w:rPr>
          <w:rFonts w:ascii="Book Antiqua" w:eastAsia="Book Antiqua" w:hAnsi="Book Antiqua" w:cs="Book Antiqua"/>
          <w:color w:val="000000"/>
        </w:rPr>
        <w:t>The protocol of this study was reviewed and approved by the local Institutional Review Board (BΠΠΚ EBΔ 320/10-6-20). The study was conducted in accordance with the ethical principles of the Declaration of Helsinki and in compliance with good clinical practice.</w:t>
      </w:r>
    </w:p>
    <w:p w14:paraId="2DF79BBA" w14:textId="77777777" w:rsidR="00A77B3E" w:rsidRPr="00E55E4C" w:rsidRDefault="00A77B3E" w:rsidP="00BC3C5D">
      <w:pPr>
        <w:adjustRightInd w:val="0"/>
        <w:snapToGrid w:val="0"/>
        <w:spacing w:line="360" w:lineRule="auto"/>
        <w:jc w:val="both"/>
        <w:rPr>
          <w:rFonts w:ascii="Book Antiqua" w:hAnsi="Book Antiqua"/>
        </w:rPr>
      </w:pPr>
    </w:p>
    <w:p w14:paraId="0F1DF980"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Informed consent statement: </w:t>
      </w:r>
      <w:r w:rsidRPr="00E55E4C">
        <w:rPr>
          <w:rFonts w:ascii="Book Antiqua" w:eastAsia="Book Antiqua" w:hAnsi="Book Antiqua" w:cs="Book Antiqua"/>
          <w:color w:val="000000"/>
        </w:rPr>
        <w:t>All study participants, or their legal guardian, provided informed written consent prior to study enrollment.</w:t>
      </w:r>
    </w:p>
    <w:p w14:paraId="0BF96F8E" w14:textId="77777777" w:rsidR="00A77B3E" w:rsidRPr="00E55E4C" w:rsidRDefault="00A77B3E" w:rsidP="00BC3C5D">
      <w:pPr>
        <w:adjustRightInd w:val="0"/>
        <w:snapToGrid w:val="0"/>
        <w:spacing w:line="360" w:lineRule="auto"/>
        <w:jc w:val="both"/>
        <w:rPr>
          <w:rFonts w:ascii="Book Antiqua" w:hAnsi="Book Antiqua"/>
        </w:rPr>
      </w:pPr>
    </w:p>
    <w:p w14:paraId="7B395C12"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Conflict-of-interest statement: </w:t>
      </w:r>
      <w:r w:rsidRPr="00E55E4C">
        <w:rPr>
          <w:rFonts w:ascii="Book Antiqua" w:eastAsia="Book Antiqua" w:hAnsi="Book Antiqua" w:cs="Book Antiqua"/>
          <w:color w:val="000000"/>
        </w:rPr>
        <w:t>The authors of this manuscript have no conflicts of interest to disclose.</w:t>
      </w:r>
    </w:p>
    <w:p w14:paraId="628E154C" w14:textId="77777777" w:rsidR="00A77B3E" w:rsidRPr="00E55E4C" w:rsidRDefault="00A77B3E" w:rsidP="00BC3C5D">
      <w:pPr>
        <w:adjustRightInd w:val="0"/>
        <w:snapToGrid w:val="0"/>
        <w:spacing w:line="360" w:lineRule="auto"/>
        <w:jc w:val="both"/>
        <w:rPr>
          <w:rFonts w:ascii="Book Antiqua" w:hAnsi="Book Antiqua"/>
        </w:rPr>
      </w:pPr>
    </w:p>
    <w:p w14:paraId="7FD40110"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Data sharing statement: </w:t>
      </w:r>
      <w:r w:rsidRPr="00E55E4C">
        <w:rPr>
          <w:rFonts w:ascii="Book Antiqua" w:eastAsia="Book Antiqua" w:hAnsi="Book Antiqua" w:cs="Book Antiqua"/>
          <w:color w:val="000000"/>
        </w:rPr>
        <w:t>No additional data are available.</w:t>
      </w:r>
    </w:p>
    <w:p w14:paraId="0339B7B4" w14:textId="77777777" w:rsidR="00A77B3E" w:rsidRPr="00E55E4C" w:rsidRDefault="00A77B3E" w:rsidP="00BC3C5D">
      <w:pPr>
        <w:adjustRightInd w:val="0"/>
        <w:snapToGrid w:val="0"/>
        <w:spacing w:line="360" w:lineRule="auto"/>
        <w:jc w:val="both"/>
        <w:rPr>
          <w:rFonts w:ascii="Book Antiqua" w:hAnsi="Book Antiqua"/>
        </w:rPr>
      </w:pPr>
    </w:p>
    <w:p w14:paraId="5E1811FB" w14:textId="4DF6F088" w:rsidR="00F728E5" w:rsidRPr="00E55E4C" w:rsidRDefault="00F728E5" w:rsidP="00BC3C5D">
      <w:pPr>
        <w:adjustRightInd w:val="0"/>
        <w:snapToGrid w:val="0"/>
        <w:spacing w:line="360" w:lineRule="auto"/>
        <w:jc w:val="both"/>
        <w:rPr>
          <w:rFonts w:ascii="Book Antiqua" w:hAnsi="Book Antiqua"/>
        </w:rPr>
      </w:pPr>
      <w:bookmarkStart w:id="4" w:name="_Hlk75446451"/>
      <w:r w:rsidRPr="00E55E4C">
        <w:rPr>
          <w:rFonts w:ascii="Book Antiqua" w:eastAsia="Book Antiqua" w:hAnsi="Book Antiqua" w:cs="Book Antiqua"/>
          <w:b/>
          <w:bCs/>
          <w:color w:val="000000"/>
        </w:rPr>
        <w:t>STROBE statement</w:t>
      </w:r>
      <w:bookmarkEnd w:id="4"/>
      <w:r w:rsidRPr="00E55E4C">
        <w:rPr>
          <w:rFonts w:ascii="Book Antiqua" w:eastAsia="Book Antiqua" w:hAnsi="Book Antiqua" w:cs="Book Antiqua"/>
          <w:b/>
          <w:bCs/>
          <w:color w:val="000000"/>
        </w:rPr>
        <w:t xml:space="preserve">: </w:t>
      </w:r>
      <w:r w:rsidRPr="00E55E4C">
        <w:rPr>
          <w:rFonts w:ascii="Book Antiqua" w:hAnsi="Book Antiqua"/>
          <w:color w:val="000000"/>
        </w:rPr>
        <w:t>The authors have read the STROBE statement, and the manuscript was prepared and revised according to the STROBE statement.</w:t>
      </w:r>
    </w:p>
    <w:p w14:paraId="44192C80" w14:textId="77777777" w:rsidR="00F728E5" w:rsidRPr="00E55E4C" w:rsidRDefault="00F728E5" w:rsidP="00BC3C5D">
      <w:pPr>
        <w:adjustRightInd w:val="0"/>
        <w:snapToGrid w:val="0"/>
        <w:spacing w:line="360" w:lineRule="auto"/>
        <w:jc w:val="both"/>
        <w:rPr>
          <w:rFonts w:ascii="Book Antiqua" w:hAnsi="Book Antiqua"/>
        </w:rPr>
      </w:pPr>
    </w:p>
    <w:p w14:paraId="3A319D2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bCs/>
          <w:color w:val="000000"/>
        </w:rPr>
        <w:t xml:space="preserve">Open-Access: </w:t>
      </w:r>
      <w:r w:rsidRPr="00E55E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5E4C">
        <w:rPr>
          <w:rFonts w:ascii="Book Antiqua" w:eastAsia="Book Antiqua" w:hAnsi="Book Antiqua" w:cs="Book Antiqua"/>
          <w:color w:val="000000"/>
        </w:rPr>
        <w:t>NonCommercial</w:t>
      </w:r>
      <w:proofErr w:type="spellEnd"/>
      <w:r w:rsidRPr="00E55E4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67931A" w14:textId="77777777" w:rsidR="00A77B3E" w:rsidRPr="00E55E4C" w:rsidRDefault="00A77B3E" w:rsidP="00BC3C5D">
      <w:pPr>
        <w:adjustRightInd w:val="0"/>
        <w:snapToGrid w:val="0"/>
        <w:spacing w:line="360" w:lineRule="auto"/>
        <w:jc w:val="both"/>
        <w:rPr>
          <w:rFonts w:ascii="Book Antiqua" w:hAnsi="Book Antiqua"/>
        </w:rPr>
      </w:pPr>
    </w:p>
    <w:p w14:paraId="4C83186C" w14:textId="79D5F17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Manuscript source: </w:t>
      </w:r>
      <w:r w:rsidRPr="00E55E4C">
        <w:rPr>
          <w:rFonts w:ascii="Book Antiqua" w:eastAsia="Book Antiqua" w:hAnsi="Book Antiqua" w:cs="Book Antiqua"/>
          <w:color w:val="000000"/>
        </w:rPr>
        <w:t>Invite</w:t>
      </w:r>
      <w:r w:rsidR="009D1C51" w:rsidRPr="00E55E4C">
        <w:rPr>
          <w:rFonts w:ascii="Book Antiqua" w:eastAsia="Book Antiqua" w:hAnsi="Book Antiqua" w:cs="Book Antiqua"/>
          <w:color w:val="000000"/>
        </w:rPr>
        <w:t>d man</w:t>
      </w:r>
      <w:r w:rsidRPr="00E55E4C">
        <w:rPr>
          <w:rFonts w:ascii="Book Antiqua" w:eastAsia="Book Antiqua" w:hAnsi="Book Antiqua" w:cs="Book Antiqua"/>
          <w:color w:val="000000"/>
        </w:rPr>
        <w:t>uscript</w:t>
      </w:r>
    </w:p>
    <w:p w14:paraId="5C4CC81E" w14:textId="77777777" w:rsidR="00A77B3E" w:rsidRPr="00E55E4C" w:rsidRDefault="00A77B3E" w:rsidP="00BC3C5D">
      <w:pPr>
        <w:adjustRightInd w:val="0"/>
        <w:snapToGrid w:val="0"/>
        <w:spacing w:line="360" w:lineRule="auto"/>
        <w:jc w:val="both"/>
        <w:rPr>
          <w:rFonts w:ascii="Book Antiqua" w:hAnsi="Book Antiqua"/>
        </w:rPr>
      </w:pPr>
    </w:p>
    <w:p w14:paraId="08A5FB6C"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Peer-review started: </w:t>
      </w:r>
      <w:r w:rsidRPr="00E55E4C">
        <w:rPr>
          <w:rFonts w:ascii="Book Antiqua" w:eastAsia="Book Antiqua" w:hAnsi="Book Antiqua" w:cs="Book Antiqua"/>
          <w:color w:val="000000"/>
        </w:rPr>
        <w:t>February 25, 2021</w:t>
      </w:r>
    </w:p>
    <w:p w14:paraId="62AB0D83"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First decision: </w:t>
      </w:r>
      <w:r w:rsidRPr="00E55E4C">
        <w:rPr>
          <w:rFonts w:ascii="Book Antiqua" w:eastAsia="Book Antiqua" w:hAnsi="Book Antiqua" w:cs="Book Antiqua"/>
          <w:color w:val="000000"/>
        </w:rPr>
        <w:t>April 18, 2021</w:t>
      </w:r>
    </w:p>
    <w:p w14:paraId="57324C08"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Article in press: </w:t>
      </w:r>
    </w:p>
    <w:p w14:paraId="3F9BA8E5" w14:textId="77777777" w:rsidR="00A77B3E" w:rsidRPr="00E55E4C" w:rsidRDefault="00A77B3E" w:rsidP="00BC3C5D">
      <w:pPr>
        <w:adjustRightInd w:val="0"/>
        <w:snapToGrid w:val="0"/>
        <w:spacing w:line="360" w:lineRule="auto"/>
        <w:jc w:val="both"/>
        <w:rPr>
          <w:rFonts w:ascii="Book Antiqua" w:hAnsi="Book Antiqua"/>
        </w:rPr>
      </w:pPr>
    </w:p>
    <w:p w14:paraId="51AB38CD" w14:textId="1D057E3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Specialty type: </w:t>
      </w:r>
      <w:r w:rsidRPr="00E55E4C">
        <w:rPr>
          <w:rFonts w:ascii="Book Antiqua" w:eastAsia="Book Antiqua" w:hAnsi="Book Antiqua" w:cs="Book Antiqua"/>
          <w:color w:val="000000"/>
        </w:rPr>
        <w:t>Gastro</w:t>
      </w:r>
      <w:r w:rsidR="009D1C51" w:rsidRPr="00E55E4C">
        <w:rPr>
          <w:rFonts w:ascii="Book Antiqua" w:eastAsia="Book Antiqua" w:hAnsi="Book Antiqua" w:cs="Book Antiqua"/>
          <w:color w:val="000000"/>
        </w:rPr>
        <w:t>enterology and hepat</w:t>
      </w:r>
      <w:r w:rsidRPr="00E55E4C">
        <w:rPr>
          <w:rFonts w:ascii="Book Antiqua" w:eastAsia="Book Antiqua" w:hAnsi="Book Antiqua" w:cs="Book Antiqua"/>
          <w:color w:val="000000"/>
        </w:rPr>
        <w:t>ology</w:t>
      </w:r>
    </w:p>
    <w:p w14:paraId="30AEE19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 xml:space="preserve">Country/Territory of origin: </w:t>
      </w:r>
      <w:r w:rsidRPr="00E55E4C">
        <w:rPr>
          <w:rFonts w:ascii="Book Antiqua" w:eastAsia="Book Antiqua" w:hAnsi="Book Antiqua" w:cs="Book Antiqua"/>
          <w:color w:val="000000"/>
        </w:rPr>
        <w:t>Greece</w:t>
      </w:r>
    </w:p>
    <w:p w14:paraId="40125FBD"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b/>
          <w:color w:val="000000"/>
        </w:rPr>
        <w:t>Peer-review report’s scientific quality classification</w:t>
      </w:r>
    </w:p>
    <w:p w14:paraId="1BEF9A5F"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A (Excellent): 0</w:t>
      </w:r>
    </w:p>
    <w:p w14:paraId="5201F7A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B (Very good): B</w:t>
      </w:r>
    </w:p>
    <w:p w14:paraId="30863335" w14:textId="7183F6E2"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C (Good): C, C</w:t>
      </w:r>
      <w:r w:rsidR="009D1C51" w:rsidRPr="00E55E4C">
        <w:rPr>
          <w:rFonts w:ascii="Book Antiqua" w:eastAsia="Book Antiqua" w:hAnsi="Book Antiqua" w:cs="Book Antiqua"/>
          <w:color w:val="000000"/>
        </w:rPr>
        <w:t>, C</w:t>
      </w:r>
    </w:p>
    <w:p w14:paraId="27674FEC"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D (Fair): D</w:t>
      </w:r>
    </w:p>
    <w:p w14:paraId="4171D824" w14:textId="77777777"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t>Grade E (Poor): 0</w:t>
      </w:r>
    </w:p>
    <w:p w14:paraId="477DBAE3" w14:textId="77777777" w:rsidR="00A77B3E" w:rsidRPr="00E55E4C" w:rsidRDefault="00A77B3E" w:rsidP="00BC3C5D">
      <w:pPr>
        <w:adjustRightInd w:val="0"/>
        <w:snapToGrid w:val="0"/>
        <w:spacing w:line="360" w:lineRule="auto"/>
        <w:jc w:val="both"/>
        <w:rPr>
          <w:rFonts w:ascii="Book Antiqua" w:hAnsi="Book Antiqua"/>
        </w:rPr>
      </w:pPr>
    </w:p>
    <w:p w14:paraId="3D778030" w14:textId="704A3026" w:rsidR="00A77B3E" w:rsidRPr="00E55E4C" w:rsidRDefault="00F728E5" w:rsidP="00BC3C5D">
      <w:pPr>
        <w:adjustRightInd w:val="0"/>
        <w:snapToGrid w:val="0"/>
        <w:spacing w:line="360" w:lineRule="auto"/>
        <w:jc w:val="both"/>
        <w:rPr>
          <w:rFonts w:ascii="Book Antiqua" w:hAnsi="Book Antiqua"/>
        </w:rPr>
        <w:sectPr w:rsidR="00A77B3E" w:rsidRPr="00E55E4C">
          <w:pgSz w:w="12240" w:h="15840"/>
          <w:pgMar w:top="1440" w:right="1440" w:bottom="1440" w:left="1440" w:header="720" w:footer="720" w:gutter="0"/>
          <w:cols w:space="720"/>
          <w:docGrid w:linePitch="360"/>
        </w:sectPr>
      </w:pPr>
      <w:r w:rsidRPr="00E55E4C">
        <w:rPr>
          <w:rFonts w:ascii="Book Antiqua" w:eastAsia="Book Antiqua" w:hAnsi="Book Antiqua" w:cs="Book Antiqua"/>
          <w:b/>
          <w:color w:val="000000"/>
        </w:rPr>
        <w:t xml:space="preserve">P-Reviewer: </w:t>
      </w:r>
      <w:r w:rsidRPr="00E55E4C">
        <w:rPr>
          <w:rFonts w:ascii="Book Antiqua" w:eastAsia="Book Antiqua" w:hAnsi="Book Antiqua" w:cs="Book Antiqua"/>
          <w:color w:val="000000"/>
        </w:rPr>
        <w:t>El-</w:t>
      </w:r>
      <w:proofErr w:type="spellStart"/>
      <w:r w:rsidRPr="00E55E4C">
        <w:rPr>
          <w:rFonts w:ascii="Book Antiqua" w:eastAsia="Book Antiqua" w:hAnsi="Book Antiqua" w:cs="Book Antiqua"/>
          <w:color w:val="000000"/>
        </w:rPr>
        <w:t>Arabey</w:t>
      </w:r>
      <w:proofErr w:type="spellEnd"/>
      <w:r w:rsidRPr="00E55E4C">
        <w:rPr>
          <w:rFonts w:ascii="Book Antiqua" w:eastAsia="Book Antiqua" w:hAnsi="Book Antiqua" w:cs="Book Antiqua"/>
          <w:color w:val="000000"/>
        </w:rPr>
        <w:t xml:space="preserve"> AA, Kamran M, Sánchez de Medina LH F, </w:t>
      </w:r>
      <w:proofErr w:type="spellStart"/>
      <w:r w:rsidRPr="00E55E4C">
        <w:rPr>
          <w:rFonts w:ascii="Book Antiqua" w:eastAsia="Book Antiqua" w:hAnsi="Book Antiqua" w:cs="Book Antiqua"/>
          <w:color w:val="000000"/>
        </w:rPr>
        <w:t>Şehirli</w:t>
      </w:r>
      <w:proofErr w:type="spellEnd"/>
      <w:r w:rsidRPr="00E55E4C">
        <w:rPr>
          <w:rFonts w:ascii="Book Antiqua" w:eastAsia="Book Antiqua" w:hAnsi="Book Antiqua" w:cs="Book Antiqua"/>
          <w:color w:val="000000"/>
        </w:rPr>
        <w:t xml:space="preserve"> AÖ</w:t>
      </w:r>
      <w:r w:rsidRPr="00E55E4C">
        <w:rPr>
          <w:rFonts w:ascii="Book Antiqua" w:eastAsia="Book Antiqua" w:hAnsi="Book Antiqua" w:cs="Book Antiqua"/>
          <w:b/>
          <w:color w:val="000000"/>
        </w:rPr>
        <w:t xml:space="preserve"> S-Editor: </w:t>
      </w:r>
      <w:r w:rsidRPr="00E55E4C">
        <w:rPr>
          <w:rFonts w:ascii="Book Antiqua" w:eastAsia="Book Antiqua" w:hAnsi="Book Antiqua" w:cs="Book Antiqua"/>
          <w:color w:val="000000"/>
        </w:rPr>
        <w:t>Liu M</w:t>
      </w:r>
      <w:r w:rsidRPr="00E55E4C">
        <w:rPr>
          <w:rFonts w:ascii="Book Antiqua" w:eastAsia="Book Antiqua" w:hAnsi="Book Antiqua" w:cs="Book Antiqua"/>
          <w:b/>
          <w:color w:val="000000"/>
        </w:rPr>
        <w:t xml:space="preserve"> L-Editor:  P-Editor: </w:t>
      </w:r>
    </w:p>
    <w:p w14:paraId="2C7D9698" w14:textId="692619FD" w:rsidR="00A77B3E" w:rsidRPr="00E55E4C" w:rsidRDefault="00F728E5" w:rsidP="00BC3C5D">
      <w:pPr>
        <w:adjustRightInd w:val="0"/>
        <w:snapToGrid w:val="0"/>
        <w:spacing w:line="360" w:lineRule="auto"/>
        <w:jc w:val="both"/>
        <w:rPr>
          <w:rFonts w:ascii="Book Antiqua" w:eastAsia="Book Antiqua" w:hAnsi="Book Antiqua" w:cs="Book Antiqua"/>
          <w:b/>
          <w:color w:val="000000"/>
        </w:rPr>
      </w:pPr>
      <w:r w:rsidRPr="00E55E4C">
        <w:rPr>
          <w:rFonts w:ascii="Book Antiqua" w:eastAsia="Book Antiqua" w:hAnsi="Book Antiqua" w:cs="Book Antiqua"/>
          <w:b/>
          <w:color w:val="000000"/>
        </w:rPr>
        <w:lastRenderedPageBreak/>
        <w:t>Figure Legends</w:t>
      </w:r>
    </w:p>
    <w:p w14:paraId="75BFE63C" w14:textId="525CEF45" w:rsidR="00F728E5" w:rsidRPr="00E55E4C" w:rsidRDefault="00F728E5" w:rsidP="00BC3C5D">
      <w:pPr>
        <w:adjustRightInd w:val="0"/>
        <w:snapToGrid w:val="0"/>
        <w:spacing w:line="360" w:lineRule="auto"/>
        <w:jc w:val="both"/>
        <w:rPr>
          <w:rFonts w:ascii="Book Antiqua" w:hAnsi="Book Antiqua"/>
        </w:rPr>
      </w:pPr>
      <w:r w:rsidRPr="00E55E4C">
        <w:rPr>
          <w:rFonts w:ascii="Book Antiqua" w:hAnsi="Book Antiqua"/>
          <w:noProof/>
          <w:lang w:val="el-GR" w:eastAsia="el-GR"/>
        </w:rPr>
        <w:drawing>
          <wp:inline distT="0" distB="0" distL="0" distR="0" wp14:anchorId="578974B4" wp14:editId="3489755C">
            <wp:extent cx="5019367" cy="35016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1476" cy="3503083"/>
                    </a:xfrm>
                    <a:prstGeom prst="rect">
                      <a:avLst/>
                    </a:prstGeom>
                    <a:noFill/>
                  </pic:spPr>
                </pic:pic>
              </a:graphicData>
            </a:graphic>
          </wp:inline>
        </w:drawing>
      </w:r>
    </w:p>
    <w:p w14:paraId="0FC4B299" w14:textId="2D17DA8D" w:rsidR="00BC3C5D" w:rsidRPr="00E55E4C" w:rsidRDefault="00F728E5" w:rsidP="00BC3C5D">
      <w:pPr>
        <w:adjustRightInd w:val="0"/>
        <w:snapToGrid w:val="0"/>
        <w:spacing w:line="360" w:lineRule="auto"/>
        <w:jc w:val="both"/>
        <w:rPr>
          <w:rFonts w:ascii="Book Antiqua" w:eastAsia="Times New Roman" w:hAnsi="Book Antiqua"/>
          <w:bCs/>
        </w:rPr>
      </w:pPr>
      <w:r w:rsidRPr="00E55E4C">
        <w:rPr>
          <w:rFonts w:ascii="Book Antiqua" w:eastAsia="Book Antiqua" w:hAnsi="Book Antiqua" w:cs="Book Antiqua"/>
          <w:b/>
          <w:bCs/>
          <w:color w:val="000000"/>
        </w:rPr>
        <w:t>Figure 1 Study flowchart.</w:t>
      </w:r>
      <w:r w:rsidRPr="00E55E4C">
        <w:rPr>
          <w:rFonts w:ascii="Book Antiqua" w:eastAsia="Book Antiqua" w:hAnsi="Book Antiqua" w:cs="Book Antiqua"/>
          <w:color w:val="000000"/>
        </w:rPr>
        <w:t xml:space="preserve"> PCR: Polymerase chain reaction</w:t>
      </w:r>
      <w:r w:rsidR="00BC3C5D" w:rsidRPr="00E55E4C">
        <w:rPr>
          <w:rFonts w:ascii="Book Antiqua" w:eastAsia="Book Antiqua" w:hAnsi="Book Antiqua" w:cs="Book Antiqua"/>
          <w:color w:val="000000"/>
        </w:rPr>
        <w:t xml:space="preserve">; </w:t>
      </w:r>
      <w:r w:rsidR="00BC3C5D" w:rsidRPr="00E55E4C">
        <w:rPr>
          <w:rFonts w:ascii="Book Antiqua" w:eastAsia="Times New Roman" w:hAnsi="Book Antiqua"/>
          <w:bCs/>
        </w:rPr>
        <w:t>SARS-CoV2: Severe acute respiratory syndrome coronavirus 2.</w:t>
      </w:r>
    </w:p>
    <w:p w14:paraId="690700EF" w14:textId="0804539A" w:rsidR="00F728E5" w:rsidRPr="00E55E4C" w:rsidRDefault="00F728E5" w:rsidP="00BC3C5D">
      <w:pPr>
        <w:adjustRightInd w:val="0"/>
        <w:snapToGrid w:val="0"/>
        <w:spacing w:line="360" w:lineRule="auto"/>
        <w:jc w:val="both"/>
        <w:rPr>
          <w:rFonts w:ascii="Book Antiqua" w:eastAsia="Book Antiqua" w:hAnsi="Book Antiqua" w:cs="Book Antiqua"/>
          <w:color w:val="000000"/>
        </w:rPr>
      </w:pPr>
    </w:p>
    <w:p w14:paraId="35C8A019" w14:textId="5274BDBD" w:rsidR="00A77B3E" w:rsidRPr="00E55E4C" w:rsidRDefault="00F728E5" w:rsidP="00BC3C5D">
      <w:pPr>
        <w:adjustRightInd w:val="0"/>
        <w:snapToGrid w:val="0"/>
        <w:spacing w:line="360" w:lineRule="auto"/>
        <w:jc w:val="both"/>
        <w:rPr>
          <w:rFonts w:ascii="Book Antiqua" w:hAnsi="Book Antiqua"/>
        </w:rPr>
      </w:pPr>
      <w:r w:rsidRPr="00E55E4C">
        <w:rPr>
          <w:rFonts w:ascii="Book Antiqua" w:eastAsia="Book Antiqua" w:hAnsi="Book Antiqua" w:cs="Book Antiqua"/>
          <w:color w:val="000000"/>
        </w:rPr>
        <w:br w:type="page"/>
      </w:r>
    </w:p>
    <w:p w14:paraId="06B176F5" w14:textId="324C65E0" w:rsidR="00BC3C5D" w:rsidRPr="00E55E4C" w:rsidRDefault="00BC3C5D" w:rsidP="00BC3C5D">
      <w:pPr>
        <w:adjustRightInd w:val="0"/>
        <w:snapToGrid w:val="0"/>
        <w:spacing w:line="360" w:lineRule="auto"/>
        <w:jc w:val="both"/>
        <w:rPr>
          <w:rFonts w:ascii="Book Antiqua" w:eastAsia="Book Antiqua" w:hAnsi="Book Antiqua" w:cs="Book Antiqua"/>
          <w:b/>
          <w:bCs/>
          <w:color w:val="000000"/>
        </w:rPr>
      </w:pPr>
      <w:r w:rsidRPr="00E55E4C">
        <w:rPr>
          <w:rFonts w:ascii="Book Antiqua" w:eastAsia="Book Antiqua" w:hAnsi="Book Antiqua" w:cs="Book Antiqua"/>
          <w:b/>
          <w:bCs/>
          <w:noProof/>
          <w:color w:val="000000"/>
          <w:lang w:val="el-GR" w:eastAsia="el-GR"/>
        </w:rPr>
        <w:lastRenderedPageBreak/>
        <w:drawing>
          <wp:inline distT="0" distB="0" distL="0" distR="0" wp14:anchorId="42C58DD5" wp14:editId="5694B090">
            <wp:extent cx="5899150" cy="331823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0405" cy="3324564"/>
                    </a:xfrm>
                    <a:prstGeom prst="rect">
                      <a:avLst/>
                    </a:prstGeom>
                    <a:noFill/>
                  </pic:spPr>
                </pic:pic>
              </a:graphicData>
            </a:graphic>
          </wp:inline>
        </w:drawing>
      </w:r>
    </w:p>
    <w:p w14:paraId="4CBBC81C" w14:textId="108DE05A" w:rsidR="00BC3C5D" w:rsidRPr="00E55E4C" w:rsidRDefault="00F728E5" w:rsidP="00BC3C5D">
      <w:pPr>
        <w:adjustRightInd w:val="0"/>
        <w:snapToGrid w:val="0"/>
        <w:spacing w:line="360" w:lineRule="auto"/>
        <w:jc w:val="both"/>
        <w:rPr>
          <w:rFonts w:ascii="Book Antiqua" w:eastAsia="Book Antiqua" w:hAnsi="Book Antiqua" w:cs="Book Antiqua"/>
          <w:b/>
          <w:bCs/>
          <w:color w:val="000000"/>
        </w:rPr>
      </w:pPr>
      <w:r w:rsidRPr="00E55E4C">
        <w:rPr>
          <w:rFonts w:ascii="Book Antiqua" w:eastAsia="Book Antiqua" w:hAnsi="Book Antiqua" w:cs="Book Antiqua"/>
          <w:b/>
          <w:bCs/>
          <w:color w:val="000000"/>
        </w:rPr>
        <w:t>Figure 2 Overall endoscopies one week before and the weeks during lockdown.</w:t>
      </w:r>
    </w:p>
    <w:p w14:paraId="2DE4A5FA" w14:textId="77777777" w:rsidR="00BC3C5D" w:rsidRPr="00E55E4C" w:rsidRDefault="00BC3C5D" w:rsidP="00BC3C5D">
      <w:pPr>
        <w:adjustRightInd w:val="0"/>
        <w:snapToGrid w:val="0"/>
        <w:spacing w:line="360" w:lineRule="auto"/>
        <w:jc w:val="both"/>
        <w:rPr>
          <w:rFonts w:ascii="Book Antiqua" w:eastAsia="Book Antiqua" w:hAnsi="Book Antiqua" w:cs="Book Antiqua"/>
          <w:b/>
          <w:bCs/>
          <w:color w:val="000000"/>
        </w:rPr>
      </w:pPr>
      <w:r w:rsidRPr="00E55E4C">
        <w:rPr>
          <w:rFonts w:ascii="Book Antiqua" w:eastAsia="Book Antiqua" w:hAnsi="Book Antiqua" w:cs="Book Antiqua"/>
          <w:b/>
          <w:bCs/>
          <w:color w:val="000000"/>
        </w:rPr>
        <w:br w:type="page"/>
      </w:r>
    </w:p>
    <w:p w14:paraId="79F64B3A" w14:textId="06A9F0E3" w:rsidR="00BC3C5D" w:rsidRPr="00E55E4C" w:rsidRDefault="00BC3C5D" w:rsidP="00BC3C5D">
      <w:pPr>
        <w:adjustRightInd w:val="0"/>
        <w:snapToGrid w:val="0"/>
        <w:spacing w:line="360" w:lineRule="auto"/>
        <w:jc w:val="both"/>
        <w:rPr>
          <w:rFonts w:ascii="Book Antiqua" w:hAnsi="Book Antiqua"/>
          <w:b/>
        </w:rPr>
      </w:pPr>
      <w:r w:rsidRPr="00E55E4C">
        <w:rPr>
          <w:rFonts w:ascii="Book Antiqua" w:hAnsi="Book Antiqua"/>
          <w:b/>
        </w:rPr>
        <w:lastRenderedPageBreak/>
        <w:t xml:space="preserve">Table 1 Baseline characteristics of patients, </w:t>
      </w:r>
      <w:r w:rsidRPr="00E55E4C">
        <w:rPr>
          <w:rFonts w:ascii="Book Antiqua" w:hAnsi="Book Antiqua"/>
          <w:b/>
          <w:i/>
          <w:iCs/>
        </w:rPr>
        <w:t>n</w:t>
      </w:r>
      <w:r w:rsidRPr="00E55E4C">
        <w:rPr>
          <w:rFonts w:ascii="Book Antiqua" w:hAnsi="Book Antiqua"/>
          <w:b/>
        </w:rPr>
        <w:t xml:space="preserve"> (%)</w:t>
      </w:r>
    </w:p>
    <w:tbl>
      <w:tblPr>
        <w:tblStyle w:val="af"/>
        <w:tblW w:w="90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549"/>
      </w:tblGrid>
      <w:tr w:rsidR="00BC3C5D" w:rsidRPr="0081315E" w14:paraId="15596C5E" w14:textId="77777777" w:rsidTr="0081315E">
        <w:trPr>
          <w:jc w:val="center"/>
        </w:trPr>
        <w:tc>
          <w:tcPr>
            <w:tcW w:w="5528" w:type="dxa"/>
            <w:tcBorders>
              <w:top w:val="single" w:sz="4" w:space="0" w:color="auto"/>
              <w:bottom w:val="single" w:sz="4" w:space="0" w:color="auto"/>
            </w:tcBorders>
          </w:tcPr>
          <w:p w14:paraId="78B0F571" w14:textId="77777777" w:rsidR="00BC3C5D" w:rsidRPr="0081315E" w:rsidRDefault="00BC3C5D" w:rsidP="00BC3C5D">
            <w:pPr>
              <w:adjustRightInd w:val="0"/>
              <w:snapToGrid w:val="0"/>
              <w:spacing w:line="360" w:lineRule="auto"/>
              <w:jc w:val="both"/>
              <w:rPr>
                <w:rFonts w:ascii="Book Antiqua" w:hAnsi="Book Antiqua"/>
                <w:b/>
                <w:lang w:val="en-US"/>
              </w:rPr>
            </w:pPr>
            <w:r w:rsidRPr="0081315E">
              <w:rPr>
                <w:rFonts w:ascii="Book Antiqua" w:hAnsi="Book Antiqua"/>
                <w:b/>
                <w:lang w:val="en-US"/>
              </w:rPr>
              <w:t>Patients’ characteristics</w:t>
            </w:r>
          </w:p>
        </w:tc>
        <w:tc>
          <w:tcPr>
            <w:tcW w:w="3549" w:type="dxa"/>
            <w:tcBorders>
              <w:top w:val="single" w:sz="4" w:space="0" w:color="auto"/>
              <w:bottom w:val="single" w:sz="4" w:space="0" w:color="auto"/>
            </w:tcBorders>
          </w:tcPr>
          <w:p w14:paraId="37C4D62E" w14:textId="2553BCB5" w:rsidR="00BC3C5D" w:rsidRPr="0081315E" w:rsidRDefault="00BC3C5D" w:rsidP="00BC3C5D">
            <w:pPr>
              <w:adjustRightInd w:val="0"/>
              <w:snapToGrid w:val="0"/>
              <w:spacing w:line="360" w:lineRule="auto"/>
              <w:jc w:val="both"/>
              <w:rPr>
                <w:rFonts w:ascii="Book Antiqua" w:hAnsi="Book Antiqua"/>
                <w:b/>
                <w:lang w:val="en-US"/>
              </w:rPr>
            </w:pPr>
          </w:p>
        </w:tc>
      </w:tr>
      <w:tr w:rsidR="00BC3C5D" w:rsidRPr="00E55E4C" w14:paraId="0EF6DE34" w14:textId="77777777" w:rsidTr="0081315E">
        <w:trPr>
          <w:jc w:val="center"/>
        </w:trPr>
        <w:tc>
          <w:tcPr>
            <w:tcW w:w="5528" w:type="dxa"/>
            <w:tcBorders>
              <w:top w:val="single" w:sz="4" w:space="0" w:color="auto"/>
            </w:tcBorders>
          </w:tcPr>
          <w:p w14:paraId="229F1AD5" w14:textId="7B3C9C49"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Male/</w:t>
            </w:r>
            <w:r w:rsidR="0081315E">
              <w:rPr>
                <w:rFonts w:ascii="Book Antiqua" w:hAnsi="Book Antiqua"/>
                <w:bCs/>
                <w:lang w:val="en-US"/>
              </w:rPr>
              <w:t>f</w:t>
            </w:r>
            <w:r w:rsidRPr="00E55E4C">
              <w:rPr>
                <w:rFonts w:ascii="Book Antiqua" w:hAnsi="Book Antiqua"/>
                <w:bCs/>
                <w:lang w:val="en-US"/>
              </w:rPr>
              <w:t>emale</w:t>
            </w:r>
          </w:p>
          <w:p w14:paraId="4CD51832" w14:textId="6F7F0422"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Age (mean ± SD), </w:t>
            </w:r>
            <w:proofErr w:type="spellStart"/>
            <w:r w:rsidRPr="00E55E4C">
              <w:rPr>
                <w:rFonts w:ascii="Book Antiqua" w:hAnsi="Book Antiqua"/>
                <w:bCs/>
                <w:lang w:val="en-US"/>
              </w:rPr>
              <w:t>yr</w:t>
            </w:r>
            <w:proofErr w:type="spellEnd"/>
          </w:p>
          <w:p w14:paraId="260E268F"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Inpatient</w:t>
            </w:r>
          </w:p>
          <w:p w14:paraId="07EA011D"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Outpatient </w:t>
            </w:r>
          </w:p>
          <w:p w14:paraId="37395BC0"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Referral</w:t>
            </w:r>
          </w:p>
        </w:tc>
        <w:tc>
          <w:tcPr>
            <w:tcW w:w="3549" w:type="dxa"/>
            <w:tcBorders>
              <w:top w:val="single" w:sz="4" w:space="0" w:color="auto"/>
            </w:tcBorders>
          </w:tcPr>
          <w:p w14:paraId="2E81A0A7" w14:textId="4C23EA26"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678 (59.7)/457 (40.3)</w:t>
            </w:r>
          </w:p>
          <w:p w14:paraId="3DFD0095"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63.4 ± 14.5</w:t>
            </w:r>
          </w:p>
          <w:p w14:paraId="2E0C2CC5"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506 (44.6)</w:t>
            </w:r>
          </w:p>
          <w:p w14:paraId="241E56D6"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598 (52.7)</w:t>
            </w:r>
          </w:p>
          <w:p w14:paraId="3AF61E58"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31 (2.7)</w:t>
            </w:r>
          </w:p>
        </w:tc>
      </w:tr>
      <w:tr w:rsidR="00BC3C5D" w:rsidRPr="00E55E4C" w14:paraId="60E902FE" w14:textId="77777777" w:rsidTr="00BC3C5D">
        <w:trPr>
          <w:jc w:val="center"/>
        </w:trPr>
        <w:tc>
          <w:tcPr>
            <w:tcW w:w="5528" w:type="dxa"/>
          </w:tcPr>
          <w:p w14:paraId="2FB72844" w14:textId="14A3B72B"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Recruitment per center</w:t>
            </w:r>
          </w:p>
        </w:tc>
        <w:tc>
          <w:tcPr>
            <w:tcW w:w="3549" w:type="dxa"/>
          </w:tcPr>
          <w:p w14:paraId="20907519" w14:textId="77777777" w:rsidR="00BC3C5D" w:rsidRPr="00E55E4C" w:rsidRDefault="00BC3C5D" w:rsidP="00BC3C5D">
            <w:pPr>
              <w:adjustRightInd w:val="0"/>
              <w:snapToGrid w:val="0"/>
              <w:spacing w:line="360" w:lineRule="auto"/>
              <w:jc w:val="both"/>
              <w:rPr>
                <w:rFonts w:ascii="Book Antiqua" w:hAnsi="Book Antiqua"/>
                <w:bCs/>
                <w:lang w:val="en-US"/>
              </w:rPr>
            </w:pPr>
          </w:p>
        </w:tc>
      </w:tr>
      <w:tr w:rsidR="00BC3C5D" w:rsidRPr="00E55E4C" w14:paraId="53473F2A" w14:textId="77777777" w:rsidTr="00BC3C5D">
        <w:trPr>
          <w:jc w:val="center"/>
        </w:trPr>
        <w:tc>
          <w:tcPr>
            <w:tcW w:w="5528" w:type="dxa"/>
          </w:tcPr>
          <w:p w14:paraId="6624ABFA"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w:t>
            </w:r>
            <w:proofErr w:type="spellStart"/>
            <w:r w:rsidRPr="00E55E4C">
              <w:rPr>
                <w:rFonts w:ascii="Book Antiqua" w:hAnsi="Book Antiqua"/>
                <w:bCs/>
                <w:lang w:val="en-US"/>
              </w:rPr>
              <w:t>Attikon</w:t>
            </w:r>
            <w:proofErr w:type="spellEnd"/>
            <w:r w:rsidRPr="00E55E4C">
              <w:rPr>
                <w:rFonts w:ascii="Book Antiqua" w:hAnsi="Book Antiqua"/>
                <w:bCs/>
                <w:lang w:val="en-US"/>
              </w:rPr>
              <w:t>" Hospital, Athens, Greece</w:t>
            </w:r>
          </w:p>
        </w:tc>
        <w:tc>
          <w:tcPr>
            <w:tcW w:w="3549" w:type="dxa"/>
          </w:tcPr>
          <w:p w14:paraId="27E690A1"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236 (20.8)</w:t>
            </w:r>
          </w:p>
        </w:tc>
      </w:tr>
      <w:tr w:rsidR="00BC3C5D" w:rsidRPr="00E55E4C" w14:paraId="7074A107" w14:textId="77777777" w:rsidTr="00BC3C5D">
        <w:trPr>
          <w:jc w:val="center"/>
        </w:trPr>
        <w:tc>
          <w:tcPr>
            <w:tcW w:w="5528" w:type="dxa"/>
          </w:tcPr>
          <w:p w14:paraId="6F4EFD74" w14:textId="77777777" w:rsidR="00BC3C5D" w:rsidRPr="00E55E4C" w:rsidRDefault="00BC3C5D" w:rsidP="00BC3C5D">
            <w:pPr>
              <w:adjustRightInd w:val="0"/>
              <w:snapToGrid w:val="0"/>
              <w:spacing w:line="360" w:lineRule="auto"/>
              <w:jc w:val="both"/>
              <w:rPr>
                <w:rFonts w:ascii="Book Antiqua" w:hAnsi="Book Antiqua"/>
                <w:bCs/>
                <w:lang w:val="en-US"/>
              </w:rPr>
            </w:pPr>
            <w:proofErr w:type="spellStart"/>
            <w:r w:rsidRPr="00E55E4C">
              <w:rPr>
                <w:rFonts w:ascii="Book Antiqua" w:hAnsi="Book Antiqua"/>
                <w:bCs/>
                <w:lang w:val="en-US"/>
              </w:rPr>
              <w:t>Aretaieio</w:t>
            </w:r>
            <w:proofErr w:type="spellEnd"/>
            <w:r w:rsidRPr="00E55E4C">
              <w:rPr>
                <w:rFonts w:ascii="Book Antiqua" w:hAnsi="Book Antiqua"/>
                <w:bCs/>
                <w:lang w:val="en-US"/>
              </w:rPr>
              <w:t xml:space="preserve"> Hospital, Athens, Greece</w:t>
            </w:r>
          </w:p>
        </w:tc>
        <w:tc>
          <w:tcPr>
            <w:tcW w:w="3549" w:type="dxa"/>
          </w:tcPr>
          <w:p w14:paraId="445E4B1E"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42 (3.7)</w:t>
            </w:r>
          </w:p>
        </w:tc>
      </w:tr>
      <w:tr w:rsidR="00BC3C5D" w:rsidRPr="00E55E4C" w14:paraId="24C3732E" w14:textId="77777777" w:rsidTr="00BC3C5D">
        <w:trPr>
          <w:jc w:val="center"/>
        </w:trPr>
        <w:tc>
          <w:tcPr>
            <w:tcW w:w="5528" w:type="dxa"/>
          </w:tcPr>
          <w:p w14:paraId="45526F4C"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Foggia, Italy</w:t>
            </w:r>
          </w:p>
        </w:tc>
        <w:tc>
          <w:tcPr>
            <w:tcW w:w="3549" w:type="dxa"/>
          </w:tcPr>
          <w:p w14:paraId="068483DD"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215 (18.9)</w:t>
            </w:r>
          </w:p>
        </w:tc>
      </w:tr>
      <w:tr w:rsidR="00BC3C5D" w:rsidRPr="00E55E4C" w14:paraId="7EFF2B97" w14:textId="77777777" w:rsidTr="00BC3C5D">
        <w:trPr>
          <w:jc w:val="center"/>
        </w:trPr>
        <w:tc>
          <w:tcPr>
            <w:tcW w:w="5528" w:type="dxa"/>
          </w:tcPr>
          <w:p w14:paraId="79266088"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Verona, Italy</w:t>
            </w:r>
          </w:p>
        </w:tc>
        <w:tc>
          <w:tcPr>
            <w:tcW w:w="3549" w:type="dxa"/>
          </w:tcPr>
          <w:p w14:paraId="505243C8"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235 (20.7)</w:t>
            </w:r>
          </w:p>
        </w:tc>
      </w:tr>
      <w:tr w:rsidR="00BC3C5D" w:rsidRPr="00E55E4C" w14:paraId="2D9FC880" w14:textId="77777777" w:rsidTr="00BC3C5D">
        <w:trPr>
          <w:jc w:val="center"/>
        </w:trPr>
        <w:tc>
          <w:tcPr>
            <w:tcW w:w="5528" w:type="dxa"/>
          </w:tcPr>
          <w:p w14:paraId="1E383B31"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Belgrade, Serbia</w:t>
            </w:r>
          </w:p>
        </w:tc>
        <w:tc>
          <w:tcPr>
            <w:tcW w:w="3549" w:type="dxa"/>
          </w:tcPr>
          <w:p w14:paraId="6E4379AD"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19 (1.7)</w:t>
            </w:r>
          </w:p>
        </w:tc>
      </w:tr>
      <w:tr w:rsidR="00BC3C5D" w:rsidRPr="00E55E4C" w14:paraId="0783CC7F" w14:textId="77777777" w:rsidTr="00BC3C5D">
        <w:trPr>
          <w:jc w:val="center"/>
        </w:trPr>
        <w:tc>
          <w:tcPr>
            <w:tcW w:w="5528" w:type="dxa"/>
          </w:tcPr>
          <w:p w14:paraId="65DBAAA4"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Brussels, Belgium</w:t>
            </w:r>
          </w:p>
        </w:tc>
        <w:tc>
          <w:tcPr>
            <w:tcW w:w="3549" w:type="dxa"/>
          </w:tcPr>
          <w:p w14:paraId="372E551B"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143 (12.6)</w:t>
            </w:r>
          </w:p>
        </w:tc>
      </w:tr>
      <w:tr w:rsidR="00BC3C5D" w:rsidRPr="00E55E4C" w14:paraId="73043CA8" w14:textId="77777777" w:rsidTr="00BC3C5D">
        <w:trPr>
          <w:jc w:val="center"/>
        </w:trPr>
        <w:tc>
          <w:tcPr>
            <w:tcW w:w="5528" w:type="dxa"/>
          </w:tcPr>
          <w:p w14:paraId="6648D5E3"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Skopje, Republic of North Macedonia</w:t>
            </w:r>
          </w:p>
        </w:tc>
        <w:tc>
          <w:tcPr>
            <w:tcW w:w="3549" w:type="dxa"/>
          </w:tcPr>
          <w:p w14:paraId="134256AF"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149 (13.1)</w:t>
            </w:r>
          </w:p>
        </w:tc>
      </w:tr>
      <w:tr w:rsidR="00BC3C5D" w:rsidRPr="00E55E4C" w14:paraId="75ABBA5F" w14:textId="77777777" w:rsidTr="00BC3C5D">
        <w:trPr>
          <w:jc w:val="center"/>
        </w:trPr>
        <w:tc>
          <w:tcPr>
            <w:tcW w:w="5528" w:type="dxa"/>
          </w:tcPr>
          <w:p w14:paraId="0497E502"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Zagreb/Rijeka, Croatia</w:t>
            </w:r>
          </w:p>
        </w:tc>
        <w:tc>
          <w:tcPr>
            <w:tcW w:w="3549" w:type="dxa"/>
          </w:tcPr>
          <w:p w14:paraId="52392776"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96 (8.5)</w:t>
            </w:r>
          </w:p>
        </w:tc>
      </w:tr>
      <w:tr w:rsidR="00BC3C5D" w:rsidRPr="00E55E4C" w14:paraId="06A6E80E" w14:textId="77777777" w:rsidTr="00BC3C5D">
        <w:trPr>
          <w:jc w:val="center"/>
        </w:trPr>
        <w:tc>
          <w:tcPr>
            <w:tcW w:w="5528" w:type="dxa"/>
          </w:tcPr>
          <w:p w14:paraId="5819CCEA" w14:textId="76CE7121"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Type of endoscopy</w:t>
            </w:r>
            <w:r w:rsidR="00671371" w:rsidRPr="00E55E4C">
              <w:rPr>
                <w:rFonts w:ascii="Book Antiqua" w:hAnsi="Book Antiqua"/>
                <w:bCs/>
                <w:vertAlign w:val="superscript"/>
                <w:lang w:val="en-US"/>
              </w:rPr>
              <w:t>1</w:t>
            </w:r>
          </w:p>
        </w:tc>
        <w:tc>
          <w:tcPr>
            <w:tcW w:w="3549" w:type="dxa"/>
          </w:tcPr>
          <w:p w14:paraId="70D71754" w14:textId="1B86D719" w:rsidR="00BC3C5D" w:rsidRPr="00E55E4C" w:rsidRDefault="00BC3C5D" w:rsidP="00BC3C5D">
            <w:pPr>
              <w:adjustRightInd w:val="0"/>
              <w:snapToGrid w:val="0"/>
              <w:spacing w:line="360" w:lineRule="auto"/>
              <w:jc w:val="both"/>
              <w:rPr>
                <w:rFonts w:ascii="Book Antiqua" w:hAnsi="Book Antiqua"/>
                <w:bCs/>
                <w:lang w:val="en-US"/>
              </w:rPr>
            </w:pPr>
          </w:p>
        </w:tc>
      </w:tr>
      <w:tr w:rsidR="00BC3C5D" w:rsidRPr="00E55E4C" w14:paraId="51075DC9" w14:textId="77777777" w:rsidTr="00BC3C5D">
        <w:trPr>
          <w:jc w:val="center"/>
        </w:trPr>
        <w:tc>
          <w:tcPr>
            <w:tcW w:w="5528" w:type="dxa"/>
          </w:tcPr>
          <w:p w14:paraId="4C212259"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 xml:space="preserve">Upper GI-endoscopies </w:t>
            </w:r>
          </w:p>
          <w:p w14:paraId="2E2F9231"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Colonoscopies/</w:t>
            </w:r>
            <w:proofErr w:type="spellStart"/>
            <w:r w:rsidRPr="00E55E4C">
              <w:rPr>
                <w:rFonts w:ascii="Book Antiqua" w:hAnsi="Book Antiqua"/>
                <w:lang w:val="en-US"/>
              </w:rPr>
              <w:t>rectosigmoidoscopies</w:t>
            </w:r>
            <w:proofErr w:type="spellEnd"/>
          </w:p>
          <w:p w14:paraId="72081DD1"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ERCP</w:t>
            </w:r>
          </w:p>
          <w:p w14:paraId="3C6CC7B9"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EUS</w:t>
            </w:r>
          </w:p>
        </w:tc>
        <w:tc>
          <w:tcPr>
            <w:tcW w:w="3549" w:type="dxa"/>
          </w:tcPr>
          <w:p w14:paraId="3436D428"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587 (46.3)</w:t>
            </w:r>
          </w:p>
          <w:p w14:paraId="3675D51A"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444 (35.1)</w:t>
            </w:r>
          </w:p>
          <w:p w14:paraId="617D26BA"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178 (14.1)</w:t>
            </w:r>
          </w:p>
          <w:p w14:paraId="19439712" w14:textId="77777777" w:rsidR="00BC3C5D" w:rsidRPr="00E55E4C" w:rsidRDefault="00BC3C5D" w:rsidP="00BC3C5D">
            <w:pPr>
              <w:adjustRightInd w:val="0"/>
              <w:snapToGrid w:val="0"/>
              <w:spacing w:line="360" w:lineRule="auto"/>
              <w:jc w:val="both"/>
              <w:rPr>
                <w:rFonts w:ascii="Book Antiqua" w:hAnsi="Book Antiqua"/>
                <w:lang w:val="en-US"/>
              </w:rPr>
            </w:pPr>
            <w:r w:rsidRPr="00E55E4C">
              <w:rPr>
                <w:rFonts w:ascii="Book Antiqua" w:hAnsi="Book Antiqua"/>
                <w:lang w:val="en-US"/>
              </w:rPr>
              <w:t>57 (4.5)</w:t>
            </w:r>
          </w:p>
        </w:tc>
      </w:tr>
    </w:tbl>
    <w:p w14:paraId="262C0CA9" w14:textId="68D6E4AA" w:rsidR="00BC3C5D" w:rsidRPr="00E55E4C" w:rsidRDefault="00671371" w:rsidP="00BC3C5D">
      <w:pPr>
        <w:adjustRightInd w:val="0"/>
        <w:snapToGrid w:val="0"/>
        <w:spacing w:line="360" w:lineRule="auto"/>
        <w:jc w:val="both"/>
        <w:rPr>
          <w:rFonts w:ascii="Book Antiqua" w:hAnsi="Book Antiqua"/>
        </w:rPr>
      </w:pPr>
      <w:r w:rsidRPr="00E55E4C">
        <w:rPr>
          <w:rFonts w:ascii="Book Antiqua" w:hAnsi="Book Antiqua"/>
          <w:vertAlign w:val="superscript"/>
        </w:rPr>
        <w:t>1</w:t>
      </w:r>
      <w:r w:rsidRPr="00E55E4C">
        <w:rPr>
          <w:rFonts w:ascii="Book Antiqua" w:hAnsi="Book Antiqua"/>
        </w:rPr>
        <w:t xml:space="preserve">Sums up to 1266 endoscopies. </w:t>
      </w:r>
      <w:r w:rsidR="00BC3C5D" w:rsidRPr="00E55E4C">
        <w:rPr>
          <w:rFonts w:ascii="Book Antiqua" w:hAnsi="Book Antiqua"/>
        </w:rPr>
        <w:t xml:space="preserve">SD: </w:t>
      </w:r>
      <w:r w:rsidRPr="00E55E4C">
        <w:rPr>
          <w:rFonts w:ascii="Book Antiqua" w:hAnsi="Book Antiqua"/>
        </w:rPr>
        <w:t>S</w:t>
      </w:r>
      <w:r w:rsidR="00BC3C5D" w:rsidRPr="00E55E4C">
        <w:rPr>
          <w:rFonts w:ascii="Book Antiqua" w:hAnsi="Book Antiqua"/>
        </w:rPr>
        <w:t xml:space="preserve">tandard deviation; GI: </w:t>
      </w:r>
      <w:r w:rsidRPr="00E55E4C">
        <w:rPr>
          <w:rFonts w:ascii="Book Antiqua" w:hAnsi="Book Antiqua"/>
        </w:rPr>
        <w:t>G</w:t>
      </w:r>
      <w:r w:rsidR="00BC3C5D" w:rsidRPr="00E55E4C">
        <w:rPr>
          <w:rFonts w:ascii="Book Antiqua" w:hAnsi="Book Antiqua"/>
        </w:rPr>
        <w:t xml:space="preserve">astrointestinal; ERCP: </w:t>
      </w:r>
      <w:r w:rsidRPr="00E55E4C">
        <w:rPr>
          <w:rFonts w:ascii="Book Antiqua" w:hAnsi="Book Antiqua"/>
        </w:rPr>
        <w:t>E</w:t>
      </w:r>
      <w:r w:rsidR="00BC3C5D" w:rsidRPr="00E55E4C">
        <w:rPr>
          <w:rFonts w:ascii="Book Antiqua" w:hAnsi="Book Antiqua"/>
        </w:rPr>
        <w:t xml:space="preserve">ndoscopic retrograde cholangiopancreatography; EUS: </w:t>
      </w:r>
      <w:r w:rsidRPr="00E55E4C">
        <w:rPr>
          <w:rFonts w:ascii="Book Antiqua" w:hAnsi="Book Antiqua"/>
        </w:rPr>
        <w:t>E</w:t>
      </w:r>
      <w:r w:rsidR="00BC3C5D" w:rsidRPr="00E55E4C">
        <w:rPr>
          <w:rFonts w:ascii="Book Antiqua" w:hAnsi="Book Antiqua"/>
        </w:rPr>
        <w:t>ndoscopic ultrasonography</w:t>
      </w:r>
      <w:r w:rsidRPr="00E55E4C">
        <w:rPr>
          <w:rFonts w:ascii="Book Antiqua" w:hAnsi="Book Antiqua"/>
        </w:rPr>
        <w:t>.</w:t>
      </w:r>
    </w:p>
    <w:p w14:paraId="7A1C2134" w14:textId="77777777" w:rsidR="00BC3C5D" w:rsidRPr="00E55E4C" w:rsidRDefault="00BC3C5D" w:rsidP="00BC3C5D">
      <w:pPr>
        <w:adjustRightInd w:val="0"/>
        <w:snapToGrid w:val="0"/>
        <w:spacing w:line="360" w:lineRule="auto"/>
        <w:jc w:val="both"/>
        <w:rPr>
          <w:rFonts w:ascii="Book Antiqua" w:hAnsi="Book Antiqua"/>
        </w:rPr>
        <w:sectPr w:rsidR="00BC3C5D" w:rsidRPr="00E55E4C" w:rsidSect="0082448E">
          <w:headerReference w:type="default" r:id="rId10"/>
          <w:pgSz w:w="11906" w:h="16838"/>
          <w:pgMar w:top="1440" w:right="1800" w:bottom="1440" w:left="1800" w:header="708" w:footer="708" w:gutter="0"/>
          <w:cols w:space="708"/>
          <w:docGrid w:linePitch="360"/>
        </w:sectPr>
      </w:pPr>
    </w:p>
    <w:p w14:paraId="2432D150" w14:textId="000F3BC5" w:rsidR="00BC3C5D" w:rsidRPr="00E55E4C" w:rsidRDefault="00BC3C5D" w:rsidP="00BC3C5D">
      <w:pPr>
        <w:adjustRightInd w:val="0"/>
        <w:snapToGrid w:val="0"/>
        <w:spacing w:line="360" w:lineRule="auto"/>
        <w:jc w:val="both"/>
        <w:rPr>
          <w:rFonts w:ascii="Book Antiqua" w:hAnsi="Book Antiqua"/>
          <w:b/>
        </w:rPr>
      </w:pPr>
      <w:r w:rsidRPr="00E55E4C">
        <w:rPr>
          <w:rFonts w:ascii="Book Antiqua" w:hAnsi="Book Antiqua"/>
          <w:b/>
        </w:rPr>
        <w:lastRenderedPageBreak/>
        <w:t>Table 2 Baseline characteristics and outcomes of patients positive for</w:t>
      </w:r>
      <w:r w:rsidR="00671371" w:rsidRPr="00E55E4C">
        <w:rPr>
          <w:rFonts w:ascii="Book Antiqua" w:hAnsi="Book Antiqua"/>
          <w:b/>
        </w:rPr>
        <w:t xml:space="preserve"> severe acute respiratory syndrome coronavirus 2</w:t>
      </w:r>
      <w:r w:rsidRPr="00E55E4C">
        <w:rPr>
          <w:rFonts w:ascii="Book Antiqua" w:hAnsi="Book Antiqua"/>
          <w:b/>
        </w:rPr>
        <w:t xml:space="preserve"> after endoscopy</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102"/>
        <w:gridCol w:w="1132"/>
        <w:gridCol w:w="1428"/>
        <w:gridCol w:w="1112"/>
        <w:gridCol w:w="1112"/>
        <w:gridCol w:w="1112"/>
        <w:gridCol w:w="1145"/>
        <w:gridCol w:w="1792"/>
        <w:gridCol w:w="2413"/>
      </w:tblGrid>
      <w:tr w:rsidR="00671371" w:rsidRPr="00E55E4C" w14:paraId="2A0BA1AC" w14:textId="77777777" w:rsidTr="00E55E4C">
        <w:trPr>
          <w:trHeight w:val="539"/>
        </w:trPr>
        <w:tc>
          <w:tcPr>
            <w:tcW w:w="238" w:type="pct"/>
            <w:tcBorders>
              <w:top w:val="single" w:sz="4" w:space="0" w:color="auto"/>
              <w:bottom w:val="single" w:sz="4" w:space="0" w:color="auto"/>
            </w:tcBorders>
            <w:hideMark/>
          </w:tcPr>
          <w:p w14:paraId="4C94A2A2"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Case</w:t>
            </w:r>
          </w:p>
        </w:tc>
        <w:tc>
          <w:tcPr>
            <w:tcW w:w="466" w:type="pct"/>
            <w:tcBorders>
              <w:top w:val="single" w:sz="4" w:space="0" w:color="auto"/>
              <w:bottom w:val="single" w:sz="4" w:space="0" w:color="auto"/>
            </w:tcBorders>
            <w:hideMark/>
          </w:tcPr>
          <w:p w14:paraId="7D300002"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rPr>
              <w:t>Patient</w:t>
            </w:r>
            <w:r w:rsidRPr="00E55E4C">
              <w:rPr>
                <w:rFonts w:ascii="Book Antiqua" w:hAnsi="Book Antiqua"/>
                <w:b/>
                <w:bCs/>
                <w:lang w:val="en-US"/>
              </w:rPr>
              <w:t>, age</w:t>
            </w:r>
          </w:p>
        </w:tc>
        <w:tc>
          <w:tcPr>
            <w:tcW w:w="441" w:type="pct"/>
            <w:tcBorders>
              <w:top w:val="single" w:sz="4" w:space="0" w:color="auto"/>
              <w:bottom w:val="single" w:sz="4" w:space="0" w:color="auto"/>
            </w:tcBorders>
            <w:hideMark/>
          </w:tcPr>
          <w:p w14:paraId="357D40CB"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Endoscopy</w:t>
            </w:r>
          </w:p>
        </w:tc>
        <w:tc>
          <w:tcPr>
            <w:tcW w:w="478" w:type="pct"/>
            <w:tcBorders>
              <w:top w:val="single" w:sz="4" w:space="0" w:color="auto"/>
              <w:bottom w:val="single" w:sz="4" w:space="0" w:color="auto"/>
            </w:tcBorders>
            <w:hideMark/>
          </w:tcPr>
          <w:p w14:paraId="212B6D29"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Date of endoscopy</w:t>
            </w:r>
          </w:p>
        </w:tc>
        <w:tc>
          <w:tcPr>
            <w:tcW w:w="457" w:type="pct"/>
            <w:tcBorders>
              <w:top w:val="single" w:sz="4" w:space="0" w:color="auto"/>
              <w:bottom w:val="single" w:sz="4" w:space="0" w:color="auto"/>
            </w:tcBorders>
            <w:hideMark/>
          </w:tcPr>
          <w:p w14:paraId="1A078754"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lang w:val="en-US"/>
              </w:rPr>
              <w:t>COVID PCR test before endoscopy</w:t>
            </w:r>
          </w:p>
        </w:tc>
        <w:tc>
          <w:tcPr>
            <w:tcW w:w="434" w:type="pct"/>
            <w:tcBorders>
              <w:top w:val="single" w:sz="4" w:space="0" w:color="auto"/>
              <w:bottom w:val="single" w:sz="4" w:space="0" w:color="auto"/>
            </w:tcBorders>
            <w:hideMark/>
          </w:tcPr>
          <w:p w14:paraId="2DDF554B"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lang w:val="en-US"/>
              </w:rPr>
              <w:t>Contact of suspected or confirmed COVID 19 case after endoscopy</w:t>
            </w:r>
          </w:p>
        </w:tc>
        <w:tc>
          <w:tcPr>
            <w:tcW w:w="457" w:type="pct"/>
            <w:tcBorders>
              <w:top w:val="single" w:sz="4" w:space="0" w:color="auto"/>
              <w:bottom w:val="single" w:sz="4" w:space="0" w:color="auto"/>
            </w:tcBorders>
            <w:hideMark/>
          </w:tcPr>
          <w:p w14:paraId="6BD7E56D"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Symptoms</w:t>
            </w:r>
          </w:p>
        </w:tc>
        <w:tc>
          <w:tcPr>
            <w:tcW w:w="475" w:type="pct"/>
            <w:tcBorders>
              <w:top w:val="single" w:sz="4" w:space="0" w:color="auto"/>
              <w:bottom w:val="single" w:sz="4" w:space="0" w:color="auto"/>
            </w:tcBorders>
            <w:hideMark/>
          </w:tcPr>
          <w:p w14:paraId="548975DE" w14:textId="77777777" w:rsidR="00BC3C5D" w:rsidRPr="00E55E4C" w:rsidRDefault="00BC3C5D" w:rsidP="00BC3C5D">
            <w:pPr>
              <w:adjustRightInd w:val="0"/>
              <w:snapToGrid w:val="0"/>
              <w:spacing w:line="360" w:lineRule="auto"/>
              <w:jc w:val="both"/>
              <w:rPr>
                <w:rFonts w:ascii="Book Antiqua" w:hAnsi="Book Antiqua"/>
                <w:b/>
                <w:bCs/>
                <w:lang w:val="en-US"/>
              </w:rPr>
            </w:pPr>
            <w:r w:rsidRPr="00E55E4C">
              <w:rPr>
                <w:rFonts w:ascii="Book Antiqua" w:hAnsi="Book Antiqua"/>
                <w:b/>
                <w:bCs/>
                <w:lang w:val="en-US"/>
              </w:rPr>
              <w:t>COVID PCR test after endoscopy</w:t>
            </w:r>
          </w:p>
        </w:tc>
        <w:tc>
          <w:tcPr>
            <w:tcW w:w="613" w:type="pct"/>
            <w:tcBorders>
              <w:top w:val="single" w:sz="4" w:space="0" w:color="auto"/>
              <w:bottom w:val="single" w:sz="4" w:space="0" w:color="auto"/>
            </w:tcBorders>
            <w:hideMark/>
          </w:tcPr>
          <w:p w14:paraId="387B9573"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Outcome of those hospitali</w:t>
            </w:r>
            <w:r w:rsidRPr="00E55E4C">
              <w:rPr>
                <w:rFonts w:ascii="Book Antiqua" w:hAnsi="Book Antiqua"/>
                <w:b/>
                <w:bCs/>
                <w:lang w:val="en-US"/>
              </w:rPr>
              <w:t>z</w:t>
            </w:r>
            <w:r w:rsidRPr="00E55E4C">
              <w:rPr>
                <w:rFonts w:ascii="Book Antiqua" w:hAnsi="Book Antiqua"/>
                <w:b/>
                <w:bCs/>
              </w:rPr>
              <w:t>ed</w:t>
            </w:r>
          </w:p>
        </w:tc>
        <w:tc>
          <w:tcPr>
            <w:tcW w:w="943" w:type="pct"/>
            <w:tcBorders>
              <w:top w:val="single" w:sz="4" w:space="0" w:color="auto"/>
              <w:bottom w:val="single" w:sz="4" w:space="0" w:color="auto"/>
            </w:tcBorders>
            <w:hideMark/>
          </w:tcPr>
          <w:p w14:paraId="78212169" w14:textId="77777777" w:rsidR="00BC3C5D" w:rsidRPr="00E55E4C" w:rsidRDefault="00BC3C5D" w:rsidP="00BC3C5D">
            <w:pPr>
              <w:adjustRightInd w:val="0"/>
              <w:snapToGrid w:val="0"/>
              <w:spacing w:line="360" w:lineRule="auto"/>
              <w:jc w:val="both"/>
              <w:rPr>
                <w:rFonts w:ascii="Book Antiqua" w:hAnsi="Book Antiqua"/>
                <w:b/>
                <w:bCs/>
              </w:rPr>
            </w:pPr>
            <w:r w:rsidRPr="00E55E4C">
              <w:rPr>
                <w:rFonts w:ascii="Book Antiqua" w:hAnsi="Book Antiqua"/>
                <w:b/>
                <w:bCs/>
              </w:rPr>
              <w:t>Case related to endoscopy</w:t>
            </w:r>
          </w:p>
        </w:tc>
      </w:tr>
      <w:tr w:rsidR="00671371" w:rsidRPr="00E55E4C" w14:paraId="11EEA0F7" w14:textId="77777777" w:rsidTr="00E55E4C">
        <w:trPr>
          <w:trHeight w:val="514"/>
        </w:trPr>
        <w:tc>
          <w:tcPr>
            <w:tcW w:w="238" w:type="pct"/>
            <w:tcBorders>
              <w:top w:val="single" w:sz="4" w:space="0" w:color="auto"/>
            </w:tcBorders>
            <w:noWrap/>
            <w:hideMark/>
          </w:tcPr>
          <w:p w14:paraId="1B4605F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1</w:t>
            </w:r>
          </w:p>
        </w:tc>
        <w:tc>
          <w:tcPr>
            <w:tcW w:w="466" w:type="pct"/>
            <w:tcBorders>
              <w:top w:val="single" w:sz="4" w:space="0" w:color="auto"/>
            </w:tcBorders>
            <w:hideMark/>
          </w:tcPr>
          <w:p w14:paraId="685EF32C" w14:textId="7D3B755F"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rPr>
              <w:t xml:space="preserve">Female, 66 </w:t>
            </w:r>
            <w:proofErr w:type="spellStart"/>
            <w:r w:rsidRPr="00E55E4C">
              <w:rPr>
                <w:rFonts w:ascii="Book Antiqua" w:hAnsi="Book Antiqua"/>
                <w:bCs/>
                <w:lang w:val="en-US"/>
              </w:rPr>
              <w:t>yr</w:t>
            </w:r>
            <w:proofErr w:type="spellEnd"/>
          </w:p>
        </w:tc>
        <w:tc>
          <w:tcPr>
            <w:tcW w:w="441" w:type="pct"/>
            <w:tcBorders>
              <w:top w:val="single" w:sz="4" w:space="0" w:color="auto"/>
            </w:tcBorders>
            <w:noWrap/>
            <w:hideMark/>
          </w:tcPr>
          <w:p w14:paraId="1DA3CC28"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tcBorders>
              <w:top w:val="single" w:sz="4" w:space="0" w:color="auto"/>
            </w:tcBorders>
            <w:noWrap/>
            <w:hideMark/>
          </w:tcPr>
          <w:p w14:paraId="2FDBE6F6" w14:textId="0641F85D"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 xml:space="preserve">March 12, </w:t>
            </w:r>
            <w:r w:rsidR="00BC3C5D" w:rsidRPr="00E55E4C">
              <w:rPr>
                <w:rFonts w:ascii="Book Antiqua" w:hAnsi="Book Antiqua"/>
                <w:bCs/>
              </w:rPr>
              <w:t>2020</w:t>
            </w:r>
          </w:p>
        </w:tc>
        <w:tc>
          <w:tcPr>
            <w:tcW w:w="457" w:type="pct"/>
            <w:tcBorders>
              <w:top w:val="single" w:sz="4" w:space="0" w:color="auto"/>
            </w:tcBorders>
            <w:noWrap/>
            <w:hideMark/>
          </w:tcPr>
          <w:p w14:paraId="22382956"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tcBorders>
              <w:top w:val="single" w:sz="4" w:space="0" w:color="auto"/>
            </w:tcBorders>
            <w:noWrap/>
            <w:hideMark/>
          </w:tcPr>
          <w:p w14:paraId="5F96840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57" w:type="pct"/>
            <w:tcBorders>
              <w:top w:val="single" w:sz="4" w:space="0" w:color="auto"/>
            </w:tcBorders>
            <w:hideMark/>
          </w:tcPr>
          <w:p w14:paraId="2C54252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Fever and cough</w:t>
            </w:r>
          </w:p>
        </w:tc>
        <w:tc>
          <w:tcPr>
            <w:tcW w:w="475" w:type="pct"/>
            <w:tcBorders>
              <w:top w:val="single" w:sz="4" w:space="0" w:color="auto"/>
            </w:tcBorders>
            <w:hideMark/>
          </w:tcPr>
          <w:p w14:paraId="33227235" w14:textId="52D519A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 xml:space="preserve">March </w:t>
            </w:r>
            <w:r w:rsidRPr="00E55E4C">
              <w:rPr>
                <w:rFonts w:ascii="Book Antiqua" w:hAnsi="Book Antiqua"/>
                <w:bCs/>
              </w:rPr>
              <w:t>18</w:t>
            </w:r>
            <w:r w:rsidR="00671371" w:rsidRPr="00E55E4C">
              <w:rPr>
                <w:rFonts w:ascii="Book Antiqua" w:hAnsi="Book Antiqua"/>
                <w:bCs/>
              </w:rPr>
              <w:t xml:space="preserve">, </w:t>
            </w:r>
            <w:r w:rsidRPr="00E55E4C">
              <w:rPr>
                <w:rFonts w:ascii="Book Antiqua" w:hAnsi="Book Antiqua"/>
                <w:bCs/>
              </w:rPr>
              <w:t>2020</w:t>
            </w:r>
          </w:p>
        </w:tc>
        <w:tc>
          <w:tcPr>
            <w:tcW w:w="613" w:type="pct"/>
            <w:tcBorders>
              <w:top w:val="single" w:sz="4" w:space="0" w:color="auto"/>
            </w:tcBorders>
            <w:hideMark/>
          </w:tcPr>
          <w:p w14:paraId="4B842CB3" w14:textId="377CE143"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Death/</w:t>
            </w:r>
            <w:r w:rsidR="00671371" w:rsidRPr="00E55E4C">
              <w:rPr>
                <w:rFonts w:ascii="Book Antiqua" w:hAnsi="Book Antiqua"/>
                <w:bCs/>
                <w:lang w:val="en-US"/>
              </w:rPr>
              <w:t>deceased</w:t>
            </w:r>
            <w:r w:rsidRPr="00E55E4C">
              <w:rPr>
                <w:rFonts w:ascii="Book Antiqua" w:hAnsi="Book Antiqua"/>
                <w:bCs/>
                <w:lang w:val="en-US"/>
              </w:rPr>
              <w:t xml:space="preserve"> due to COVID-19</w:t>
            </w:r>
          </w:p>
        </w:tc>
        <w:tc>
          <w:tcPr>
            <w:tcW w:w="943" w:type="pct"/>
            <w:tcBorders>
              <w:top w:val="single" w:sz="4" w:space="0" w:color="auto"/>
            </w:tcBorders>
            <w:noWrap/>
            <w:hideMark/>
          </w:tcPr>
          <w:p w14:paraId="28B3B9E0" w14:textId="7777777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6325251A" w14:textId="77777777" w:rsidTr="00E55E4C">
        <w:trPr>
          <w:trHeight w:val="654"/>
        </w:trPr>
        <w:tc>
          <w:tcPr>
            <w:tcW w:w="238" w:type="pct"/>
            <w:noWrap/>
            <w:hideMark/>
          </w:tcPr>
          <w:p w14:paraId="0AA1EE5D"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2</w:t>
            </w:r>
          </w:p>
        </w:tc>
        <w:tc>
          <w:tcPr>
            <w:tcW w:w="466" w:type="pct"/>
            <w:hideMark/>
          </w:tcPr>
          <w:p w14:paraId="014215F8" w14:textId="6C025E39"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rPr>
              <w:t>Male, 81</w:t>
            </w:r>
            <w:r w:rsidRPr="00E55E4C">
              <w:rPr>
                <w:rFonts w:ascii="Book Antiqua" w:hAnsi="Book Antiqua"/>
                <w:bCs/>
                <w:lang w:val="en-US"/>
              </w:rPr>
              <w:t xml:space="preserve"> </w:t>
            </w:r>
            <w:proofErr w:type="spellStart"/>
            <w:r w:rsidRPr="00E55E4C">
              <w:rPr>
                <w:rFonts w:ascii="Book Antiqua" w:hAnsi="Book Antiqua"/>
                <w:bCs/>
                <w:lang w:val="en-US"/>
              </w:rPr>
              <w:t>yr</w:t>
            </w:r>
            <w:proofErr w:type="spellEnd"/>
          </w:p>
        </w:tc>
        <w:tc>
          <w:tcPr>
            <w:tcW w:w="441" w:type="pct"/>
            <w:noWrap/>
            <w:hideMark/>
          </w:tcPr>
          <w:p w14:paraId="5F5176B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5343A64A" w14:textId="169FCA6E"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 xml:space="preserve">April </w:t>
            </w:r>
            <w:r w:rsidR="00BC3C5D" w:rsidRPr="00E55E4C">
              <w:rPr>
                <w:rFonts w:ascii="Book Antiqua" w:hAnsi="Book Antiqua"/>
                <w:bCs/>
              </w:rPr>
              <w:t>8</w:t>
            </w:r>
            <w:r w:rsidRPr="00E55E4C">
              <w:rPr>
                <w:rFonts w:ascii="Book Antiqua" w:hAnsi="Book Antiqua"/>
                <w:bCs/>
              </w:rPr>
              <w:t xml:space="preserve">, </w:t>
            </w:r>
            <w:r w:rsidR="00BC3C5D" w:rsidRPr="00E55E4C">
              <w:rPr>
                <w:rFonts w:ascii="Book Antiqua" w:hAnsi="Book Antiqua"/>
                <w:bCs/>
              </w:rPr>
              <w:t>2020</w:t>
            </w:r>
          </w:p>
        </w:tc>
        <w:tc>
          <w:tcPr>
            <w:tcW w:w="457" w:type="pct"/>
            <w:noWrap/>
            <w:hideMark/>
          </w:tcPr>
          <w:p w14:paraId="654F547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noWrap/>
            <w:hideMark/>
          </w:tcPr>
          <w:p w14:paraId="2F67AB6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57" w:type="pct"/>
            <w:hideMark/>
          </w:tcPr>
          <w:p w14:paraId="3726556C" w14:textId="0B5C1A81"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Fever, cough and sore throat </w:t>
            </w:r>
            <w:r w:rsidRPr="00E55E4C">
              <w:rPr>
                <w:rFonts w:ascii="Book Antiqua" w:hAnsi="Book Antiqua"/>
                <w:bCs/>
                <w:lang w:val="en-US"/>
              </w:rPr>
              <w:lastRenderedPageBreak/>
              <w:t>since</w:t>
            </w:r>
            <w:r w:rsidR="00671371" w:rsidRPr="00E55E4C">
              <w:rPr>
                <w:rFonts w:ascii="Book Antiqua" w:hAnsi="Book Antiqua"/>
                <w:bCs/>
                <w:lang w:val="en-US"/>
              </w:rPr>
              <w:t xml:space="preserve"> </w:t>
            </w:r>
            <w:r w:rsidRPr="00E55E4C">
              <w:rPr>
                <w:rFonts w:ascii="Book Antiqua" w:hAnsi="Book Antiqua"/>
                <w:bCs/>
                <w:lang w:val="en-US"/>
              </w:rPr>
              <w:t xml:space="preserve">April </w:t>
            </w:r>
            <w:r w:rsidR="00671371" w:rsidRPr="00E55E4C">
              <w:rPr>
                <w:rFonts w:ascii="Book Antiqua" w:hAnsi="Book Antiqua"/>
                <w:bCs/>
                <w:lang w:val="en-US"/>
              </w:rPr>
              <w:t xml:space="preserve">17 </w:t>
            </w:r>
            <w:r w:rsidRPr="00E55E4C">
              <w:rPr>
                <w:rFonts w:ascii="Book Antiqua" w:hAnsi="Book Antiqua"/>
                <w:bCs/>
                <w:lang w:val="en-US"/>
              </w:rPr>
              <w:t>for 42 d</w:t>
            </w:r>
          </w:p>
        </w:tc>
        <w:tc>
          <w:tcPr>
            <w:tcW w:w="475" w:type="pct"/>
            <w:hideMark/>
          </w:tcPr>
          <w:p w14:paraId="54A7D804" w14:textId="451F332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lastRenderedPageBreak/>
              <w:t xml:space="preserve">Hospital admission </w:t>
            </w:r>
            <w:r w:rsidR="00671371" w:rsidRPr="00E55E4C">
              <w:rPr>
                <w:rFonts w:ascii="Book Antiqua" w:hAnsi="Book Antiqua"/>
                <w:bCs/>
                <w:lang w:val="en-US"/>
              </w:rPr>
              <w:t>April 12, 2020</w:t>
            </w:r>
            <w:r w:rsidRPr="00E55E4C">
              <w:rPr>
                <w:rFonts w:ascii="Book Antiqua" w:hAnsi="Book Antiqua"/>
                <w:bCs/>
                <w:lang w:val="en-US"/>
              </w:rPr>
              <w:t xml:space="preserve">, </w:t>
            </w:r>
            <w:r w:rsidRPr="00E55E4C">
              <w:rPr>
                <w:rFonts w:ascii="Book Antiqua" w:hAnsi="Book Antiqua"/>
                <w:bCs/>
                <w:lang w:val="en-US"/>
              </w:rPr>
              <w:lastRenderedPageBreak/>
              <w:t>tested positive and had Pneumonia</w:t>
            </w:r>
          </w:p>
        </w:tc>
        <w:tc>
          <w:tcPr>
            <w:tcW w:w="613" w:type="pct"/>
            <w:hideMark/>
          </w:tcPr>
          <w:p w14:paraId="4616EBBE" w14:textId="7A1896DF"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lastRenderedPageBreak/>
              <w:t>Death May</w:t>
            </w:r>
            <w:r w:rsidR="00671371" w:rsidRPr="00E55E4C">
              <w:rPr>
                <w:rFonts w:ascii="Book Antiqua" w:hAnsi="Book Antiqua"/>
                <w:bCs/>
                <w:lang w:val="en-US"/>
              </w:rPr>
              <w:t xml:space="preserve"> 4</w:t>
            </w:r>
            <w:r w:rsidRPr="00E55E4C">
              <w:rPr>
                <w:rFonts w:ascii="Book Antiqua" w:hAnsi="Book Antiqua"/>
                <w:bCs/>
                <w:lang w:val="en-US"/>
              </w:rPr>
              <w:t>/</w:t>
            </w:r>
            <w:r w:rsidR="00671371" w:rsidRPr="00E55E4C">
              <w:rPr>
                <w:rFonts w:ascii="Book Antiqua" w:hAnsi="Book Antiqua"/>
                <w:bCs/>
                <w:lang w:val="en-US"/>
              </w:rPr>
              <w:t>deceased due</w:t>
            </w:r>
            <w:r w:rsidRPr="00E55E4C">
              <w:rPr>
                <w:rFonts w:ascii="Book Antiqua" w:hAnsi="Book Antiqua"/>
                <w:bCs/>
                <w:lang w:val="en-US"/>
              </w:rPr>
              <w:t xml:space="preserve"> to COVID-19</w:t>
            </w:r>
          </w:p>
        </w:tc>
        <w:tc>
          <w:tcPr>
            <w:tcW w:w="943" w:type="pct"/>
            <w:noWrap/>
            <w:hideMark/>
          </w:tcPr>
          <w:p w14:paraId="785EAD24"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060C4A2A" w14:textId="77777777" w:rsidTr="00E55E4C">
        <w:trPr>
          <w:trHeight w:val="636"/>
        </w:trPr>
        <w:tc>
          <w:tcPr>
            <w:tcW w:w="238" w:type="pct"/>
            <w:noWrap/>
            <w:hideMark/>
          </w:tcPr>
          <w:p w14:paraId="230D4D5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3</w:t>
            </w:r>
          </w:p>
        </w:tc>
        <w:tc>
          <w:tcPr>
            <w:tcW w:w="466" w:type="pct"/>
            <w:hideMark/>
          </w:tcPr>
          <w:p w14:paraId="505D8003" w14:textId="48254835"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Male, 66 </w:t>
            </w:r>
            <w:proofErr w:type="spellStart"/>
            <w:r w:rsidRPr="00E55E4C">
              <w:rPr>
                <w:rFonts w:ascii="Book Antiqua" w:hAnsi="Book Antiqua"/>
                <w:bCs/>
                <w:lang w:val="en-US"/>
              </w:rPr>
              <w:t>yr</w:t>
            </w:r>
            <w:proofErr w:type="spellEnd"/>
            <w:r w:rsidRPr="00E55E4C">
              <w:rPr>
                <w:rFonts w:ascii="Book Antiqua" w:hAnsi="Book Antiqua"/>
                <w:bCs/>
                <w:lang w:val="en-US"/>
              </w:rPr>
              <w:t xml:space="preserve">, </w:t>
            </w:r>
            <w:r w:rsidR="00671371" w:rsidRPr="00E55E4C">
              <w:rPr>
                <w:rFonts w:ascii="Book Antiqua" w:hAnsi="Book Antiqua"/>
                <w:bCs/>
                <w:lang w:val="en-US"/>
              </w:rPr>
              <w:t xml:space="preserve">head/neck </w:t>
            </w:r>
            <w:r w:rsidR="00AB6469" w:rsidRPr="00E55E4C">
              <w:rPr>
                <w:rFonts w:ascii="Book Antiqua" w:hAnsi="Book Antiqua"/>
                <w:lang w:val="en-US"/>
              </w:rPr>
              <w:t>cancer</w:t>
            </w:r>
            <w:r w:rsidRPr="00E55E4C">
              <w:rPr>
                <w:rFonts w:ascii="Book Antiqua" w:hAnsi="Book Antiqua"/>
                <w:bCs/>
                <w:lang w:val="en-US"/>
              </w:rPr>
              <w:t xml:space="preserve"> </w:t>
            </w:r>
            <w:r w:rsidR="00671371" w:rsidRPr="00E55E4C">
              <w:rPr>
                <w:rFonts w:ascii="Book Antiqua" w:hAnsi="Book Antiqua"/>
                <w:bCs/>
                <w:lang w:val="en-US"/>
              </w:rPr>
              <w:t>and</w:t>
            </w:r>
            <w:r w:rsidRPr="00E55E4C">
              <w:rPr>
                <w:rFonts w:ascii="Book Antiqua" w:hAnsi="Book Antiqua"/>
                <w:bCs/>
                <w:lang w:val="en-US"/>
              </w:rPr>
              <w:t xml:space="preserve"> arterial disease</w:t>
            </w:r>
          </w:p>
        </w:tc>
        <w:tc>
          <w:tcPr>
            <w:tcW w:w="441" w:type="pct"/>
            <w:noWrap/>
            <w:hideMark/>
          </w:tcPr>
          <w:p w14:paraId="2E04D8C5"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0AFCC3B4" w14:textId="2F604C02"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18, 2020</w:t>
            </w:r>
          </w:p>
        </w:tc>
        <w:tc>
          <w:tcPr>
            <w:tcW w:w="457" w:type="pct"/>
            <w:noWrap/>
            <w:hideMark/>
          </w:tcPr>
          <w:p w14:paraId="1DEC8478"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15A2AC4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ith Suspected Case</w:t>
            </w:r>
          </w:p>
        </w:tc>
        <w:tc>
          <w:tcPr>
            <w:tcW w:w="457" w:type="pct"/>
            <w:hideMark/>
          </w:tcPr>
          <w:p w14:paraId="1CB84B4E" w14:textId="5ED43F86"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Fever and Diarrhea since </w:t>
            </w:r>
            <w:r w:rsidR="00671371" w:rsidRPr="00E55E4C">
              <w:rPr>
                <w:rFonts w:ascii="Book Antiqua" w:hAnsi="Book Antiqua"/>
                <w:bCs/>
                <w:lang w:val="en-US"/>
              </w:rPr>
              <w:t>March 27, 2020</w:t>
            </w:r>
          </w:p>
        </w:tc>
        <w:tc>
          <w:tcPr>
            <w:tcW w:w="475" w:type="pct"/>
            <w:hideMark/>
          </w:tcPr>
          <w:p w14:paraId="652DC08E" w14:textId="60C08B9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March 28, 2020</w:t>
            </w:r>
          </w:p>
        </w:tc>
        <w:tc>
          <w:tcPr>
            <w:tcW w:w="613" w:type="pct"/>
            <w:hideMark/>
          </w:tcPr>
          <w:p w14:paraId="274103E5" w14:textId="08C8B898"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Death May</w:t>
            </w:r>
            <w:r w:rsidR="00671371" w:rsidRPr="00E55E4C">
              <w:rPr>
                <w:rFonts w:ascii="Book Antiqua" w:hAnsi="Book Antiqua"/>
                <w:bCs/>
                <w:lang w:val="en-US"/>
              </w:rPr>
              <w:t xml:space="preserve"> 7</w:t>
            </w:r>
            <w:r w:rsidRPr="00E55E4C">
              <w:rPr>
                <w:rFonts w:ascii="Book Antiqua" w:hAnsi="Book Antiqua"/>
                <w:bCs/>
                <w:lang w:val="en-US"/>
              </w:rPr>
              <w:t xml:space="preserve"> due to cancer</w:t>
            </w:r>
          </w:p>
        </w:tc>
        <w:tc>
          <w:tcPr>
            <w:tcW w:w="943" w:type="pct"/>
            <w:noWrap/>
            <w:hideMark/>
          </w:tcPr>
          <w:p w14:paraId="043F28C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75F3A59D" w14:textId="77777777" w:rsidTr="00E55E4C">
        <w:trPr>
          <w:trHeight w:val="825"/>
        </w:trPr>
        <w:tc>
          <w:tcPr>
            <w:tcW w:w="238" w:type="pct"/>
            <w:noWrap/>
            <w:hideMark/>
          </w:tcPr>
          <w:p w14:paraId="2085E801"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4</w:t>
            </w:r>
          </w:p>
        </w:tc>
        <w:tc>
          <w:tcPr>
            <w:tcW w:w="466" w:type="pct"/>
            <w:hideMark/>
          </w:tcPr>
          <w:p w14:paraId="4C22316C" w14:textId="0A861253"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Male, 55 yr, </w:t>
            </w:r>
            <w:r w:rsidR="00AB6469" w:rsidRPr="00E55E4C">
              <w:rPr>
                <w:rFonts w:ascii="Book Antiqua" w:hAnsi="Book Antiqua"/>
                <w:lang w:val="en-US"/>
              </w:rPr>
              <w:t>cancer</w:t>
            </w:r>
            <w:r w:rsidRPr="00E55E4C">
              <w:rPr>
                <w:rFonts w:ascii="Book Antiqua" w:hAnsi="Book Antiqua"/>
                <w:bCs/>
              </w:rPr>
              <w:t xml:space="preserve"> esophagus</w:t>
            </w:r>
          </w:p>
        </w:tc>
        <w:tc>
          <w:tcPr>
            <w:tcW w:w="441" w:type="pct"/>
            <w:noWrap/>
            <w:hideMark/>
          </w:tcPr>
          <w:p w14:paraId="56CEEBE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5B3BE2F0" w14:textId="54FE47BF"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18, 2020</w:t>
            </w:r>
          </w:p>
        </w:tc>
        <w:tc>
          <w:tcPr>
            <w:tcW w:w="457" w:type="pct"/>
            <w:noWrap/>
            <w:hideMark/>
          </w:tcPr>
          <w:p w14:paraId="237E06F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34DE6CF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ith Suspected Case</w:t>
            </w:r>
          </w:p>
        </w:tc>
        <w:tc>
          <w:tcPr>
            <w:tcW w:w="457" w:type="pct"/>
            <w:hideMark/>
          </w:tcPr>
          <w:p w14:paraId="54078996" w14:textId="4000AC2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Cough since </w:t>
            </w:r>
            <w:r w:rsidR="00671371" w:rsidRPr="00E55E4C">
              <w:rPr>
                <w:rFonts w:ascii="Book Antiqua" w:hAnsi="Book Antiqua"/>
                <w:bCs/>
              </w:rPr>
              <w:t>March 16, 2020</w:t>
            </w:r>
          </w:p>
        </w:tc>
        <w:tc>
          <w:tcPr>
            <w:tcW w:w="475" w:type="pct"/>
            <w:hideMark/>
          </w:tcPr>
          <w:p w14:paraId="4036265E" w14:textId="447D098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March 24, 2020</w:t>
            </w:r>
          </w:p>
        </w:tc>
        <w:tc>
          <w:tcPr>
            <w:tcW w:w="613" w:type="pct"/>
            <w:noWrap/>
            <w:hideMark/>
          </w:tcPr>
          <w:p w14:paraId="786ACD0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Discharge</w:t>
            </w:r>
          </w:p>
        </w:tc>
        <w:tc>
          <w:tcPr>
            <w:tcW w:w="943" w:type="pct"/>
            <w:noWrap/>
            <w:hideMark/>
          </w:tcPr>
          <w:p w14:paraId="34492A97"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r>
      <w:tr w:rsidR="00671371" w:rsidRPr="00E55E4C" w14:paraId="775B76C9" w14:textId="77777777" w:rsidTr="00E55E4C">
        <w:trPr>
          <w:trHeight w:val="648"/>
        </w:trPr>
        <w:tc>
          <w:tcPr>
            <w:tcW w:w="238" w:type="pct"/>
            <w:noWrap/>
            <w:hideMark/>
          </w:tcPr>
          <w:p w14:paraId="1F25722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5</w:t>
            </w:r>
          </w:p>
        </w:tc>
        <w:tc>
          <w:tcPr>
            <w:tcW w:w="466" w:type="pct"/>
            <w:hideMark/>
          </w:tcPr>
          <w:p w14:paraId="7A99B874" w14:textId="43B8E2DB"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Male, 76 </w:t>
            </w:r>
            <w:proofErr w:type="spellStart"/>
            <w:r w:rsidRPr="00E55E4C">
              <w:rPr>
                <w:rFonts w:ascii="Book Antiqua" w:hAnsi="Book Antiqua"/>
                <w:bCs/>
                <w:lang w:val="en-US"/>
              </w:rPr>
              <w:t>yr</w:t>
            </w:r>
            <w:proofErr w:type="spellEnd"/>
            <w:r w:rsidRPr="00E55E4C">
              <w:rPr>
                <w:rFonts w:ascii="Book Antiqua" w:hAnsi="Book Antiqua"/>
                <w:bCs/>
                <w:lang w:val="en-US"/>
              </w:rPr>
              <w:t xml:space="preserve">, </w:t>
            </w:r>
            <w:r w:rsidR="00AB6469" w:rsidRPr="00E55E4C">
              <w:rPr>
                <w:rFonts w:ascii="Book Antiqua" w:hAnsi="Book Antiqua"/>
                <w:bCs/>
                <w:lang w:val="en-US"/>
              </w:rPr>
              <w:lastRenderedPageBreak/>
              <w:t>cancer</w:t>
            </w:r>
            <w:r w:rsidRPr="00E55E4C">
              <w:rPr>
                <w:rFonts w:ascii="Book Antiqua" w:hAnsi="Book Antiqua"/>
                <w:bCs/>
                <w:lang w:val="en-US"/>
              </w:rPr>
              <w:t xml:space="preserve"> stomach, 2, COPD</w:t>
            </w:r>
          </w:p>
        </w:tc>
        <w:tc>
          <w:tcPr>
            <w:tcW w:w="441" w:type="pct"/>
            <w:noWrap/>
            <w:hideMark/>
          </w:tcPr>
          <w:p w14:paraId="76463C5D"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EUS</w:t>
            </w:r>
          </w:p>
        </w:tc>
        <w:tc>
          <w:tcPr>
            <w:tcW w:w="478" w:type="pct"/>
            <w:noWrap/>
            <w:hideMark/>
          </w:tcPr>
          <w:p w14:paraId="7F86B04C" w14:textId="3311E51B"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24, 2020</w:t>
            </w:r>
          </w:p>
        </w:tc>
        <w:tc>
          <w:tcPr>
            <w:tcW w:w="457" w:type="pct"/>
            <w:noWrap/>
            <w:hideMark/>
          </w:tcPr>
          <w:p w14:paraId="6D263ED4"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6F454885" w14:textId="1B39BD6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671371" w:rsidRPr="00E55E4C">
              <w:rPr>
                <w:rFonts w:ascii="Book Antiqua" w:hAnsi="Book Antiqua"/>
                <w:bCs/>
              </w:rPr>
              <w:lastRenderedPageBreak/>
              <w:t>suspected ca</w:t>
            </w:r>
            <w:r w:rsidRPr="00E55E4C">
              <w:rPr>
                <w:rFonts w:ascii="Book Antiqua" w:hAnsi="Book Antiqua"/>
                <w:bCs/>
              </w:rPr>
              <w:t>se</w:t>
            </w:r>
          </w:p>
        </w:tc>
        <w:tc>
          <w:tcPr>
            <w:tcW w:w="457" w:type="pct"/>
            <w:hideMark/>
          </w:tcPr>
          <w:p w14:paraId="4FFBF9BF" w14:textId="27BEA66B"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 xml:space="preserve">Cough since </w:t>
            </w:r>
            <w:r w:rsidR="00671371" w:rsidRPr="00E55E4C">
              <w:rPr>
                <w:rFonts w:ascii="Book Antiqua" w:hAnsi="Book Antiqua"/>
                <w:bCs/>
              </w:rPr>
              <w:lastRenderedPageBreak/>
              <w:t>March 19, 2020</w:t>
            </w:r>
          </w:p>
        </w:tc>
        <w:tc>
          <w:tcPr>
            <w:tcW w:w="475" w:type="pct"/>
            <w:hideMark/>
          </w:tcPr>
          <w:p w14:paraId="10A8EFBA" w14:textId="1996FF35"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 xml:space="preserve">Tested positive </w:t>
            </w:r>
            <w:r w:rsidR="00671371" w:rsidRPr="00E55E4C">
              <w:rPr>
                <w:rFonts w:ascii="Book Antiqua" w:hAnsi="Book Antiqua"/>
                <w:bCs/>
              </w:rPr>
              <w:lastRenderedPageBreak/>
              <w:t xml:space="preserve">Apirl </w:t>
            </w:r>
            <w:r w:rsidRPr="00E55E4C">
              <w:rPr>
                <w:rFonts w:ascii="Book Antiqua" w:hAnsi="Book Antiqua"/>
                <w:bCs/>
              </w:rPr>
              <w:t>23</w:t>
            </w:r>
            <w:r w:rsidR="00671371" w:rsidRPr="00E55E4C">
              <w:rPr>
                <w:rFonts w:ascii="Book Antiqua" w:hAnsi="Book Antiqua"/>
                <w:bCs/>
              </w:rPr>
              <w:t xml:space="preserve">, </w:t>
            </w:r>
            <w:r w:rsidRPr="00E55E4C">
              <w:rPr>
                <w:rFonts w:ascii="Book Antiqua" w:hAnsi="Book Antiqua"/>
                <w:bCs/>
              </w:rPr>
              <w:t>2020</w:t>
            </w:r>
          </w:p>
        </w:tc>
        <w:tc>
          <w:tcPr>
            <w:tcW w:w="613" w:type="pct"/>
            <w:hideMark/>
          </w:tcPr>
          <w:p w14:paraId="3C017628" w14:textId="4007479C"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lastRenderedPageBreak/>
              <w:t>Became negative/</w:t>
            </w:r>
            <w:r w:rsidR="00671371" w:rsidRPr="00E55E4C">
              <w:rPr>
                <w:rFonts w:ascii="Book Antiqua" w:hAnsi="Book Antiqua"/>
                <w:bCs/>
                <w:lang w:val="en-US"/>
              </w:rPr>
              <w:t>rem</w:t>
            </w:r>
            <w:r w:rsidR="00671371" w:rsidRPr="00E55E4C">
              <w:rPr>
                <w:rFonts w:ascii="Book Antiqua" w:hAnsi="Book Antiqua"/>
                <w:bCs/>
                <w:lang w:val="en-US"/>
              </w:rPr>
              <w:lastRenderedPageBreak/>
              <w:t>ained at nur</w:t>
            </w:r>
            <w:r w:rsidRPr="00E55E4C">
              <w:rPr>
                <w:rFonts w:ascii="Book Antiqua" w:hAnsi="Book Antiqua"/>
                <w:bCs/>
                <w:lang w:val="en-US"/>
              </w:rPr>
              <w:t xml:space="preserve">sing </w:t>
            </w:r>
            <w:r w:rsidR="0081315E">
              <w:rPr>
                <w:rFonts w:ascii="Book Antiqua" w:hAnsi="Book Antiqua"/>
                <w:bCs/>
                <w:lang w:val="en-US"/>
              </w:rPr>
              <w:t>h</w:t>
            </w:r>
            <w:r w:rsidRPr="00E55E4C">
              <w:rPr>
                <w:rFonts w:ascii="Book Antiqua" w:hAnsi="Book Antiqua"/>
                <w:bCs/>
                <w:lang w:val="en-US"/>
              </w:rPr>
              <w:t>ome</w:t>
            </w:r>
          </w:p>
        </w:tc>
        <w:tc>
          <w:tcPr>
            <w:tcW w:w="943" w:type="pct"/>
            <w:noWrap/>
            <w:hideMark/>
          </w:tcPr>
          <w:p w14:paraId="1F1EB03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No</w:t>
            </w:r>
          </w:p>
        </w:tc>
      </w:tr>
      <w:tr w:rsidR="00671371" w:rsidRPr="00E55E4C" w14:paraId="02F1679A" w14:textId="77777777" w:rsidTr="00E55E4C">
        <w:trPr>
          <w:trHeight w:val="488"/>
        </w:trPr>
        <w:tc>
          <w:tcPr>
            <w:tcW w:w="238" w:type="pct"/>
            <w:noWrap/>
            <w:hideMark/>
          </w:tcPr>
          <w:p w14:paraId="0AE8F56F"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6</w:t>
            </w:r>
          </w:p>
        </w:tc>
        <w:tc>
          <w:tcPr>
            <w:tcW w:w="466" w:type="pct"/>
            <w:hideMark/>
          </w:tcPr>
          <w:p w14:paraId="261C52E8" w14:textId="51418560"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Female, 66 yr, AML</w:t>
            </w:r>
          </w:p>
        </w:tc>
        <w:tc>
          <w:tcPr>
            <w:tcW w:w="441" w:type="pct"/>
            <w:noWrap/>
            <w:hideMark/>
          </w:tcPr>
          <w:p w14:paraId="27A54EDF"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Lower GI</w:t>
            </w:r>
          </w:p>
        </w:tc>
        <w:tc>
          <w:tcPr>
            <w:tcW w:w="478" w:type="pct"/>
            <w:noWrap/>
            <w:hideMark/>
          </w:tcPr>
          <w:p w14:paraId="0BCF8A85" w14:textId="436F9C0C"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Apirl 1, 2020</w:t>
            </w:r>
          </w:p>
        </w:tc>
        <w:tc>
          <w:tcPr>
            <w:tcW w:w="457" w:type="pct"/>
            <w:hideMark/>
          </w:tcPr>
          <w:p w14:paraId="3401CB10" w14:textId="70FE38CA"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00671371" w:rsidRPr="00E55E4C">
              <w:rPr>
                <w:rFonts w:ascii="Book Antiqua" w:hAnsi="Book Antiqua"/>
                <w:bCs/>
              </w:rPr>
              <w:t>March 30, 2020</w:t>
            </w:r>
          </w:p>
          <w:p w14:paraId="43D7E7E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negative</w:t>
            </w:r>
          </w:p>
        </w:tc>
        <w:tc>
          <w:tcPr>
            <w:tcW w:w="434" w:type="pct"/>
            <w:hideMark/>
          </w:tcPr>
          <w:p w14:paraId="4CE745A8" w14:textId="12A430EB"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 xml:space="preserve">ith </w:t>
            </w:r>
            <w:r w:rsidR="00671371" w:rsidRPr="00E55E4C">
              <w:rPr>
                <w:rFonts w:ascii="Book Antiqua" w:hAnsi="Book Antiqua"/>
                <w:bCs/>
              </w:rPr>
              <w:t>suspected ca</w:t>
            </w:r>
            <w:r w:rsidRPr="00E55E4C">
              <w:rPr>
                <w:rFonts w:ascii="Book Antiqua" w:hAnsi="Book Antiqua"/>
                <w:bCs/>
              </w:rPr>
              <w:t>se</w:t>
            </w:r>
          </w:p>
        </w:tc>
        <w:tc>
          <w:tcPr>
            <w:tcW w:w="457" w:type="pct"/>
            <w:hideMark/>
          </w:tcPr>
          <w:p w14:paraId="5F680A3B" w14:textId="29ABE158"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Fever since</w:t>
            </w:r>
            <w:r w:rsidR="00671371" w:rsidRPr="00E55E4C">
              <w:rPr>
                <w:rFonts w:ascii="Book Antiqua" w:hAnsi="Book Antiqua"/>
                <w:bCs/>
                <w:lang w:val="en-US"/>
              </w:rPr>
              <w:t xml:space="preserve"> Ap</w:t>
            </w:r>
            <w:r w:rsidR="0081315E">
              <w:rPr>
                <w:rFonts w:ascii="Book Antiqua" w:hAnsi="Book Antiqua"/>
                <w:bCs/>
                <w:lang w:val="en-US"/>
              </w:rPr>
              <w:t>ri</w:t>
            </w:r>
            <w:r w:rsidR="00671371" w:rsidRPr="00E55E4C">
              <w:rPr>
                <w:rFonts w:ascii="Book Antiqua" w:hAnsi="Book Antiqua"/>
                <w:bCs/>
                <w:lang w:val="en-US"/>
              </w:rPr>
              <w:t>l 3, 2020</w:t>
            </w:r>
            <w:r w:rsidRPr="00E55E4C">
              <w:rPr>
                <w:rFonts w:ascii="Book Antiqua" w:hAnsi="Book Antiqua"/>
                <w:bCs/>
                <w:lang w:val="en-US"/>
              </w:rPr>
              <w:t xml:space="preserve"> for 6 d</w:t>
            </w:r>
          </w:p>
        </w:tc>
        <w:tc>
          <w:tcPr>
            <w:tcW w:w="475" w:type="pct"/>
            <w:hideMark/>
          </w:tcPr>
          <w:p w14:paraId="355D6F39" w14:textId="1582A8AA"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Apirl 10, 2020</w:t>
            </w:r>
          </w:p>
        </w:tc>
        <w:tc>
          <w:tcPr>
            <w:tcW w:w="613" w:type="pct"/>
            <w:hideMark/>
          </w:tcPr>
          <w:p w14:paraId="5C80A5DD" w14:textId="373709FF"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Death May</w:t>
            </w:r>
            <w:r w:rsidR="00671371" w:rsidRPr="00E55E4C">
              <w:rPr>
                <w:rFonts w:ascii="Book Antiqua" w:hAnsi="Book Antiqua"/>
                <w:bCs/>
                <w:lang w:val="en-US"/>
              </w:rPr>
              <w:t xml:space="preserve"> 4</w:t>
            </w:r>
            <w:r w:rsidRPr="00E55E4C">
              <w:rPr>
                <w:rFonts w:ascii="Book Antiqua" w:hAnsi="Book Antiqua"/>
                <w:bCs/>
                <w:lang w:val="en-US"/>
              </w:rPr>
              <w:t xml:space="preserve"> due to cancer/</w:t>
            </w:r>
            <w:r w:rsidR="0081315E" w:rsidRPr="00E55E4C">
              <w:rPr>
                <w:rFonts w:ascii="Book Antiqua" w:hAnsi="Book Antiqua"/>
                <w:bCs/>
                <w:lang w:val="en-US"/>
              </w:rPr>
              <w:t>at home</w:t>
            </w:r>
          </w:p>
        </w:tc>
        <w:tc>
          <w:tcPr>
            <w:tcW w:w="943" w:type="pct"/>
            <w:noWrap/>
            <w:hideMark/>
          </w:tcPr>
          <w:p w14:paraId="4E67E60D"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Can</w:t>
            </w:r>
            <w:r w:rsidRPr="00E55E4C">
              <w:rPr>
                <w:rFonts w:ascii="Book Antiqua" w:hAnsi="Book Antiqua"/>
                <w:bCs/>
                <w:lang w:val="en-US"/>
              </w:rPr>
              <w:t>no</w:t>
            </w:r>
            <w:r w:rsidRPr="00E55E4C">
              <w:rPr>
                <w:rFonts w:ascii="Book Antiqua" w:hAnsi="Book Antiqua"/>
                <w:bCs/>
              </w:rPr>
              <w:t>t</w:t>
            </w:r>
            <w:r w:rsidRPr="00E55E4C">
              <w:rPr>
                <w:rFonts w:ascii="Book Antiqua" w:hAnsi="Book Antiqua"/>
                <w:bCs/>
                <w:lang w:val="en-US"/>
              </w:rPr>
              <w:t xml:space="preserve"> reasonably</w:t>
            </w:r>
            <w:r w:rsidRPr="00E55E4C">
              <w:rPr>
                <w:rFonts w:ascii="Book Antiqua" w:hAnsi="Book Antiqua"/>
                <w:bCs/>
              </w:rPr>
              <w:t xml:space="preserve"> </w:t>
            </w:r>
            <w:r w:rsidRPr="00E55E4C">
              <w:rPr>
                <w:rFonts w:ascii="Book Antiqua" w:hAnsi="Book Antiqua"/>
                <w:bCs/>
                <w:lang w:val="en-US"/>
              </w:rPr>
              <w:t>exclude</w:t>
            </w:r>
          </w:p>
        </w:tc>
      </w:tr>
      <w:tr w:rsidR="00671371" w:rsidRPr="00E55E4C" w14:paraId="5886EE9C" w14:textId="77777777" w:rsidTr="00E55E4C">
        <w:trPr>
          <w:trHeight w:val="528"/>
        </w:trPr>
        <w:tc>
          <w:tcPr>
            <w:tcW w:w="238" w:type="pct"/>
            <w:noWrap/>
            <w:hideMark/>
          </w:tcPr>
          <w:p w14:paraId="0220417C"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7</w:t>
            </w:r>
          </w:p>
        </w:tc>
        <w:tc>
          <w:tcPr>
            <w:tcW w:w="466" w:type="pct"/>
            <w:hideMark/>
          </w:tcPr>
          <w:p w14:paraId="2A7CF0EA" w14:textId="6DD50719"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Male, 48 yr</w:t>
            </w:r>
          </w:p>
        </w:tc>
        <w:tc>
          <w:tcPr>
            <w:tcW w:w="441" w:type="pct"/>
            <w:noWrap/>
            <w:hideMark/>
          </w:tcPr>
          <w:p w14:paraId="16331AB2"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Upper GI</w:t>
            </w:r>
          </w:p>
        </w:tc>
        <w:tc>
          <w:tcPr>
            <w:tcW w:w="478" w:type="pct"/>
            <w:noWrap/>
            <w:hideMark/>
          </w:tcPr>
          <w:p w14:paraId="4193DAC2" w14:textId="1EC531FE"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27, 2020</w:t>
            </w:r>
          </w:p>
        </w:tc>
        <w:tc>
          <w:tcPr>
            <w:tcW w:w="457" w:type="pct"/>
            <w:noWrap/>
            <w:hideMark/>
          </w:tcPr>
          <w:p w14:paraId="603C11E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noWrap/>
            <w:hideMark/>
          </w:tcPr>
          <w:p w14:paraId="7B86B09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57" w:type="pct"/>
            <w:hideMark/>
          </w:tcPr>
          <w:p w14:paraId="79307D9E" w14:textId="31DD8630"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Fever and cough since</w:t>
            </w:r>
            <w:r w:rsidR="00671371" w:rsidRPr="00E55E4C">
              <w:rPr>
                <w:rFonts w:ascii="Book Antiqua" w:hAnsi="Book Antiqua"/>
                <w:bCs/>
                <w:lang w:val="en-US"/>
              </w:rPr>
              <w:t xml:space="preserve"> Ap</w:t>
            </w:r>
            <w:r w:rsidR="0081315E">
              <w:rPr>
                <w:rFonts w:ascii="Book Antiqua" w:hAnsi="Book Antiqua"/>
                <w:bCs/>
                <w:lang w:val="en-US"/>
              </w:rPr>
              <w:t>ri</w:t>
            </w:r>
            <w:r w:rsidR="00671371" w:rsidRPr="00E55E4C">
              <w:rPr>
                <w:rFonts w:ascii="Book Antiqua" w:hAnsi="Book Antiqua"/>
                <w:bCs/>
                <w:lang w:val="en-US"/>
              </w:rPr>
              <w:t>l 8, 2020</w:t>
            </w:r>
            <w:r w:rsidRPr="00E55E4C">
              <w:rPr>
                <w:rFonts w:ascii="Book Antiqua" w:hAnsi="Book Antiqua"/>
                <w:bCs/>
                <w:lang w:val="en-US"/>
              </w:rPr>
              <w:t xml:space="preserve"> for 4 d</w:t>
            </w:r>
          </w:p>
        </w:tc>
        <w:tc>
          <w:tcPr>
            <w:tcW w:w="475" w:type="pct"/>
            <w:hideMark/>
          </w:tcPr>
          <w:p w14:paraId="54501999" w14:textId="04330642"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Tested positive </w:t>
            </w:r>
            <w:r w:rsidR="00671371" w:rsidRPr="00E55E4C">
              <w:rPr>
                <w:rFonts w:ascii="Book Antiqua" w:hAnsi="Book Antiqua"/>
                <w:bCs/>
              </w:rPr>
              <w:t>Apirl 12, 2020</w:t>
            </w:r>
          </w:p>
        </w:tc>
        <w:tc>
          <w:tcPr>
            <w:tcW w:w="613" w:type="pct"/>
            <w:noWrap/>
            <w:hideMark/>
          </w:tcPr>
          <w:p w14:paraId="1FF2DE85"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Not hospitalized</w:t>
            </w:r>
          </w:p>
        </w:tc>
        <w:tc>
          <w:tcPr>
            <w:tcW w:w="943" w:type="pct"/>
            <w:noWrap/>
            <w:hideMark/>
          </w:tcPr>
          <w:p w14:paraId="434F6949"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r>
      <w:tr w:rsidR="00671371" w:rsidRPr="00E55E4C" w14:paraId="502E92A1" w14:textId="77777777" w:rsidTr="00E55E4C">
        <w:trPr>
          <w:trHeight w:val="636"/>
        </w:trPr>
        <w:tc>
          <w:tcPr>
            <w:tcW w:w="238" w:type="pct"/>
            <w:noWrap/>
            <w:hideMark/>
          </w:tcPr>
          <w:p w14:paraId="4B7CAF63"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8</w:t>
            </w:r>
          </w:p>
        </w:tc>
        <w:tc>
          <w:tcPr>
            <w:tcW w:w="466" w:type="pct"/>
            <w:hideMark/>
          </w:tcPr>
          <w:p w14:paraId="09614535" w14:textId="494C7F2E"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 xml:space="preserve">Male, 63 </w:t>
            </w:r>
            <w:proofErr w:type="spellStart"/>
            <w:r w:rsidRPr="00E55E4C">
              <w:rPr>
                <w:rFonts w:ascii="Book Antiqua" w:hAnsi="Book Antiqua"/>
                <w:bCs/>
                <w:lang w:val="en-US"/>
              </w:rPr>
              <w:t>yr</w:t>
            </w:r>
            <w:proofErr w:type="spellEnd"/>
            <w:r w:rsidRPr="00E55E4C">
              <w:rPr>
                <w:rFonts w:ascii="Book Antiqua" w:hAnsi="Book Antiqua"/>
                <w:bCs/>
                <w:lang w:val="en-US"/>
              </w:rPr>
              <w:t xml:space="preserve">, </w:t>
            </w:r>
            <w:r w:rsidR="00671371" w:rsidRPr="00E55E4C">
              <w:rPr>
                <w:rFonts w:ascii="Book Antiqua" w:hAnsi="Book Antiqua"/>
                <w:bCs/>
                <w:lang w:val="en-US"/>
              </w:rPr>
              <w:t xml:space="preserve">diabetes, lung </w:t>
            </w:r>
            <w:proofErr w:type="spellStart"/>
            <w:r w:rsidR="00671371" w:rsidRPr="00E55E4C">
              <w:rPr>
                <w:rFonts w:ascii="Book Antiqua" w:hAnsi="Book Antiqua"/>
                <w:bCs/>
                <w:lang w:val="en-US"/>
              </w:rPr>
              <w:lastRenderedPageBreak/>
              <w:t>siseas</w:t>
            </w:r>
            <w:proofErr w:type="spellEnd"/>
            <w:r w:rsidR="00671371" w:rsidRPr="00E55E4C">
              <w:rPr>
                <w:rFonts w:ascii="Book Antiqua" w:hAnsi="Book Antiqua"/>
                <w:bCs/>
                <w:lang w:val="en-US"/>
              </w:rPr>
              <w:t xml:space="preserve">, </w:t>
            </w:r>
            <w:r w:rsidRPr="00E55E4C">
              <w:rPr>
                <w:rFonts w:ascii="Book Antiqua" w:hAnsi="Book Antiqua"/>
                <w:bCs/>
                <w:lang w:val="en-US"/>
              </w:rPr>
              <w:t>IBD</w:t>
            </w:r>
          </w:p>
        </w:tc>
        <w:tc>
          <w:tcPr>
            <w:tcW w:w="441" w:type="pct"/>
            <w:noWrap/>
            <w:hideMark/>
          </w:tcPr>
          <w:p w14:paraId="73A8A65E"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Upper GI</w:t>
            </w:r>
          </w:p>
        </w:tc>
        <w:tc>
          <w:tcPr>
            <w:tcW w:w="478" w:type="pct"/>
            <w:noWrap/>
            <w:hideMark/>
          </w:tcPr>
          <w:p w14:paraId="2803531E" w14:textId="7AA943C0" w:rsidR="00BC3C5D" w:rsidRPr="00E55E4C" w:rsidRDefault="00671371" w:rsidP="00BC3C5D">
            <w:pPr>
              <w:adjustRightInd w:val="0"/>
              <w:snapToGrid w:val="0"/>
              <w:spacing w:line="360" w:lineRule="auto"/>
              <w:jc w:val="both"/>
              <w:rPr>
                <w:rFonts w:ascii="Book Antiqua" w:hAnsi="Book Antiqua"/>
                <w:bCs/>
              </w:rPr>
            </w:pPr>
            <w:r w:rsidRPr="00E55E4C">
              <w:rPr>
                <w:rFonts w:ascii="Book Antiqua" w:hAnsi="Book Antiqua"/>
                <w:bCs/>
              </w:rPr>
              <w:t>March 30, 2020</w:t>
            </w:r>
          </w:p>
        </w:tc>
        <w:tc>
          <w:tcPr>
            <w:tcW w:w="457" w:type="pct"/>
            <w:noWrap/>
            <w:hideMark/>
          </w:tcPr>
          <w:p w14:paraId="22988030"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c>
          <w:tcPr>
            <w:tcW w:w="434" w:type="pct"/>
            <w:hideMark/>
          </w:tcPr>
          <w:p w14:paraId="4F7A868E"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 xml:space="preserve">Yes </w:t>
            </w:r>
            <w:r w:rsidRPr="00E55E4C">
              <w:rPr>
                <w:rFonts w:ascii="Book Antiqua" w:hAnsi="Book Antiqua"/>
                <w:bCs/>
                <w:lang w:val="en-US"/>
              </w:rPr>
              <w:t>w</w:t>
            </w:r>
            <w:r w:rsidRPr="00E55E4C">
              <w:rPr>
                <w:rFonts w:ascii="Book Antiqua" w:hAnsi="Book Antiqua"/>
                <w:bCs/>
              </w:rPr>
              <w:t>ith Suspected Case</w:t>
            </w:r>
          </w:p>
        </w:tc>
        <w:tc>
          <w:tcPr>
            <w:tcW w:w="457" w:type="pct"/>
            <w:hideMark/>
          </w:tcPr>
          <w:p w14:paraId="2A88DC9D" w14:textId="764F2107" w:rsidR="00BC3C5D" w:rsidRPr="00E55E4C" w:rsidRDefault="00BC3C5D" w:rsidP="00BC3C5D">
            <w:pPr>
              <w:adjustRightInd w:val="0"/>
              <w:snapToGrid w:val="0"/>
              <w:spacing w:line="360" w:lineRule="auto"/>
              <w:jc w:val="both"/>
              <w:rPr>
                <w:rFonts w:ascii="Book Antiqua" w:hAnsi="Book Antiqua"/>
                <w:bCs/>
                <w:lang w:val="en-US"/>
              </w:rPr>
            </w:pPr>
            <w:r w:rsidRPr="00E55E4C">
              <w:rPr>
                <w:rFonts w:ascii="Book Antiqua" w:hAnsi="Book Antiqua"/>
                <w:bCs/>
                <w:lang w:val="en-US"/>
              </w:rPr>
              <w:t>Fever and cough since</w:t>
            </w:r>
            <w:r w:rsidR="00671371" w:rsidRPr="00E55E4C">
              <w:rPr>
                <w:rFonts w:ascii="Book Antiqua" w:hAnsi="Book Antiqua"/>
                <w:bCs/>
                <w:lang w:val="en-US"/>
              </w:rPr>
              <w:t xml:space="preserve"> </w:t>
            </w:r>
            <w:r w:rsidR="00671371" w:rsidRPr="00E55E4C">
              <w:rPr>
                <w:rFonts w:ascii="Book Antiqua" w:hAnsi="Book Antiqua"/>
                <w:bCs/>
                <w:lang w:val="en-US"/>
              </w:rPr>
              <w:lastRenderedPageBreak/>
              <w:t>Apr</w:t>
            </w:r>
            <w:r w:rsidR="0081315E">
              <w:rPr>
                <w:rFonts w:ascii="Book Antiqua" w:hAnsi="Book Antiqua"/>
                <w:bCs/>
                <w:lang w:val="en-US"/>
              </w:rPr>
              <w:t>i</w:t>
            </w:r>
            <w:r w:rsidR="00671371" w:rsidRPr="00E55E4C">
              <w:rPr>
                <w:rFonts w:ascii="Book Antiqua" w:hAnsi="Book Antiqua"/>
                <w:bCs/>
                <w:lang w:val="en-US"/>
              </w:rPr>
              <w:t>l 22, 2020</w:t>
            </w:r>
            <w:r w:rsidRPr="00E55E4C">
              <w:rPr>
                <w:rFonts w:ascii="Book Antiqua" w:hAnsi="Book Antiqua"/>
                <w:bCs/>
                <w:lang w:val="en-US"/>
              </w:rPr>
              <w:t xml:space="preserve"> for 2 d</w:t>
            </w:r>
          </w:p>
        </w:tc>
        <w:tc>
          <w:tcPr>
            <w:tcW w:w="475" w:type="pct"/>
            <w:hideMark/>
          </w:tcPr>
          <w:p w14:paraId="5F844382" w14:textId="5515FCEE"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lastRenderedPageBreak/>
              <w:t xml:space="preserve">Tested positive </w:t>
            </w:r>
            <w:r w:rsidR="00671371" w:rsidRPr="00E55E4C">
              <w:rPr>
                <w:rFonts w:ascii="Book Antiqua" w:hAnsi="Book Antiqua"/>
                <w:bCs/>
              </w:rPr>
              <w:t>Apirl 22, 2020</w:t>
            </w:r>
          </w:p>
        </w:tc>
        <w:tc>
          <w:tcPr>
            <w:tcW w:w="613" w:type="pct"/>
            <w:noWrap/>
            <w:hideMark/>
          </w:tcPr>
          <w:p w14:paraId="701EAF36"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Not hospitalized</w:t>
            </w:r>
          </w:p>
        </w:tc>
        <w:tc>
          <w:tcPr>
            <w:tcW w:w="943" w:type="pct"/>
            <w:noWrap/>
            <w:hideMark/>
          </w:tcPr>
          <w:p w14:paraId="6434946A" w14:textId="77777777" w:rsidR="00BC3C5D" w:rsidRPr="00E55E4C" w:rsidRDefault="00BC3C5D" w:rsidP="00BC3C5D">
            <w:pPr>
              <w:adjustRightInd w:val="0"/>
              <w:snapToGrid w:val="0"/>
              <w:spacing w:line="360" w:lineRule="auto"/>
              <w:jc w:val="both"/>
              <w:rPr>
                <w:rFonts w:ascii="Book Antiqua" w:hAnsi="Book Antiqua"/>
                <w:bCs/>
              </w:rPr>
            </w:pPr>
            <w:r w:rsidRPr="00E55E4C">
              <w:rPr>
                <w:rFonts w:ascii="Book Antiqua" w:hAnsi="Book Antiqua"/>
                <w:bCs/>
              </w:rPr>
              <w:t>No</w:t>
            </w:r>
          </w:p>
        </w:tc>
      </w:tr>
    </w:tbl>
    <w:p w14:paraId="25BC0873" w14:textId="4C10E952" w:rsidR="00BC3C5D" w:rsidRPr="00BC3C5D" w:rsidRDefault="00BC3C5D" w:rsidP="00BC3C5D">
      <w:pPr>
        <w:adjustRightInd w:val="0"/>
        <w:snapToGrid w:val="0"/>
        <w:spacing w:line="360" w:lineRule="auto"/>
        <w:jc w:val="both"/>
        <w:rPr>
          <w:rFonts w:ascii="Book Antiqua" w:hAnsi="Book Antiqua"/>
        </w:rPr>
      </w:pPr>
      <w:r w:rsidRPr="00E55E4C">
        <w:rPr>
          <w:rFonts w:ascii="Book Antiqua" w:hAnsi="Book Antiqua"/>
        </w:rPr>
        <w:t>PCR; Poly</w:t>
      </w:r>
      <w:r w:rsidR="00AB6469" w:rsidRPr="00E55E4C">
        <w:rPr>
          <w:rFonts w:ascii="Book Antiqua" w:hAnsi="Book Antiqua"/>
        </w:rPr>
        <w:t>merase chain reac</w:t>
      </w:r>
      <w:r w:rsidRPr="00E55E4C">
        <w:rPr>
          <w:rFonts w:ascii="Book Antiqua" w:hAnsi="Book Antiqua"/>
        </w:rPr>
        <w:t xml:space="preserve">tion; GI: </w:t>
      </w:r>
      <w:r w:rsidR="00AB6469" w:rsidRPr="00E55E4C">
        <w:rPr>
          <w:rFonts w:ascii="Book Antiqua" w:hAnsi="Book Antiqua"/>
        </w:rPr>
        <w:t>G</w:t>
      </w:r>
      <w:r w:rsidRPr="00E55E4C">
        <w:rPr>
          <w:rFonts w:ascii="Book Antiqua" w:hAnsi="Book Antiqua"/>
        </w:rPr>
        <w:t xml:space="preserve">astrointestinal; COPD; Chronic obstructive pulmonary disease; EUS: </w:t>
      </w:r>
      <w:r w:rsidR="00AB6469" w:rsidRPr="00E55E4C">
        <w:rPr>
          <w:rFonts w:ascii="Book Antiqua" w:hAnsi="Book Antiqua"/>
        </w:rPr>
        <w:t>E</w:t>
      </w:r>
      <w:r w:rsidRPr="00E55E4C">
        <w:rPr>
          <w:rFonts w:ascii="Book Antiqua" w:hAnsi="Book Antiqua"/>
        </w:rPr>
        <w:t>ndoscopic ultrasonography; AML: Acut</w:t>
      </w:r>
      <w:r w:rsidR="00AB6469" w:rsidRPr="00E55E4C">
        <w:rPr>
          <w:rFonts w:ascii="Book Antiqua" w:hAnsi="Book Antiqua"/>
        </w:rPr>
        <w:t>e myeloid leuke</w:t>
      </w:r>
      <w:r w:rsidRPr="00E55E4C">
        <w:rPr>
          <w:rFonts w:ascii="Book Antiqua" w:hAnsi="Book Antiqua"/>
        </w:rPr>
        <w:t>mia; IBD: Inflammatory bowel disease</w:t>
      </w:r>
      <w:r w:rsidR="00671371" w:rsidRPr="00E55E4C">
        <w:rPr>
          <w:rFonts w:ascii="Book Antiqua" w:hAnsi="Book Antiqua"/>
        </w:rPr>
        <w:t>.</w:t>
      </w:r>
    </w:p>
    <w:sectPr w:rsidR="00BC3C5D" w:rsidRPr="00BC3C5D" w:rsidSect="00BC3C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5E4A" w14:textId="77777777" w:rsidR="00A77626" w:rsidRDefault="00A77626" w:rsidP="00A71CE5">
      <w:r>
        <w:separator/>
      </w:r>
    </w:p>
  </w:endnote>
  <w:endnote w:type="continuationSeparator" w:id="0">
    <w:p w14:paraId="33EA14D6" w14:textId="77777777" w:rsidR="00A77626" w:rsidRDefault="00A77626" w:rsidP="00A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12995"/>
      <w:docPartObj>
        <w:docPartGallery w:val="Page Numbers (Bottom of Page)"/>
        <w:docPartUnique/>
      </w:docPartObj>
    </w:sdtPr>
    <w:sdtEndPr/>
    <w:sdtContent>
      <w:sdt>
        <w:sdtPr>
          <w:id w:val="1728636285"/>
          <w:docPartObj>
            <w:docPartGallery w:val="Page Numbers (Top of Page)"/>
            <w:docPartUnique/>
          </w:docPartObj>
        </w:sdtPr>
        <w:sdtEndPr/>
        <w:sdtContent>
          <w:p w14:paraId="5511080B" w14:textId="6E2D3068" w:rsidR="00F324A9" w:rsidRDefault="00F324A9" w:rsidP="00F324A9">
            <w:pPr>
              <w:pStyle w:val="ac"/>
              <w:jc w:val="right"/>
            </w:pPr>
            <w:r w:rsidRPr="00F324A9">
              <w:rPr>
                <w:rFonts w:ascii="Book Antiqua" w:hAnsi="Book Antiqua"/>
                <w:lang w:val="zh-CN" w:eastAsia="zh-CN"/>
              </w:rPr>
              <w:t xml:space="preserve"> </w:t>
            </w:r>
            <w:r w:rsidRPr="00F324A9">
              <w:rPr>
                <w:rFonts w:ascii="Book Antiqua" w:hAnsi="Book Antiqua"/>
                <w:b/>
                <w:bCs/>
              </w:rPr>
              <w:fldChar w:fldCharType="begin"/>
            </w:r>
            <w:r w:rsidRPr="00F324A9">
              <w:rPr>
                <w:rFonts w:ascii="Book Antiqua" w:hAnsi="Book Antiqua"/>
                <w:b/>
                <w:bCs/>
              </w:rPr>
              <w:instrText>PAGE</w:instrText>
            </w:r>
            <w:r w:rsidRPr="00F324A9">
              <w:rPr>
                <w:rFonts w:ascii="Book Antiqua" w:hAnsi="Book Antiqua"/>
                <w:b/>
                <w:bCs/>
              </w:rPr>
              <w:fldChar w:fldCharType="separate"/>
            </w:r>
            <w:r w:rsidR="00846068">
              <w:rPr>
                <w:rFonts w:ascii="Book Antiqua" w:hAnsi="Book Antiqua"/>
                <w:b/>
                <w:bCs/>
                <w:noProof/>
              </w:rPr>
              <w:t>16</w:t>
            </w:r>
            <w:r w:rsidRPr="00F324A9">
              <w:rPr>
                <w:rFonts w:ascii="Book Antiqua" w:hAnsi="Book Antiqua"/>
                <w:b/>
                <w:bCs/>
              </w:rPr>
              <w:fldChar w:fldCharType="end"/>
            </w:r>
            <w:r w:rsidRPr="00F324A9">
              <w:rPr>
                <w:rFonts w:ascii="Book Antiqua" w:hAnsi="Book Antiqua"/>
                <w:lang w:val="zh-CN" w:eastAsia="zh-CN"/>
              </w:rPr>
              <w:t xml:space="preserve"> / </w:t>
            </w:r>
            <w:r w:rsidRPr="00F324A9">
              <w:rPr>
                <w:rFonts w:ascii="Book Antiqua" w:hAnsi="Book Antiqua"/>
                <w:b/>
                <w:bCs/>
              </w:rPr>
              <w:fldChar w:fldCharType="begin"/>
            </w:r>
            <w:r w:rsidRPr="00F324A9">
              <w:rPr>
                <w:rFonts w:ascii="Book Antiqua" w:hAnsi="Book Antiqua"/>
                <w:b/>
                <w:bCs/>
              </w:rPr>
              <w:instrText>NUMPAGES</w:instrText>
            </w:r>
            <w:r w:rsidRPr="00F324A9">
              <w:rPr>
                <w:rFonts w:ascii="Book Antiqua" w:hAnsi="Book Antiqua"/>
                <w:b/>
                <w:bCs/>
              </w:rPr>
              <w:fldChar w:fldCharType="separate"/>
            </w:r>
            <w:r w:rsidR="00846068">
              <w:rPr>
                <w:rFonts w:ascii="Book Antiqua" w:hAnsi="Book Antiqua"/>
                <w:b/>
                <w:bCs/>
                <w:noProof/>
              </w:rPr>
              <w:t>27</w:t>
            </w:r>
            <w:r w:rsidRPr="00F324A9">
              <w:rPr>
                <w:rFonts w:ascii="Book Antiqua" w:hAnsi="Book Antiqua"/>
                <w:b/>
                <w:bCs/>
              </w:rPr>
              <w:fldChar w:fldCharType="end"/>
            </w:r>
          </w:p>
        </w:sdtContent>
      </w:sdt>
    </w:sdtContent>
  </w:sdt>
  <w:p w14:paraId="69C6F12F" w14:textId="77777777" w:rsidR="00F324A9" w:rsidRDefault="00F324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05E2" w14:textId="77777777" w:rsidR="00A77626" w:rsidRDefault="00A77626" w:rsidP="00A71CE5">
      <w:r>
        <w:separator/>
      </w:r>
    </w:p>
  </w:footnote>
  <w:footnote w:type="continuationSeparator" w:id="0">
    <w:p w14:paraId="53770047" w14:textId="77777777" w:rsidR="00A77626" w:rsidRDefault="00A77626" w:rsidP="00A7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87797"/>
      <w:docPartObj>
        <w:docPartGallery w:val="Page Numbers (Top of Page)"/>
        <w:docPartUnique/>
      </w:docPartObj>
    </w:sdtPr>
    <w:sdtEndPr>
      <w:rPr>
        <w:rFonts w:ascii="Book Antiqua" w:hAnsi="Book Antiqua"/>
      </w:rPr>
    </w:sdtEndPr>
    <w:sdtContent>
      <w:p w14:paraId="3575B605" w14:textId="13C02CE3" w:rsidR="00A71CE5" w:rsidRPr="008B5968" w:rsidRDefault="00A71CE5">
        <w:pPr>
          <w:pStyle w:val="aa"/>
          <w:jc w:val="right"/>
          <w:rPr>
            <w:rFonts w:ascii="Book Antiqua" w:hAnsi="Book Antiqua"/>
          </w:rPr>
        </w:pPr>
        <w:r w:rsidRPr="008B5968">
          <w:rPr>
            <w:rFonts w:ascii="Book Antiqua" w:hAnsi="Book Antiqua"/>
          </w:rPr>
          <w:fldChar w:fldCharType="begin"/>
        </w:r>
        <w:r w:rsidRPr="008B5968">
          <w:rPr>
            <w:rFonts w:ascii="Book Antiqua" w:hAnsi="Book Antiqua"/>
          </w:rPr>
          <w:instrText>PAGE   \* MERGEFORMAT</w:instrText>
        </w:r>
        <w:r w:rsidRPr="008B5968">
          <w:rPr>
            <w:rFonts w:ascii="Book Antiqua" w:hAnsi="Book Antiqua"/>
          </w:rPr>
          <w:fldChar w:fldCharType="separate"/>
        </w:r>
        <w:r w:rsidR="00846068" w:rsidRPr="00846068">
          <w:rPr>
            <w:rFonts w:ascii="Book Antiqua" w:hAnsi="Book Antiqua"/>
            <w:noProof/>
            <w:lang w:val="el-GR"/>
          </w:rPr>
          <w:t>16</w:t>
        </w:r>
        <w:r w:rsidRPr="008B5968">
          <w:rPr>
            <w:rFonts w:ascii="Book Antiqua" w:hAnsi="Book Antiqua"/>
          </w:rPr>
          <w:fldChar w:fldCharType="end"/>
        </w:r>
      </w:p>
    </w:sdtContent>
  </w:sdt>
  <w:p w14:paraId="5712E782" w14:textId="77777777" w:rsidR="00A71CE5" w:rsidRDefault="00A71CE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6672"/>
      <w:docPartObj>
        <w:docPartGallery w:val="Page Numbers (Top of Page)"/>
        <w:docPartUnique/>
      </w:docPartObj>
    </w:sdtPr>
    <w:sdtEndPr>
      <w:rPr>
        <w:rFonts w:ascii="Book Antiqua" w:hAnsi="Book Antiqua"/>
      </w:rPr>
    </w:sdtEndPr>
    <w:sdtContent>
      <w:p w14:paraId="5572B6D0" w14:textId="77777777" w:rsidR="00BC3C5D" w:rsidRPr="00A311C4" w:rsidRDefault="00BC3C5D">
        <w:pPr>
          <w:pStyle w:val="aa"/>
          <w:jc w:val="right"/>
          <w:rPr>
            <w:rFonts w:ascii="Book Antiqua" w:hAnsi="Book Antiqua"/>
          </w:rPr>
        </w:pPr>
        <w:r w:rsidRPr="00A311C4">
          <w:rPr>
            <w:rFonts w:ascii="Book Antiqua" w:hAnsi="Book Antiqua"/>
          </w:rPr>
          <w:fldChar w:fldCharType="begin"/>
        </w:r>
        <w:r w:rsidRPr="00A311C4">
          <w:rPr>
            <w:rFonts w:ascii="Book Antiqua" w:hAnsi="Book Antiqua"/>
          </w:rPr>
          <w:instrText xml:space="preserve"> PAGE   \* MERGEFORMAT </w:instrText>
        </w:r>
        <w:r w:rsidRPr="00A311C4">
          <w:rPr>
            <w:rFonts w:ascii="Book Antiqua" w:hAnsi="Book Antiqua"/>
          </w:rPr>
          <w:fldChar w:fldCharType="separate"/>
        </w:r>
        <w:r w:rsidR="00846068">
          <w:rPr>
            <w:rFonts w:ascii="Book Antiqua" w:hAnsi="Book Antiqua"/>
            <w:noProof/>
          </w:rPr>
          <w:t>25</w:t>
        </w:r>
        <w:r w:rsidRPr="00A311C4">
          <w:rPr>
            <w:rFonts w:ascii="Book Antiqua" w:hAnsi="Book Antiqua"/>
            <w:noProof/>
          </w:rPr>
          <w:fldChar w:fldCharType="end"/>
        </w:r>
      </w:p>
    </w:sdtContent>
  </w:sdt>
  <w:p w14:paraId="2CDC2C65" w14:textId="77777777" w:rsidR="00BC3C5D" w:rsidRDefault="00BC3C5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304"/>
    <w:rsid w:val="00027CD2"/>
    <w:rsid w:val="000711E4"/>
    <w:rsid w:val="000B2D65"/>
    <w:rsid w:val="00126154"/>
    <w:rsid w:val="001329C9"/>
    <w:rsid w:val="00155ECA"/>
    <w:rsid w:val="001650A8"/>
    <w:rsid w:val="001908A7"/>
    <w:rsid w:val="001C4D9C"/>
    <w:rsid w:val="001F6183"/>
    <w:rsid w:val="00284023"/>
    <w:rsid w:val="00351F3B"/>
    <w:rsid w:val="003B17DE"/>
    <w:rsid w:val="003D7DA4"/>
    <w:rsid w:val="00404F24"/>
    <w:rsid w:val="00473DD9"/>
    <w:rsid w:val="004A1B95"/>
    <w:rsid w:val="004D1F02"/>
    <w:rsid w:val="004F52DD"/>
    <w:rsid w:val="0052712E"/>
    <w:rsid w:val="00576F9F"/>
    <w:rsid w:val="00671371"/>
    <w:rsid w:val="006D70E5"/>
    <w:rsid w:val="006E3139"/>
    <w:rsid w:val="006E4218"/>
    <w:rsid w:val="00730233"/>
    <w:rsid w:val="007A00CA"/>
    <w:rsid w:val="007A2269"/>
    <w:rsid w:val="007B3174"/>
    <w:rsid w:val="007B620E"/>
    <w:rsid w:val="007E709C"/>
    <w:rsid w:val="0081315E"/>
    <w:rsid w:val="00846068"/>
    <w:rsid w:val="0085043C"/>
    <w:rsid w:val="0089077A"/>
    <w:rsid w:val="008A5C3F"/>
    <w:rsid w:val="008B5968"/>
    <w:rsid w:val="009220FF"/>
    <w:rsid w:val="0093445A"/>
    <w:rsid w:val="009A5EBC"/>
    <w:rsid w:val="009D1366"/>
    <w:rsid w:val="009D1C51"/>
    <w:rsid w:val="00A26859"/>
    <w:rsid w:val="00A64DA0"/>
    <w:rsid w:val="00A71CE5"/>
    <w:rsid w:val="00A71E92"/>
    <w:rsid w:val="00A77626"/>
    <w:rsid w:val="00A77B3E"/>
    <w:rsid w:val="00A90E6A"/>
    <w:rsid w:val="00AB6469"/>
    <w:rsid w:val="00B14A8E"/>
    <w:rsid w:val="00B24554"/>
    <w:rsid w:val="00B90FD7"/>
    <w:rsid w:val="00BA3B05"/>
    <w:rsid w:val="00BC3C5D"/>
    <w:rsid w:val="00C36FA0"/>
    <w:rsid w:val="00C7223A"/>
    <w:rsid w:val="00CA2A55"/>
    <w:rsid w:val="00CB1BB6"/>
    <w:rsid w:val="00D46FA4"/>
    <w:rsid w:val="00D55140"/>
    <w:rsid w:val="00E341AB"/>
    <w:rsid w:val="00E4054A"/>
    <w:rsid w:val="00E53B36"/>
    <w:rsid w:val="00E55E4C"/>
    <w:rsid w:val="00F324A9"/>
    <w:rsid w:val="00F728E5"/>
    <w:rsid w:val="00FA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B9D62"/>
  <w15:docId w15:val="{724DAF6C-74E2-41C5-87C8-36E24BE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2712E"/>
    <w:rPr>
      <w:sz w:val="21"/>
      <w:szCs w:val="21"/>
    </w:rPr>
  </w:style>
  <w:style w:type="paragraph" w:styleId="a4">
    <w:name w:val="annotation text"/>
    <w:basedOn w:val="a"/>
    <w:link w:val="a5"/>
    <w:semiHidden/>
    <w:unhideWhenUsed/>
    <w:rsid w:val="0052712E"/>
  </w:style>
  <w:style w:type="character" w:customStyle="1" w:styleId="a5">
    <w:name w:val="批注文字 字符"/>
    <w:basedOn w:val="a0"/>
    <w:link w:val="a4"/>
    <w:semiHidden/>
    <w:rsid w:val="0052712E"/>
    <w:rPr>
      <w:sz w:val="24"/>
      <w:szCs w:val="24"/>
    </w:rPr>
  </w:style>
  <w:style w:type="paragraph" w:styleId="a6">
    <w:name w:val="annotation subject"/>
    <w:basedOn w:val="a4"/>
    <w:next w:val="a4"/>
    <w:link w:val="a7"/>
    <w:semiHidden/>
    <w:unhideWhenUsed/>
    <w:rsid w:val="0052712E"/>
    <w:rPr>
      <w:b/>
      <w:bCs/>
    </w:rPr>
  </w:style>
  <w:style w:type="character" w:customStyle="1" w:styleId="a7">
    <w:name w:val="批注主题 字符"/>
    <w:basedOn w:val="a5"/>
    <w:link w:val="a6"/>
    <w:semiHidden/>
    <w:rsid w:val="0052712E"/>
    <w:rPr>
      <w:b/>
      <w:bCs/>
      <w:sz w:val="24"/>
      <w:szCs w:val="24"/>
    </w:rPr>
  </w:style>
  <w:style w:type="paragraph" w:styleId="a8">
    <w:name w:val="Balloon Text"/>
    <w:basedOn w:val="a"/>
    <w:link w:val="a9"/>
    <w:rsid w:val="007E709C"/>
    <w:rPr>
      <w:rFonts w:ascii="Segoe UI" w:hAnsi="Segoe UI" w:cs="Segoe UI"/>
      <w:sz w:val="18"/>
      <w:szCs w:val="18"/>
    </w:rPr>
  </w:style>
  <w:style w:type="character" w:customStyle="1" w:styleId="a9">
    <w:name w:val="批注框文本 字符"/>
    <w:basedOn w:val="a0"/>
    <w:link w:val="a8"/>
    <w:rsid w:val="007E709C"/>
    <w:rPr>
      <w:rFonts w:ascii="Segoe UI" w:hAnsi="Segoe UI" w:cs="Segoe UI"/>
      <w:sz w:val="18"/>
      <w:szCs w:val="18"/>
    </w:rPr>
  </w:style>
  <w:style w:type="paragraph" w:styleId="aa">
    <w:name w:val="header"/>
    <w:basedOn w:val="a"/>
    <w:link w:val="ab"/>
    <w:uiPriority w:val="99"/>
    <w:unhideWhenUsed/>
    <w:rsid w:val="00A71CE5"/>
    <w:pPr>
      <w:tabs>
        <w:tab w:val="center" w:pos="4153"/>
        <w:tab w:val="right" w:pos="8306"/>
      </w:tabs>
    </w:pPr>
  </w:style>
  <w:style w:type="character" w:customStyle="1" w:styleId="ab">
    <w:name w:val="页眉 字符"/>
    <w:basedOn w:val="a0"/>
    <w:link w:val="aa"/>
    <w:uiPriority w:val="99"/>
    <w:rsid w:val="00A71CE5"/>
    <w:rPr>
      <w:sz w:val="24"/>
      <w:szCs w:val="24"/>
    </w:rPr>
  </w:style>
  <w:style w:type="paragraph" w:styleId="ac">
    <w:name w:val="footer"/>
    <w:basedOn w:val="a"/>
    <w:link w:val="ad"/>
    <w:uiPriority w:val="99"/>
    <w:unhideWhenUsed/>
    <w:rsid w:val="00A71CE5"/>
    <w:pPr>
      <w:tabs>
        <w:tab w:val="center" w:pos="4153"/>
        <w:tab w:val="right" w:pos="8306"/>
      </w:tabs>
    </w:pPr>
  </w:style>
  <w:style w:type="character" w:customStyle="1" w:styleId="ad">
    <w:name w:val="页脚 字符"/>
    <w:basedOn w:val="a0"/>
    <w:link w:val="ac"/>
    <w:uiPriority w:val="99"/>
    <w:rsid w:val="00A71CE5"/>
    <w:rPr>
      <w:sz w:val="24"/>
      <w:szCs w:val="24"/>
    </w:rPr>
  </w:style>
  <w:style w:type="character" w:customStyle="1" w:styleId="id-label">
    <w:name w:val="id-label"/>
    <w:basedOn w:val="a0"/>
    <w:rsid w:val="009D1C51"/>
  </w:style>
  <w:style w:type="character" w:styleId="ae">
    <w:name w:val="Strong"/>
    <w:basedOn w:val="a0"/>
    <w:uiPriority w:val="22"/>
    <w:qFormat/>
    <w:rsid w:val="009D1C51"/>
    <w:rPr>
      <w:b/>
      <w:bCs/>
    </w:rPr>
  </w:style>
  <w:style w:type="table" w:styleId="af">
    <w:name w:val="Table Grid"/>
    <w:basedOn w:val="a1"/>
    <w:uiPriority w:val="39"/>
    <w:rsid w:val="00BC3C5D"/>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062">
      <w:bodyDiv w:val="1"/>
      <w:marLeft w:val="0"/>
      <w:marRight w:val="0"/>
      <w:marTop w:val="0"/>
      <w:marBottom w:val="0"/>
      <w:divBdr>
        <w:top w:val="none" w:sz="0" w:space="0" w:color="auto"/>
        <w:left w:val="none" w:sz="0" w:space="0" w:color="auto"/>
        <w:bottom w:val="none" w:sz="0" w:space="0" w:color="auto"/>
        <w:right w:val="none" w:sz="0" w:space="0" w:color="auto"/>
      </w:divBdr>
    </w:div>
    <w:div w:id="540283532">
      <w:bodyDiv w:val="1"/>
      <w:marLeft w:val="0"/>
      <w:marRight w:val="0"/>
      <w:marTop w:val="0"/>
      <w:marBottom w:val="0"/>
      <w:divBdr>
        <w:top w:val="none" w:sz="0" w:space="0" w:color="auto"/>
        <w:left w:val="none" w:sz="0" w:space="0" w:color="auto"/>
        <w:bottom w:val="none" w:sz="0" w:space="0" w:color="auto"/>
        <w:right w:val="none" w:sz="0" w:space="0" w:color="auto"/>
      </w:divBdr>
    </w:div>
    <w:div w:id="733704144">
      <w:bodyDiv w:val="1"/>
      <w:marLeft w:val="0"/>
      <w:marRight w:val="0"/>
      <w:marTop w:val="0"/>
      <w:marBottom w:val="0"/>
      <w:divBdr>
        <w:top w:val="none" w:sz="0" w:space="0" w:color="auto"/>
        <w:left w:val="none" w:sz="0" w:space="0" w:color="auto"/>
        <w:bottom w:val="none" w:sz="0" w:space="0" w:color="auto"/>
        <w:right w:val="none" w:sz="0" w:space="0" w:color="auto"/>
      </w:divBdr>
    </w:div>
    <w:div w:id="1050226877">
      <w:bodyDiv w:val="1"/>
      <w:marLeft w:val="0"/>
      <w:marRight w:val="0"/>
      <w:marTop w:val="0"/>
      <w:marBottom w:val="0"/>
      <w:divBdr>
        <w:top w:val="none" w:sz="0" w:space="0" w:color="auto"/>
        <w:left w:val="none" w:sz="0" w:space="0" w:color="auto"/>
        <w:bottom w:val="none" w:sz="0" w:space="0" w:color="auto"/>
        <w:right w:val="none" w:sz="0" w:space="0" w:color="auto"/>
      </w:divBdr>
    </w:div>
    <w:div w:id="1113793760">
      <w:bodyDiv w:val="1"/>
      <w:marLeft w:val="0"/>
      <w:marRight w:val="0"/>
      <w:marTop w:val="0"/>
      <w:marBottom w:val="0"/>
      <w:divBdr>
        <w:top w:val="none" w:sz="0" w:space="0" w:color="auto"/>
        <w:left w:val="none" w:sz="0" w:space="0" w:color="auto"/>
        <w:bottom w:val="none" w:sz="0" w:space="0" w:color="auto"/>
        <w:right w:val="none" w:sz="0" w:space="0" w:color="auto"/>
      </w:divBdr>
    </w:div>
    <w:div w:id="1136802695">
      <w:bodyDiv w:val="1"/>
      <w:marLeft w:val="0"/>
      <w:marRight w:val="0"/>
      <w:marTop w:val="0"/>
      <w:marBottom w:val="0"/>
      <w:divBdr>
        <w:top w:val="none" w:sz="0" w:space="0" w:color="auto"/>
        <w:left w:val="none" w:sz="0" w:space="0" w:color="auto"/>
        <w:bottom w:val="none" w:sz="0" w:space="0" w:color="auto"/>
        <w:right w:val="none" w:sz="0" w:space="0" w:color="auto"/>
      </w:divBdr>
    </w:div>
    <w:div w:id="1185628258">
      <w:bodyDiv w:val="1"/>
      <w:marLeft w:val="0"/>
      <w:marRight w:val="0"/>
      <w:marTop w:val="0"/>
      <w:marBottom w:val="0"/>
      <w:divBdr>
        <w:top w:val="none" w:sz="0" w:space="0" w:color="auto"/>
        <w:left w:val="none" w:sz="0" w:space="0" w:color="auto"/>
        <w:bottom w:val="none" w:sz="0" w:space="0" w:color="auto"/>
        <w:right w:val="none" w:sz="0" w:space="0" w:color="auto"/>
      </w:divBdr>
    </w:div>
    <w:div w:id="1354067309">
      <w:bodyDiv w:val="1"/>
      <w:marLeft w:val="0"/>
      <w:marRight w:val="0"/>
      <w:marTop w:val="0"/>
      <w:marBottom w:val="0"/>
      <w:divBdr>
        <w:top w:val="none" w:sz="0" w:space="0" w:color="auto"/>
        <w:left w:val="none" w:sz="0" w:space="0" w:color="auto"/>
        <w:bottom w:val="none" w:sz="0" w:space="0" w:color="auto"/>
        <w:right w:val="none" w:sz="0" w:space="0" w:color="auto"/>
      </w:divBdr>
    </w:div>
    <w:div w:id="166226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5652</Words>
  <Characters>32221</Characters>
  <Application>Microsoft Office Word</Application>
  <DocSecurity>0</DocSecurity>
  <Lines>268</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jiaping yan</cp:lastModifiedBy>
  <cp:revision>17</cp:revision>
  <dcterms:created xsi:type="dcterms:W3CDTF">2021-07-20T14:47:00Z</dcterms:created>
  <dcterms:modified xsi:type="dcterms:W3CDTF">2021-07-21T09:06:00Z</dcterms:modified>
</cp:coreProperties>
</file>