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92" w:rsidRPr="005868A4" w:rsidRDefault="00E23392" w:rsidP="005868A4">
      <w:pPr>
        <w:spacing w:line="360" w:lineRule="auto"/>
        <w:jc w:val="both"/>
        <w:rPr>
          <w:rFonts w:ascii="Book Antiqua" w:hAnsi="Book Antiqua" w:cs="Arial"/>
          <w:b/>
          <w:shd w:val="clear" w:color="auto" w:fill="FFFFFF"/>
        </w:rPr>
      </w:pPr>
      <w:r w:rsidRPr="005868A4">
        <w:rPr>
          <w:rFonts w:ascii="Book Antiqua" w:hAnsi="Book Antiqua" w:cs="Arial"/>
          <w:b/>
          <w:shd w:val="clear" w:color="auto" w:fill="FFFFFF"/>
        </w:rPr>
        <w:t xml:space="preserve">Name of journal: World Journal of </w:t>
      </w:r>
      <w:r w:rsidRPr="005868A4">
        <w:rPr>
          <w:rFonts w:ascii="Book Antiqua" w:hAnsi="Book Antiqua"/>
          <w:b/>
        </w:rPr>
        <w:t>Clinical Pediatrics</w:t>
      </w:r>
    </w:p>
    <w:p w:rsidR="00E23392" w:rsidRPr="005868A4" w:rsidRDefault="00E23392" w:rsidP="005868A4">
      <w:pPr>
        <w:spacing w:line="360" w:lineRule="auto"/>
        <w:jc w:val="both"/>
        <w:rPr>
          <w:rFonts w:ascii="Book Antiqua" w:eastAsia="宋体" w:hAnsi="Book Antiqua" w:cs="Arial"/>
          <w:b/>
          <w:shd w:val="clear" w:color="auto" w:fill="FFFFFF"/>
          <w:lang w:eastAsia="zh-CN"/>
        </w:rPr>
      </w:pPr>
      <w:r w:rsidRPr="005868A4">
        <w:rPr>
          <w:rFonts w:ascii="Book Antiqua" w:hAnsi="Book Antiqua" w:cs="Arial"/>
          <w:b/>
          <w:shd w:val="clear" w:color="auto" w:fill="FFFFFF"/>
        </w:rPr>
        <w:t xml:space="preserve">ESPS Manuscript NO: </w:t>
      </w:r>
      <w:r w:rsidRPr="005868A4">
        <w:rPr>
          <w:rFonts w:ascii="Book Antiqua" w:eastAsia="宋体" w:hAnsi="Book Antiqua" w:cs="Arial"/>
          <w:b/>
          <w:shd w:val="clear" w:color="auto" w:fill="FFFFFF"/>
          <w:lang w:eastAsia="zh-CN"/>
        </w:rPr>
        <w:t>12095</w:t>
      </w:r>
    </w:p>
    <w:p w:rsidR="00E23392" w:rsidRPr="005868A4" w:rsidRDefault="00E23392" w:rsidP="005868A4">
      <w:pPr>
        <w:spacing w:line="360" w:lineRule="auto"/>
        <w:jc w:val="both"/>
        <w:rPr>
          <w:rFonts w:ascii="Book Antiqua" w:eastAsia="宋体" w:hAnsi="Book Antiqua" w:cs="Arial"/>
          <w:b/>
          <w:shd w:val="clear" w:color="auto" w:fill="FFFFFF"/>
          <w:lang w:eastAsia="zh-CN"/>
        </w:rPr>
      </w:pPr>
      <w:r w:rsidRPr="005868A4">
        <w:rPr>
          <w:rFonts w:ascii="Book Antiqua" w:hAnsi="Book Antiqua" w:cs="Arial"/>
          <w:b/>
          <w:shd w:val="clear" w:color="auto" w:fill="FFFFFF"/>
        </w:rPr>
        <w:t>Columns:</w:t>
      </w:r>
      <w:r w:rsidRPr="005868A4">
        <w:rPr>
          <w:rFonts w:ascii="Book Antiqua" w:eastAsia="宋体" w:hAnsi="Book Antiqua" w:cs="Arial"/>
          <w:b/>
          <w:shd w:val="clear" w:color="auto" w:fill="FFFFFF"/>
          <w:lang w:eastAsia="zh-CN"/>
        </w:rPr>
        <w:t xml:space="preserve"> MINIREVIEWS</w:t>
      </w:r>
    </w:p>
    <w:p w:rsidR="00E23392" w:rsidRPr="005868A4" w:rsidRDefault="00E23392" w:rsidP="005868A4">
      <w:pPr>
        <w:spacing w:line="360" w:lineRule="auto"/>
        <w:jc w:val="both"/>
        <w:rPr>
          <w:rFonts w:ascii="Book Antiqua" w:eastAsia="宋体" w:hAnsi="Book Antiqua" w:cs="Arial"/>
          <w:shd w:val="clear" w:color="auto" w:fill="FFFFFF"/>
          <w:lang w:eastAsia="zh-CN"/>
        </w:rPr>
      </w:pPr>
    </w:p>
    <w:p w:rsidR="00E23392" w:rsidRPr="005868A4" w:rsidRDefault="00E23392" w:rsidP="005868A4">
      <w:pPr>
        <w:spacing w:line="360" w:lineRule="auto"/>
        <w:jc w:val="both"/>
        <w:rPr>
          <w:rStyle w:val="HTMLTypewriter"/>
          <w:rFonts w:ascii="Book Antiqua" w:hAnsi="Book Antiqua"/>
          <w:sz w:val="24"/>
          <w:szCs w:val="24"/>
        </w:rPr>
      </w:pPr>
      <w:r w:rsidRPr="005868A4">
        <w:rPr>
          <w:rFonts w:ascii="Book Antiqua" w:hAnsi="Book Antiqua"/>
          <w:b/>
          <w:bCs/>
          <w:shd w:val="clear" w:color="auto" w:fill="FFFFFF"/>
        </w:rPr>
        <w:t>Rituximab for troublesome cases of childhood nephrotic syndrome</w:t>
      </w:r>
    </w:p>
    <w:p w:rsidR="00E23392" w:rsidRPr="005868A4" w:rsidRDefault="00E23392" w:rsidP="005868A4">
      <w:pPr>
        <w:spacing w:line="360" w:lineRule="auto"/>
        <w:jc w:val="both"/>
        <w:rPr>
          <w:rFonts w:ascii="Book Antiqua" w:hAnsi="Book Antiqua"/>
          <w:bCs/>
        </w:rPr>
      </w:pPr>
    </w:p>
    <w:p w:rsidR="00E23392" w:rsidRPr="005868A4" w:rsidRDefault="00B9181F" w:rsidP="005868A4">
      <w:pPr>
        <w:spacing w:line="360" w:lineRule="auto"/>
        <w:jc w:val="both"/>
        <w:rPr>
          <w:rFonts w:ascii="Book Antiqua" w:eastAsia="宋体" w:hAnsi="Book Antiqua"/>
          <w:bCs/>
          <w:lang w:eastAsia="zh-CN"/>
        </w:rPr>
      </w:pPr>
      <w:r w:rsidRPr="005868A4">
        <w:rPr>
          <w:rFonts w:ascii="Book Antiqua" w:eastAsia="宋体" w:hAnsi="Book Antiqua"/>
          <w:bCs/>
          <w:lang w:eastAsia="zh-CN"/>
        </w:rPr>
        <w:t>Safdar</w:t>
      </w:r>
      <w:r w:rsidR="00B4484D" w:rsidRPr="005868A4">
        <w:rPr>
          <w:rFonts w:ascii="Book Antiqua" w:eastAsia="宋体" w:hAnsi="Book Antiqua"/>
          <w:bCs/>
          <w:lang w:eastAsia="zh-CN"/>
        </w:rPr>
        <w:t xml:space="preserve"> </w:t>
      </w:r>
      <w:r w:rsidR="00B4484D" w:rsidRPr="005868A4">
        <w:rPr>
          <w:rFonts w:ascii="Book Antiqua" w:hAnsi="Book Antiqua"/>
        </w:rPr>
        <w:t>OY</w:t>
      </w:r>
      <w:r w:rsidRPr="005868A4">
        <w:rPr>
          <w:rFonts w:ascii="Book Antiqua" w:eastAsia="宋体" w:hAnsi="Book Antiqua"/>
          <w:bCs/>
          <w:lang w:eastAsia="zh-CN"/>
        </w:rPr>
        <w:t xml:space="preserve"> </w:t>
      </w:r>
      <w:r w:rsidRPr="005868A4">
        <w:rPr>
          <w:rFonts w:ascii="Book Antiqua" w:eastAsia="宋体" w:hAnsi="Book Antiqua"/>
          <w:bCs/>
          <w:i/>
          <w:lang w:eastAsia="zh-CN"/>
        </w:rPr>
        <w:t>et al</w:t>
      </w:r>
      <w:r w:rsidRPr="005868A4">
        <w:rPr>
          <w:rFonts w:ascii="Book Antiqua" w:eastAsia="宋体" w:hAnsi="Book Antiqua"/>
          <w:bCs/>
          <w:lang w:eastAsia="zh-CN"/>
        </w:rPr>
        <w:t>.</w:t>
      </w:r>
      <w:r w:rsidR="00E23392" w:rsidRPr="005868A4">
        <w:rPr>
          <w:rFonts w:ascii="Book Antiqua" w:eastAsia="宋体" w:hAnsi="Book Antiqua"/>
          <w:bCs/>
          <w:lang w:eastAsia="zh-CN"/>
        </w:rPr>
        <w:t xml:space="preserve"> Rituximab for childhood</w:t>
      </w:r>
      <w:r w:rsidR="000E22EA" w:rsidRPr="005868A4">
        <w:rPr>
          <w:rFonts w:ascii="Book Antiqua" w:eastAsia="宋体" w:hAnsi="Book Antiqua"/>
          <w:bCs/>
          <w:lang w:eastAsia="zh-CN"/>
        </w:rPr>
        <w:t xml:space="preserve"> </w:t>
      </w:r>
      <w:r w:rsidR="00E23392" w:rsidRPr="005868A4">
        <w:rPr>
          <w:rFonts w:ascii="Book Antiqua" w:eastAsia="宋体" w:hAnsi="Book Antiqua"/>
          <w:bCs/>
          <w:lang w:eastAsia="zh-CN"/>
        </w:rPr>
        <w:t>nephrotic syndrome</w:t>
      </w:r>
    </w:p>
    <w:p w:rsidR="00F4020B" w:rsidRDefault="00F4020B" w:rsidP="005868A4">
      <w:pPr>
        <w:spacing w:line="360" w:lineRule="auto"/>
        <w:jc w:val="both"/>
        <w:rPr>
          <w:rFonts w:ascii="Book Antiqua" w:eastAsia="宋体" w:hAnsi="Book Antiqua"/>
          <w:bCs/>
          <w:lang w:eastAsia="zh-CN"/>
        </w:rPr>
      </w:pPr>
    </w:p>
    <w:p w:rsidR="0046584C" w:rsidRDefault="00F4020B" w:rsidP="005868A4">
      <w:pPr>
        <w:spacing w:line="360" w:lineRule="auto"/>
        <w:jc w:val="both"/>
        <w:rPr>
          <w:rFonts w:ascii="Book Antiqua" w:eastAsia="宋体" w:hAnsi="Book Antiqua"/>
          <w:bCs/>
          <w:lang w:eastAsia="zh-CN"/>
        </w:rPr>
      </w:pPr>
      <w:r w:rsidRPr="00F4020B">
        <w:rPr>
          <w:rFonts w:ascii="Book Antiqua" w:eastAsia="宋体" w:hAnsi="Book Antiqua"/>
          <w:bCs/>
          <w:lang w:eastAsia="zh-CN"/>
        </w:rPr>
        <w:t>Osama Y Safdar, Adila Aboualhameael, Jameela A Kari</w:t>
      </w:r>
    </w:p>
    <w:p w:rsidR="00F4020B" w:rsidRPr="005868A4" w:rsidRDefault="00F4020B" w:rsidP="005868A4">
      <w:pPr>
        <w:spacing w:line="360" w:lineRule="auto"/>
        <w:jc w:val="both"/>
        <w:rPr>
          <w:rFonts w:ascii="Book Antiqua" w:eastAsia="宋体" w:hAnsi="Book Antiqua"/>
          <w:bCs/>
          <w:lang w:eastAsia="zh-CN"/>
        </w:rPr>
      </w:pPr>
    </w:p>
    <w:p w:rsidR="007409AC" w:rsidRPr="005868A4" w:rsidRDefault="00E23392" w:rsidP="005868A4">
      <w:pPr>
        <w:spacing w:line="360" w:lineRule="auto"/>
        <w:jc w:val="both"/>
        <w:rPr>
          <w:rFonts w:ascii="Book Antiqua" w:hAnsi="Book Antiqua"/>
        </w:rPr>
      </w:pPr>
      <w:r w:rsidRPr="005868A4">
        <w:rPr>
          <w:rFonts w:ascii="Book Antiqua" w:hAnsi="Book Antiqua"/>
          <w:b/>
          <w:bCs/>
          <w:lang w:val="pt-BR"/>
        </w:rPr>
        <w:t xml:space="preserve">Osama </w:t>
      </w:r>
      <w:r w:rsidRPr="005868A4">
        <w:rPr>
          <w:rFonts w:ascii="Book Antiqua" w:hAnsi="Book Antiqua"/>
          <w:bCs/>
        </w:rPr>
        <w:t>Y</w:t>
      </w:r>
      <w:r w:rsidRPr="005868A4">
        <w:rPr>
          <w:rFonts w:ascii="Book Antiqua" w:hAnsi="Book Antiqua"/>
          <w:b/>
          <w:bCs/>
          <w:lang w:val="pt-BR"/>
        </w:rPr>
        <w:t xml:space="preserve"> Safdar,</w:t>
      </w:r>
      <w:r w:rsidR="007409AC" w:rsidRPr="005868A4">
        <w:rPr>
          <w:rFonts w:ascii="Book Antiqua" w:hAnsi="Book Antiqua"/>
          <w:b/>
          <w:bCs/>
          <w:lang w:val="pt-BR"/>
        </w:rPr>
        <w:t xml:space="preserve"> </w:t>
      </w:r>
      <w:r w:rsidRPr="005868A4">
        <w:rPr>
          <w:rFonts w:ascii="Book Antiqua" w:hAnsi="Book Antiqua"/>
          <w:b/>
          <w:bCs/>
          <w:lang w:val="pt-BR"/>
        </w:rPr>
        <w:t>Adila Aboualhameael,</w:t>
      </w:r>
      <w:r w:rsidR="007409AC" w:rsidRPr="005868A4">
        <w:rPr>
          <w:rFonts w:ascii="Book Antiqua" w:hAnsi="Book Antiqua"/>
          <w:b/>
          <w:bCs/>
          <w:lang w:val="pt-BR"/>
        </w:rPr>
        <w:t xml:space="preserve"> </w:t>
      </w:r>
      <w:r w:rsidRPr="005868A4">
        <w:rPr>
          <w:rFonts w:ascii="Book Antiqua" w:hAnsi="Book Antiqua"/>
          <w:b/>
          <w:bCs/>
          <w:lang w:val="pt-BR"/>
        </w:rPr>
        <w:t>Jameela A Kari,</w:t>
      </w:r>
      <w:r w:rsidRPr="005868A4">
        <w:rPr>
          <w:rFonts w:ascii="Book Antiqua" w:hAnsi="Book Antiqua"/>
          <w:lang w:val="pt-BR"/>
        </w:rPr>
        <w:t xml:space="preserve"> </w:t>
      </w:r>
      <w:r w:rsidRPr="005868A4">
        <w:rPr>
          <w:rFonts w:ascii="Book Antiqua" w:hAnsi="Book Antiqua"/>
        </w:rPr>
        <w:t>Department of Pediatrics</w:t>
      </w:r>
      <w:r w:rsidR="007409AC" w:rsidRPr="005868A4">
        <w:rPr>
          <w:rFonts w:ascii="Book Antiqua" w:hAnsi="Book Antiqua"/>
        </w:rPr>
        <w:t xml:space="preserve">, </w:t>
      </w:r>
      <w:r w:rsidRPr="005868A4">
        <w:rPr>
          <w:rFonts w:ascii="Book Antiqua" w:hAnsi="Book Antiqua"/>
        </w:rPr>
        <w:t xml:space="preserve"> </w:t>
      </w:r>
      <w:r w:rsidR="007409AC" w:rsidRPr="005868A4">
        <w:rPr>
          <w:rFonts w:ascii="Book Antiqua" w:hAnsi="Book Antiqua"/>
        </w:rPr>
        <w:t>King Abdulaziz University Hospital, Jeddah</w:t>
      </w:r>
      <w:r w:rsidR="00FC6E37" w:rsidRPr="005868A4">
        <w:rPr>
          <w:rFonts w:ascii="Book Antiqua" w:hAnsi="Book Antiqua"/>
        </w:rPr>
        <w:t xml:space="preserve"> 21589</w:t>
      </w:r>
      <w:r w:rsidR="007409AC" w:rsidRPr="005868A4">
        <w:rPr>
          <w:rFonts w:ascii="Book Antiqua" w:hAnsi="Book Antiqua"/>
        </w:rPr>
        <w:t xml:space="preserve">, Saudi Arabia </w:t>
      </w:r>
    </w:p>
    <w:p w:rsidR="007409AC" w:rsidRPr="005868A4" w:rsidRDefault="007409AC" w:rsidP="005868A4">
      <w:pPr>
        <w:spacing w:line="360" w:lineRule="auto"/>
        <w:jc w:val="both"/>
        <w:rPr>
          <w:rFonts w:ascii="Book Antiqua" w:eastAsia="宋体" w:hAnsi="Book Antiqua"/>
          <w:lang w:eastAsia="zh-CN"/>
        </w:rPr>
      </w:pPr>
    </w:p>
    <w:p w:rsidR="00E23392" w:rsidRPr="005868A4" w:rsidRDefault="007409AC" w:rsidP="005868A4">
      <w:pPr>
        <w:spacing w:line="360" w:lineRule="auto"/>
        <w:jc w:val="both"/>
        <w:rPr>
          <w:rFonts w:ascii="Book Antiqua" w:hAnsi="Book Antiqua"/>
        </w:rPr>
      </w:pPr>
      <w:r w:rsidRPr="005868A4">
        <w:rPr>
          <w:rFonts w:ascii="Book Antiqua" w:hAnsi="Book Antiqua"/>
          <w:b/>
          <w:bCs/>
        </w:rPr>
        <w:t>Osama Y Safdar, Jameela A Kari</w:t>
      </w:r>
      <w:r w:rsidRPr="005868A4">
        <w:rPr>
          <w:rFonts w:ascii="Book Antiqua" w:hAnsi="Book Antiqua"/>
          <w:b/>
        </w:rPr>
        <w:t>,</w:t>
      </w:r>
      <w:r w:rsidRPr="005868A4">
        <w:rPr>
          <w:rFonts w:ascii="Book Antiqua" w:hAnsi="Book Antiqua"/>
          <w:vertAlign w:val="superscript"/>
        </w:rPr>
        <w:t xml:space="preserve"> </w:t>
      </w:r>
      <w:r w:rsidR="00E23392" w:rsidRPr="005868A4">
        <w:rPr>
          <w:rFonts w:ascii="Book Antiqua" w:hAnsi="Book Antiqua"/>
        </w:rPr>
        <w:t>Pediatric Nephrology</w:t>
      </w:r>
      <w:r w:rsidR="00E3377F" w:rsidRPr="005868A4">
        <w:rPr>
          <w:rFonts w:ascii="Book Antiqua" w:hAnsi="Book Antiqua"/>
        </w:rPr>
        <w:t xml:space="preserve"> Unit</w:t>
      </w:r>
      <w:r w:rsidR="00E23392" w:rsidRPr="005868A4">
        <w:rPr>
          <w:rFonts w:ascii="Book Antiqua" w:hAnsi="Book Antiqua"/>
        </w:rPr>
        <w:t>, King Abdulaziz University Hospital, Jeddah</w:t>
      </w:r>
      <w:r w:rsidR="00E3377F" w:rsidRPr="005868A4">
        <w:rPr>
          <w:rFonts w:ascii="Book Antiqua" w:hAnsi="Book Antiqua"/>
        </w:rPr>
        <w:t xml:space="preserve"> </w:t>
      </w:r>
      <w:r w:rsidR="00FC6E37" w:rsidRPr="005868A4">
        <w:rPr>
          <w:rFonts w:ascii="Book Antiqua" w:hAnsi="Book Antiqua"/>
        </w:rPr>
        <w:t>21589</w:t>
      </w:r>
      <w:r w:rsidR="00E23392" w:rsidRPr="005868A4">
        <w:rPr>
          <w:rFonts w:ascii="Book Antiqua" w:hAnsi="Book Antiqua"/>
        </w:rPr>
        <w:t xml:space="preserve">, Saudi Arabia </w:t>
      </w:r>
    </w:p>
    <w:p w:rsidR="00E23392" w:rsidRPr="005868A4" w:rsidRDefault="00E23392" w:rsidP="005868A4">
      <w:pPr>
        <w:spacing w:line="360" w:lineRule="auto"/>
        <w:jc w:val="both"/>
        <w:rPr>
          <w:rFonts w:ascii="Book Antiqua" w:eastAsia="宋体" w:hAnsi="Book Antiqua"/>
          <w:lang w:eastAsia="zh-CN"/>
        </w:rPr>
      </w:pPr>
    </w:p>
    <w:p w:rsidR="00E23392" w:rsidRPr="005868A4" w:rsidRDefault="00FF7BF5" w:rsidP="005868A4">
      <w:pPr>
        <w:spacing w:line="360" w:lineRule="auto"/>
        <w:jc w:val="both"/>
        <w:rPr>
          <w:rFonts w:ascii="Book Antiqua" w:hAnsi="Book Antiqua"/>
        </w:rPr>
      </w:pPr>
      <w:r w:rsidRPr="005868A4">
        <w:rPr>
          <w:rFonts w:ascii="Book Antiqua" w:hAnsi="Book Antiqua"/>
          <w:b/>
        </w:rPr>
        <w:t>Author contributions:</w:t>
      </w:r>
      <w:r w:rsidR="005E7E3A" w:rsidRPr="005868A4">
        <w:rPr>
          <w:rFonts w:ascii="Book Antiqua" w:hAnsi="Book Antiqua"/>
          <w:b/>
        </w:rPr>
        <w:t xml:space="preserve"> </w:t>
      </w:r>
      <w:r w:rsidR="005E7E3A" w:rsidRPr="005868A4">
        <w:rPr>
          <w:rFonts w:ascii="Book Antiqua" w:hAnsi="Book Antiqua"/>
        </w:rPr>
        <w:t>Safdar OY and</w:t>
      </w:r>
      <w:r w:rsidR="005E7E3A" w:rsidRPr="005868A4">
        <w:rPr>
          <w:rFonts w:ascii="Book Antiqua" w:hAnsi="Book Antiqua"/>
          <w:b/>
        </w:rPr>
        <w:t xml:space="preserve"> </w:t>
      </w:r>
      <w:r w:rsidR="005E7E3A" w:rsidRPr="005868A4">
        <w:rPr>
          <w:rFonts w:ascii="Book Antiqua" w:hAnsi="Book Antiqua"/>
          <w:bCs/>
        </w:rPr>
        <w:t>Aboualhameael A wrote the provisional paper; Kari JA supervised the work and edited the manuscript.</w:t>
      </w:r>
    </w:p>
    <w:p w:rsidR="00FF7BF5" w:rsidRPr="005868A4" w:rsidRDefault="00FF7BF5" w:rsidP="005868A4">
      <w:pPr>
        <w:spacing w:line="360" w:lineRule="auto"/>
        <w:jc w:val="both"/>
        <w:rPr>
          <w:rFonts w:ascii="Book Antiqua" w:hAnsi="Book Antiqua"/>
          <w:bCs/>
          <w:iCs/>
        </w:rPr>
      </w:pPr>
    </w:p>
    <w:p w:rsidR="00E23392" w:rsidRPr="005868A4" w:rsidRDefault="00E23392" w:rsidP="005868A4">
      <w:pPr>
        <w:spacing w:line="360" w:lineRule="auto"/>
        <w:jc w:val="both"/>
        <w:rPr>
          <w:rFonts w:ascii="Book Antiqua" w:hAnsi="Book Antiqua"/>
        </w:rPr>
      </w:pPr>
      <w:r w:rsidRPr="005868A4">
        <w:rPr>
          <w:rFonts w:ascii="Book Antiqua" w:hAnsi="Book Antiqua"/>
          <w:b/>
          <w:bCs/>
          <w:iCs/>
        </w:rPr>
        <w:t>Correspond</w:t>
      </w:r>
      <w:r w:rsidR="007E3F8F" w:rsidRPr="005868A4">
        <w:rPr>
          <w:rFonts w:ascii="Book Antiqua" w:hAnsi="Book Antiqua"/>
          <w:b/>
          <w:bCs/>
          <w:iCs/>
        </w:rPr>
        <w:t>ence to:</w:t>
      </w:r>
      <w:r w:rsidR="007E3F8F" w:rsidRPr="005868A4">
        <w:rPr>
          <w:rFonts w:ascii="Book Antiqua" w:hAnsi="Book Antiqua"/>
        </w:rPr>
        <w:t xml:space="preserve"> </w:t>
      </w:r>
      <w:r w:rsidRPr="005868A4">
        <w:rPr>
          <w:rFonts w:ascii="Book Antiqua" w:hAnsi="Book Antiqua"/>
          <w:b/>
          <w:lang w:val="pt-BR"/>
        </w:rPr>
        <w:t>Jameela Abdulaziz Kari</w:t>
      </w:r>
      <w:r w:rsidR="0046584C" w:rsidRPr="005868A4">
        <w:rPr>
          <w:rFonts w:ascii="Book Antiqua" w:hAnsi="Book Antiqua"/>
          <w:b/>
          <w:lang w:val="pt-BR"/>
        </w:rPr>
        <w:t>, FRCP, MD</w:t>
      </w:r>
      <w:r w:rsidR="007E3F8F" w:rsidRPr="005868A4">
        <w:rPr>
          <w:rFonts w:ascii="Book Antiqua" w:hAnsi="Book Antiqua"/>
          <w:b/>
          <w:lang w:val="pt-BR"/>
        </w:rPr>
        <w:t>,</w:t>
      </w:r>
      <w:r w:rsidR="007E3F8F" w:rsidRPr="005868A4">
        <w:rPr>
          <w:rFonts w:ascii="Book Antiqua" w:hAnsi="Book Antiqua"/>
          <w:lang w:val="pt-BR"/>
        </w:rPr>
        <w:t xml:space="preserve"> </w:t>
      </w:r>
      <w:r w:rsidRPr="005868A4">
        <w:rPr>
          <w:rFonts w:ascii="Book Antiqua" w:hAnsi="Book Antiqua"/>
        </w:rPr>
        <w:t>King Abdulaziz University,</w:t>
      </w:r>
      <w:r w:rsidR="008E2318" w:rsidRPr="005868A4">
        <w:rPr>
          <w:rFonts w:ascii="Book Antiqua" w:hAnsi="Book Antiqua"/>
        </w:rPr>
        <w:t xml:space="preserve"> </w:t>
      </w:r>
      <w:r w:rsidRPr="005868A4">
        <w:rPr>
          <w:rFonts w:ascii="Book Antiqua" w:hAnsi="Book Antiqua"/>
        </w:rPr>
        <w:t>PO Box 80215, Jeddah 21589, Saudi Arabia</w:t>
      </w:r>
      <w:r w:rsidR="007E3F8F" w:rsidRPr="005868A4">
        <w:rPr>
          <w:rFonts w:ascii="Book Antiqua" w:hAnsi="Book Antiqua"/>
        </w:rPr>
        <w:t xml:space="preserve">. </w:t>
      </w:r>
      <w:hyperlink r:id="rId9" w:history="1">
        <w:r w:rsidR="007E3F8F" w:rsidRPr="005868A4">
          <w:rPr>
            <w:rStyle w:val="Hyperlink"/>
            <w:rFonts w:ascii="Book Antiqua" w:hAnsi="Book Antiqua"/>
            <w:color w:val="auto"/>
          </w:rPr>
          <w:t>jkari@kau.edu.sa</w:t>
        </w:r>
      </w:hyperlink>
    </w:p>
    <w:p w:rsidR="00B4484D" w:rsidRPr="005868A4" w:rsidRDefault="00B4484D" w:rsidP="005868A4">
      <w:pPr>
        <w:spacing w:line="360" w:lineRule="auto"/>
        <w:jc w:val="both"/>
        <w:rPr>
          <w:rFonts w:ascii="Book Antiqua" w:eastAsiaTheme="minorEastAsia" w:hAnsi="Book Antiqua"/>
          <w:b/>
          <w:lang w:eastAsia="zh-CN"/>
        </w:rPr>
      </w:pPr>
    </w:p>
    <w:p w:rsidR="00E23392" w:rsidRPr="005868A4" w:rsidRDefault="004A20E3" w:rsidP="005868A4">
      <w:pPr>
        <w:spacing w:line="360" w:lineRule="auto"/>
        <w:jc w:val="both"/>
        <w:rPr>
          <w:rFonts w:ascii="Book Antiqua" w:hAnsi="Book Antiqua"/>
        </w:rPr>
      </w:pPr>
      <w:r w:rsidRPr="005868A4">
        <w:rPr>
          <w:rFonts w:ascii="Book Antiqua" w:hAnsi="Book Antiqua"/>
          <w:b/>
        </w:rPr>
        <w:t>Telep</w:t>
      </w:r>
      <w:r w:rsidR="00E23392" w:rsidRPr="005868A4">
        <w:rPr>
          <w:rFonts w:ascii="Book Antiqua" w:hAnsi="Book Antiqua"/>
          <w:b/>
        </w:rPr>
        <w:t>hone:</w:t>
      </w:r>
      <w:r w:rsidR="00E23392" w:rsidRPr="005868A4">
        <w:rPr>
          <w:rFonts w:ascii="Book Antiqua" w:hAnsi="Book Antiqua"/>
        </w:rPr>
        <w:t xml:space="preserve"> +</w:t>
      </w:r>
      <w:r w:rsidR="00777114" w:rsidRPr="005868A4">
        <w:rPr>
          <w:rFonts w:ascii="Book Antiqua" w:hAnsi="Book Antiqua"/>
        </w:rPr>
        <w:t>996</w:t>
      </w:r>
      <w:r w:rsidR="00777114" w:rsidRPr="005868A4">
        <w:rPr>
          <w:rFonts w:ascii="Book Antiqua" w:eastAsiaTheme="minorEastAsia" w:hAnsi="Book Antiqua"/>
          <w:lang w:eastAsia="zh-CN"/>
        </w:rPr>
        <w:t>-2-</w:t>
      </w:r>
      <w:r w:rsidR="00E23392" w:rsidRPr="005868A4">
        <w:rPr>
          <w:rFonts w:ascii="Book Antiqua" w:hAnsi="Book Antiqua"/>
        </w:rPr>
        <w:t>505677904</w:t>
      </w:r>
      <w:r w:rsidRPr="005868A4">
        <w:rPr>
          <w:rFonts w:ascii="Book Antiqua" w:hAnsi="Book Antiqua"/>
        </w:rPr>
        <w:tab/>
      </w:r>
      <w:r w:rsidRPr="005868A4">
        <w:rPr>
          <w:rFonts w:ascii="Book Antiqua" w:hAnsi="Book Antiqua"/>
        </w:rPr>
        <w:tab/>
      </w:r>
      <w:r w:rsidRPr="005868A4">
        <w:rPr>
          <w:rFonts w:ascii="Book Antiqua" w:hAnsi="Book Antiqua"/>
          <w:b/>
        </w:rPr>
        <w:t>Fax:</w:t>
      </w:r>
      <w:r w:rsidRPr="005868A4">
        <w:rPr>
          <w:rFonts w:ascii="Book Antiqua" w:hAnsi="Book Antiqua"/>
        </w:rPr>
        <w:t xml:space="preserve"> +996</w:t>
      </w:r>
      <w:r w:rsidR="00777114" w:rsidRPr="005868A4">
        <w:rPr>
          <w:rFonts w:ascii="Book Antiqua" w:eastAsiaTheme="minorEastAsia" w:hAnsi="Book Antiqua"/>
          <w:lang w:eastAsia="zh-CN"/>
        </w:rPr>
        <w:t>-</w:t>
      </w:r>
      <w:r w:rsidRPr="005868A4">
        <w:rPr>
          <w:rFonts w:ascii="Book Antiqua" w:hAnsi="Book Antiqua"/>
        </w:rPr>
        <w:t>2</w:t>
      </w:r>
      <w:r w:rsidR="00777114" w:rsidRPr="005868A4">
        <w:rPr>
          <w:rFonts w:ascii="Book Antiqua" w:eastAsiaTheme="minorEastAsia" w:hAnsi="Book Antiqua"/>
          <w:lang w:eastAsia="zh-CN"/>
        </w:rPr>
        <w:t>-</w:t>
      </w:r>
      <w:r w:rsidRPr="005868A4">
        <w:rPr>
          <w:rFonts w:ascii="Book Antiqua" w:hAnsi="Book Antiqua"/>
        </w:rPr>
        <w:t>6684603</w:t>
      </w:r>
    </w:p>
    <w:p w:rsidR="00E23392" w:rsidRPr="005868A4" w:rsidRDefault="00E23392" w:rsidP="005868A4">
      <w:pPr>
        <w:spacing w:line="360" w:lineRule="auto"/>
        <w:jc w:val="both"/>
        <w:rPr>
          <w:rFonts w:ascii="Book Antiqua" w:eastAsiaTheme="minorEastAsia" w:hAnsi="Book Antiqua"/>
          <w:lang w:eastAsia="zh-CN"/>
        </w:rPr>
      </w:pPr>
    </w:p>
    <w:p w:rsidR="00B4484D" w:rsidRPr="005868A4" w:rsidRDefault="00B4484D" w:rsidP="005868A4">
      <w:pPr>
        <w:spacing w:line="360" w:lineRule="auto"/>
        <w:rPr>
          <w:rFonts w:ascii="Book Antiqua" w:eastAsia="宋体" w:hAnsi="Book Antiqua" w:cs="Tahoma"/>
          <w:lang w:eastAsia="zh-CN"/>
        </w:rPr>
      </w:pPr>
      <w:r w:rsidRPr="005868A4">
        <w:rPr>
          <w:rFonts w:ascii="Book Antiqua" w:hAnsi="Book Antiqua" w:cs="Tahoma"/>
          <w:b/>
          <w:lang w:eastAsia="tr-TR"/>
        </w:rPr>
        <w:t>Received:</w:t>
      </w:r>
      <w:r w:rsidRPr="005868A4">
        <w:rPr>
          <w:rFonts w:ascii="Book Antiqua" w:hAnsi="Book Antiqua" w:cs="Tahoma"/>
          <w:lang w:eastAsia="tr-TR"/>
        </w:rPr>
        <w:t xml:space="preserve"> </w:t>
      </w:r>
      <w:r w:rsidRPr="005868A4">
        <w:rPr>
          <w:rFonts w:ascii="Book Antiqua" w:eastAsia="宋体" w:hAnsi="Book Antiqua" w:cs="Tahoma"/>
          <w:lang w:eastAsia="zh-CN"/>
        </w:rPr>
        <w:t xml:space="preserve">June </w:t>
      </w:r>
      <w:r w:rsidRPr="005868A4">
        <w:rPr>
          <w:rFonts w:ascii="Book Antiqua" w:hAnsi="Book Antiqua" w:cs="Tahoma"/>
          <w:lang w:eastAsia="zh-CN"/>
        </w:rPr>
        <w:t>2</w:t>
      </w:r>
      <w:r w:rsidRPr="005868A4">
        <w:rPr>
          <w:rFonts w:ascii="Book Antiqua" w:eastAsiaTheme="minorEastAsia" w:hAnsi="Book Antiqua" w:cs="Tahoma"/>
          <w:lang w:eastAsia="zh-CN"/>
        </w:rPr>
        <w:t>1</w:t>
      </w:r>
      <w:r w:rsidRPr="005868A4">
        <w:rPr>
          <w:rFonts w:ascii="Book Antiqua" w:hAnsi="Book Antiqua" w:cs="Tahoma"/>
          <w:lang w:eastAsia="zh-CN"/>
        </w:rPr>
        <w:t>, 2014</w:t>
      </w:r>
      <w:r w:rsidRPr="005868A4">
        <w:rPr>
          <w:rFonts w:ascii="Book Antiqua" w:hAnsi="Book Antiqua" w:cs="Tahoma"/>
          <w:lang w:eastAsia="tr-TR"/>
        </w:rPr>
        <w:t xml:space="preserve">               </w:t>
      </w:r>
      <w:r w:rsidRPr="005868A4">
        <w:rPr>
          <w:rFonts w:ascii="Book Antiqua" w:hAnsi="Book Antiqua" w:cs="Tahoma"/>
          <w:b/>
          <w:lang w:eastAsia="tr-TR"/>
        </w:rPr>
        <w:t>Revised:</w:t>
      </w:r>
      <w:r w:rsidRPr="005868A4">
        <w:rPr>
          <w:rFonts w:ascii="Book Antiqua" w:hAnsi="Book Antiqua" w:cs="Tahoma"/>
          <w:b/>
          <w:lang w:eastAsia="zh-CN"/>
        </w:rPr>
        <w:t xml:space="preserve"> </w:t>
      </w:r>
      <w:r w:rsidRPr="005868A4">
        <w:rPr>
          <w:rFonts w:ascii="Book Antiqua" w:hAnsi="Book Antiqua" w:cs="Tahoma"/>
          <w:lang w:eastAsia="zh-CN"/>
        </w:rPr>
        <w:t xml:space="preserve">September </w:t>
      </w:r>
      <w:r w:rsidRPr="005868A4">
        <w:rPr>
          <w:rFonts w:ascii="Book Antiqua" w:eastAsia="宋体" w:hAnsi="Book Antiqua" w:cs="Tahoma"/>
          <w:lang w:eastAsia="zh-CN"/>
        </w:rPr>
        <w:t>2</w:t>
      </w:r>
      <w:r w:rsidRPr="005868A4">
        <w:rPr>
          <w:rFonts w:ascii="Book Antiqua" w:hAnsi="Book Antiqua" w:cs="Tahoma"/>
          <w:lang w:eastAsia="zh-CN"/>
        </w:rPr>
        <w:t>, 2014</w:t>
      </w:r>
    </w:p>
    <w:p w:rsidR="00B4484D" w:rsidRPr="005868A4" w:rsidRDefault="00B4484D" w:rsidP="005868A4">
      <w:pPr>
        <w:spacing w:line="360" w:lineRule="auto"/>
        <w:rPr>
          <w:rFonts w:ascii="Book Antiqua" w:eastAsiaTheme="minorEastAsia" w:hAnsi="Book Antiqua" w:cs="Tahoma"/>
          <w:b/>
          <w:lang w:eastAsia="zh-CN"/>
        </w:rPr>
      </w:pPr>
    </w:p>
    <w:p w:rsidR="00895CE6" w:rsidRDefault="00B4484D" w:rsidP="00895CE6">
      <w:pPr>
        <w:rPr>
          <w:rFonts w:ascii="Book Antiqua" w:hAnsi="Book Antiqua"/>
          <w:color w:val="000000"/>
        </w:rPr>
      </w:pPr>
      <w:r w:rsidRPr="005868A4">
        <w:rPr>
          <w:rFonts w:ascii="Book Antiqua" w:hAnsi="Book Antiqua" w:cs="Tahoma"/>
          <w:b/>
          <w:lang w:eastAsia="tr-TR"/>
        </w:rPr>
        <w:t>Accepted:</w:t>
      </w:r>
      <w:bookmarkStart w:id="0" w:name="OLE_LINK1"/>
      <w:bookmarkStart w:id="1" w:name="OLE_LINK2"/>
      <w:bookmarkStart w:id="2" w:name="OLE_LINK3"/>
      <w:bookmarkStart w:id="3" w:name="OLE_LINK4"/>
      <w:bookmarkStart w:id="4" w:name="OLE_LINK5"/>
      <w:bookmarkStart w:id="5" w:name="OLE_LINK6"/>
      <w:bookmarkStart w:id="6" w:name="OLE_LINK9"/>
      <w:bookmarkStart w:id="7" w:name="OLE_LINK10"/>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bookmarkStart w:id="46" w:name="OLE_LINK73"/>
      <w:bookmarkStart w:id="47" w:name="OLE_LINK79"/>
      <w:bookmarkStart w:id="48" w:name="OLE_LINK81"/>
      <w:bookmarkStart w:id="49" w:name="OLE_LINK86"/>
      <w:bookmarkStart w:id="50" w:name="OLE_LINK87"/>
      <w:bookmarkStart w:id="51" w:name="OLE_LINK88"/>
      <w:bookmarkStart w:id="52" w:name="OLE_LINK89"/>
      <w:bookmarkStart w:id="53" w:name="OLE_LINK92"/>
      <w:bookmarkStart w:id="54" w:name="OLE_LINK94"/>
      <w:bookmarkStart w:id="55" w:name="OLE_LINK95"/>
      <w:r w:rsidR="00895CE6" w:rsidRPr="00895CE6">
        <w:rPr>
          <w:rFonts w:ascii="Book Antiqua" w:hAnsi="Book Antiqua"/>
          <w:color w:val="000000"/>
        </w:rPr>
        <w:t xml:space="preserve"> </w:t>
      </w:r>
      <w:r w:rsidR="00895CE6">
        <w:rPr>
          <w:rFonts w:ascii="Book Antiqua" w:hAnsi="Book Antiqua"/>
          <w:color w:val="000000"/>
        </w:rPr>
        <w:t>October 23</w:t>
      </w:r>
      <w:r w:rsidR="00895CE6">
        <w:rPr>
          <w:rFonts w:ascii="Book Antiqua" w:hAnsi="Book Antiqua" w:hint="eastAsia"/>
          <w:color w:val="000000"/>
        </w:rPr>
        <w:t>,</w:t>
      </w:r>
      <w:r w:rsidR="00895CE6">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B4484D" w:rsidRPr="005868A4" w:rsidRDefault="00B4484D" w:rsidP="005868A4">
      <w:pPr>
        <w:spacing w:line="360" w:lineRule="auto"/>
        <w:rPr>
          <w:rFonts w:ascii="Book Antiqua" w:eastAsia="宋体" w:hAnsi="Book Antiqua" w:cs="Tahoma"/>
          <w:b/>
          <w:lang w:eastAsia="zh-CN"/>
        </w:rPr>
      </w:pPr>
    </w:p>
    <w:p w:rsidR="00B4484D" w:rsidRPr="005868A4" w:rsidRDefault="00B4484D" w:rsidP="005868A4">
      <w:pPr>
        <w:spacing w:line="360" w:lineRule="auto"/>
        <w:rPr>
          <w:rFonts w:ascii="Book Antiqua" w:eastAsiaTheme="minorEastAsia" w:hAnsi="Book Antiqua" w:cs="Tahoma"/>
          <w:b/>
          <w:lang w:eastAsia="zh-CN"/>
        </w:rPr>
      </w:pPr>
    </w:p>
    <w:p w:rsidR="00B4484D" w:rsidRPr="005868A4" w:rsidRDefault="00B4484D" w:rsidP="005868A4">
      <w:pPr>
        <w:spacing w:line="360" w:lineRule="auto"/>
        <w:rPr>
          <w:rFonts w:ascii="Book Antiqua" w:hAnsi="Book Antiqua" w:cs="Tahoma"/>
          <w:b/>
          <w:lang w:eastAsia="tr-TR"/>
        </w:rPr>
      </w:pPr>
      <w:r w:rsidRPr="005868A4">
        <w:rPr>
          <w:rFonts w:ascii="Book Antiqua" w:hAnsi="Book Antiqua" w:cs="Tahoma"/>
          <w:b/>
          <w:lang w:eastAsia="tr-TR"/>
        </w:rPr>
        <w:t>Published online:</w:t>
      </w:r>
    </w:p>
    <w:p w:rsidR="00B4484D" w:rsidRPr="005868A4" w:rsidRDefault="00B4484D" w:rsidP="005868A4">
      <w:pPr>
        <w:spacing w:line="360" w:lineRule="auto"/>
        <w:jc w:val="both"/>
        <w:rPr>
          <w:rFonts w:ascii="Book Antiqua" w:eastAsiaTheme="minorEastAsia" w:hAnsi="Book Antiqua"/>
          <w:lang w:eastAsia="zh-CN"/>
        </w:rPr>
      </w:pPr>
    </w:p>
    <w:p w:rsidR="00E23392" w:rsidRPr="005868A4" w:rsidRDefault="00E23392" w:rsidP="005868A4">
      <w:pPr>
        <w:spacing w:line="360" w:lineRule="auto"/>
        <w:jc w:val="both"/>
        <w:rPr>
          <w:rStyle w:val="HTMLTypewriter"/>
          <w:rFonts w:ascii="Book Antiqua" w:hAnsi="Book Antiqua"/>
          <w:sz w:val="24"/>
          <w:szCs w:val="24"/>
        </w:rPr>
      </w:pPr>
      <w:r w:rsidRPr="005868A4">
        <w:rPr>
          <w:rFonts w:ascii="Book Antiqua" w:hAnsi="Book Antiqua" w:cs="Arial"/>
        </w:rPr>
        <w:br w:type="page"/>
      </w:r>
    </w:p>
    <w:p w:rsidR="00E23392" w:rsidRPr="005868A4" w:rsidRDefault="00E23392" w:rsidP="005868A4">
      <w:pPr>
        <w:spacing w:line="360" w:lineRule="auto"/>
        <w:jc w:val="both"/>
        <w:rPr>
          <w:rStyle w:val="HTMLTypewriter"/>
          <w:rFonts w:ascii="Book Antiqua" w:hAnsi="Book Antiqua"/>
          <w:sz w:val="24"/>
          <w:szCs w:val="24"/>
        </w:rPr>
      </w:pPr>
      <w:r w:rsidRPr="005868A4">
        <w:rPr>
          <w:rStyle w:val="highlight2"/>
          <w:rFonts w:ascii="Book Antiqua" w:hAnsi="Book Antiqua"/>
          <w:b/>
          <w:bCs/>
          <w:iCs/>
        </w:rPr>
        <w:lastRenderedPageBreak/>
        <w:t>Abstract</w:t>
      </w:r>
      <w:r w:rsidR="007B5459" w:rsidRPr="005868A4" w:rsidDel="007B5459">
        <w:rPr>
          <w:rStyle w:val="highlight2"/>
          <w:rFonts w:ascii="Book Antiqua" w:hAnsi="Book Antiqua"/>
          <w:b/>
          <w:bCs/>
          <w:iCs/>
        </w:rPr>
        <w:t xml:space="preserve"> </w:t>
      </w:r>
    </w:p>
    <w:p w:rsidR="00E23392" w:rsidRPr="005868A4" w:rsidRDefault="00E23392" w:rsidP="005868A4">
      <w:pPr>
        <w:spacing w:line="360" w:lineRule="auto"/>
        <w:jc w:val="both"/>
        <w:rPr>
          <w:rFonts w:ascii="Book Antiqua" w:eastAsiaTheme="minorEastAsia" w:hAnsi="Book Antiqua"/>
          <w:lang w:eastAsia="zh-CN"/>
        </w:rPr>
      </w:pPr>
      <w:r w:rsidRPr="005868A4">
        <w:rPr>
          <w:rFonts w:ascii="Book Antiqua" w:hAnsi="Book Antiqua"/>
        </w:rPr>
        <w:t>Nephrotic syndrome</w:t>
      </w:r>
      <w:r w:rsidR="00D574A6" w:rsidRPr="005868A4">
        <w:rPr>
          <w:rFonts w:ascii="Book Antiqua" w:eastAsiaTheme="minorEastAsia" w:hAnsi="Book Antiqua"/>
          <w:lang w:eastAsia="zh-CN"/>
        </w:rPr>
        <w:t xml:space="preserve"> (NS)</w:t>
      </w:r>
      <w:r w:rsidRPr="005868A4">
        <w:rPr>
          <w:rFonts w:ascii="Book Antiqua" w:hAnsi="Book Antiqua"/>
        </w:rPr>
        <w:t xml:space="preserve"> is the most common glomerular disease of childhood. Steroid-dependent and steroid-resistant nephrotic syndrome present challenges in their pharmaceutical management; patients may need several immunosuppressive medication for optimum control, each of which medication has its own safety profile. Rituximab</w:t>
      </w:r>
      <w:r w:rsidR="00AB2DB9" w:rsidRPr="005868A4">
        <w:rPr>
          <w:rFonts w:ascii="Book Antiqua" w:hAnsi="Book Antiqua"/>
        </w:rPr>
        <w:t xml:space="preserve"> (RTX)</w:t>
      </w:r>
      <w:r w:rsidRPr="005868A4">
        <w:rPr>
          <w:rFonts w:ascii="Book Antiqua" w:hAnsi="Book Antiqua"/>
        </w:rPr>
        <w:t xml:space="preserve"> is a monoclonal antibody that targets B cells and has been used successfully for management of lymphoma and rheumatoid arthritis. Recent clinical studies showed that rituximab may be an efficacious and safe alternative for the treatment of complicated nephrotic syndrome. In this review article, we aim to review the efficacy and safety of </w:t>
      </w:r>
      <w:r w:rsidR="00AB2DB9" w:rsidRPr="005868A4">
        <w:rPr>
          <w:rFonts w:ascii="Book Antiqua" w:hAnsi="Book Antiqua"/>
        </w:rPr>
        <w:t>RTX</w:t>
      </w:r>
      <w:r w:rsidRPr="005868A4">
        <w:rPr>
          <w:rFonts w:ascii="Book Antiqua" w:hAnsi="Book Antiqua"/>
        </w:rPr>
        <w:t xml:space="preserve"> therapy in ne</w:t>
      </w:r>
      <w:r w:rsidR="002A47F3" w:rsidRPr="005868A4">
        <w:rPr>
          <w:rFonts w:ascii="Book Antiqua" w:hAnsi="Book Antiqua"/>
        </w:rPr>
        <w:t>p</w:t>
      </w:r>
      <w:r w:rsidRPr="005868A4">
        <w:rPr>
          <w:rFonts w:ascii="Book Antiqua" w:hAnsi="Book Antiqua"/>
        </w:rPr>
        <w:t>hrotic syndrome. We reviewed the literature pertaining to this topic by searching for relevant studies on PubMed and Medline using specific keywords</w:t>
      </w:r>
      <w:r w:rsidR="008D3E76" w:rsidRPr="005868A4">
        <w:rPr>
          <w:rFonts w:ascii="Book Antiqua" w:hAnsi="Book Antiqua"/>
        </w:rPr>
        <w:t xml:space="preserve">. </w:t>
      </w:r>
      <w:r w:rsidRPr="005868A4">
        <w:rPr>
          <w:rFonts w:ascii="Book Antiqua" w:hAnsi="Book Antiqua"/>
        </w:rPr>
        <w:t xml:space="preserve">The initial search yielded 452 articles. These articles were then examined to ensure their relevance to the topic of research. We focused on multicenter randomized controlled trials with relatively large numbers of patients. A total of 29 articles were finally identified and will be summarized in this review. The majority of clinical studies of </w:t>
      </w:r>
      <w:r w:rsidR="00AB2DB9" w:rsidRPr="005868A4">
        <w:rPr>
          <w:rFonts w:ascii="Book Antiqua" w:hAnsi="Book Antiqua"/>
        </w:rPr>
        <w:t>RTX</w:t>
      </w:r>
      <w:r w:rsidRPr="005868A4">
        <w:rPr>
          <w:rFonts w:ascii="Book Antiqua" w:hAnsi="Book Antiqua"/>
        </w:rPr>
        <w:t xml:space="preserve"> in complicated pediatric</w:t>
      </w:r>
      <w:r w:rsidR="00D574A6" w:rsidRPr="005868A4">
        <w:rPr>
          <w:rFonts w:ascii="Book Antiqua" w:eastAsiaTheme="minorEastAsia" w:hAnsi="Book Antiqua"/>
          <w:lang w:eastAsia="zh-CN"/>
        </w:rPr>
        <w:t xml:space="preserve"> </w:t>
      </w:r>
      <w:r w:rsidRPr="005868A4">
        <w:rPr>
          <w:rFonts w:ascii="Book Antiqua" w:hAnsi="Book Antiqua"/>
        </w:rPr>
        <w:t xml:space="preserve">NS showed that rituximab is effective in approximately 80 % of patients with steroid-dependent NS, as it decreases the number of relapses and steroid dosage. However, </w:t>
      </w:r>
      <w:r w:rsidR="00AB2DB9" w:rsidRPr="005868A4">
        <w:rPr>
          <w:rFonts w:ascii="Book Antiqua" w:hAnsi="Book Antiqua"/>
        </w:rPr>
        <w:t>RTX</w:t>
      </w:r>
      <w:r w:rsidRPr="005868A4">
        <w:rPr>
          <w:rFonts w:ascii="Book Antiqua" w:hAnsi="Book Antiqua"/>
        </w:rPr>
        <w:t xml:space="preserve"> is less effective at achieving remission in steroid-resistant NS. </w:t>
      </w:r>
      <w:r w:rsidR="00AB2DB9" w:rsidRPr="005868A4">
        <w:rPr>
          <w:rFonts w:ascii="Book Antiqua" w:hAnsi="Book Antiqua"/>
        </w:rPr>
        <w:t>RTX</w:t>
      </w:r>
      <w:r w:rsidRPr="005868A4">
        <w:rPr>
          <w:rFonts w:ascii="Book Antiqua" w:hAnsi="Book Antiqua"/>
        </w:rPr>
        <w:t xml:space="preserve"> use was generally safe, and most side effects were transient and infusion-related. More randomized, double-blinded clinical studies are needed to assess the role of RTX in children with nephrotic syndrome</w:t>
      </w:r>
      <w:r w:rsidR="007B5459" w:rsidRPr="005868A4">
        <w:rPr>
          <w:rFonts w:ascii="Book Antiqua" w:hAnsi="Book Antiqua"/>
        </w:rPr>
        <w:t>.</w:t>
      </w:r>
    </w:p>
    <w:p w:rsidR="00120DC3" w:rsidRPr="005868A4" w:rsidRDefault="00120DC3" w:rsidP="005868A4">
      <w:pPr>
        <w:spacing w:line="360" w:lineRule="auto"/>
        <w:jc w:val="both"/>
        <w:rPr>
          <w:rStyle w:val="HTMLTypewriter"/>
          <w:rFonts w:ascii="Book Antiqua" w:eastAsiaTheme="minorEastAsia" w:hAnsi="Book Antiqua"/>
          <w:sz w:val="24"/>
          <w:szCs w:val="24"/>
          <w:lang w:eastAsia="zh-CN"/>
        </w:rPr>
      </w:pPr>
    </w:p>
    <w:p w:rsidR="00120DC3" w:rsidRPr="005868A4" w:rsidRDefault="00120DC3" w:rsidP="005868A4">
      <w:pPr>
        <w:spacing w:line="360" w:lineRule="auto"/>
        <w:rPr>
          <w:rFonts w:ascii="Book Antiqua" w:hAnsi="Book Antiqua" w:cs="宋体"/>
        </w:rPr>
      </w:pPr>
      <w:bookmarkStart w:id="56" w:name="OLE_LINK475"/>
      <w:r w:rsidRPr="005868A4">
        <w:rPr>
          <w:rFonts w:ascii="Book Antiqua" w:hAnsi="Book Antiqua"/>
        </w:rPr>
        <w:t xml:space="preserve">© </w:t>
      </w:r>
      <w:r w:rsidRPr="005868A4">
        <w:rPr>
          <w:rFonts w:ascii="Book Antiqua" w:hAnsi="Book Antiqua" w:cs="宋体"/>
        </w:rPr>
        <w:t xml:space="preserve">2014 Baishideng Publishing Group Inc. All rights reserved. </w:t>
      </w:r>
    </w:p>
    <w:bookmarkEnd w:id="56"/>
    <w:p w:rsidR="00E23392" w:rsidRPr="005868A4" w:rsidRDefault="00E23392" w:rsidP="005868A4">
      <w:pPr>
        <w:spacing w:line="360" w:lineRule="auto"/>
        <w:jc w:val="both"/>
        <w:rPr>
          <w:rStyle w:val="HTMLTypewriter"/>
          <w:rFonts w:ascii="Book Antiqua" w:hAnsi="Book Antiqua"/>
          <w:sz w:val="24"/>
          <w:szCs w:val="24"/>
          <w:highlight w:val="yellow"/>
        </w:rPr>
      </w:pPr>
    </w:p>
    <w:p w:rsidR="007B5459" w:rsidRPr="005868A4" w:rsidRDefault="007B5459" w:rsidP="005868A4">
      <w:pPr>
        <w:spacing w:line="360" w:lineRule="auto"/>
        <w:jc w:val="both"/>
        <w:rPr>
          <w:rFonts w:ascii="Book Antiqua" w:hAnsi="Book Antiqua"/>
          <w:b/>
          <w:bCs/>
        </w:rPr>
      </w:pPr>
      <w:r w:rsidRPr="005868A4">
        <w:rPr>
          <w:rStyle w:val="HTMLTypewriter"/>
          <w:rFonts w:ascii="Book Antiqua" w:hAnsi="Book Antiqua" w:cs="Times New Roman"/>
          <w:b/>
          <w:bCs/>
          <w:sz w:val="24"/>
          <w:szCs w:val="24"/>
        </w:rPr>
        <w:t>Key</w:t>
      </w:r>
      <w:r w:rsidR="009F149E" w:rsidRPr="005868A4">
        <w:rPr>
          <w:rStyle w:val="HTMLTypewriter"/>
          <w:rFonts w:ascii="Book Antiqua" w:hAnsi="Book Antiqua" w:cs="Times New Roman"/>
          <w:b/>
          <w:bCs/>
          <w:sz w:val="24"/>
          <w:szCs w:val="24"/>
        </w:rPr>
        <w:t xml:space="preserve"> </w:t>
      </w:r>
      <w:r w:rsidRPr="005868A4">
        <w:rPr>
          <w:rStyle w:val="HTMLTypewriter"/>
          <w:rFonts w:ascii="Book Antiqua" w:hAnsi="Book Antiqua" w:cs="Times New Roman"/>
          <w:b/>
          <w:bCs/>
          <w:sz w:val="24"/>
          <w:szCs w:val="24"/>
        </w:rPr>
        <w:t>words:</w:t>
      </w:r>
      <w:r w:rsidRPr="005868A4">
        <w:rPr>
          <w:rStyle w:val="HTMLTypewriter"/>
          <w:rFonts w:ascii="Book Antiqua" w:hAnsi="Book Antiqua" w:cs="Times New Roman"/>
          <w:sz w:val="24"/>
          <w:szCs w:val="24"/>
        </w:rPr>
        <w:t xml:space="preserve"> Rituximab; Pediatric</w:t>
      </w:r>
      <w:r w:rsidR="009F149E" w:rsidRPr="005868A4">
        <w:rPr>
          <w:rStyle w:val="HTMLTypewriter"/>
          <w:rFonts w:ascii="Book Antiqua" w:hAnsi="Book Antiqua" w:cs="Times New Roman"/>
          <w:sz w:val="24"/>
          <w:szCs w:val="24"/>
        </w:rPr>
        <w:t>;</w:t>
      </w:r>
      <w:r w:rsidRPr="005868A4">
        <w:rPr>
          <w:rStyle w:val="HTMLTypewriter"/>
          <w:rFonts w:ascii="Book Antiqua" w:hAnsi="Book Antiqua" w:cs="Times New Roman"/>
          <w:sz w:val="24"/>
          <w:szCs w:val="24"/>
        </w:rPr>
        <w:t xml:space="preserve"> Nephrotic Syndrome; Efficacy</w:t>
      </w:r>
      <w:r w:rsidR="009F149E" w:rsidRPr="005868A4">
        <w:rPr>
          <w:rStyle w:val="HTMLTypewriter"/>
          <w:rFonts w:ascii="Book Antiqua" w:hAnsi="Book Antiqua" w:cs="Times New Roman"/>
          <w:sz w:val="24"/>
          <w:szCs w:val="24"/>
        </w:rPr>
        <w:t xml:space="preserve">; </w:t>
      </w:r>
      <w:r w:rsidRPr="005868A4">
        <w:rPr>
          <w:rStyle w:val="HTMLTypewriter"/>
          <w:rFonts w:ascii="Book Antiqua" w:hAnsi="Book Antiqua" w:cs="Times New Roman"/>
          <w:sz w:val="24"/>
          <w:szCs w:val="24"/>
        </w:rPr>
        <w:t>Safety</w:t>
      </w:r>
      <w:r w:rsidRPr="005868A4">
        <w:rPr>
          <w:rFonts w:ascii="Book Antiqua" w:hAnsi="Book Antiqua"/>
          <w:b/>
          <w:bCs/>
        </w:rPr>
        <w:t xml:space="preserve"> </w:t>
      </w:r>
    </w:p>
    <w:p w:rsidR="007B5459" w:rsidRPr="005868A4" w:rsidRDefault="007B5459" w:rsidP="005868A4">
      <w:pPr>
        <w:spacing w:line="360" w:lineRule="auto"/>
        <w:jc w:val="both"/>
        <w:rPr>
          <w:rFonts w:ascii="Book Antiqua" w:hAnsi="Book Antiqua"/>
          <w:b/>
          <w:bCs/>
        </w:rPr>
      </w:pPr>
    </w:p>
    <w:p w:rsidR="00E23392" w:rsidRPr="005868A4" w:rsidRDefault="00E23392" w:rsidP="005868A4">
      <w:pPr>
        <w:spacing w:line="360" w:lineRule="auto"/>
        <w:jc w:val="both"/>
        <w:rPr>
          <w:rStyle w:val="HTMLTypewriter"/>
          <w:rFonts w:ascii="Book Antiqua" w:eastAsiaTheme="minorEastAsia" w:hAnsi="Book Antiqua"/>
          <w:sz w:val="24"/>
          <w:szCs w:val="24"/>
          <w:lang w:eastAsia="zh-CN"/>
        </w:rPr>
      </w:pPr>
      <w:r w:rsidRPr="005868A4">
        <w:rPr>
          <w:rFonts w:ascii="Book Antiqua" w:hAnsi="Book Antiqua"/>
          <w:b/>
          <w:bCs/>
        </w:rPr>
        <w:t xml:space="preserve">Core </w:t>
      </w:r>
      <w:r w:rsidRPr="005868A4">
        <w:rPr>
          <w:rFonts w:ascii="Book Antiqua" w:eastAsia="宋体" w:hAnsi="Book Antiqua"/>
          <w:b/>
          <w:bCs/>
          <w:lang w:eastAsia="zh-CN"/>
        </w:rPr>
        <w:t>tip</w:t>
      </w:r>
      <w:r w:rsidR="007B5459" w:rsidRPr="005868A4">
        <w:rPr>
          <w:rFonts w:ascii="Book Antiqua" w:hAnsi="Book Antiqua"/>
        </w:rPr>
        <w:t>:</w:t>
      </w:r>
      <w:r w:rsidR="00777114" w:rsidRPr="005868A4">
        <w:rPr>
          <w:rFonts w:ascii="Book Antiqua" w:eastAsiaTheme="minorEastAsia" w:hAnsi="Book Antiqua"/>
          <w:lang w:eastAsia="zh-CN"/>
        </w:rPr>
        <w:t xml:space="preserve"> </w:t>
      </w:r>
      <w:r w:rsidRPr="005868A4">
        <w:rPr>
          <w:rFonts w:ascii="Book Antiqua" w:hAnsi="Book Antiqua"/>
        </w:rPr>
        <w:t xml:space="preserve">Nephrotic syndrome is the most common pediatric glomerular disease. Although outcomes are favorable, the treatment of complicated nephrotic syndrome can be challenging. Rituximab (RTX) offers a safe and effective alternative to current immunosuppressive therapies for complicated cases of </w:t>
      </w:r>
      <w:r w:rsidR="00494D70" w:rsidRPr="005868A4">
        <w:rPr>
          <w:rFonts w:ascii="Book Antiqua" w:hAnsi="Book Antiqua"/>
        </w:rPr>
        <w:t xml:space="preserve">nephrotic syndrome </w:t>
      </w:r>
      <w:r w:rsidR="00494D70" w:rsidRPr="005868A4">
        <w:rPr>
          <w:rFonts w:ascii="Book Antiqua" w:eastAsiaTheme="minorEastAsia" w:hAnsi="Book Antiqua"/>
          <w:lang w:eastAsia="zh-CN"/>
        </w:rPr>
        <w:t>(</w:t>
      </w:r>
      <w:r w:rsidRPr="005868A4">
        <w:rPr>
          <w:rFonts w:ascii="Book Antiqua" w:hAnsi="Book Antiqua"/>
        </w:rPr>
        <w:t>NS</w:t>
      </w:r>
      <w:r w:rsidR="00494D70" w:rsidRPr="005868A4">
        <w:rPr>
          <w:rFonts w:ascii="Book Antiqua" w:eastAsiaTheme="minorEastAsia" w:hAnsi="Book Antiqua"/>
          <w:lang w:eastAsia="zh-CN"/>
        </w:rPr>
        <w:t>)</w:t>
      </w:r>
      <w:r w:rsidRPr="005868A4">
        <w:rPr>
          <w:rFonts w:ascii="Book Antiqua" w:hAnsi="Book Antiqua"/>
        </w:rPr>
        <w:t>. The best outcomes are seen in patients with steroid-dependent NS who have failed to respond to multiple therapies. However, the benefits of RTX therapy are limited in patients with steroid-resistant nephrotic syndrome. Successful RTX therapy induces prolonged remission and enables discontinuation of other medications without increasing the risk of infection and other adverse events.</w:t>
      </w:r>
    </w:p>
    <w:p w:rsidR="00120DC3" w:rsidRPr="005868A4" w:rsidRDefault="00120DC3" w:rsidP="005868A4">
      <w:pPr>
        <w:spacing w:line="360" w:lineRule="auto"/>
        <w:jc w:val="both"/>
        <w:rPr>
          <w:rFonts w:ascii="Book Antiqua" w:eastAsia="宋体" w:hAnsi="Book Antiqua" w:hint="eastAsia"/>
          <w:bCs/>
          <w:lang w:eastAsia="zh-CN"/>
        </w:rPr>
      </w:pPr>
      <w:bookmarkStart w:id="57" w:name="_GoBack"/>
      <w:bookmarkEnd w:id="57"/>
    </w:p>
    <w:p w:rsidR="00120DC3" w:rsidRPr="005868A4" w:rsidRDefault="00120DC3" w:rsidP="005868A4">
      <w:pPr>
        <w:spacing w:line="360" w:lineRule="auto"/>
        <w:jc w:val="both"/>
        <w:rPr>
          <w:rStyle w:val="HTMLTypewriter"/>
          <w:rFonts w:ascii="Book Antiqua" w:eastAsiaTheme="minorEastAsia" w:hAnsi="Book Antiqua"/>
          <w:sz w:val="24"/>
          <w:szCs w:val="24"/>
          <w:lang w:eastAsia="zh-CN"/>
        </w:rPr>
      </w:pPr>
      <w:r w:rsidRPr="005868A4">
        <w:rPr>
          <w:rFonts w:ascii="Book Antiqua" w:hAnsi="Book Antiqua"/>
          <w:bCs/>
          <w:lang w:val="pt-BR"/>
        </w:rPr>
        <w:t>Safdar</w:t>
      </w:r>
      <w:r w:rsidRPr="005868A4">
        <w:rPr>
          <w:rFonts w:ascii="Book Antiqua" w:eastAsiaTheme="minorEastAsia" w:hAnsi="Book Antiqua"/>
          <w:bCs/>
          <w:lang w:val="pt-BR" w:eastAsia="zh-CN"/>
        </w:rPr>
        <w:t xml:space="preserve"> OY</w:t>
      </w:r>
      <w:r w:rsidRPr="005868A4">
        <w:rPr>
          <w:rFonts w:ascii="Book Antiqua" w:hAnsi="Book Antiqua"/>
          <w:bCs/>
          <w:lang w:val="pt-BR"/>
        </w:rPr>
        <w:t>, Aboualhameael</w:t>
      </w:r>
      <w:r w:rsidRPr="005868A4">
        <w:rPr>
          <w:rFonts w:ascii="Book Antiqua" w:eastAsiaTheme="minorEastAsia" w:hAnsi="Book Antiqua"/>
          <w:bCs/>
          <w:lang w:val="pt-BR" w:eastAsia="zh-CN"/>
        </w:rPr>
        <w:t xml:space="preserve"> A</w:t>
      </w:r>
      <w:r w:rsidRPr="005868A4">
        <w:rPr>
          <w:rFonts w:ascii="Book Antiqua" w:hAnsi="Book Antiqua"/>
          <w:bCs/>
          <w:lang w:val="pt-BR"/>
        </w:rPr>
        <w:t>, Kari</w:t>
      </w:r>
      <w:r w:rsidRPr="005868A4">
        <w:rPr>
          <w:rFonts w:ascii="Book Antiqua" w:eastAsiaTheme="minorEastAsia" w:hAnsi="Book Antiqua"/>
          <w:bCs/>
          <w:lang w:val="pt-BR" w:eastAsia="zh-CN"/>
        </w:rPr>
        <w:t xml:space="preserve"> JA. </w:t>
      </w:r>
      <w:r w:rsidRPr="00C02E01">
        <w:rPr>
          <w:rFonts w:ascii="Book Antiqua" w:hAnsi="Book Antiqua"/>
          <w:bCs/>
          <w:shd w:val="clear" w:color="auto" w:fill="FFFFFF"/>
        </w:rPr>
        <w:t>Rituximab for troublesome cases of childhood nephrotic syndrome</w:t>
      </w:r>
      <w:r w:rsidRPr="00C02E01">
        <w:rPr>
          <w:rFonts w:ascii="Book Antiqua" w:eastAsiaTheme="minorEastAsia" w:hAnsi="Book Antiqua"/>
          <w:bCs/>
          <w:shd w:val="clear" w:color="auto" w:fill="FFFFFF"/>
          <w:lang w:eastAsia="zh-CN"/>
        </w:rPr>
        <w:t xml:space="preserve">. </w:t>
      </w:r>
      <w:r w:rsidRPr="005868A4">
        <w:rPr>
          <w:rFonts w:ascii="Book Antiqua" w:hAnsi="Book Antiqua"/>
          <w:i/>
          <w:iCs/>
        </w:rPr>
        <w:t>World J Clin Pediatr</w:t>
      </w:r>
      <w:r w:rsidRPr="005868A4">
        <w:rPr>
          <w:rFonts w:ascii="Book Antiqua" w:eastAsiaTheme="minorEastAsia" w:hAnsi="Book Antiqua"/>
          <w:i/>
          <w:iCs/>
          <w:lang w:eastAsia="zh-CN"/>
        </w:rPr>
        <w:t xml:space="preserve"> </w:t>
      </w:r>
      <w:r w:rsidRPr="005868A4">
        <w:rPr>
          <w:rFonts w:ascii="Book Antiqua" w:eastAsiaTheme="minorEastAsia" w:hAnsi="Book Antiqua"/>
          <w:iCs/>
          <w:lang w:eastAsia="zh-CN"/>
        </w:rPr>
        <w:t>2014,</w:t>
      </w:r>
      <w:r w:rsidRPr="005868A4">
        <w:rPr>
          <w:rFonts w:ascii="Book Antiqua" w:eastAsiaTheme="minorEastAsia" w:hAnsi="Book Antiqua"/>
          <w:i/>
          <w:iCs/>
          <w:lang w:eastAsia="zh-CN"/>
        </w:rPr>
        <w:t xml:space="preserve"> In press</w:t>
      </w:r>
    </w:p>
    <w:p w:rsidR="00777114" w:rsidRPr="005868A4" w:rsidRDefault="00777114" w:rsidP="005868A4">
      <w:pPr>
        <w:spacing w:line="360" w:lineRule="auto"/>
        <w:jc w:val="both"/>
        <w:rPr>
          <w:rStyle w:val="HTMLTypewriter"/>
          <w:rFonts w:ascii="Book Antiqua" w:eastAsiaTheme="minorEastAsia" w:hAnsi="Book Antiqua" w:cs="Times New Roman"/>
          <w:sz w:val="24"/>
          <w:szCs w:val="24"/>
          <w:lang w:eastAsia="zh-CN"/>
        </w:rPr>
      </w:pPr>
    </w:p>
    <w:p w:rsidR="00E23392" w:rsidRPr="005868A4" w:rsidRDefault="00E23392" w:rsidP="005868A4">
      <w:pPr>
        <w:spacing w:line="360" w:lineRule="auto"/>
        <w:jc w:val="both"/>
        <w:rPr>
          <w:rFonts w:ascii="Book Antiqua" w:hAnsi="Book Antiqua"/>
        </w:rPr>
      </w:pPr>
      <w:r w:rsidRPr="005868A4">
        <w:rPr>
          <w:rFonts w:ascii="Book Antiqua" w:hAnsi="Book Antiqua"/>
          <w:b/>
        </w:rPr>
        <w:t>INTRODUCTION</w:t>
      </w:r>
    </w:p>
    <w:p w:rsidR="00E23392" w:rsidRPr="005868A4" w:rsidRDefault="00E23392" w:rsidP="005868A4">
      <w:pPr>
        <w:spacing w:line="360" w:lineRule="auto"/>
        <w:jc w:val="both"/>
        <w:rPr>
          <w:rFonts w:ascii="Book Antiqua" w:hAnsi="Book Antiqua"/>
        </w:rPr>
      </w:pPr>
      <w:r w:rsidRPr="005868A4">
        <w:rPr>
          <w:rFonts w:ascii="Book Antiqua" w:hAnsi="Book Antiqua"/>
        </w:rPr>
        <w:t>Nephrotic syndrome</w:t>
      </w:r>
      <w:r w:rsidR="00D574A6" w:rsidRPr="005868A4">
        <w:rPr>
          <w:rFonts w:ascii="Book Antiqua" w:eastAsiaTheme="minorEastAsia" w:hAnsi="Book Antiqua"/>
          <w:lang w:eastAsia="zh-CN"/>
        </w:rPr>
        <w:t xml:space="preserve"> (NS)</w:t>
      </w:r>
      <w:r w:rsidRPr="005868A4">
        <w:rPr>
          <w:rFonts w:ascii="Book Antiqua" w:hAnsi="Book Antiqua"/>
        </w:rPr>
        <w:t xml:space="preserve"> is the most common glomerular disease of childhood. </w:t>
      </w:r>
      <w:r w:rsidR="008533D9" w:rsidRPr="005868A4">
        <w:rPr>
          <w:rFonts w:ascii="Book Antiqua" w:hAnsi="Book Antiqua"/>
        </w:rPr>
        <w:t>Although long-term outcomes are favorable, a significant proportion of patients develops steroid-dependent disease or frequent relapses and is at high risk for prolonged steroid exposure</w:t>
      </w:r>
      <w:r w:rsidR="008D3E76" w:rsidRPr="005868A4">
        <w:rPr>
          <w:rFonts w:ascii="Book Antiqua" w:hAnsi="Book Antiqua"/>
        </w:rPr>
        <w:t xml:space="preserve">. </w:t>
      </w:r>
      <w:r w:rsidRPr="005868A4">
        <w:rPr>
          <w:rFonts w:ascii="Book Antiqua" w:hAnsi="Book Antiqua"/>
        </w:rPr>
        <w:t xml:space="preserve">Such patients develop steroid toxicity, including hypertension and growth </w:t>
      </w:r>
      <w:r w:rsidR="001D1058" w:rsidRPr="005868A4">
        <w:rPr>
          <w:rFonts w:ascii="Book Antiqua" w:hAnsi="Book Antiqua"/>
        </w:rPr>
        <w:t>arrest</w:t>
      </w:r>
      <w:r w:rsidRPr="005868A4">
        <w:rPr>
          <w:rFonts w:ascii="Book Antiqua" w:hAnsi="Book Antiqua"/>
          <w:vertAlign w:val="superscript"/>
        </w:rPr>
        <w:t>[1]</w:t>
      </w:r>
      <w:r w:rsidRPr="005868A4">
        <w:rPr>
          <w:rFonts w:ascii="Book Antiqua" w:hAnsi="Book Antiqua"/>
        </w:rPr>
        <w:t>. Approximately 10</w:t>
      </w:r>
      <w:r w:rsidR="00C02E01">
        <w:rPr>
          <w:rFonts w:ascii="Book Antiqua" w:eastAsiaTheme="minorEastAsia" w:hAnsi="Book Antiqua" w:hint="eastAsia"/>
          <w:lang w:eastAsia="zh-CN"/>
        </w:rPr>
        <w:t>%</w:t>
      </w:r>
      <w:r w:rsidRPr="005868A4">
        <w:rPr>
          <w:rFonts w:ascii="Book Antiqua" w:hAnsi="Book Antiqua"/>
        </w:rPr>
        <w:t xml:space="preserve">-20% of patients with nephrotic syndrome do not respond to steroid therapy (steroid-resistant disease); such patients are at a significant risk of developing end-stage renal </w:t>
      </w:r>
      <w:r w:rsidR="001D1058" w:rsidRPr="005868A4">
        <w:rPr>
          <w:rFonts w:ascii="Book Antiqua" w:hAnsi="Book Antiqua"/>
        </w:rPr>
        <w:t>failure</w:t>
      </w:r>
      <w:r w:rsidR="001D1058" w:rsidRPr="005868A4">
        <w:rPr>
          <w:rFonts w:ascii="Book Antiqua" w:hAnsi="Book Antiqua"/>
          <w:vertAlign w:val="superscript"/>
        </w:rPr>
        <w:t>[</w:t>
      </w:r>
      <w:r w:rsidRPr="005868A4">
        <w:rPr>
          <w:rFonts w:ascii="Book Antiqua" w:hAnsi="Book Antiqua"/>
          <w:vertAlign w:val="superscript"/>
        </w:rPr>
        <w:t>2]</w:t>
      </w:r>
      <w:r w:rsidRPr="005868A4">
        <w:rPr>
          <w:rFonts w:ascii="Book Antiqua" w:hAnsi="Book Antiqua"/>
        </w:rPr>
        <w:t xml:space="preserve">. Currently used second line agents for the long-term treatment </w:t>
      </w:r>
      <w:r w:rsidR="00E21217" w:rsidRPr="005868A4">
        <w:rPr>
          <w:rFonts w:ascii="Book Antiqua" w:hAnsi="Book Antiqua"/>
        </w:rPr>
        <w:t xml:space="preserve">of </w:t>
      </w:r>
      <w:r w:rsidRPr="005868A4">
        <w:rPr>
          <w:rFonts w:ascii="Book Antiqua" w:hAnsi="Book Antiqua"/>
        </w:rPr>
        <w:t>patients with complicated nephrotic syndrome, such as calcineurin inhibitors (CNI), mycophenolate mofetil (MMF), levamisol</w:t>
      </w:r>
      <w:r w:rsidR="00AB2DB9" w:rsidRPr="005868A4">
        <w:rPr>
          <w:rFonts w:ascii="Book Antiqua" w:hAnsi="Book Antiqua"/>
        </w:rPr>
        <w:t>e</w:t>
      </w:r>
      <w:r w:rsidRPr="005868A4">
        <w:rPr>
          <w:rFonts w:ascii="Book Antiqua" w:hAnsi="Book Antiqua"/>
        </w:rPr>
        <w:t xml:space="preserve"> and others</w:t>
      </w:r>
      <w:r w:rsidR="0012296A" w:rsidRPr="005868A4">
        <w:rPr>
          <w:rFonts w:ascii="Book Antiqua" w:hAnsi="Book Antiqua"/>
        </w:rPr>
        <w:t>,</w:t>
      </w:r>
      <w:r w:rsidRPr="005868A4">
        <w:rPr>
          <w:rFonts w:ascii="Book Antiqua" w:hAnsi="Book Antiqua"/>
        </w:rPr>
        <w:t xml:space="preserve"> suppress or control proteinuria. However, these immunosuppressive agents have their own adverse systemic effects, including nephrotoxicity with CNI; G</w:t>
      </w:r>
      <w:r w:rsidR="00CA06E6" w:rsidRPr="005868A4">
        <w:rPr>
          <w:rFonts w:ascii="Book Antiqua" w:hAnsi="Book Antiqua"/>
        </w:rPr>
        <w:t>astrointestinal upset</w:t>
      </w:r>
      <w:r w:rsidRPr="005868A4">
        <w:rPr>
          <w:rFonts w:ascii="Book Antiqua" w:hAnsi="Book Antiqua"/>
        </w:rPr>
        <w:t xml:space="preserve"> with MMF, and leukopenia with levamisole. No high</w:t>
      </w:r>
      <w:r w:rsidR="00842BD1" w:rsidRPr="005868A4">
        <w:rPr>
          <w:rFonts w:ascii="Book Antiqua" w:hAnsi="Book Antiqua"/>
        </w:rPr>
        <w:t>-</w:t>
      </w:r>
      <w:r w:rsidRPr="005868A4">
        <w:rPr>
          <w:rFonts w:ascii="Book Antiqua" w:hAnsi="Book Antiqua"/>
        </w:rPr>
        <w:t>quality randomized controlled trials have performed head-to-head comparisons to establish the superior efficacy or safety of one immunosuppressive agent over its counterparts. None of these agents “cure” the disorde</w:t>
      </w:r>
      <w:r w:rsidR="00D574A6" w:rsidRPr="005868A4">
        <w:rPr>
          <w:rFonts w:ascii="Book Antiqua" w:eastAsiaTheme="minorEastAsia" w:hAnsi="Book Antiqua"/>
          <w:lang w:eastAsia="zh-CN"/>
        </w:rPr>
        <w:t>r</w:t>
      </w:r>
      <w:r w:rsidRPr="005868A4">
        <w:rPr>
          <w:rFonts w:ascii="Book Antiqua" w:hAnsi="Book Antiqua"/>
        </w:rPr>
        <w:t xml:space="preserve">, and their exact mechanism of action in nephrotic syndrome is still largely unknown. Most patients experience a recurrence of proteinuria or nephrotic syndrome after medications are discontinued. </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Rituximab (RTX) is a chimeric, monoclonal anti-CD20 antibody that targets B lymphocytes and causes Fc-mediated cell </w:t>
      </w:r>
      <w:r w:rsidR="007A12A9" w:rsidRPr="005868A4">
        <w:rPr>
          <w:rFonts w:ascii="Book Antiqua" w:hAnsi="Book Antiqua"/>
        </w:rPr>
        <w:t>lysis</w:t>
      </w:r>
      <w:r w:rsidR="007A12A9" w:rsidRPr="005868A4">
        <w:rPr>
          <w:rFonts w:ascii="Book Antiqua" w:hAnsi="Book Antiqua"/>
          <w:vertAlign w:val="superscript"/>
        </w:rPr>
        <w:t>[</w:t>
      </w:r>
      <w:r w:rsidRPr="005868A4">
        <w:rPr>
          <w:rFonts w:ascii="Book Antiqua" w:hAnsi="Book Antiqua"/>
          <w:vertAlign w:val="superscript"/>
        </w:rPr>
        <w:t>3,4]</w:t>
      </w:r>
      <w:r w:rsidRPr="005868A4">
        <w:rPr>
          <w:rFonts w:ascii="Book Antiqua" w:hAnsi="Book Antiqua"/>
        </w:rPr>
        <w:t>. It has been increasingly used in recent years to treat various immunological and non-immunological diseases. Over the last 7 years, a number of groups have shown that the depletion of CD20-positive B lymphocytes with the use of the chimeric monoclonal antibody RTX can lead to long-lasting remission of nephrotic syndrome due to minimal change disease (MCD) or focal segmental glomerulosclerosis (FSGS)</w:t>
      </w:r>
      <w:r w:rsidR="00187F15" w:rsidRPr="005868A4">
        <w:rPr>
          <w:rFonts w:ascii="Book Antiqua" w:hAnsi="Book Antiqua"/>
          <w:vertAlign w:val="superscript"/>
        </w:rPr>
        <w:t>[</w:t>
      </w:r>
      <w:r w:rsidRPr="005868A4">
        <w:rPr>
          <w:rFonts w:ascii="Book Antiqua" w:hAnsi="Book Antiqua"/>
          <w:vertAlign w:val="superscript"/>
        </w:rPr>
        <w:t>5</w:t>
      </w:r>
      <w:r w:rsidR="00187F15" w:rsidRPr="005868A4">
        <w:rPr>
          <w:rFonts w:ascii="Book Antiqua" w:hAnsi="Book Antiqua"/>
          <w:vertAlign w:val="superscript"/>
        </w:rPr>
        <w:t>-</w:t>
      </w:r>
      <w:r w:rsidRPr="005868A4">
        <w:rPr>
          <w:rFonts w:ascii="Book Antiqua" w:hAnsi="Book Antiqua"/>
          <w:vertAlign w:val="superscript"/>
        </w:rPr>
        <w:t>8]</w:t>
      </w:r>
      <w:r w:rsidRPr="005868A4">
        <w:rPr>
          <w:rFonts w:ascii="Book Antiqua" w:hAnsi="Book Antiqua"/>
        </w:rPr>
        <w:t xml:space="preserve">. </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Many years ago, Shalhoub </w:t>
      </w:r>
      <w:r w:rsidRPr="005868A4">
        <w:rPr>
          <w:rFonts w:ascii="Book Antiqua" w:hAnsi="Book Antiqua"/>
          <w:i/>
        </w:rPr>
        <w:t xml:space="preserve">et </w:t>
      </w:r>
      <w:r w:rsidR="007A12A9" w:rsidRPr="005868A4">
        <w:rPr>
          <w:rFonts w:ascii="Book Antiqua" w:hAnsi="Book Antiqua"/>
          <w:i/>
        </w:rPr>
        <w:t>al</w:t>
      </w:r>
      <w:r w:rsidR="007A12A9" w:rsidRPr="005868A4">
        <w:rPr>
          <w:rFonts w:ascii="Book Antiqua" w:hAnsi="Book Antiqua"/>
          <w:vertAlign w:val="superscript"/>
        </w:rPr>
        <w:t>[</w:t>
      </w:r>
      <w:r w:rsidR="00187F15" w:rsidRPr="005868A4">
        <w:rPr>
          <w:rFonts w:ascii="Book Antiqua" w:hAnsi="Book Antiqua"/>
          <w:vertAlign w:val="superscript"/>
        </w:rPr>
        <w:t>9</w:t>
      </w:r>
      <w:r w:rsidR="007A12A9" w:rsidRPr="005868A4">
        <w:rPr>
          <w:rFonts w:ascii="Book Antiqua" w:hAnsi="Book Antiqua"/>
          <w:vertAlign w:val="superscript"/>
        </w:rPr>
        <w:t>]</w:t>
      </w:r>
      <w:r w:rsidR="007A12A9" w:rsidRPr="005868A4">
        <w:rPr>
          <w:rFonts w:ascii="Book Antiqua" w:hAnsi="Book Antiqua"/>
        </w:rPr>
        <w:t xml:space="preserve"> proposed</w:t>
      </w:r>
      <w:r w:rsidRPr="005868A4">
        <w:rPr>
          <w:rFonts w:ascii="Book Antiqua" w:hAnsi="Book Antiqua"/>
        </w:rPr>
        <w:t xml:space="preserve"> that T-cells are the main culprit in the pathogenesis of nephrotic syndrome</w:t>
      </w:r>
      <w:r w:rsidR="008D3E76" w:rsidRPr="005868A4">
        <w:rPr>
          <w:rFonts w:ascii="Book Antiqua" w:hAnsi="Book Antiqua"/>
        </w:rPr>
        <w:t xml:space="preserve">. </w:t>
      </w:r>
      <w:r w:rsidRPr="005868A4">
        <w:rPr>
          <w:rFonts w:ascii="Book Antiqua" w:hAnsi="Book Antiqua"/>
        </w:rPr>
        <w:t xml:space="preserve">However, past evidence has shown that CD23 (a B-cell marker), is elevated during clinical relapse in steroid-dependent nephrotic </w:t>
      </w:r>
      <w:r w:rsidR="007A12A9" w:rsidRPr="005868A4">
        <w:rPr>
          <w:rFonts w:ascii="Book Antiqua" w:hAnsi="Book Antiqua"/>
        </w:rPr>
        <w:t>syndrome</w:t>
      </w:r>
      <w:r w:rsidR="007A12A9" w:rsidRPr="005868A4">
        <w:rPr>
          <w:rFonts w:ascii="Book Antiqua" w:hAnsi="Book Antiqua"/>
          <w:vertAlign w:val="superscript"/>
        </w:rPr>
        <w:t>[</w:t>
      </w:r>
      <w:r w:rsidRPr="005868A4">
        <w:rPr>
          <w:rFonts w:ascii="Book Antiqua" w:hAnsi="Book Antiqua"/>
          <w:vertAlign w:val="superscript"/>
        </w:rPr>
        <w:t>10]</w:t>
      </w:r>
      <w:r w:rsidR="008D3E76" w:rsidRPr="005868A4">
        <w:rPr>
          <w:rFonts w:ascii="Book Antiqua" w:hAnsi="Book Antiqua"/>
        </w:rPr>
        <w:t xml:space="preserve">. </w:t>
      </w:r>
      <w:r w:rsidRPr="005868A4">
        <w:rPr>
          <w:rFonts w:ascii="Book Antiqua" w:hAnsi="Book Antiqua"/>
        </w:rPr>
        <w:t>It is well known that B-cells play multiple physiological roles in immune system function. These cells are the precursors of antibody-producing cells (</w:t>
      </w:r>
      <w:r w:rsidRPr="005868A4">
        <w:rPr>
          <w:rFonts w:ascii="Book Antiqua" w:hAnsi="Book Antiqua"/>
          <w:i/>
        </w:rPr>
        <w:t>i.e.,</w:t>
      </w:r>
      <w:r w:rsidRPr="005868A4">
        <w:rPr>
          <w:rFonts w:ascii="Book Antiqua" w:hAnsi="Book Antiqua"/>
        </w:rPr>
        <w:t xml:space="preserve"> plasma cells). They also serve as antigen-presenting cells and are vital to cytokine production and secretion of the co-stimulatory signals that are required for CD4 activation</w:t>
      </w:r>
      <w:r w:rsidR="008D3E76" w:rsidRPr="005868A4">
        <w:rPr>
          <w:rFonts w:ascii="Book Antiqua" w:hAnsi="Book Antiqua"/>
        </w:rPr>
        <w:t xml:space="preserve">. </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Treatment with RTX does not appear to cure nephrotic syndrome</w:t>
      </w:r>
      <w:r w:rsidR="008D3E76" w:rsidRPr="005868A4">
        <w:rPr>
          <w:rFonts w:ascii="Book Antiqua" w:hAnsi="Book Antiqua"/>
        </w:rPr>
        <w:t xml:space="preserve">. </w:t>
      </w:r>
      <w:r w:rsidRPr="005868A4">
        <w:rPr>
          <w:rFonts w:ascii="Book Antiqua" w:hAnsi="Book Antiqua"/>
        </w:rPr>
        <w:t>Patients often relapse several months following treatment with RTX (</w:t>
      </w:r>
      <w:r w:rsidR="00187F15" w:rsidRPr="005868A4">
        <w:rPr>
          <w:rFonts w:ascii="Book Antiqua" w:hAnsi="Book Antiqua"/>
        </w:rPr>
        <w:t>T</w:t>
      </w:r>
      <w:r w:rsidRPr="005868A4">
        <w:rPr>
          <w:rFonts w:ascii="Book Antiqua" w:hAnsi="Book Antiqua"/>
        </w:rPr>
        <w:t>able 1).</w:t>
      </w:r>
    </w:p>
    <w:p w:rsidR="00E23392" w:rsidRPr="005868A4" w:rsidRDefault="00E23392" w:rsidP="005868A4">
      <w:pPr>
        <w:spacing w:line="360" w:lineRule="auto"/>
        <w:ind w:firstLineChars="200" w:firstLine="480"/>
        <w:jc w:val="both"/>
        <w:rPr>
          <w:rFonts w:ascii="Book Antiqua" w:hAnsi="Book Antiqua"/>
          <w:b/>
          <w:bCs/>
        </w:rPr>
      </w:pPr>
      <w:r w:rsidRPr="005868A4">
        <w:rPr>
          <w:rFonts w:ascii="Book Antiqua" w:hAnsi="Book Antiqua"/>
        </w:rPr>
        <w:t>This review article provides insight regarding the efficacy of RTX in steroid-dependent nephrotic syndrome and examines adverse events related to the use of RTX in patients with nephrotic syndrome.</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For a better understanding of this review, it is prudent to clarify the definitions of a few key terms prior to delving into more detail regarding the core topic. </w:t>
      </w:r>
      <w:r w:rsidRPr="005868A4">
        <w:rPr>
          <w:rFonts w:ascii="Book Antiqua" w:hAnsi="Book Antiqua"/>
          <w:bCs/>
        </w:rPr>
        <w:t>Steroid dependent-nephrotic syndrome</w:t>
      </w:r>
      <w:r w:rsidRPr="005868A4">
        <w:rPr>
          <w:rFonts w:ascii="Book Antiqua" w:hAnsi="Book Antiqua"/>
        </w:rPr>
        <w:t xml:space="preserve"> (SDNS) has been defined according to the Arbeitsgemeinschaft </w:t>
      </w:r>
      <w:r w:rsidR="006D07F5" w:rsidRPr="005868A4">
        <w:rPr>
          <w:rFonts w:ascii="Book Antiqua" w:hAnsi="Book Antiqua"/>
        </w:rPr>
        <w:t xml:space="preserve">für Pädiatrische Nephrologie standard definition as at least two relapses </w:t>
      </w:r>
      <w:r w:rsidRPr="005868A4">
        <w:rPr>
          <w:rFonts w:ascii="Book Antiqua" w:hAnsi="Book Antiqua"/>
        </w:rPr>
        <w:t xml:space="preserve">with </w:t>
      </w:r>
      <w:r w:rsidR="006D07F5" w:rsidRPr="005868A4">
        <w:rPr>
          <w:rFonts w:ascii="Book Antiqua" w:hAnsi="Book Antiqua"/>
        </w:rPr>
        <w:t>alternate</w:t>
      </w:r>
      <w:r w:rsidRPr="005868A4">
        <w:rPr>
          <w:rFonts w:ascii="Book Antiqua" w:hAnsi="Book Antiqua"/>
        </w:rPr>
        <w:t xml:space="preserve">-day prednisone treatment </w:t>
      </w:r>
      <w:r w:rsidR="006D07F5" w:rsidRPr="005868A4">
        <w:rPr>
          <w:rFonts w:ascii="Book Antiqua" w:hAnsi="Book Antiqua"/>
        </w:rPr>
        <w:t>(40 mg/m</w:t>
      </w:r>
      <w:r w:rsidR="006D07F5" w:rsidRPr="005868A4">
        <w:rPr>
          <w:rFonts w:ascii="Book Antiqua" w:hAnsi="Book Antiqua"/>
          <w:vertAlign w:val="superscript"/>
        </w:rPr>
        <w:t>2</w:t>
      </w:r>
      <w:r w:rsidRPr="005868A4">
        <w:rPr>
          <w:rFonts w:ascii="Book Antiqua" w:hAnsi="Book Antiqua"/>
        </w:rPr>
        <w:t xml:space="preserve">) </w:t>
      </w:r>
      <w:r w:rsidR="006D07F5" w:rsidRPr="005868A4">
        <w:rPr>
          <w:rFonts w:ascii="Book Antiqua" w:hAnsi="Book Antiqua"/>
        </w:rPr>
        <w:t xml:space="preserve">or within 14 d after stopping this treatment. Frequent relapsing nephrotic syndrome has been defined as 2 or more </w:t>
      </w:r>
      <w:r w:rsidRPr="005868A4">
        <w:rPr>
          <w:rFonts w:ascii="Book Antiqua" w:hAnsi="Book Antiqua"/>
        </w:rPr>
        <w:t>relapses</w:t>
      </w:r>
      <w:r w:rsidR="006D07F5" w:rsidRPr="005868A4">
        <w:rPr>
          <w:rFonts w:ascii="Book Antiqua" w:hAnsi="Book Antiqua"/>
        </w:rPr>
        <w:t xml:space="preserve"> within 6 mo and/or 4 or more relapses within 12 mo. Steroid</w:t>
      </w:r>
      <w:r w:rsidRPr="005868A4">
        <w:rPr>
          <w:rFonts w:ascii="Book Antiqua" w:hAnsi="Book Antiqua"/>
          <w:bCs/>
        </w:rPr>
        <w:t>-</w:t>
      </w:r>
      <w:r w:rsidR="006D07F5" w:rsidRPr="005868A4">
        <w:rPr>
          <w:rFonts w:ascii="Book Antiqua" w:hAnsi="Book Antiqua"/>
        </w:rPr>
        <w:t xml:space="preserve">resistant nephrotic syndrome has been defined as </w:t>
      </w:r>
      <w:r w:rsidRPr="005868A4">
        <w:rPr>
          <w:rFonts w:ascii="Book Antiqua" w:hAnsi="Book Antiqua"/>
        </w:rPr>
        <w:t xml:space="preserve">a </w:t>
      </w:r>
      <w:r w:rsidR="006D07F5" w:rsidRPr="005868A4">
        <w:rPr>
          <w:rFonts w:ascii="Book Antiqua" w:hAnsi="Book Antiqua"/>
        </w:rPr>
        <w:t xml:space="preserve">lack of remission (urine albumin nil/trace by dipstick for 3 consecutive days) despite therapy with prednisone at 2 mg/kg per day for 4 </w:t>
      </w:r>
      <w:r w:rsidR="00120DC3" w:rsidRPr="005868A4">
        <w:rPr>
          <w:rFonts w:ascii="Book Antiqua" w:hAnsi="Book Antiqua"/>
        </w:rPr>
        <w:t>w</w:t>
      </w:r>
      <w:r w:rsidR="00120DC3" w:rsidRPr="005868A4">
        <w:rPr>
          <w:rFonts w:ascii="Book Antiqua" w:eastAsiaTheme="minorEastAsia" w:hAnsi="Book Antiqua"/>
          <w:lang w:eastAsia="zh-CN"/>
        </w:rPr>
        <w:t>k</w:t>
      </w:r>
      <w:r w:rsidR="006D07F5" w:rsidRPr="005868A4">
        <w:rPr>
          <w:rFonts w:ascii="Book Antiqua" w:hAnsi="Book Antiqua"/>
        </w:rPr>
        <w:t>.</w:t>
      </w:r>
    </w:p>
    <w:p w:rsidR="00E23392" w:rsidRPr="005868A4" w:rsidRDefault="00E23392" w:rsidP="005868A4">
      <w:pPr>
        <w:spacing w:line="360" w:lineRule="auto"/>
        <w:jc w:val="both"/>
        <w:rPr>
          <w:rFonts w:ascii="Book Antiqua" w:hAnsi="Book Antiqua"/>
        </w:rPr>
      </w:pPr>
    </w:p>
    <w:p w:rsidR="00E23392" w:rsidRPr="005868A4" w:rsidRDefault="00E23392" w:rsidP="005868A4">
      <w:pPr>
        <w:spacing w:line="360" w:lineRule="auto"/>
        <w:jc w:val="both"/>
        <w:rPr>
          <w:rFonts w:ascii="Book Antiqua" w:hAnsi="Book Antiqua"/>
          <w:b/>
          <w:bCs/>
        </w:rPr>
      </w:pPr>
      <w:r w:rsidRPr="005868A4">
        <w:rPr>
          <w:rFonts w:ascii="Book Antiqua" w:hAnsi="Book Antiqua"/>
          <w:b/>
          <w:bCs/>
        </w:rPr>
        <w:t>METHOD</w:t>
      </w:r>
    </w:p>
    <w:p w:rsidR="00E23392" w:rsidRPr="005868A4" w:rsidRDefault="00E23392" w:rsidP="005868A4">
      <w:pPr>
        <w:spacing w:line="360" w:lineRule="auto"/>
        <w:jc w:val="both"/>
        <w:rPr>
          <w:rFonts w:ascii="Book Antiqua" w:hAnsi="Book Antiqua"/>
          <w:b/>
          <w:bCs/>
        </w:rPr>
      </w:pPr>
      <w:r w:rsidRPr="005868A4">
        <w:rPr>
          <w:rFonts w:ascii="Book Antiqua" w:hAnsi="Book Antiqua"/>
        </w:rPr>
        <w:t xml:space="preserve">We searched medical databases including PubMed and Medline to identify studies that addressed the efficacy and safety of RTX in children. The search words were "Nephrotic syndrome", "Steroid dependent", "Steroid resistant", "Children", "Rituximab and adverse effect” and "RTX". We included randomized clinical trials and case series. The full texts of all potentially relevant abstracts were retrieved for further review. </w:t>
      </w:r>
    </w:p>
    <w:p w:rsidR="00E23392" w:rsidRPr="005868A4" w:rsidRDefault="00E23392" w:rsidP="005868A4">
      <w:pPr>
        <w:spacing w:line="360" w:lineRule="auto"/>
        <w:jc w:val="both"/>
        <w:rPr>
          <w:rFonts w:ascii="Book Antiqua" w:hAnsi="Book Antiqua"/>
        </w:rPr>
      </w:pPr>
    </w:p>
    <w:p w:rsidR="00E23392" w:rsidRPr="005868A4" w:rsidRDefault="00E23392" w:rsidP="005868A4">
      <w:pPr>
        <w:autoSpaceDE w:val="0"/>
        <w:autoSpaceDN w:val="0"/>
        <w:adjustRightInd w:val="0"/>
        <w:spacing w:line="360" w:lineRule="auto"/>
        <w:jc w:val="both"/>
        <w:rPr>
          <w:rFonts w:ascii="Book Antiqua" w:hAnsi="Book Antiqua"/>
        </w:rPr>
      </w:pPr>
      <w:r w:rsidRPr="005868A4">
        <w:rPr>
          <w:rFonts w:ascii="Book Antiqua" w:hAnsi="Book Antiqua"/>
          <w:b/>
          <w:bCs/>
        </w:rPr>
        <w:t>STEROID DEPENDENT NEPHROTIC SYNDROME</w:t>
      </w:r>
    </w:p>
    <w:p w:rsidR="00E23392" w:rsidRPr="005868A4" w:rsidRDefault="00E23392" w:rsidP="005868A4">
      <w:pPr>
        <w:autoSpaceDE w:val="0"/>
        <w:autoSpaceDN w:val="0"/>
        <w:adjustRightInd w:val="0"/>
        <w:spacing w:line="360" w:lineRule="auto"/>
        <w:jc w:val="both"/>
        <w:rPr>
          <w:rFonts w:ascii="Book Antiqua" w:hAnsi="Book Antiqua"/>
        </w:rPr>
      </w:pPr>
      <w:r w:rsidRPr="005868A4">
        <w:rPr>
          <w:rFonts w:ascii="Book Antiqua" w:hAnsi="Book Antiqua"/>
        </w:rPr>
        <w:t>The literature review showed that past evidence favors the use of RTX as a promising agent for maintaining remission in SDNS. RTX seems to be effective in terms of reducing relapses and reducing the required steroid dose.</w:t>
      </w:r>
    </w:p>
    <w:p w:rsidR="00E23392" w:rsidRPr="005868A4" w:rsidRDefault="00E23392" w:rsidP="005868A4">
      <w:pPr>
        <w:autoSpaceDE w:val="0"/>
        <w:autoSpaceDN w:val="0"/>
        <w:adjustRightInd w:val="0"/>
        <w:spacing w:line="360" w:lineRule="auto"/>
        <w:ind w:firstLineChars="200" w:firstLine="480"/>
        <w:jc w:val="both"/>
        <w:rPr>
          <w:rFonts w:ascii="Book Antiqua" w:hAnsi="Book Antiqua"/>
        </w:rPr>
      </w:pPr>
      <w:r w:rsidRPr="005868A4">
        <w:rPr>
          <w:rFonts w:ascii="Book Antiqua" w:hAnsi="Book Antiqua" w:cs="Arial"/>
        </w:rPr>
        <w:t xml:space="preserve">In a recent multicenter, double-blind randomized controlled trial, Iijima </w:t>
      </w:r>
      <w:r w:rsidRPr="005868A4">
        <w:rPr>
          <w:rFonts w:ascii="Book Antiqua" w:hAnsi="Book Antiqua" w:cs="Arial"/>
          <w:i/>
        </w:rPr>
        <w:t>et al</w:t>
      </w:r>
      <w:r w:rsidRPr="005868A4">
        <w:rPr>
          <w:rFonts w:ascii="Book Antiqua" w:hAnsi="Book Antiqua"/>
          <w:vertAlign w:val="superscript"/>
        </w:rPr>
        <w:t>[11]</w:t>
      </w:r>
      <w:r w:rsidRPr="005868A4">
        <w:rPr>
          <w:rFonts w:ascii="Book Antiqua" w:hAnsi="Book Antiqua" w:cs="Arial"/>
        </w:rPr>
        <w:t xml:space="preserve"> showed that RTX is effective and safe in children with SDNS and frequent relapsing nephr</w:t>
      </w:r>
      <w:r w:rsidR="00E40EC4" w:rsidRPr="005868A4">
        <w:rPr>
          <w:rFonts w:ascii="Book Antiqua" w:hAnsi="Book Antiqua" w:cs="Arial"/>
        </w:rPr>
        <w:t>o</w:t>
      </w:r>
      <w:r w:rsidRPr="005868A4">
        <w:rPr>
          <w:rFonts w:ascii="Book Antiqua" w:hAnsi="Book Antiqua" w:cs="Arial"/>
        </w:rPr>
        <w:t>tic syndrome. A total of 48 patients were enrolled (24 received RTX, and 24 received placebo). Patients receiving RTX had a longer median relapse-free period compared to placebo (267</w:t>
      </w:r>
      <w:r w:rsidR="00DB601A" w:rsidRPr="005868A4">
        <w:rPr>
          <w:rFonts w:ascii="Book Antiqua" w:eastAsiaTheme="minorEastAsia" w:hAnsi="Book Antiqua" w:cs="Arial"/>
          <w:lang w:eastAsia="zh-CN"/>
        </w:rPr>
        <w:t xml:space="preserve"> d</w:t>
      </w:r>
      <w:r w:rsidRPr="005868A4">
        <w:rPr>
          <w:rFonts w:ascii="Book Antiqua" w:hAnsi="Book Antiqua" w:cs="Arial"/>
        </w:rPr>
        <w:t xml:space="preserve"> </w:t>
      </w:r>
      <w:r w:rsidR="00DB601A" w:rsidRPr="005868A4">
        <w:rPr>
          <w:rFonts w:ascii="Book Antiqua" w:hAnsi="Book Antiqua" w:cs="Arial"/>
          <w:i/>
        </w:rPr>
        <w:t>v</w:t>
      </w:r>
      <w:r w:rsidR="00DB601A" w:rsidRPr="005868A4">
        <w:rPr>
          <w:rFonts w:ascii="Book Antiqua" w:eastAsiaTheme="minorEastAsia" w:hAnsi="Book Antiqua" w:cs="Arial"/>
          <w:i/>
          <w:lang w:eastAsia="zh-CN"/>
        </w:rPr>
        <w:t>s</w:t>
      </w:r>
      <w:r w:rsidR="00DB601A" w:rsidRPr="005868A4">
        <w:rPr>
          <w:rFonts w:ascii="Book Antiqua" w:hAnsi="Book Antiqua" w:cs="Arial"/>
        </w:rPr>
        <w:t xml:space="preserve"> </w:t>
      </w:r>
      <w:r w:rsidRPr="005868A4">
        <w:rPr>
          <w:rFonts w:ascii="Book Antiqua" w:hAnsi="Book Antiqua" w:cs="Arial"/>
        </w:rPr>
        <w:t xml:space="preserve">101 d; </w:t>
      </w:r>
      <w:r w:rsidR="008D3E76" w:rsidRPr="005868A4">
        <w:rPr>
          <w:rFonts w:ascii="Book Antiqua" w:hAnsi="Book Antiqua" w:cs="Arial"/>
          <w:i/>
        </w:rPr>
        <w:t>P</w:t>
      </w:r>
      <w:r w:rsidRPr="005868A4">
        <w:rPr>
          <w:rFonts w:ascii="Book Antiqua" w:hAnsi="Book Antiqua" w:cs="Arial"/>
        </w:rPr>
        <w:t>-value &lt;</w:t>
      </w:r>
      <w:r w:rsidR="008D3E76" w:rsidRPr="005868A4">
        <w:rPr>
          <w:rFonts w:ascii="Book Antiqua" w:hAnsi="Book Antiqua" w:cs="Arial"/>
        </w:rPr>
        <w:t xml:space="preserve"> </w:t>
      </w:r>
      <w:r w:rsidRPr="005868A4">
        <w:rPr>
          <w:rFonts w:ascii="Book Antiqua" w:hAnsi="Book Antiqua" w:cs="Arial"/>
        </w:rPr>
        <w:t xml:space="preserve">0.0008). Ten patients (42%) treated with RTX developed at least one serious adverse event, compared to 6 patients in the placebo group (25%); this difference was not statistically significant, with a </w:t>
      </w:r>
      <w:r w:rsidR="00DB601A" w:rsidRPr="005868A4">
        <w:rPr>
          <w:rFonts w:ascii="Book Antiqua" w:eastAsiaTheme="minorEastAsia" w:hAnsi="Book Antiqua" w:cs="Arial"/>
          <w:i/>
          <w:lang w:eastAsia="zh-CN"/>
        </w:rPr>
        <w:t>P</w:t>
      </w:r>
      <w:r w:rsidRPr="005868A4">
        <w:rPr>
          <w:rFonts w:ascii="Book Antiqua" w:hAnsi="Book Antiqua" w:cs="Arial"/>
        </w:rPr>
        <w:t>-value of &gt;</w:t>
      </w:r>
      <w:r w:rsidR="00120DC3" w:rsidRPr="005868A4">
        <w:rPr>
          <w:rFonts w:ascii="Book Antiqua" w:eastAsiaTheme="minorEastAsia" w:hAnsi="Book Antiqua" w:cs="Arial"/>
          <w:lang w:eastAsia="zh-CN"/>
        </w:rPr>
        <w:t xml:space="preserve"> </w:t>
      </w:r>
      <w:r w:rsidRPr="005868A4">
        <w:rPr>
          <w:rFonts w:ascii="Book Antiqua" w:hAnsi="Book Antiqua" w:cs="Arial"/>
        </w:rPr>
        <w:t>0.36</w:t>
      </w:r>
      <w:r w:rsidR="00C02E01">
        <w:rPr>
          <w:rFonts w:ascii="Book Antiqua" w:hAnsi="Book Antiqua" w:cs="Arial"/>
        </w:rPr>
        <w:t xml:space="preserve"> (</w:t>
      </w:r>
      <w:r w:rsidR="008576FF" w:rsidRPr="005868A4">
        <w:rPr>
          <w:rFonts w:ascii="Book Antiqua" w:hAnsi="Book Antiqua" w:cs="Arial"/>
        </w:rPr>
        <w:t>T</w:t>
      </w:r>
      <w:r w:rsidRPr="005868A4">
        <w:rPr>
          <w:rFonts w:ascii="Book Antiqua" w:hAnsi="Book Antiqua" w:cs="Arial"/>
        </w:rPr>
        <w:t>able 1).</w:t>
      </w:r>
    </w:p>
    <w:p w:rsidR="00E23392" w:rsidRPr="005868A4" w:rsidRDefault="00E23392" w:rsidP="005868A4">
      <w:pPr>
        <w:autoSpaceDE w:val="0"/>
        <w:autoSpaceDN w:val="0"/>
        <w:adjustRightInd w:val="0"/>
        <w:spacing w:line="360" w:lineRule="auto"/>
        <w:ind w:firstLineChars="200" w:firstLine="480"/>
        <w:jc w:val="both"/>
        <w:rPr>
          <w:rFonts w:ascii="Book Antiqua" w:hAnsi="Book Antiqua"/>
        </w:rPr>
      </w:pPr>
      <w:r w:rsidRPr="005868A4">
        <w:rPr>
          <w:rFonts w:ascii="Book Antiqua" w:hAnsi="Book Antiqua"/>
        </w:rPr>
        <w:t xml:space="preserve">Guigonis </w:t>
      </w:r>
      <w:r w:rsidRPr="005868A4">
        <w:rPr>
          <w:rFonts w:ascii="Book Antiqua" w:hAnsi="Book Antiqua"/>
          <w:i/>
        </w:rPr>
        <w:t>et al</w:t>
      </w:r>
      <w:r w:rsidRPr="005868A4">
        <w:rPr>
          <w:rFonts w:ascii="Book Antiqua" w:hAnsi="Book Antiqua"/>
          <w:vertAlign w:val="superscript"/>
        </w:rPr>
        <w:t>[5]</w:t>
      </w:r>
      <w:r w:rsidRPr="005868A4">
        <w:rPr>
          <w:rFonts w:ascii="Book Antiqua" w:hAnsi="Book Antiqua"/>
        </w:rPr>
        <w:t xml:space="preserve"> demonstrated the efficacy of RTX in maintaining prolonged and effective remission in 22 children with steroid- or cyclosporine-dependent nephrotic syndrome. One or more immunosuppressive treatments could be withdrawn in 19 of these 22 patients (85%), with no relapse of proteinuria and without increasing the doses of other immunosuppressive drugs (</w:t>
      </w:r>
      <w:r w:rsidR="008576FF" w:rsidRPr="005868A4">
        <w:rPr>
          <w:rFonts w:ascii="Book Antiqua" w:hAnsi="Book Antiqua"/>
        </w:rPr>
        <w:t>T</w:t>
      </w:r>
      <w:r w:rsidRPr="005868A4">
        <w:rPr>
          <w:rFonts w:ascii="Book Antiqua" w:hAnsi="Book Antiqua"/>
        </w:rPr>
        <w:t>able 1).</w:t>
      </w:r>
    </w:p>
    <w:p w:rsidR="00E23392" w:rsidRPr="005868A4" w:rsidRDefault="00E23392" w:rsidP="005868A4">
      <w:pPr>
        <w:shd w:val="clear" w:color="auto" w:fill="FFFFFF"/>
        <w:spacing w:line="360" w:lineRule="auto"/>
        <w:ind w:firstLineChars="200" w:firstLine="480"/>
        <w:jc w:val="both"/>
        <w:rPr>
          <w:rFonts w:ascii="Book Antiqua" w:hAnsi="Book Antiqua"/>
        </w:rPr>
      </w:pPr>
      <w:r w:rsidRPr="005868A4">
        <w:rPr>
          <w:rFonts w:ascii="Book Antiqua" w:hAnsi="Book Antiqua"/>
        </w:rPr>
        <w:t xml:space="preserve">Gulati </w:t>
      </w:r>
      <w:r w:rsidRPr="005868A4">
        <w:rPr>
          <w:rFonts w:ascii="Book Antiqua" w:hAnsi="Book Antiqua"/>
          <w:i/>
        </w:rPr>
        <w:t>et al</w:t>
      </w:r>
      <w:r w:rsidRPr="005868A4">
        <w:rPr>
          <w:rFonts w:ascii="Book Antiqua" w:hAnsi="Book Antiqua"/>
          <w:vertAlign w:val="superscript"/>
        </w:rPr>
        <w:t>[7]</w:t>
      </w:r>
      <w:r w:rsidRPr="005868A4">
        <w:rPr>
          <w:rFonts w:ascii="Book Antiqua" w:hAnsi="Book Antiqua"/>
        </w:rPr>
        <w:t xml:space="preserve"> reported the efficacy and safety of RTX in SDNS refractory to standard therapy in a 3-year long prospective cohort study that was conducted in tertiary care centers in India and the United States. After steroid-induced remission, RTX was given at a mean dose of 400 ± 20.7 mg/wk for 2 </w:t>
      </w:r>
      <w:r w:rsidR="00120DC3" w:rsidRPr="005868A4">
        <w:rPr>
          <w:rFonts w:ascii="Book Antiqua" w:hAnsi="Book Antiqua"/>
        </w:rPr>
        <w:t>w</w:t>
      </w:r>
      <w:r w:rsidR="00120DC3" w:rsidRPr="005868A4">
        <w:rPr>
          <w:rFonts w:ascii="Book Antiqua" w:eastAsiaTheme="minorEastAsia" w:hAnsi="Book Antiqua"/>
          <w:lang w:eastAsia="zh-CN"/>
        </w:rPr>
        <w:t>k</w:t>
      </w:r>
      <w:r w:rsidRPr="005868A4">
        <w:rPr>
          <w:rFonts w:ascii="Book Antiqua" w:hAnsi="Book Antiqua"/>
        </w:rPr>
        <w:t>. After 12 mo, remission was sustained in 20 (83.3%) patients. The mean number of relapses before therapy decreased significantly (</w:t>
      </w:r>
      <w:r w:rsidRPr="005868A4">
        <w:rPr>
          <w:rFonts w:ascii="Book Antiqua" w:hAnsi="Book Antiqua"/>
          <w:i/>
          <w:iCs/>
        </w:rPr>
        <w:t>P</w:t>
      </w:r>
      <w:r w:rsidRPr="005868A4">
        <w:rPr>
          <w:rFonts w:ascii="Book Antiqua" w:hAnsi="Book Antiqua"/>
        </w:rPr>
        <w:t xml:space="preserve"> = 0.001). At a mean follow-up of 16.8 ± 5.9 mo (range, 12 to 38 mo), remission was sustained in 17 (71%) patients (</w:t>
      </w:r>
      <w:r w:rsidR="00187F15" w:rsidRPr="005868A4">
        <w:rPr>
          <w:rFonts w:ascii="Book Antiqua" w:hAnsi="Book Antiqua"/>
        </w:rPr>
        <w:t>T</w:t>
      </w:r>
      <w:r w:rsidRPr="005868A4">
        <w:rPr>
          <w:rFonts w:ascii="Book Antiqua" w:hAnsi="Book Antiqua"/>
        </w:rPr>
        <w:t>able 1).</w:t>
      </w:r>
    </w:p>
    <w:p w:rsidR="00E23392" w:rsidRPr="005868A4" w:rsidRDefault="00E23392" w:rsidP="005868A4">
      <w:pPr>
        <w:shd w:val="clear" w:color="auto" w:fill="FFFFFF"/>
        <w:spacing w:line="360" w:lineRule="auto"/>
        <w:ind w:firstLineChars="200" w:firstLine="480"/>
        <w:jc w:val="both"/>
        <w:rPr>
          <w:rFonts w:ascii="Book Antiqua" w:hAnsi="Book Antiqua"/>
        </w:rPr>
      </w:pPr>
      <w:r w:rsidRPr="005868A4">
        <w:rPr>
          <w:rFonts w:ascii="Book Antiqua" w:hAnsi="Book Antiqua"/>
        </w:rPr>
        <w:t>Kem</w:t>
      </w:r>
      <w:r w:rsidR="00AB00CC" w:rsidRPr="005868A4">
        <w:rPr>
          <w:rFonts w:ascii="Book Antiqua" w:hAnsi="Book Antiqua"/>
        </w:rPr>
        <w:t>p</w:t>
      </w:r>
      <w:r w:rsidRPr="005868A4">
        <w:rPr>
          <w:rFonts w:ascii="Book Antiqua" w:hAnsi="Book Antiqua"/>
        </w:rPr>
        <w:t xml:space="preserve">er </w:t>
      </w:r>
      <w:r w:rsidRPr="005868A4">
        <w:rPr>
          <w:rFonts w:ascii="Book Antiqua" w:hAnsi="Book Antiqua"/>
          <w:i/>
        </w:rPr>
        <w:t>et al</w:t>
      </w:r>
      <w:r w:rsidR="00187F15" w:rsidRPr="005868A4">
        <w:rPr>
          <w:rFonts w:ascii="Book Antiqua" w:hAnsi="Book Antiqua"/>
          <w:vertAlign w:val="superscript"/>
        </w:rPr>
        <w:t>[8]</w:t>
      </w:r>
      <w:r w:rsidRPr="005868A4">
        <w:rPr>
          <w:rFonts w:ascii="Book Antiqua" w:hAnsi="Book Antiqua"/>
        </w:rPr>
        <w:t>, in a study of RTX in 37 children with steroid-dependent disease, showed that 26 patients (70.6%) remained in remission after 12 mo of treatment. In 29 children with prolonged follow up (for &gt; 2 years), 12 children maintained remission (41%). By giving additional 2-4 courses to 19 patients, the number of patients who maintained long-term remissions increased to 20 (69%)</w:t>
      </w:r>
      <w:r w:rsidR="008576FF" w:rsidRPr="005868A4">
        <w:rPr>
          <w:rFonts w:ascii="Book Antiqua" w:hAnsi="Book Antiqua"/>
        </w:rPr>
        <w:t xml:space="preserve"> </w:t>
      </w:r>
      <w:r w:rsidRPr="005868A4">
        <w:rPr>
          <w:rFonts w:ascii="Book Antiqua" w:hAnsi="Book Antiqua"/>
        </w:rPr>
        <w:t>(</w:t>
      </w:r>
      <w:r w:rsidR="008576FF" w:rsidRPr="005868A4">
        <w:rPr>
          <w:rFonts w:ascii="Book Antiqua" w:hAnsi="Book Antiqua"/>
        </w:rPr>
        <w:t>T</w:t>
      </w:r>
      <w:r w:rsidRPr="005868A4">
        <w:rPr>
          <w:rFonts w:ascii="Book Antiqua" w:hAnsi="Book Antiqua"/>
        </w:rPr>
        <w:t>able 1).</w:t>
      </w:r>
    </w:p>
    <w:p w:rsidR="00E23392" w:rsidRPr="005868A4" w:rsidRDefault="00E23392" w:rsidP="005868A4">
      <w:pPr>
        <w:shd w:val="clear" w:color="auto" w:fill="FFFFFF"/>
        <w:spacing w:line="360" w:lineRule="auto"/>
        <w:ind w:firstLineChars="200" w:firstLine="480"/>
        <w:jc w:val="both"/>
        <w:rPr>
          <w:rFonts w:ascii="Book Antiqua" w:hAnsi="Book Antiqua"/>
        </w:rPr>
      </w:pPr>
      <w:r w:rsidRPr="005868A4">
        <w:rPr>
          <w:rFonts w:ascii="Book Antiqua" w:hAnsi="Book Antiqua"/>
        </w:rPr>
        <w:t xml:space="preserve">In a retrospective analysis, </w:t>
      </w:r>
      <w:hyperlink r:id="rId10" w:history="1">
        <w:r w:rsidRPr="005868A4">
          <w:rPr>
            <w:rFonts w:ascii="Book Antiqua" w:hAnsi="Book Antiqua"/>
          </w:rPr>
          <w:t xml:space="preserve">Tellier </w:t>
        </w:r>
      </w:hyperlink>
      <w:r w:rsidRPr="005868A4">
        <w:rPr>
          <w:rFonts w:ascii="Book Antiqua" w:hAnsi="Book Antiqua"/>
          <w:i/>
        </w:rPr>
        <w:t xml:space="preserve">et </w:t>
      </w:r>
      <w:r w:rsidR="007A12A9" w:rsidRPr="005868A4">
        <w:rPr>
          <w:rFonts w:ascii="Book Antiqua" w:hAnsi="Book Antiqua"/>
          <w:i/>
        </w:rPr>
        <w:t>al</w:t>
      </w:r>
      <w:r w:rsidR="007A12A9" w:rsidRPr="005868A4">
        <w:rPr>
          <w:rFonts w:ascii="Book Antiqua" w:hAnsi="Book Antiqua"/>
          <w:vertAlign w:val="superscript"/>
        </w:rPr>
        <w:t>[</w:t>
      </w:r>
      <w:r w:rsidRPr="005868A4">
        <w:rPr>
          <w:rFonts w:ascii="Book Antiqua" w:hAnsi="Book Antiqua"/>
          <w:vertAlign w:val="superscript"/>
        </w:rPr>
        <w:t xml:space="preserve">12] </w:t>
      </w:r>
      <w:r w:rsidRPr="005868A4">
        <w:rPr>
          <w:rFonts w:ascii="Book Antiqua" w:hAnsi="Book Antiqua"/>
        </w:rPr>
        <w:t>assessed the long term outcome of RTX therapy for SDNS in 18 patients with a mean follow up of 3.2 yrs. The children received one to four infusions of RTX during the first course of treatment, and subsequent infusions were given upon CD19 cell recovery (CD19</w:t>
      </w:r>
      <w:r w:rsidR="00187FB7" w:rsidRPr="005868A4">
        <w:rPr>
          <w:rFonts w:ascii="Book Antiqua" w:hAnsi="Book Antiqua"/>
        </w:rPr>
        <w:t xml:space="preserve"> </w:t>
      </w:r>
      <w:r w:rsidRPr="005868A4">
        <w:rPr>
          <w:rFonts w:ascii="Book Antiqua" w:hAnsi="Book Antiqua"/>
        </w:rPr>
        <w:t>&gt; 1%)</w:t>
      </w:r>
      <w:r w:rsidR="008D3E76" w:rsidRPr="005868A4">
        <w:rPr>
          <w:rFonts w:ascii="Book Antiqua" w:hAnsi="Book Antiqua"/>
        </w:rPr>
        <w:t xml:space="preserve">. </w:t>
      </w:r>
      <w:r w:rsidRPr="005868A4">
        <w:rPr>
          <w:rFonts w:ascii="Book Antiqua" w:hAnsi="Book Antiqua"/>
        </w:rPr>
        <w:t xml:space="preserve">A total of 22% of patients maintained remission without relapse. Ravani </w:t>
      </w:r>
      <w:r w:rsidRPr="005868A4">
        <w:rPr>
          <w:rFonts w:ascii="Book Antiqua" w:hAnsi="Book Antiqua"/>
          <w:i/>
        </w:rPr>
        <w:t>et al</w:t>
      </w:r>
      <w:r w:rsidRPr="005868A4">
        <w:rPr>
          <w:rFonts w:ascii="Book Antiqua" w:hAnsi="Book Antiqua"/>
          <w:vertAlign w:val="superscript"/>
        </w:rPr>
        <w:t>[13]</w:t>
      </w:r>
      <w:r w:rsidRPr="005868A4">
        <w:rPr>
          <w:rFonts w:ascii="Book Antiqua" w:hAnsi="Book Antiqua"/>
        </w:rPr>
        <w:t xml:space="preserve"> performed a study to assess whether RTX can be safely and repeatedly used as prednisone and CNI-sparing therapy in children with</w:t>
      </w:r>
      <w:r w:rsidR="00E429DA" w:rsidRPr="005868A4">
        <w:rPr>
          <w:rFonts w:ascii="Book Antiqua" w:hAnsi="Book Antiqua"/>
        </w:rPr>
        <w:t xml:space="preserve"> steroid</w:t>
      </w:r>
      <w:r w:rsidRPr="005868A4">
        <w:rPr>
          <w:rFonts w:ascii="Book Antiqua" w:hAnsi="Book Antiqua"/>
        </w:rPr>
        <w:t xml:space="preserve"> dependent f nephrotic syndrome. Approximately 46 patients were enrolled in the study; all received one to five RTX infusions. The probability of remission without the use of immunosuppressants was 48% and 20% at 6 and 12 mo, respectively, after RTX treatment (</w:t>
      </w:r>
      <w:r w:rsidR="00187F15" w:rsidRPr="005868A4">
        <w:rPr>
          <w:rFonts w:ascii="Book Antiqua" w:hAnsi="Book Antiqua"/>
        </w:rPr>
        <w:t>Tab</w:t>
      </w:r>
      <w:r w:rsidRPr="005868A4">
        <w:rPr>
          <w:rFonts w:ascii="Book Antiqua" w:hAnsi="Book Antiqua"/>
        </w:rPr>
        <w:t>le 1).</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Sun </w:t>
      </w:r>
      <w:r w:rsidRPr="005868A4">
        <w:rPr>
          <w:rFonts w:ascii="Book Antiqua" w:hAnsi="Book Antiqua"/>
          <w:i/>
        </w:rPr>
        <w:t xml:space="preserve">et </w:t>
      </w:r>
      <w:r w:rsidR="00E429DA" w:rsidRPr="005868A4">
        <w:rPr>
          <w:rFonts w:ascii="Book Antiqua" w:hAnsi="Book Antiqua"/>
          <w:i/>
        </w:rPr>
        <w:t>al</w:t>
      </w:r>
      <w:r w:rsidR="00E429DA" w:rsidRPr="005868A4">
        <w:rPr>
          <w:rFonts w:ascii="Book Antiqua" w:hAnsi="Book Antiqua"/>
          <w:vertAlign w:val="superscript"/>
        </w:rPr>
        <w:t>[</w:t>
      </w:r>
      <w:r w:rsidRPr="005868A4">
        <w:rPr>
          <w:rFonts w:ascii="Book Antiqua" w:hAnsi="Book Antiqua"/>
          <w:vertAlign w:val="superscript"/>
        </w:rPr>
        <w:t>14]</w:t>
      </w:r>
      <w:r w:rsidRPr="005868A4">
        <w:rPr>
          <w:rFonts w:ascii="Book Antiqua" w:hAnsi="Book Antiqua"/>
        </w:rPr>
        <w:t xml:space="preserve"> also showed that RTX was effective in maintaining remission in children with nephrotic syndrome. RTX treatment led to a statistically significant reduction in steroid dosage (</w:t>
      </w:r>
      <w:r w:rsidRPr="005868A4">
        <w:rPr>
          <w:rFonts w:ascii="Book Antiqua" w:hAnsi="Book Antiqua"/>
          <w:i/>
        </w:rPr>
        <w:t>P</w:t>
      </w:r>
      <w:r w:rsidR="00187F15" w:rsidRPr="005868A4">
        <w:rPr>
          <w:rFonts w:ascii="Book Antiqua" w:hAnsi="Book Antiqua"/>
        </w:rPr>
        <w:t xml:space="preserve"> </w:t>
      </w:r>
      <w:r w:rsidRPr="005868A4">
        <w:rPr>
          <w:rFonts w:ascii="Book Antiqua" w:hAnsi="Book Antiqua"/>
        </w:rPr>
        <w:t>=</w:t>
      </w:r>
      <w:r w:rsidR="00187F15" w:rsidRPr="005868A4">
        <w:rPr>
          <w:rFonts w:ascii="Book Antiqua" w:hAnsi="Book Antiqua"/>
        </w:rPr>
        <w:t xml:space="preserve"> </w:t>
      </w:r>
      <w:r w:rsidRPr="005868A4">
        <w:rPr>
          <w:rFonts w:ascii="Book Antiqua" w:hAnsi="Book Antiqua"/>
        </w:rPr>
        <w:t>0.014); the number of recurrences was also significantly reduced (</w:t>
      </w:r>
      <w:r w:rsidRPr="005868A4">
        <w:rPr>
          <w:rFonts w:ascii="Book Antiqua" w:hAnsi="Book Antiqua"/>
          <w:i/>
        </w:rPr>
        <w:t>P</w:t>
      </w:r>
      <w:r w:rsidR="00187F15" w:rsidRPr="005868A4">
        <w:rPr>
          <w:rFonts w:ascii="Book Antiqua" w:hAnsi="Book Antiqua"/>
        </w:rPr>
        <w:t xml:space="preserve"> </w:t>
      </w:r>
      <w:r w:rsidRPr="005868A4">
        <w:rPr>
          <w:rFonts w:ascii="Book Antiqua" w:hAnsi="Book Antiqua"/>
        </w:rPr>
        <w:t>&lt;</w:t>
      </w:r>
      <w:r w:rsidR="00187F15" w:rsidRPr="005868A4">
        <w:rPr>
          <w:rFonts w:ascii="Book Antiqua" w:hAnsi="Book Antiqua"/>
        </w:rPr>
        <w:t xml:space="preserve"> </w:t>
      </w:r>
      <w:r w:rsidRPr="005868A4">
        <w:rPr>
          <w:rFonts w:ascii="Book Antiqua" w:hAnsi="Book Antiqua"/>
        </w:rPr>
        <w:t>0.001) with RTX therapy (</w:t>
      </w:r>
      <w:r w:rsidR="00187F15" w:rsidRPr="005868A4">
        <w:rPr>
          <w:rFonts w:ascii="Book Antiqua" w:hAnsi="Book Antiqua"/>
        </w:rPr>
        <w:t>Ta</w:t>
      </w:r>
      <w:r w:rsidRPr="005868A4">
        <w:rPr>
          <w:rFonts w:ascii="Book Antiqua" w:hAnsi="Book Antiqua"/>
        </w:rPr>
        <w:t>ble 1).</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A Scottish study involving seven children</w:t>
      </w:r>
      <w:r w:rsidRPr="005868A4">
        <w:rPr>
          <w:rFonts w:ascii="Book Antiqua" w:hAnsi="Book Antiqua"/>
          <w:vertAlign w:val="superscript"/>
        </w:rPr>
        <w:t>[15]</w:t>
      </w:r>
      <w:r w:rsidRPr="005868A4">
        <w:rPr>
          <w:rFonts w:ascii="Book Antiqua" w:hAnsi="Book Antiqua"/>
        </w:rPr>
        <w:t xml:space="preserve"> with steroid-dependent disease showed that two doses of RTX (750 mg/m</w:t>
      </w:r>
      <w:r w:rsidRPr="005868A4">
        <w:rPr>
          <w:rFonts w:ascii="Book Antiqua" w:hAnsi="Book Antiqua"/>
          <w:vertAlign w:val="superscript"/>
        </w:rPr>
        <w:t>2</w:t>
      </w:r>
      <w:r w:rsidRPr="005868A4">
        <w:rPr>
          <w:rFonts w:ascii="Book Antiqua" w:hAnsi="Book Antiqua"/>
        </w:rPr>
        <w:t xml:space="preserve">) given 2 </w:t>
      </w:r>
      <w:r w:rsidR="001811AE" w:rsidRPr="005868A4">
        <w:rPr>
          <w:rFonts w:ascii="Book Antiqua" w:hAnsi="Book Antiqua"/>
        </w:rPr>
        <w:t>w</w:t>
      </w:r>
      <w:r w:rsidR="001811AE" w:rsidRPr="005868A4">
        <w:rPr>
          <w:rFonts w:ascii="Book Antiqua" w:eastAsiaTheme="minorEastAsia" w:hAnsi="Book Antiqua"/>
          <w:lang w:eastAsia="zh-CN"/>
        </w:rPr>
        <w:t>k</w:t>
      </w:r>
      <w:r w:rsidR="001811AE" w:rsidRPr="005868A4">
        <w:rPr>
          <w:rFonts w:ascii="Book Antiqua" w:hAnsi="Book Antiqua"/>
        </w:rPr>
        <w:t xml:space="preserve"> </w:t>
      </w:r>
      <w:r w:rsidRPr="005868A4">
        <w:rPr>
          <w:rFonts w:ascii="Book Antiqua" w:hAnsi="Book Antiqua"/>
        </w:rPr>
        <w:t>apart were effective in maintaining remission in six children (</w:t>
      </w:r>
      <w:r w:rsidR="008D3E76" w:rsidRPr="005868A4">
        <w:rPr>
          <w:rFonts w:ascii="Book Antiqua" w:hAnsi="Book Antiqua"/>
        </w:rPr>
        <w:t xml:space="preserve">Table </w:t>
      </w:r>
      <w:r w:rsidRPr="005868A4">
        <w:rPr>
          <w:rFonts w:ascii="Book Antiqua" w:hAnsi="Book Antiqua"/>
        </w:rPr>
        <w:t>1).</w:t>
      </w:r>
    </w:p>
    <w:p w:rsidR="00E23392" w:rsidRPr="005868A4" w:rsidRDefault="00E23392" w:rsidP="005868A4">
      <w:pPr>
        <w:shd w:val="clear" w:color="auto" w:fill="FFFFFF"/>
        <w:spacing w:line="360" w:lineRule="auto"/>
        <w:ind w:firstLineChars="200" w:firstLine="480"/>
        <w:jc w:val="both"/>
        <w:rPr>
          <w:rFonts w:ascii="Book Antiqua" w:hAnsi="Book Antiqua"/>
        </w:rPr>
      </w:pPr>
      <w:r w:rsidRPr="005868A4">
        <w:rPr>
          <w:rFonts w:ascii="Book Antiqua" w:hAnsi="Book Antiqua"/>
        </w:rPr>
        <w:t xml:space="preserve">Prytula </w:t>
      </w:r>
      <w:r w:rsidRPr="005868A4">
        <w:rPr>
          <w:rFonts w:ascii="Book Antiqua" w:hAnsi="Book Antiqua"/>
          <w:i/>
        </w:rPr>
        <w:t xml:space="preserve">et </w:t>
      </w:r>
      <w:r w:rsidR="00E429DA" w:rsidRPr="005868A4">
        <w:rPr>
          <w:rFonts w:ascii="Book Antiqua" w:hAnsi="Book Antiqua"/>
          <w:i/>
        </w:rPr>
        <w:t>al</w:t>
      </w:r>
      <w:r w:rsidR="00E429DA" w:rsidRPr="005868A4">
        <w:rPr>
          <w:rFonts w:ascii="Book Antiqua" w:hAnsi="Book Antiqua"/>
          <w:vertAlign w:val="superscript"/>
        </w:rPr>
        <w:t>[</w:t>
      </w:r>
      <w:r w:rsidRPr="005868A4">
        <w:rPr>
          <w:rFonts w:ascii="Book Antiqua" w:hAnsi="Book Antiqua"/>
          <w:vertAlign w:val="superscript"/>
        </w:rPr>
        <w:t>16]</w:t>
      </w:r>
      <w:r w:rsidRPr="005868A4">
        <w:rPr>
          <w:rFonts w:ascii="Book Antiqua" w:hAnsi="Book Antiqua"/>
        </w:rPr>
        <w:t xml:space="preserve">, in a </w:t>
      </w:r>
      <w:r w:rsidR="00782A98" w:rsidRPr="005868A4">
        <w:rPr>
          <w:rFonts w:ascii="Book Antiqua" w:hAnsi="Book Antiqua"/>
        </w:rPr>
        <w:t>multicenter</w:t>
      </w:r>
      <w:r w:rsidRPr="005868A4">
        <w:rPr>
          <w:rFonts w:ascii="Book Antiqua" w:hAnsi="Book Antiqua"/>
        </w:rPr>
        <w:t xml:space="preserve"> questionnaire study, demonstrated that RTX therapy could elicit a response rate of 82 % in SDNS.</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It is important to note that different studies have proposed differing numbers of initial RTX infusions. Hence, based on past evidence, it is difficult to comment on the optimum number of RTX infusions. Kember </w:t>
      </w:r>
      <w:r w:rsidRPr="005868A4">
        <w:rPr>
          <w:rFonts w:ascii="Book Antiqua" w:hAnsi="Book Antiqua"/>
          <w:i/>
        </w:rPr>
        <w:t>et al</w:t>
      </w:r>
      <w:r w:rsidRPr="005868A4">
        <w:rPr>
          <w:rFonts w:ascii="Book Antiqua" w:hAnsi="Book Antiqua"/>
          <w:vertAlign w:val="superscript"/>
        </w:rPr>
        <w:t>[8]</w:t>
      </w:r>
      <w:r w:rsidRPr="005868A4">
        <w:rPr>
          <w:rFonts w:ascii="Book Antiqua" w:hAnsi="Book Antiqua"/>
        </w:rPr>
        <w:t xml:space="preserve"> noted that 3-4 initial infusions of RTX were not associated with better or prolonged remission rates, compared to 1-2 initial RTX infusions.</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The optimal RTX treatment strategy is also unclear. In a few past studies</w:t>
      </w:r>
      <w:r w:rsidR="00744B6E" w:rsidRPr="005868A4">
        <w:rPr>
          <w:rFonts w:ascii="Book Antiqua" w:hAnsi="Book Antiqua"/>
        </w:rPr>
        <w:t>,</w:t>
      </w:r>
      <w:r w:rsidRPr="005868A4">
        <w:rPr>
          <w:rFonts w:ascii="Book Antiqua" w:hAnsi="Book Antiqua"/>
        </w:rPr>
        <w:t xml:space="preserve"> RTX was given prophylactically upon B-cell recovery; in other studies, RTX therapy was begun only in cases of relapse. Tellier </w:t>
      </w:r>
      <w:r w:rsidRPr="005868A4">
        <w:rPr>
          <w:rFonts w:ascii="Book Antiqua" w:hAnsi="Book Antiqua"/>
          <w:i/>
        </w:rPr>
        <w:t>et al</w:t>
      </w:r>
      <w:r w:rsidRPr="005868A4">
        <w:rPr>
          <w:rFonts w:ascii="Book Antiqua" w:hAnsi="Book Antiqua"/>
          <w:vertAlign w:val="superscript"/>
        </w:rPr>
        <w:t>[12]</w:t>
      </w:r>
      <w:r w:rsidRPr="005868A4">
        <w:rPr>
          <w:rFonts w:ascii="Book Antiqua" w:hAnsi="Book Antiqua"/>
        </w:rPr>
        <w:t xml:space="preserve"> showed that the time between two relapses was significantly shorter in patients who were retreated upon B-cell recovery compared to those who were not re-treated. This indicates that pre-emptive treatment at the time of B-cell recovery may help to maintain prolonged remission.</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The use of RTX at regular intervals is another therapeutic approach. Kimata </w:t>
      </w:r>
      <w:r w:rsidRPr="005868A4">
        <w:rPr>
          <w:rFonts w:ascii="Book Antiqua" w:hAnsi="Book Antiqua"/>
          <w:i/>
        </w:rPr>
        <w:t xml:space="preserve">et </w:t>
      </w:r>
      <w:r w:rsidR="002E49A8" w:rsidRPr="005868A4">
        <w:rPr>
          <w:rFonts w:ascii="Book Antiqua" w:hAnsi="Book Antiqua"/>
          <w:i/>
        </w:rPr>
        <w:t>al</w:t>
      </w:r>
      <w:r w:rsidR="002E49A8" w:rsidRPr="005868A4">
        <w:rPr>
          <w:rFonts w:ascii="Book Antiqua" w:hAnsi="Book Antiqua"/>
          <w:vertAlign w:val="superscript"/>
        </w:rPr>
        <w:t>[</w:t>
      </w:r>
      <w:r w:rsidRPr="005868A4">
        <w:rPr>
          <w:rFonts w:ascii="Book Antiqua" w:hAnsi="Book Antiqua"/>
          <w:vertAlign w:val="superscript"/>
        </w:rPr>
        <w:t>1</w:t>
      </w:r>
      <w:r w:rsidR="00145098" w:rsidRPr="005868A4">
        <w:rPr>
          <w:rFonts w:ascii="Book Antiqua" w:hAnsi="Book Antiqua"/>
          <w:vertAlign w:val="superscript"/>
        </w:rPr>
        <w:t>7</w:t>
      </w:r>
      <w:r w:rsidRPr="005868A4">
        <w:rPr>
          <w:rFonts w:ascii="Book Antiqua" w:hAnsi="Book Antiqua"/>
          <w:vertAlign w:val="superscript"/>
        </w:rPr>
        <w:t>]</w:t>
      </w:r>
      <w:r w:rsidRPr="005868A4">
        <w:rPr>
          <w:rFonts w:ascii="Book Antiqua" w:hAnsi="Book Antiqua"/>
        </w:rPr>
        <w:t xml:space="preserve"> demonstrated that RTX infusion at 3-month intervals for a total of four doses is an effective strategy in maintaining remission and steroid-free periods. In this study, the annual number of relapses before administration was 1.4 (1.1</w:t>
      </w:r>
      <w:r w:rsidR="002459A2" w:rsidRPr="005868A4">
        <w:rPr>
          <w:rFonts w:ascii="Book Antiqua" w:eastAsiaTheme="minorEastAsia" w:hAnsi="Book Antiqua"/>
          <w:lang w:eastAsia="zh-CN"/>
        </w:rPr>
        <w:t>-</w:t>
      </w:r>
      <w:r w:rsidRPr="005868A4">
        <w:rPr>
          <w:rFonts w:ascii="Book Antiqua" w:hAnsi="Book Antiqua"/>
        </w:rPr>
        <w:t>3.5) times/year. After administration, the number of relapses had decreased to 0.0 (0.0</w:t>
      </w:r>
      <w:r w:rsidR="007717ED">
        <w:rPr>
          <w:rFonts w:ascii="Book Antiqua" w:eastAsiaTheme="minorEastAsia" w:hAnsi="Book Antiqua" w:hint="eastAsia"/>
          <w:lang w:eastAsia="zh-CN"/>
        </w:rPr>
        <w:t>-</w:t>
      </w:r>
      <w:r w:rsidRPr="005868A4">
        <w:rPr>
          <w:rFonts w:ascii="Book Antiqua" w:hAnsi="Book Antiqua"/>
        </w:rPr>
        <w:t>0.0) times/year. Median steroid dosage before administration was 0.80 (0.23</w:t>
      </w:r>
      <w:r w:rsidR="002459A2" w:rsidRPr="005868A4">
        <w:rPr>
          <w:rFonts w:ascii="Book Antiqua" w:eastAsiaTheme="minorEastAsia" w:hAnsi="Book Antiqua"/>
          <w:lang w:eastAsia="zh-CN"/>
        </w:rPr>
        <w:t>-</w:t>
      </w:r>
      <w:r w:rsidRPr="005868A4">
        <w:rPr>
          <w:rFonts w:ascii="Book Antiqua" w:hAnsi="Book Antiqua"/>
        </w:rPr>
        <w:t xml:space="preserve">0.96) mg/kg/d but was 0.00 (0.00–0.00) mg/kg/d after administration. All changes were statistically significant at </w:t>
      </w:r>
      <w:r w:rsidR="008D3E76" w:rsidRPr="005868A4">
        <w:rPr>
          <w:rFonts w:ascii="Book Antiqua" w:hAnsi="Book Antiqua"/>
          <w:i/>
        </w:rPr>
        <w:t xml:space="preserve">P </w:t>
      </w:r>
      <w:r w:rsidRPr="005868A4">
        <w:rPr>
          <w:rFonts w:ascii="Book Antiqua" w:hAnsi="Book Antiqua"/>
        </w:rPr>
        <w:t>&lt;</w:t>
      </w:r>
      <w:r w:rsidR="008D3E76" w:rsidRPr="005868A4">
        <w:rPr>
          <w:rFonts w:ascii="Book Antiqua" w:hAnsi="Book Antiqua"/>
        </w:rPr>
        <w:t xml:space="preserve"> </w:t>
      </w:r>
      <w:r w:rsidRPr="005868A4">
        <w:rPr>
          <w:rFonts w:ascii="Book Antiqua" w:hAnsi="Book Antiqua"/>
        </w:rPr>
        <w:t>0.05.</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Fujinaga</w:t>
      </w:r>
      <w:r w:rsidR="00AB00CC" w:rsidRPr="005868A4">
        <w:rPr>
          <w:rFonts w:ascii="Book Antiqua" w:hAnsi="Book Antiqua"/>
        </w:rPr>
        <w:t xml:space="preserve"> </w:t>
      </w:r>
      <w:r w:rsidR="00AB00CC" w:rsidRPr="005868A4">
        <w:rPr>
          <w:rFonts w:ascii="Book Antiqua" w:hAnsi="Book Antiqua"/>
          <w:i/>
        </w:rPr>
        <w:t>et al</w:t>
      </w:r>
      <w:r w:rsidRPr="005868A4">
        <w:rPr>
          <w:rFonts w:ascii="Book Antiqua" w:hAnsi="Book Antiqua"/>
          <w:vertAlign w:val="superscript"/>
        </w:rPr>
        <w:t>[18]</w:t>
      </w:r>
      <w:r w:rsidRPr="005868A4">
        <w:rPr>
          <w:rFonts w:ascii="Book Antiqua" w:hAnsi="Book Antiqua"/>
        </w:rPr>
        <w:t xml:space="preserve"> gave a single infusion of RTX (375 mg/m</w:t>
      </w:r>
      <w:r w:rsidRPr="005868A4">
        <w:rPr>
          <w:rFonts w:ascii="Book Antiqua" w:hAnsi="Book Antiqua"/>
          <w:vertAlign w:val="superscript"/>
        </w:rPr>
        <w:t>2</w:t>
      </w:r>
      <w:r w:rsidRPr="005868A4">
        <w:rPr>
          <w:rFonts w:ascii="Book Antiqua" w:hAnsi="Book Antiqua"/>
        </w:rPr>
        <w:t>) to 29 children with steroid/calcineurin inhibitor-dependent nephrotic syndrome. After RTX, 16 patients received MMF, and 13 patients received cyclosporine (CsA) as maintenance therapy</w:t>
      </w:r>
      <w:r w:rsidR="008D3E76" w:rsidRPr="005868A4">
        <w:rPr>
          <w:rFonts w:ascii="Book Antiqua" w:hAnsi="Book Antiqua"/>
        </w:rPr>
        <w:t xml:space="preserve">. </w:t>
      </w:r>
      <w:r w:rsidRPr="005868A4">
        <w:rPr>
          <w:rFonts w:ascii="Book Antiqua" w:hAnsi="Book Antiqua"/>
        </w:rPr>
        <w:t>Cyclosporine was superior to MMF in maintaining remission. Treatment failure occurred more frequently in the MMF group (7/16) than in the CsA group (2/13). The rate of sustained remission was also significantly higher in the CsA group than in the MMF group (</w:t>
      </w:r>
      <w:r w:rsidR="008D3E76" w:rsidRPr="005868A4">
        <w:rPr>
          <w:rFonts w:ascii="Book Antiqua" w:hAnsi="Book Antiqua"/>
          <w:i/>
        </w:rPr>
        <w:t>P</w:t>
      </w:r>
      <w:r w:rsidRPr="005868A4">
        <w:rPr>
          <w:rFonts w:ascii="Cambria Math" w:hAnsi="Cambria Math" w:cs="Cambria Math"/>
        </w:rPr>
        <w:t> </w:t>
      </w:r>
      <w:r w:rsidRPr="005868A4">
        <w:rPr>
          <w:rFonts w:ascii="Book Antiqua" w:hAnsi="Book Antiqua"/>
        </w:rPr>
        <w:t>&lt;</w:t>
      </w:r>
      <w:r w:rsidRPr="005868A4">
        <w:rPr>
          <w:rFonts w:ascii="Cambria Math" w:hAnsi="Cambria Math" w:cs="Cambria Math"/>
        </w:rPr>
        <w:t> </w:t>
      </w:r>
      <w:r w:rsidRPr="005868A4">
        <w:rPr>
          <w:rFonts w:ascii="Book Antiqua" w:hAnsi="Book Antiqua"/>
        </w:rPr>
        <w:t>0.05).</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The evidence described above shows that RTX is an effective agent in children with SDNS/frequently relapsing disease, both in terms of maintaining prolonged remission and decreasing steroid exposure</w:t>
      </w:r>
      <w:r w:rsidR="008D3E76" w:rsidRPr="005868A4">
        <w:rPr>
          <w:rFonts w:ascii="Book Antiqua" w:hAnsi="Book Antiqua"/>
        </w:rPr>
        <w:t xml:space="preserve">. </w:t>
      </w:r>
      <w:r w:rsidRPr="005868A4">
        <w:rPr>
          <w:rFonts w:ascii="Book Antiqua" w:hAnsi="Book Antiqua"/>
        </w:rPr>
        <w:t>However, common drawbacks of most such studies have been the small sample size and the lack of patients with nephrotic syndrome who were receiving conventional treatments or placebo (</w:t>
      </w:r>
      <w:r w:rsidRPr="005868A4">
        <w:rPr>
          <w:rFonts w:ascii="Book Antiqua" w:hAnsi="Book Antiqua"/>
          <w:i/>
        </w:rPr>
        <w:t>i.e.,</w:t>
      </w:r>
      <w:r w:rsidRPr="005868A4">
        <w:rPr>
          <w:rFonts w:ascii="Book Antiqua" w:hAnsi="Book Antiqua"/>
        </w:rPr>
        <w:t xml:space="preserve"> control groups). This highlights the need for more robust randomized controlled studies to assess the efficacy, safety and optimal dosing patterns of RTX. </w:t>
      </w:r>
    </w:p>
    <w:p w:rsidR="00824203" w:rsidRPr="005868A4" w:rsidRDefault="00824203" w:rsidP="005868A4">
      <w:pPr>
        <w:spacing w:line="360" w:lineRule="auto"/>
        <w:jc w:val="both"/>
        <w:rPr>
          <w:rFonts w:ascii="Book Antiqua" w:hAnsi="Book Antiqua"/>
          <w:b/>
          <w:bCs/>
        </w:rPr>
      </w:pPr>
    </w:p>
    <w:p w:rsidR="00E23392" w:rsidRPr="005868A4" w:rsidRDefault="00E23392" w:rsidP="005868A4">
      <w:pPr>
        <w:spacing w:line="360" w:lineRule="auto"/>
        <w:jc w:val="both"/>
        <w:rPr>
          <w:rFonts w:ascii="Book Antiqua" w:hAnsi="Book Antiqua"/>
        </w:rPr>
      </w:pPr>
      <w:r w:rsidRPr="005868A4">
        <w:rPr>
          <w:rFonts w:ascii="Book Antiqua" w:hAnsi="Book Antiqua"/>
          <w:b/>
          <w:bCs/>
        </w:rPr>
        <w:t>STEROID-RESISTANT NEPHROTIC SYNDROME</w:t>
      </w:r>
    </w:p>
    <w:p w:rsidR="00E23392" w:rsidRPr="005868A4" w:rsidRDefault="00E23392" w:rsidP="005868A4">
      <w:pPr>
        <w:spacing w:line="360" w:lineRule="auto"/>
        <w:jc w:val="both"/>
        <w:rPr>
          <w:rFonts w:ascii="Book Antiqua" w:hAnsi="Book Antiqua"/>
        </w:rPr>
      </w:pPr>
      <w:r w:rsidRPr="005868A4">
        <w:rPr>
          <w:rFonts w:ascii="Book Antiqua" w:hAnsi="Book Antiqua"/>
        </w:rPr>
        <w:t xml:space="preserve">The treatment of steroid resistant nephrotic syndrome is a challenge for clinicians. The disease has genetic causes in one-quarter to one-third of such </w:t>
      </w:r>
      <w:r w:rsidR="00E40EC4" w:rsidRPr="005868A4">
        <w:rPr>
          <w:rFonts w:ascii="Book Antiqua" w:hAnsi="Book Antiqua"/>
        </w:rPr>
        <w:t>patients</w:t>
      </w:r>
      <w:r w:rsidRPr="005868A4">
        <w:rPr>
          <w:rFonts w:ascii="Book Antiqua" w:hAnsi="Book Antiqua"/>
          <w:vertAlign w:val="superscript"/>
        </w:rPr>
        <w:t>[19]</w:t>
      </w:r>
      <w:r w:rsidRPr="005868A4">
        <w:rPr>
          <w:rFonts w:ascii="Book Antiqua" w:hAnsi="Book Antiqua"/>
        </w:rPr>
        <w:t>; patients with genetic aberrations do not benefit from immunosuppressive treatment.</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In a randomized controlled study conducted between 2007</w:t>
      </w:r>
      <w:r w:rsidR="0003160B" w:rsidRPr="005868A4">
        <w:rPr>
          <w:rFonts w:ascii="Book Antiqua" w:eastAsiaTheme="minorEastAsia" w:hAnsi="Book Antiqua"/>
          <w:lang w:eastAsia="zh-CN"/>
        </w:rPr>
        <w:t>-20</w:t>
      </w:r>
      <w:r w:rsidRPr="005868A4">
        <w:rPr>
          <w:rFonts w:ascii="Book Antiqua" w:hAnsi="Book Antiqua"/>
        </w:rPr>
        <w:t xml:space="preserve">10, Magnasco </w:t>
      </w:r>
      <w:r w:rsidRPr="005868A4">
        <w:rPr>
          <w:rFonts w:ascii="Book Antiqua" w:hAnsi="Book Antiqua"/>
          <w:i/>
        </w:rPr>
        <w:t>et al</w:t>
      </w:r>
      <w:r w:rsidRPr="005868A4">
        <w:rPr>
          <w:rFonts w:ascii="Book Antiqua" w:hAnsi="Book Antiqua"/>
          <w:vertAlign w:val="superscript"/>
        </w:rPr>
        <w:t>[20]</w:t>
      </w:r>
      <w:r w:rsidRPr="005868A4">
        <w:rPr>
          <w:rFonts w:ascii="Book Antiqua" w:hAnsi="Book Antiqua"/>
        </w:rPr>
        <w:t xml:space="preserve"> evaluated RTX in 31 children with SRNS and a median age of 8 years (2-16 </w:t>
      </w:r>
      <w:r w:rsidR="001811AE" w:rsidRPr="005868A4">
        <w:rPr>
          <w:rFonts w:ascii="Book Antiqua" w:hAnsi="Book Antiqua"/>
        </w:rPr>
        <w:t>y</w:t>
      </w:r>
      <w:r w:rsidR="001811AE" w:rsidRPr="005868A4">
        <w:rPr>
          <w:rFonts w:ascii="Book Antiqua" w:eastAsiaTheme="minorEastAsia" w:hAnsi="Book Antiqua"/>
          <w:lang w:eastAsia="zh-CN"/>
        </w:rPr>
        <w:t>ears</w:t>
      </w:r>
      <w:r w:rsidRPr="005868A4">
        <w:rPr>
          <w:rFonts w:ascii="Book Antiqua" w:hAnsi="Book Antiqua"/>
        </w:rPr>
        <w:t>). All patients were negative for the</w:t>
      </w:r>
      <w:r w:rsidR="00590040" w:rsidRPr="005868A4">
        <w:rPr>
          <w:rFonts w:ascii="Book Antiqua" w:eastAsiaTheme="minorEastAsia" w:hAnsi="Book Antiqua"/>
          <w:lang w:eastAsia="zh-CN"/>
        </w:rPr>
        <w:t xml:space="preserve"> </w:t>
      </w:r>
      <w:r w:rsidR="00590040" w:rsidRPr="005868A4">
        <w:rPr>
          <w:rStyle w:val="st1"/>
          <w:rFonts w:ascii="Book Antiqua" w:eastAsiaTheme="minorEastAsia" w:hAnsi="Book Antiqua" w:cs="Arial"/>
          <w:lang w:eastAsia="zh-CN"/>
        </w:rPr>
        <w:t>n</w:t>
      </w:r>
      <w:r w:rsidR="00590040" w:rsidRPr="005868A4">
        <w:rPr>
          <w:rStyle w:val="st1"/>
          <w:rFonts w:ascii="Book Antiqua" w:hAnsi="Book Antiqua" w:cs="Arial"/>
        </w:rPr>
        <w:t xml:space="preserve">ephrotic syndrome 2 </w:t>
      </w:r>
      <w:r w:rsidR="00590040" w:rsidRPr="005868A4">
        <w:rPr>
          <w:rFonts w:ascii="Book Antiqua" w:eastAsiaTheme="minorEastAsia" w:hAnsi="Book Antiqua"/>
          <w:lang w:eastAsia="zh-CN"/>
        </w:rPr>
        <w:t>(</w:t>
      </w:r>
      <w:r w:rsidRPr="005C1F3B">
        <w:rPr>
          <w:rFonts w:ascii="Book Antiqua" w:hAnsi="Book Antiqua"/>
        </w:rPr>
        <w:t>NPHS2</w:t>
      </w:r>
      <w:r w:rsidR="00590040" w:rsidRPr="005868A4">
        <w:rPr>
          <w:rFonts w:ascii="Book Antiqua" w:eastAsiaTheme="minorEastAsia" w:hAnsi="Book Antiqua"/>
          <w:lang w:eastAsia="zh-CN"/>
        </w:rPr>
        <w:t>)</w:t>
      </w:r>
      <w:r w:rsidRPr="005868A4">
        <w:rPr>
          <w:rFonts w:ascii="Book Antiqua" w:hAnsi="Book Antiqua"/>
        </w:rPr>
        <w:t xml:space="preserve"> and WT-1 mutations</w:t>
      </w:r>
      <w:r w:rsidR="008D3E76" w:rsidRPr="005868A4">
        <w:rPr>
          <w:rFonts w:ascii="Book Antiqua" w:hAnsi="Book Antiqua"/>
        </w:rPr>
        <w:t xml:space="preserve">. </w:t>
      </w:r>
      <w:r w:rsidRPr="005868A4">
        <w:rPr>
          <w:rFonts w:ascii="Book Antiqua" w:hAnsi="Book Antiqua"/>
        </w:rPr>
        <w:t xml:space="preserve">Renal biopsy revealed that focal segmental </w:t>
      </w:r>
      <w:r w:rsidR="00782A98" w:rsidRPr="005868A4">
        <w:rPr>
          <w:rFonts w:ascii="Book Antiqua" w:hAnsi="Book Antiqua"/>
        </w:rPr>
        <w:t>glomerulosclerosis</w:t>
      </w:r>
      <w:r w:rsidRPr="005868A4">
        <w:rPr>
          <w:rFonts w:ascii="Book Antiqua" w:hAnsi="Book Antiqua"/>
        </w:rPr>
        <w:t xml:space="preserve"> was the most common histological diagnosis in 19 patients (61%), followed by minimal change disease in 7 patients (23%). Patients were divided into 2 groups; the control group included 15 patients who continued conventional immunosuppressive treatment with prednisone and cyclosporine, and the interventional group included 16 patients who continued treatment with prednisone and cyclosporine, as well as receiving 2 doses of RTX. RTX did not reduce proteinuria at 3 mo, and the results of the study did not support the addition of </w:t>
      </w:r>
      <w:r w:rsidRPr="005868A4">
        <w:rPr>
          <w:rStyle w:val="highlight2"/>
          <w:rFonts w:ascii="Book Antiqua" w:hAnsi="Book Antiqua"/>
        </w:rPr>
        <w:t>RTX</w:t>
      </w:r>
      <w:r w:rsidRPr="005868A4">
        <w:rPr>
          <w:rFonts w:ascii="Book Antiqua" w:hAnsi="Book Antiqua"/>
        </w:rPr>
        <w:t xml:space="preserve"> to prednisone and calcineurin inhibitors in </w:t>
      </w:r>
      <w:r w:rsidRPr="005868A4">
        <w:rPr>
          <w:rStyle w:val="highlight2"/>
          <w:rFonts w:ascii="Book Antiqua" w:hAnsi="Book Antiqua"/>
        </w:rPr>
        <w:t>children</w:t>
      </w:r>
      <w:r w:rsidRPr="005868A4">
        <w:rPr>
          <w:rFonts w:ascii="Book Antiqua" w:hAnsi="Book Antiqua"/>
        </w:rPr>
        <w:t xml:space="preserve"> with </w:t>
      </w:r>
      <w:r w:rsidRPr="005868A4">
        <w:rPr>
          <w:rStyle w:val="highlight2"/>
          <w:rFonts w:ascii="Book Antiqua" w:hAnsi="Book Antiqua"/>
        </w:rPr>
        <w:t xml:space="preserve">SRNS (see </w:t>
      </w:r>
      <w:r w:rsidR="008D3E76" w:rsidRPr="005868A4">
        <w:rPr>
          <w:rStyle w:val="highlight2"/>
          <w:rFonts w:ascii="Book Antiqua" w:hAnsi="Book Antiqua"/>
        </w:rPr>
        <w:t>Figure</w:t>
      </w:r>
      <w:r w:rsidRPr="005868A4">
        <w:rPr>
          <w:rStyle w:val="highlight2"/>
          <w:rFonts w:ascii="Book Antiqua" w:hAnsi="Book Antiqua"/>
        </w:rPr>
        <w:t xml:space="preserve"> 1). Histological diagnosis did not affect outcomes or response to RTX treatment (</w:t>
      </w:r>
      <w:r w:rsidR="008D3E76" w:rsidRPr="005868A4">
        <w:rPr>
          <w:rStyle w:val="highlight2"/>
          <w:rFonts w:ascii="Book Antiqua" w:hAnsi="Book Antiqua"/>
        </w:rPr>
        <w:t xml:space="preserve">Table </w:t>
      </w:r>
      <w:r w:rsidRPr="005868A4">
        <w:rPr>
          <w:rStyle w:val="highlight2"/>
          <w:rFonts w:ascii="Book Antiqua" w:hAnsi="Book Antiqua"/>
        </w:rPr>
        <w:t>1).</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Gulati </w:t>
      </w:r>
      <w:r w:rsidRPr="005868A4">
        <w:rPr>
          <w:rFonts w:ascii="Book Antiqua" w:hAnsi="Book Antiqua"/>
          <w:i/>
        </w:rPr>
        <w:t>et al</w:t>
      </w:r>
      <w:r w:rsidRPr="005868A4">
        <w:rPr>
          <w:rFonts w:ascii="Book Antiqua" w:hAnsi="Book Antiqua"/>
          <w:vertAlign w:val="superscript"/>
        </w:rPr>
        <w:t>[7]</w:t>
      </w:r>
      <w:r w:rsidRPr="005868A4">
        <w:rPr>
          <w:rFonts w:ascii="Book Antiqua" w:hAnsi="Book Antiqua"/>
        </w:rPr>
        <w:t xml:space="preserve"> assessed the efficacy of RTX in 33 pediatric patients with SRNS (24 with initial resistance and 9 with late resistance). Treatment consisted of 4 weekly doses of RTX (375 mg/m</w:t>
      </w:r>
      <w:r w:rsidRPr="005868A4">
        <w:rPr>
          <w:rFonts w:ascii="Book Antiqua" w:hAnsi="Book Antiqua"/>
          <w:vertAlign w:val="superscript"/>
        </w:rPr>
        <w:t>2</w:t>
      </w:r>
      <w:r w:rsidRPr="005868A4">
        <w:rPr>
          <w:rFonts w:ascii="Book Antiqua" w:hAnsi="Book Antiqua"/>
        </w:rPr>
        <w:t xml:space="preserve"> each). All patients but five were screened for NPHS1 and NPHS2. Nine patients (27.2%) achieved complete remission, 7 patients (21.2%) achieved partial remission, and 17 patients (51.5%) had no response. The median time to response was 32 days (range, 8 to 60 days) after the last dose of RTX. At the 6-month follow up, all 16 patients remained in remission (complete or partial). The remission rate was higher in patients with minimal change disease (64.7%) than in those with FSGS (31.2%; </w:t>
      </w:r>
      <w:r w:rsidRPr="005868A4">
        <w:rPr>
          <w:rFonts w:ascii="Book Antiqua" w:hAnsi="Book Antiqua"/>
          <w:i/>
        </w:rPr>
        <w:t>P</w:t>
      </w:r>
      <w:r w:rsidR="001811AE" w:rsidRPr="005868A4">
        <w:rPr>
          <w:rFonts w:ascii="Book Antiqua" w:eastAsiaTheme="minorEastAsia" w:hAnsi="Book Antiqua"/>
          <w:lang w:eastAsia="zh-CN"/>
        </w:rPr>
        <w:t xml:space="preserve"> </w:t>
      </w:r>
      <w:r w:rsidRPr="005868A4">
        <w:rPr>
          <w:rFonts w:ascii="Book Antiqua" w:hAnsi="Book Antiqua"/>
        </w:rPr>
        <w:t>=</w:t>
      </w:r>
      <w:r w:rsidR="001811AE" w:rsidRPr="005868A4">
        <w:rPr>
          <w:rFonts w:ascii="Book Antiqua" w:eastAsiaTheme="minorEastAsia" w:hAnsi="Book Antiqua"/>
          <w:lang w:eastAsia="zh-CN"/>
        </w:rPr>
        <w:t xml:space="preserve"> </w:t>
      </w:r>
      <w:r w:rsidRPr="005868A4">
        <w:rPr>
          <w:rFonts w:ascii="Book Antiqua" w:hAnsi="Book Antiqua"/>
        </w:rPr>
        <w:t>0.08) (</w:t>
      </w:r>
      <w:r w:rsidR="00DE6D68" w:rsidRPr="005868A4">
        <w:rPr>
          <w:rFonts w:ascii="Book Antiqua" w:hAnsi="Book Antiqua"/>
        </w:rPr>
        <w:t>Tabl</w:t>
      </w:r>
      <w:r w:rsidRPr="005868A4">
        <w:rPr>
          <w:rFonts w:ascii="Book Antiqua" w:hAnsi="Book Antiqua"/>
        </w:rPr>
        <w:t>e 1).</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Prytula </w:t>
      </w:r>
      <w:r w:rsidRPr="005868A4">
        <w:rPr>
          <w:rFonts w:ascii="Book Antiqua" w:hAnsi="Book Antiqua"/>
          <w:i/>
        </w:rPr>
        <w:t>et al</w:t>
      </w:r>
      <w:r w:rsidRPr="005868A4">
        <w:rPr>
          <w:rFonts w:ascii="Book Antiqua" w:hAnsi="Book Antiqua"/>
          <w:vertAlign w:val="superscript"/>
        </w:rPr>
        <w:t>[16]</w:t>
      </w:r>
      <w:r w:rsidRPr="005868A4">
        <w:rPr>
          <w:rFonts w:ascii="Book Antiqua" w:hAnsi="Book Antiqua"/>
        </w:rPr>
        <w:t xml:space="preserve"> conducted a multicenter, questionnaire-based study to assess the initial response to RTX in children with SRNS and determined the initial response to be 44 %. However, a randomized study conducted by Magnasco </w:t>
      </w:r>
      <w:r w:rsidRPr="005868A4">
        <w:rPr>
          <w:rFonts w:ascii="Book Antiqua" w:hAnsi="Book Antiqua"/>
          <w:i/>
        </w:rPr>
        <w:t>et al</w:t>
      </w:r>
      <w:r w:rsidRPr="005868A4">
        <w:rPr>
          <w:rFonts w:ascii="Book Antiqua" w:hAnsi="Book Antiqua"/>
          <w:vertAlign w:val="superscript"/>
        </w:rPr>
        <w:t>[20]</w:t>
      </w:r>
      <w:r w:rsidRPr="005868A4">
        <w:rPr>
          <w:rFonts w:ascii="Book Antiqua" w:hAnsi="Book Antiqua"/>
        </w:rPr>
        <w:t xml:space="preserve"> showed no benefit from RTX therapy. </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In an assessment of five children with SRNS, Bagga </w:t>
      </w:r>
      <w:r w:rsidRPr="005868A4">
        <w:rPr>
          <w:rFonts w:ascii="Book Antiqua" w:hAnsi="Book Antiqua"/>
          <w:i/>
        </w:rPr>
        <w:t>et al</w:t>
      </w:r>
      <w:r w:rsidRPr="005868A4">
        <w:rPr>
          <w:rFonts w:ascii="Book Antiqua" w:hAnsi="Book Antiqua"/>
          <w:vertAlign w:val="superscript"/>
        </w:rPr>
        <w:t>[21]</w:t>
      </w:r>
      <w:r w:rsidRPr="005868A4">
        <w:rPr>
          <w:rFonts w:ascii="Book Antiqua" w:hAnsi="Book Antiqua"/>
        </w:rPr>
        <w:t xml:space="preserve"> showed that 4 RTX doses of 375 mg/m</w:t>
      </w:r>
      <w:r w:rsidRPr="005868A4">
        <w:rPr>
          <w:rFonts w:ascii="Book Antiqua" w:hAnsi="Book Antiqua"/>
          <w:vertAlign w:val="superscript"/>
        </w:rPr>
        <w:t xml:space="preserve">2 </w:t>
      </w:r>
      <w:r w:rsidRPr="005868A4">
        <w:rPr>
          <w:rFonts w:ascii="Book Antiqua" w:hAnsi="Book Antiqua"/>
        </w:rPr>
        <w:t>were effective in achieving complete remission in four patients, while one patient achieved partial response</w:t>
      </w:r>
      <w:r w:rsidR="008D3E76" w:rsidRPr="005868A4">
        <w:rPr>
          <w:rFonts w:ascii="Book Antiqua" w:hAnsi="Book Antiqua"/>
        </w:rPr>
        <w:t xml:space="preserve">. </w:t>
      </w:r>
      <w:r w:rsidRPr="005868A4">
        <w:rPr>
          <w:rFonts w:ascii="Book Antiqua" w:hAnsi="Book Antiqua"/>
        </w:rPr>
        <w:t>The mean ratio of urinary protein to creatinine was 8.3 at baseline and 0.8 at follow-up (</w:t>
      </w:r>
      <w:r w:rsidRPr="005868A4">
        <w:rPr>
          <w:rFonts w:ascii="Book Antiqua" w:hAnsi="Book Antiqua"/>
          <w:i/>
        </w:rPr>
        <w:t>P</w:t>
      </w:r>
      <w:r w:rsidR="00DE6D68" w:rsidRPr="005868A4">
        <w:rPr>
          <w:rFonts w:ascii="Book Antiqua" w:hAnsi="Book Antiqua"/>
          <w:i/>
        </w:rPr>
        <w:t xml:space="preserve"> </w:t>
      </w:r>
      <w:r w:rsidRPr="005868A4">
        <w:rPr>
          <w:rFonts w:ascii="Book Antiqua" w:hAnsi="Book Antiqua"/>
        </w:rPr>
        <w:t>=</w:t>
      </w:r>
      <w:r w:rsidR="00DE6D68" w:rsidRPr="005868A4">
        <w:rPr>
          <w:rFonts w:ascii="Book Antiqua" w:hAnsi="Book Antiqua"/>
        </w:rPr>
        <w:t xml:space="preserve"> </w:t>
      </w:r>
      <w:r w:rsidRPr="005868A4">
        <w:rPr>
          <w:rFonts w:ascii="Book Antiqua" w:hAnsi="Book Antiqua"/>
        </w:rPr>
        <w:t>0.02, by analysis of variance), and the mean serum albumin level rose from 1.4 to 3.4 g per deciliter (</w:t>
      </w:r>
      <w:r w:rsidRPr="005868A4">
        <w:rPr>
          <w:rFonts w:ascii="Book Antiqua" w:hAnsi="Book Antiqua"/>
          <w:i/>
        </w:rPr>
        <w:t>P</w:t>
      </w:r>
      <w:r w:rsidR="00DE6D68" w:rsidRPr="005868A4">
        <w:rPr>
          <w:rFonts w:ascii="Book Antiqua" w:hAnsi="Book Antiqua"/>
        </w:rPr>
        <w:t xml:space="preserve"> </w:t>
      </w:r>
      <w:r w:rsidRPr="005868A4">
        <w:rPr>
          <w:rFonts w:ascii="Book Antiqua" w:hAnsi="Book Antiqua"/>
        </w:rPr>
        <w:t>&lt;</w:t>
      </w:r>
      <w:r w:rsidR="00DE6D68" w:rsidRPr="005868A4">
        <w:rPr>
          <w:rFonts w:ascii="Book Antiqua" w:hAnsi="Book Antiqua"/>
        </w:rPr>
        <w:t xml:space="preserve"> </w:t>
      </w:r>
      <w:r w:rsidRPr="005868A4">
        <w:rPr>
          <w:rFonts w:ascii="Book Antiqua" w:hAnsi="Book Antiqua"/>
        </w:rPr>
        <w:t>0.01).</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It can be inferred from the findings of</w:t>
      </w:r>
      <w:r w:rsidR="00BB72F8" w:rsidRPr="005868A4">
        <w:rPr>
          <w:rFonts w:ascii="Book Antiqua" w:hAnsi="Book Antiqua"/>
        </w:rPr>
        <w:t xml:space="preserve"> the</w:t>
      </w:r>
      <w:r w:rsidRPr="005868A4">
        <w:rPr>
          <w:rFonts w:ascii="Book Antiqua" w:hAnsi="Book Antiqua"/>
        </w:rPr>
        <w:t xml:space="preserve"> studies included here that RTX therapy is less efficacious in the treatment of SRNS than in the steroid</w:t>
      </w:r>
      <w:r w:rsidR="0091353F" w:rsidRPr="005868A4">
        <w:rPr>
          <w:rFonts w:ascii="Book Antiqua" w:hAnsi="Book Antiqua"/>
        </w:rPr>
        <w:t>-</w:t>
      </w:r>
      <w:r w:rsidRPr="005868A4">
        <w:rPr>
          <w:rFonts w:ascii="Book Antiqua" w:hAnsi="Book Antiqua"/>
        </w:rPr>
        <w:t xml:space="preserve">dependent/frequently relapsing form of the disease. Cravedi </w:t>
      </w:r>
      <w:r w:rsidRPr="005868A4">
        <w:rPr>
          <w:rFonts w:ascii="Book Antiqua" w:hAnsi="Book Antiqua"/>
          <w:i/>
        </w:rPr>
        <w:t>et al</w:t>
      </w:r>
      <w:r w:rsidRPr="005868A4">
        <w:rPr>
          <w:rFonts w:ascii="Book Antiqua" w:hAnsi="Book Antiqua"/>
          <w:vertAlign w:val="superscript"/>
        </w:rPr>
        <w:t>[22]</w:t>
      </w:r>
      <w:r w:rsidRPr="005868A4">
        <w:rPr>
          <w:rFonts w:ascii="Book Antiqua" w:hAnsi="Book Antiqua"/>
        </w:rPr>
        <w:t xml:space="preserve"> attributed the low</w:t>
      </w:r>
      <w:r w:rsidR="0006451E" w:rsidRPr="005868A4">
        <w:rPr>
          <w:rFonts w:ascii="Book Antiqua" w:hAnsi="Book Antiqua"/>
        </w:rPr>
        <w:t xml:space="preserve"> serum</w:t>
      </w:r>
      <w:r w:rsidRPr="005868A4">
        <w:rPr>
          <w:rFonts w:ascii="Book Antiqua" w:hAnsi="Book Antiqua"/>
        </w:rPr>
        <w:t xml:space="preserve"> level of RTX in patients with SRNS to urinary loss of RTX in these patients during the nephrotic state of the disease (not during remission). In addition, mutations in genes that encode an essential protein in the slit diaphragm of the glomerular filter play an important etiological role in patients with SRNS.</w:t>
      </w:r>
    </w:p>
    <w:p w:rsidR="00E23392" w:rsidRPr="005868A4" w:rsidRDefault="00E23392" w:rsidP="005868A4">
      <w:pPr>
        <w:spacing w:line="360" w:lineRule="auto"/>
        <w:jc w:val="both"/>
        <w:rPr>
          <w:rFonts w:ascii="Book Antiqua" w:hAnsi="Book Antiqua"/>
        </w:rPr>
      </w:pPr>
    </w:p>
    <w:p w:rsidR="00E23392" w:rsidRPr="005868A4" w:rsidRDefault="00E23392" w:rsidP="005868A4">
      <w:pPr>
        <w:spacing w:line="360" w:lineRule="auto"/>
        <w:jc w:val="both"/>
        <w:rPr>
          <w:rFonts w:ascii="Book Antiqua" w:hAnsi="Book Antiqua"/>
          <w:b/>
          <w:bCs/>
        </w:rPr>
      </w:pPr>
      <w:r w:rsidRPr="005868A4">
        <w:rPr>
          <w:rFonts w:ascii="Book Antiqua" w:hAnsi="Book Antiqua"/>
          <w:b/>
          <w:bCs/>
        </w:rPr>
        <w:t>SAFETY</w:t>
      </w:r>
    </w:p>
    <w:p w:rsidR="00E23392" w:rsidRPr="005868A4" w:rsidRDefault="00E23392" w:rsidP="005868A4">
      <w:pPr>
        <w:spacing w:line="360" w:lineRule="auto"/>
        <w:jc w:val="both"/>
        <w:rPr>
          <w:rFonts w:ascii="Book Antiqua" w:hAnsi="Book Antiqua"/>
        </w:rPr>
      </w:pPr>
      <w:r w:rsidRPr="005868A4">
        <w:rPr>
          <w:rFonts w:ascii="Book Antiqua" w:hAnsi="Book Antiqua"/>
        </w:rPr>
        <w:t>RTX has been used over the last few years for the treatment of complicated cases of pediatric nephrotic syndrome and has shown promising clinical efficacy.</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However, questions regarding its safety and long-term effects in this particular group of patients have remained unanswered. A few </w:t>
      </w:r>
      <w:r w:rsidR="0010527F" w:rsidRPr="005868A4">
        <w:rPr>
          <w:rFonts w:ascii="Book Antiqua" w:hAnsi="Book Antiqua"/>
        </w:rPr>
        <w:t>previous</w:t>
      </w:r>
      <w:r w:rsidRPr="005868A4">
        <w:rPr>
          <w:rFonts w:ascii="Book Antiqua" w:hAnsi="Book Antiqua"/>
        </w:rPr>
        <w:t xml:space="preserve"> uncontrolled studies have shown that RTX was well tolerated in pediatric patients with the steroid-dependent and resistant forms of nephrotic syndrome. Most adverse events were mild infusion-related reactions and resolved either spontaneously or with intramuscular epinephrine. Very few patients developed severe anaphylactic reactions, hypotension or cardiac </w:t>
      </w:r>
      <w:r w:rsidR="00386917" w:rsidRPr="005868A4">
        <w:rPr>
          <w:rFonts w:ascii="Book Antiqua" w:hAnsi="Book Antiqua"/>
        </w:rPr>
        <w:t>arrhythmia</w:t>
      </w:r>
      <w:r w:rsidR="00386917" w:rsidRPr="005868A4">
        <w:rPr>
          <w:rFonts w:ascii="Book Antiqua" w:hAnsi="Book Antiqua"/>
          <w:vertAlign w:val="superscript"/>
        </w:rPr>
        <w:t>[</w:t>
      </w:r>
      <w:r w:rsidRPr="005868A4">
        <w:rPr>
          <w:rFonts w:ascii="Book Antiqua" w:hAnsi="Book Antiqua"/>
          <w:vertAlign w:val="superscript"/>
        </w:rPr>
        <w:t>5]</w:t>
      </w:r>
      <w:r w:rsidRPr="005868A4">
        <w:rPr>
          <w:rFonts w:ascii="Book Antiqua" w:hAnsi="Book Antiqua"/>
        </w:rPr>
        <w:t>. The pathogenesis of such reactions is still unclear but may be related to cytokine release from the destroyed B cells.</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Gulati </w:t>
      </w:r>
      <w:r w:rsidRPr="005868A4">
        <w:rPr>
          <w:rFonts w:ascii="Book Antiqua" w:hAnsi="Book Antiqua"/>
          <w:i/>
        </w:rPr>
        <w:t>et al</w:t>
      </w:r>
      <w:r w:rsidRPr="005868A4">
        <w:rPr>
          <w:rFonts w:ascii="Book Antiqua" w:hAnsi="Book Antiqua"/>
          <w:vertAlign w:val="superscript"/>
        </w:rPr>
        <w:t>[7]</w:t>
      </w:r>
      <w:r w:rsidRPr="005868A4">
        <w:rPr>
          <w:rFonts w:ascii="Book Antiqua" w:hAnsi="Book Antiqua"/>
        </w:rPr>
        <w:t xml:space="preserve"> treated 33 pediatric patients with RTX (24 with SDNS, 9 with SRNS); only 4 patients (12%) developed infusion reactions (3 had chills and </w:t>
      </w:r>
      <w:r w:rsidR="00EA204D" w:rsidRPr="005868A4">
        <w:rPr>
          <w:rFonts w:ascii="Book Antiqua" w:hAnsi="Book Antiqua"/>
        </w:rPr>
        <w:t>1</w:t>
      </w:r>
      <w:r w:rsidRPr="005868A4">
        <w:rPr>
          <w:rFonts w:ascii="Book Antiqua" w:hAnsi="Book Antiqua"/>
        </w:rPr>
        <w:t xml:space="preserve"> had myalgia). </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Another study of 30 patients from </w:t>
      </w:r>
      <w:r w:rsidR="0006451E" w:rsidRPr="005868A4">
        <w:rPr>
          <w:rFonts w:ascii="Book Antiqua" w:hAnsi="Book Antiqua"/>
        </w:rPr>
        <w:t>France</w:t>
      </w:r>
      <w:r w:rsidR="0006451E" w:rsidRPr="005868A4">
        <w:rPr>
          <w:rFonts w:ascii="Book Antiqua" w:hAnsi="Book Antiqua"/>
          <w:vertAlign w:val="superscript"/>
        </w:rPr>
        <w:t>[</w:t>
      </w:r>
      <w:r w:rsidRPr="005868A4">
        <w:rPr>
          <w:rFonts w:ascii="Book Antiqua" w:hAnsi="Book Antiqua"/>
          <w:vertAlign w:val="superscript"/>
        </w:rPr>
        <w:t>6]</w:t>
      </w:r>
      <w:r w:rsidRPr="005868A4">
        <w:rPr>
          <w:rFonts w:ascii="Book Antiqua" w:hAnsi="Book Antiqua"/>
        </w:rPr>
        <w:t xml:space="preserve"> showed that 14 patients (47%) developed infusion-related reactions that were mild and did not require RTX discontinuation. Kemper </w:t>
      </w:r>
      <w:r w:rsidRPr="005868A4">
        <w:rPr>
          <w:rFonts w:ascii="Book Antiqua" w:hAnsi="Book Antiqua"/>
          <w:i/>
        </w:rPr>
        <w:t>et al</w:t>
      </w:r>
      <w:r w:rsidRPr="005868A4">
        <w:rPr>
          <w:rFonts w:ascii="Book Antiqua" w:hAnsi="Book Antiqua"/>
          <w:vertAlign w:val="superscript"/>
        </w:rPr>
        <w:t>[8]</w:t>
      </w:r>
      <w:r w:rsidRPr="005868A4">
        <w:rPr>
          <w:rFonts w:ascii="Book Antiqua" w:hAnsi="Book Antiqua"/>
        </w:rPr>
        <w:t xml:space="preserve"> treated 37 patients with RTX, and only 2 patients developed itching at the first infusion. It is difficult to comment on the reasons for the differences in the number of adverse reactions noted among different studies. Bitzan </w:t>
      </w:r>
      <w:r w:rsidRPr="005868A4">
        <w:rPr>
          <w:rFonts w:ascii="Book Antiqua" w:hAnsi="Book Antiqua"/>
          <w:i/>
        </w:rPr>
        <w:t>et al</w:t>
      </w:r>
      <w:r w:rsidRPr="005868A4">
        <w:rPr>
          <w:rFonts w:ascii="Book Antiqua" w:hAnsi="Book Antiqua"/>
          <w:vertAlign w:val="superscript"/>
        </w:rPr>
        <w:t>[23]</w:t>
      </w:r>
      <w:r w:rsidRPr="005868A4">
        <w:rPr>
          <w:rFonts w:ascii="Book Antiqua" w:hAnsi="Book Antiqua"/>
        </w:rPr>
        <w:t xml:space="preserve"> reported a patient with an RTX-related lung injury that resolved without any serious sequelae. There are more than 30 published reports (with 62 cases) of delayed pulmonary toxicities after RTX treatment. These have mostly been reported in a</w:t>
      </w:r>
      <w:r w:rsidR="0010527F" w:rsidRPr="005868A4">
        <w:rPr>
          <w:rFonts w:ascii="Book Antiqua" w:hAnsi="Book Antiqua"/>
        </w:rPr>
        <w:t>dult patients with hematologic</w:t>
      </w:r>
      <w:r w:rsidRPr="005868A4">
        <w:rPr>
          <w:rFonts w:ascii="Book Antiqua" w:hAnsi="Book Antiqua"/>
        </w:rPr>
        <w:t xml:space="preserve"> malignancies</w:t>
      </w:r>
      <w:r w:rsidR="008D3E76" w:rsidRPr="005868A4">
        <w:rPr>
          <w:rFonts w:ascii="Book Antiqua" w:hAnsi="Book Antiqua"/>
        </w:rPr>
        <w:t xml:space="preserve">. </w:t>
      </w:r>
      <w:r w:rsidRPr="005868A4">
        <w:rPr>
          <w:rFonts w:ascii="Book Antiqua" w:hAnsi="Book Antiqua"/>
        </w:rPr>
        <w:t>RTX-related pulmonary toxicities can be serious and carry a significant mortality rate. Delayed pulmonary toxicities have not been reported in other clinical studies of pediatric nephrotic</w:t>
      </w:r>
      <w:r w:rsidR="00790B49" w:rsidRPr="005868A4">
        <w:rPr>
          <w:rFonts w:ascii="Book Antiqua" w:hAnsi="Book Antiqua"/>
        </w:rPr>
        <w:t xml:space="preserve"> syndrome</w:t>
      </w:r>
      <w:r w:rsidRPr="005868A4">
        <w:rPr>
          <w:rFonts w:ascii="Book Antiqua" w:hAnsi="Book Antiqua"/>
        </w:rPr>
        <w:t xml:space="preserve"> patients treated with RTX. However, Kamei </w:t>
      </w:r>
      <w:r w:rsidRPr="005868A4">
        <w:rPr>
          <w:rFonts w:ascii="Book Antiqua" w:hAnsi="Book Antiqua"/>
          <w:i/>
        </w:rPr>
        <w:t>et al</w:t>
      </w:r>
      <w:r w:rsidRPr="005868A4">
        <w:rPr>
          <w:rFonts w:ascii="Book Antiqua" w:hAnsi="Book Antiqua"/>
          <w:vertAlign w:val="superscript"/>
        </w:rPr>
        <w:t>[2</w:t>
      </w:r>
      <w:r w:rsidR="0054360B" w:rsidRPr="005868A4">
        <w:rPr>
          <w:rFonts w:ascii="Book Antiqua" w:hAnsi="Book Antiqua"/>
          <w:vertAlign w:val="superscript"/>
        </w:rPr>
        <w:t>4</w:t>
      </w:r>
      <w:r w:rsidRPr="005868A4">
        <w:rPr>
          <w:rFonts w:ascii="Book Antiqua" w:hAnsi="Book Antiqua"/>
          <w:vertAlign w:val="superscript"/>
        </w:rPr>
        <w:t>]</w:t>
      </w:r>
      <w:r w:rsidRPr="005868A4">
        <w:rPr>
          <w:rFonts w:ascii="Book Antiqua" w:hAnsi="Book Antiqua"/>
        </w:rPr>
        <w:t xml:space="preserve"> reported mild acute respiratory events during RTX infusion in 10/28 patients (36%). Sellier </w:t>
      </w:r>
      <w:r w:rsidRPr="005868A4">
        <w:rPr>
          <w:rFonts w:ascii="Book Antiqua" w:hAnsi="Book Antiqua"/>
          <w:i/>
        </w:rPr>
        <w:t>et al</w:t>
      </w:r>
      <w:r w:rsidRPr="005868A4">
        <w:rPr>
          <w:rFonts w:ascii="Book Antiqua" w:hAnsi="Book Antiqua"/>
          <w:vertAlign w:val="superscript"/>
        </w:rPr>
        <w:t>[6]</w:t>
      </w:r>
      <w:r w:rsidRPr="005868A4">
        <w:rPr>
          <w:rFonts w:ascii="Book Antiqua" w:hAnsi="Book Antiqua"/>
        </w:rPr>
        <w:t xml:space="preserve"> reported adverse reactions in two nephrotic syndrome patients receiving RTX. Of these, one developed transient severe neutropenia, and the other developed transient thrombocytopenia. In general, hematological adverse events were uncommon and had no serious clinical effects. Serious infections were rare. Guigonis </w:t>
      </w:r>
      <w:r w:rsidRPr="005868A4">
        <w:rPr>
          <w:rFonts w:ascii="Book Antiqua" w:hAnsi="Book Antiqua"/>
          <w:i/>
        </w:rPr>
        <w:t>et al</w:t>
      </w:r>
      <w:r w:rsidRPr="005868A4">
        <w:rPr>
          <w:rFonts w:ascii="Book Antiqua" w:hAnsi="Book Antiqua"/>
          <w:vertAlign w:val="superscript"/>
        </w:rPr>
        <w:t>[5]</w:t>
      </w:r>
      <w:r w:rsidRPr="005868A4">
        <w:rPr>
          <w:rFonts w:ascii="Book Antiqua" w:hAnsi="Book Antiqua"/>
        </w:rPr>
        <w:t xml:space="preserve"> reported that in a multicenter study of RTX in 22 patients, one patient developed Pneumocystis carinii pneumonia (PCP) despite PCP prophylaxis. This patient was also receiving tacrolimus and corticosteroid</w:t>
      </w:r>
      <w:r w:rsidR="009C584C" w:rsidRPr="005868A4">
        <w:rPr>
          <w:rFonts w:ascii="Book Antiqua" w:hAnsi="Book Antiqua"/>
        </w:rPr>
        <w:t>s</w:t>
      </w:r>
      <w:r w:rsidRPr="005868A4">
        <w:rPr>
          <w:rFonts w:ascii="Book Antiqua" w:hAnsi="Book Antiqua"/>
        </w:rPr>
        <w:t xml:space="preserve"> at the time of PCP infection. </w:t>
      </w:r>
    </w:p>
    <w:p w:rsidR="00E23392" w:rsidRPr="005868A4" w:rsidRDefault="009C584C" w:rsidP="005868A4">
      <w:pPr>
        <w:spacing w:line="360" w:lineRule="auto"/>
        <w:ind w:firstLineChars="200" w:firstLine="480"/>
        <w:jc w:val="both"/>
        <w:rPr>
          <w:rFonts w:ascii="Book Antiqua" w:hAnsi="Book Antiqua"/>
        </w:rPr>
      </w:pPr>
      <w:r w:rsidRPr="005868A4">
        <w:rPr>
          <w:rFonts w:ascii="Book Antiqua" w:hAnsi="Book Antiqua"/>
        </w:rPr>
        <w:t xml:space="preserve">In a multicenter questionnaire-based study, </w:t>
      </w:r>
      <w:r w:rsidR="00E23392" w:rsidRPr="005868A4">
        <w:rPr>
          <w:rFonts w:ascii="Book Antiqua" w:hAnsi="Book Antiqua"/>
        </w:rPr>
        <w:t xml:space="preserve">Prytula </w:t>
      </w:r>
      <w:r w:rsidR="00E23392" w:rsidRPr="005868A4">
        <w:rPr>
          <w:rFonts w:ascii="Book Antiqua" w:hAnsi="Book Antiqua"/>
          <w:i/>
        </w:rPr>
        <w:t>et al</w:t>
      </w:r>
      <w:r w:rsidR="00E23392" w:rsidRPr="005868A4">
        <w:rPr>
          <w:rFonts w:ascii="Book Antiqua" w:hAnsi="Book Antiqua"/>
          <w:vertAlign w:val="superscript"/>
        </w:rPr>
        <w:t>[16]</w:t>
      </w:r>
      <w:r w:rsidRPr="005868A4">
        <w:rPr>
          <w:rFonts w:ascii="Book Antiqua" w:hAnsi="Book Antiqua"/>
        </w:rPr>
        <w:t xml:space="preserve"> </w:t>
      </w:r>
      <w:r w:rsidR="00E23392" w:rsidRPr="005868A4">
        <w:rPr>
          <w:rFonts w:ascii="Book Antiqua" w:hAnsi="Book Antiqua"/>
        </w:rPr>
        <w:t>showed that 3/70 patients receiving RTX developed serious infections</w:t>
      </w:r>
      <w:r w:rsidRPr="005868A4">
        <w:rPr>
          <w:rFonts w:ascii="Book Antiqua" w:hAnsi="Book Antiqua"/>
        </w:rPr>
        <w:t>;</w:t>
      </w:r>
      <w:r w:rsidR="00E23392" w:rsidRPr="005868A4">
        <w:rPr>
          <w:rFonts w:ascii="Book Antiqua" w:hAnsi="Book Antiqua"/>
        </w:rPr>
        <w:t xml:space="preserve"> one patient </w:t>
      </w:r>
      <w:r w:rsidRPr="005868A4">
        <w:rPr>
          <w:rFonts w:ascii="Book Antiqua" w:hAnsi="Book Antiqua"/>
        </w:rPr>
        <w:t>had</w:t>
      </w:r>
      <w:r w:rsidR="00E23392" w:rsidRPr="005868A4">
        <w:rPr>
          <w:rFonts w:ascii="Book Antiqua" w:hAnsi="Book Antiqua"/>
        </w:rPr>
        <w:t xml:space="preserve"> agranulocytosis with sepsis</w:t>
      </w:r>
      <w:r w:rsidR="00E62AD3" w:rsidRPr="005868A4">
        <w:rPr>
          <w:rFonts w:ascii="Book Antiqua" w:hAnsi="Book Antiqua"/>
        </w:rPr>
        <w:t>,</w:t>
      </w:r>
      <w:r w:rsidR="00E23392" w:rsidRPr="005868A4">
        <w:rPr>
          <w:rFonts w:ascii="Book Antiqua" w:hAnsi="Book Antiqua"/>
        </w:rPr>
        <w:t xml:space="preserve"> and two patients </w:t>
      </w:r>
      <w:r w:rsidRPr="005868A4">
        <w:rPr>
          <w:rFonts w:ascii="Book Antiqua" w:hAnsi="Book Antiqua"/>
        </w:rPr>
        <w:t>had pneumonia.</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 xml:space="preserve">Kari </w:t>
      </w:r>
      <w:r w:rsidR="00AB00CC" w:rsidRPr="005868A4">
        <w:rPr>
          <w:rFonts w:ascii="Book Antiqua" w:hAnsi="Book Antiqua"/>
          <w:i/>
        </w:rPr>
        <w:t xml:space="preserve">et </w:t>
      </w:r>
      <w:r w:rsidRPr="005868A4">
        <w:rPr>
          <w:rFonts w:ascii="Book Antiqua" w:hAnsi="Book Antiqua"/>
          <w:i/>
        </w:rPr>
        <w:t>al</w:t>
      </w:r>
      <w:r w:rsidRPr="005868A4">
        <w:rPr>
          <w:rFonts w:ascii="Book Antiqua" w:hAnsi="Book Antiqua"/>
          <w:vertAlign w:val="superscript"/>
        </w:rPr>
        <w:t>[25]</w:t>
      </w:r>
      <w:r w:rsidR="009C584C" w:rsidRPr="005868A4">
        <w:rPr>
          <w:rFonts w:ascii="Book Antiqua" w:hAnsi="Book Antiqua"/>
        </w:rPr>
        <w:t xml:space="preserve"> studied</w:t>
      </w:r>
      <w:r w:rsidRPr="005868A4">
        <w:rPr>
          <w:rFonts w:ascii="Book Antiqua" w:hAnsi="Book Antiqua"/>
        </w:rPr>
        <w:t xml:space="preserve"> 4 patients rece</w:t>
      </w:r>
      <w:r w:rsidR="009C584C" w:rsidRPr="005868A4">
        <w:rPr>
          <w:rFonts w:ascii="Book Antiqua" w:hAnsi="Book Antiqua"/>
        </w:rPr>
        <w:t>i</w:t>
      </w:r>
      <w:r w:rsidRPr="005868A4">
        <w:rPr>
          <w:rFonts w:ascii="Book Antiqua" w:hAnsi="Book Antiqua"/>
        </w:rPr>
        <w:t>ving RTX for SRNS and reported that one patient developed clinical peritonitis. Of interest,</w:t>
      </w:r>
      <w:r w:rsidR="009C584C" w:rsidRPr="005868A4">
        <w:rPr>
          <w:rFonts w:ascii="Book Antiqua" w:hAnsi="Book Antiqua"/>
        </w:rPr>
        <w:t xml:space="preserve"> a</w:t>
      </w:r>
      <w:r w:rsidRPr="005868A4">
        <w:rPr>
          <w:rFonts w:ascii="Book Antiqua" w:hAnsi="Book Antiqua"/>
        </w:rPr>
        <w:t xml:space="preserve"> few patients developed fever of unknown origin after RTX </w:t>
      </w:r>
      <w:r w:rsidR="009C584C" w:rsidRPr="005868A4">
        <w:rPr>
          <w:rFonts w:ascii="Book Antiqua" w:hAnsi="Book Antiqua"/>
        </w:rPr>
        <w:t xml:space="preserve">without a </w:t>
      </w:r>
      <w:r w:rsidRPr="005868A4">
        <w:rPr>
          <w:rFonts w:ascii="Book Antiqua" w:hAnsi="Book Antiqua"/>
        </w:rPr>
        <w:t xml:space="preserve">clear microbial </w:t>
      </w:r>
      <w:r w:rsidR="002E49A8" w:rsidRPr="005868A4">
        <w:rPr>
          <w:rFonts w:ascii="Book Antiqua" w:hAnsi="Book Antiqua"/>
        </w:rPr>
        <w:t>cause</w:t>
      </w:r>
      <w:r w:rsidR="002E49A8" w:rsidRPr="005868A4">
        <w:rPr>
          <w:rFonts w:ascii="Book Antiqua" w:hAnsi="Book Antiqua"/>
          <w:vertAlign w:val="superscript"/>
        </w:rPr>
        <w:t>[</w:t>
      </w:r>
      <w:r w:rsidRPr="005868A4">
        <w:rPr>
          <w:rFonts w:ascii="Book Antiqua" w:hAnsi="Book Antiqua"/>
          <w:vertAlign w:val="superscript"/>
        </w:rPr>
        <w:t>5]</w:t>
      </w:r>
      <w:r w:rsidRPr="005868A4">
        <w:rPr>
          <w:rFonts w:ascii="Book Antiqua" w:hAnsi="Book Antiqua"/>
        </w:rPr>
        <w:t>.</w:t>
      </w:r>
    </w:p>
    <w:p w:rsidR="00E23392" w:rsidRPr="005868A4" w:rsidRDefault="003A1CFE" w:rsidP="005868A4">
      <w:pPr>
        <w:spacing w:line="360" w:lineRule="auto"/>
        <w:ind w:firstLineChars="250" w:firstLine="600"/>
        <w:jc w:val="both"/>
        <w:rPr>
          <w:rFonts w:ascii="Book Antiqua" w:hAnsi="Book Antiqua"/>
        </w:rPr>
      </w:pPr>
      <w:r w:rsidRPr="005868A4">
        <w:rPr>
          <w:rFonts w:ascii="Book Antiqua" w:hAnsi="Book Antiqua"/>
        </w:rPr>
        <w:t>Data regarding</w:t>
      </w:r>
      <w:r w:rsidR="00E23392" w:rsidRPr="005868A4">
        <w:rPr>
          <w:rFonts w:ascii="Book Antiqua" w:hAnsi="Book Antiqua"/>
        </w:rPr>
        <w:t xml:space="preserve"> the safety of RTX </w:t>
      </w:r>
      <w:r w:rsidRPr="005868A4">
        <w:rPr>
          <w:rFonts w:ascii="Book Antiqua" w:hAnsi="Book Antiqua"/>
        </w:rPr>
        <w:t>are</w:t>
      </w:r>
      <w:r w:rsidR="00E23392" w:rsidRPr="005868A4">
        <w:rPr>
          <w:rFonts w:ascii="Book Antiqua" w:hAnsi="Book Antiqua"/>
        </w:rPr>
        <w:t xml:space="preserve"> not limited to pediatric patients with nephrotic syndrome. Several other research reports have also delved into the safety aspects of RTX therapy </w:t>
      </w:r>
      <w:r w:rsidRPr="005868A4">
        <w:rPr>
          <w:rFonts w:ascii="Book Antiqua" w:hAnsi="Book Antiqua"/>
        </w:rPr>
        <w:t>in adults</w:t>
      </w:r>
      <w:r w:rsidR="00E23392" w:rsidRPr="005868A4">
        <w:rPr>
          <w:rFonts w:ascii="Book Antiqua" w:hAnsi="Book Antiqua"/>
        </w:rPr>
        <w:t xml:space="preserve">. For example, RTX was well tolerated and generally found safe among </w:t>
      </w:r>
      <w:r w:rsidRPr="005868A4">
        <w:rPr>
          <w:rFonts w:ascii="Book Antiqua" w:hAnsi="Book Antiqua"/>
        </w:rPr>
        <w:t xml:space="preserve">patients with </w:t>
      </w:r>
      <w:r w:rsidR="00E23392" w:rsidRPr="005868A4">
        <w:rPr>
          <w:rFonts w:ascii="Book Antiqua" w:hAnsi="Book Antiqua"/>
        </w:rPr>
        <w:t>non</w:t>
      </w:r>
      <w:r w:rsidRPr="005868A4">
        <w:rPr>
          <w:rFonts w:ascii="Book Antiqua" w:hAnsi="Book Antiqua"/>
        </w:rPr>
        <w:t>-</w:t>
      </w:r>
      <w:r w:rsidR="00E23392" w:rsidRPr="005868A4">
        <w:rPr>
          <w:rFonts w:ascii="Book Antiqua" w:hAnsi="Book Antiqua"/>
        </w:rPr>
        <w:t>H</w:t>
      </w:r>
      <w:r w:rsidRPr="005868A4">
        <w:rPr>
          <w:rFonts w:ascii="Book Antiqua" w:hAnsi="Book Antiqua"/>
        </w:rPr>
        <w:t xml:space="preserve">odgkin’s </w:t>
      </w:r>
      <w:r w:rsidR="00E23392" w:rsidRPr="005868A4">
        <w:rPr>
          <w:rFonts w:ascii="Book Antiqua" w:hAnsi="Book Antiqua"/>
        </w:rPr>
        <w:t>lymphoma</w:t>
      </w:r>
      <w:r w:rsidRPr="005868A4">
        <w:rPr>
          <w:rFonts w:ascii="Book Antiqua" w:hAnsi="Book Antiqua"/>
        </w:rPr>
        <w:t>,</w:t>
      </w:r>
      <w:r w:rsidR="00E23392" w:rsidRPr="005868A4">
        <w:rPr>
          <w:rFonts w:ascii="Book Antiqua" w:hAnsi="Book Antiqua"/>
        </w:rPr>
        <w:t xml:space="preserve"> and very few patients </w:t>
      </w:r>
      <w:r w:rsidRPr="005868A4">
        <w:rPr>
          <w:rFonts w:ascii="Book Antiqua" w:hAnsi="Book Antiqua"/>
        </w:rPr>
        <w:t>experienced</w:t>
      </w:r>
      <w:r w:rsidR="00E23392" w:rsidRPr="005868A4">
        <w:rPr>
          <w:rFonts w:ascii="Book Antiqua" w:hAnsi="Book Antiqua"/>
        </w:rPr>
        <w:t xml:space="preserve"> serious adverse events. Data from the </w:t>
      </w:r>
      <w:r w:rsidRPr="005868A4">
        <w:rPr>
          <w:rFonts w:ascii="Book Antiqua" w:hAnsi="Book Antiqua"/>
        </w:rPr>
        <w:t xml:space="preserve">German </w:t>
      </w:r>
      <w:r w:rsidR="00E23392" w:rsidRPr="005868A4">
        <w:rPr>
          <w:rFonts w:ascii="Book Antiqua" w:hAnsi="Book Antiqua"/>
        </w:rPr>
        <w:t>national registry</w:t>
      </w:r>
      <w:r w:rsidR="00E23392" w:rsidRPr="005868A4">
        <w:rPr>
          <w:rFonts w:ascii="Book Antiqua" w:hAnsi="Book Antiqua"/>
          <w:vertAlign w:val="superscript"/>
        </w:rPr>
        <w:t>[26]</w:t>
      </w:r>
      <w:r w:rsidR="00E23392" w:rsidRPr="005868A4">
        <w:rPr>
          <w:rFonts w:ascii="Book Antiqua" w:hAnsi="Book Antiqua"/>
        </w:rPr>
        <w:t xml:space="preserve"> revealed that out of 370 adult patients who received RTX for</w:t>
      </w:r>
      <w:r w:rsidRPr="005868A4">
        <w:rPr>
          <w:rFonts w:ascii="Book Antiqua" w:hAnsi="Book Antiqua"/>
        </w:rPr>
        <w:t xml:space="preserve"> various immunological diseases,</w:t>
      </w:r>
      <w:r w:rsidR="00E23392" w:rsidRPr="005868A4">
        <w:rPr>
          <w:rFonts w:ascii="Book Antiqua" w:hAnsi="Book Antiqua"/>
        </w:rPr>
        <w:t xml:space="preserve"> the overall rate of serious infections was 5.3 per 100 patient-years during RTX therapy. Opportunistic infections were infrequent ac</w:t>
      </w:r>
      <w:r w:rsidRPr="005868A4">
        <w:rPr>
          <w:rFonts w:ascii="Book Antiqua" w:hAnsi="Book Antiqua"/>
        </w:rPr>
        <w:t>ross the whole study population</w:t>
      </w:r>
      <w:r w:rsidR="00E23392" w:rsidRPr="005868A4">
        <w:rPr>
          <w:rFonts w:ascii="Book Antiqua" w:hAnsi="Book Antiqua"/>
        </w:rPr>
        <w:t xml:space="preserve"> and mostly occurred in patients with systemic lupus erythematosus. There were 11 deaths (3.0% of patients) after RTX treatment. Sellier </w:t>
      </w:r>
      <w:r w:rsidR="00E23392" w:rsidRPr="005868A4">
        <w:rPr>
          <w:rFonts w:ascii="Book Antiqua" w:hAnsi="Book Antiqua"/>
          <w:i/>
        </w:rPr>
        <w:t>et al</w:t>
      </w:r>
      <w:r w:rsidR="00E23392" w:rsidRPr="005868A4">
        <w:rPr>
          <w:rFonts w:ascii="Book Antiqua" w:hAnsi="Book Antiqua"/>
          <w:vertAlign w:val="superscript"/>
        </w:rPr>
        <w:t>[27]</w:t>
      </w:r>
      <w:r w:rsidR="00E23392" w:rsidRPr="005868A4">
        <w:rPr>
          <w:rFonts w:ascii="Book Antiqua" w:hAnsi="Book Antiqua"/>
        </w:rPr>
        <w:t xml:space="preserve"> reported a</w:t>
      </w:r>
      <w:r w:rsidRPr="005868A4">
        <w:rPr>
          <w:rFonts w:ascii="Book Antiqua" w:hAnsi="Book Antiqua"/>
        </w:rPr>
        <w:t xml:space="preserve"> case of fulminant myocarditi</w:t>
      </w:r>
      <w:r w:rsidR="00E23392" w:rsidRPr="005868A4">
        <w:rPr>
          <w:rFonts w:ascii="Book Antiqua" w:hAnsi="Book Antiqua"/>
        </w:rPr>
        <w:t>s after 4 mo</w:t>
      </w:r>
      <w:r w:rsidR="0003160B" w:rsidRPr="005868A4">
        <w:rPr>
          <w:rFonts w:ascii="Book Antiqua" w:eastAsiaTheme="minorEastAsia" w:hAnsi="Book Antiqua"/>
          <w:lang w:eastAsia="zh-CN"/>
        </w:rPr>
        <w:t xml:space="preserve"> </w:t>
      </w:r>
      <w:r w:rsidR="00E23392" w:rsidRPr="005868A4">
        <w:rPr>
          <w:rFonts w:ascii="Book Antiqua" w:hAnsi="Book Antiqua"/>
        </w:rPr>
        <w:t>of RTX infusion in a child with nephrotic syndrome</w:t>
      </w:r>
      <w:r w:rsidRPr="005868A4">
        <w:rPr>
          <w:rFonts w:ascii="Book Antiqua" w:hAnsi="Book Antiqua"/>
        </w:rPr>
        <w:t xml:space="preserve"> who</w:t>
      </w:r>
      <w:r w:rsidR="00E23392" w:rsidRPr="005868A4">
        <w:rPr>
          <w:rFonts w:ascii="Book Antiqua" w:hAnsi="Book Antiqua"/>
        </w:rPr>
        <w:t xml:space="preserve"> survived after </w:t>
      </w:r>
      <w:r w:rsidRPr="005868A4">
        <w:rPr>
          <w:rFonts w:ascii="Book Antiqua" w:hAnsi="Book Antiqua"/>
        </w:rPr>
        <w:t xml:space="preserve">receiving a </w:t>
      </w:r>
      <w:r w:rsidR="00E23392" w:rsidRPr="005868A4">
        <w:rPr>
          <w:rFonts w:ascii="Book Antiqua" w:hAnsi="Book Antiqua"/>
        </w:rPr>
        <w:t>heart transplant</w:t>
      </w:r>
      <w:r w:rsidRPr="005868A4">
        <w:rPr>
          <w:rFonts w:ascii="Book Antiqua" w:hAnsi="Book Antiqua"/>
        </w:rPr>
        <w:t>.</w:t>
      </w:r>
      <w:r w:rsidR="00E23392" w:rsidRPr="005868A4">
        <w:rPr>
          <w:rFonts w:ascii="Book Antiqua" w:hAnsi="Book Antiqua"/>
        </w:rPr>
        <w:t xml:space="preserve"> </w:t>
      </w:r>
    </w:p>
    <w:p w:rsidR="00E23392" w:rsidRPr="005868A4" w:rsidRDefault="00E23392" w:rsidP="005868A4">
      <w:pPr>
        <w:spacing w:line="360" w:lineRule="auto"/>
        <w:ind w:firstLineChars="200" w:firstLine="480"/>
        <w:jc w:val="both"/>
        <w:rPr>
          <w:rFonts w:ascii="Book Antiqua" w:hAnsi="Book Antiqua"/>
        </w:rPr>
      </w:pPr>
      <w:r w:rsidRPr="005868A4">
        <w:rPr>
          <w:rFonts w:ascii="Book Antiqua" w:hAnsi="Book Antiqua"/>
        </w:rPr>
        <w:t>Progressive multifocal leukoencephalopathy is a serious demyelinating disease of the central nervous system arising from reactivation of the</w:t>
      </w:r>
      <w:bookmarkStart w:id="58" w:name="OLE_LINK7"/>
      <w:bookmarkStart w:id="59" w:name="OLE_LINK8"/>
      <w:r w:rsidR="0003160B" w:rsidRPr="005868A4">
        <w:rPr>
          <w:rFonts w:ascii="Book Antiqua" w:hAnsi="Book Antiqua"/>
        </w:rPr>
        <w:t xml:space="preserve"> John Cunningham virus</w:t>
      </w:r>
      <w:bookmarkEnd w:id="58"/>
      <w:bookmarkEnd w:id="59"/>
      <w:r w:rsidRPr="005868A4">
        <w:rPr>
          <w:rFonts w:ascii="Book Antiqua" w:hAnsi="Book Antiqua"/>
        </w:rPr>
        <w:t xml:space="preserve">. It has been reported in various immunologic </w:t>
      </w:r>
      <w:r w:rsidR="00386917" w:rsidRPr="005868A4">
        <w:rPr>
          <w:rFonts w:ascii="Book Antiqua" w:hAnsi="Book Antiqua"/>
        </w:rPr>
        <w:t>diseases</w:t>
      </w:r>
      <w:r w:rsidR="00386917" w:rsidRPr="005868A4">
        <w:rPr>
          <w:rFonts w:ascii="Book Antiqua" w:hAnsi="Book Antiqua"/>
          <w:vertAlign w:val="superscript"/>
        </w:rPr>
        <w:t>[</w:t>
      </w:r>
      <w:r w:rsidRPr="005868A4">
        <w:rPr>
          <w:rFonts w:ascii="Book Antiqua" w:hAnsi="Book Antiqua"/>
          <w:vertAlign w:val="superscript"/>
        </w:rPr>
        <w:t>28]</w:t>
      </w:r>
      <w:r w:rsidRPr="005868A4">
        <w:rPr>
          <w:rFonts w:ascii="Book Antiqua" w:hAnsi="Book Antiqua"/>
        </w:rPr>
        <w:t xml:space="preserve"> and with the use of various biological agents</w:t>
      </w:r>
      <w:r w:rsidR="002C1A76" w:rsidRPr="005868A4">
        <w:rPr>
          <w:rFonts w:ascii="Book Antiqua" w:hAnsi="Book Antiqua"/>
        </w:rPr>
        <w:t>,</w:t>
      </w:r>
      <w:r w:rsidRPr="005868A4">
        <w:rPr>
          <w:rFonts w:ascii="Book Antiqua" w:hAnsi="Book Antiqua"/>
        </w:rPr>
        <w:t xml:space="preserve"> including RTX. This is has not been reported in pediatric patients</w:t>
      </w:r>
      <w:r w:rsidR="003A1CFE" w:rsidRPr="005868A4">
        <w:rPr>
          <w:rFonts w:ascii="Book Antiqua" w:hAnsi="Book Antiqua"/>
        </w:rPr>
        <w:t xml:space="preserve"> with nephrotic syndrome who were</w:t>
      </w:r>
      <w:r w:rsidRPr="005868A4">
        <w:rPr>
          <w:rFonts w:ascii="Book Antiqua" w:hAnsi="Book Antiqua"/>
        </w:rPr>
        <w:t xml:space="preserve"> treated with RTX.</w:t>
      </w:r>
    </w:p>
    <w:p w:rsidR="00E23392" w:rsidRPr="005868A4" w:rsidRDefault="00590040" w:rsidP="005868A4">
      <w:pPr>
        <w:spacing w:line="360" w:lineRule="auto"/>
        <w:jc w:val="both"/>
        <w:rPr>
          <w:rFonts w:ascii="Book Antiqua" w:hAnsi="Book Antiqua"/>
        </w:rPr>
      </w:pPr>
      <w:r w:rsidRPr="005868A4">
        <w:rPr>
          <w:rFonts w:ascii="Book Antiqua" w:eastAsiaTheme="minorEastAsia" w:hAnsi="Book Antiqua"/>
          <w:lang w:eastAsia="zh-CN"/>
        </w:rPr>
        <w:t xml:space="preserve">       </w:t>
      </w:r>
      <w:r w:rsidR="00E23392" w:rsidRPr="005868A4">
        <w:rPr>
          <w:rFonts w:ascii="Book Antiqua" w:hAnsi="Book Antiqua"/>
        </w:rPr>
        <w:t xml:space="preserve">RTX </w:t>
      </w:r>
      <w:r w:rsidR="003A1CFE" w:rsidRPr="005868A4">
        <w:rPr>
          <w:rFonts w:ascii="Book Antiqua" w:hAnsi="Book Antiqua"/>
        </w:rPr>
        <w:t>has shown</w:t>
      </w:r>
      <w:r w:rsidR="00E23392" w:rsidRPr="005868A4">
        <w:rPr>
          <w:rFonts w:ascii="Book Antiqua" w:hAnsi="Book Antiqua"/>
        </w:rPr>
        <w:t xml:space="preserve"> a reasonable safety profile in other </w:t>
      </w:r>
      <w:r w:rsidR="003A1CFE" w:rsidRPr="005868A4">
        <w:rPr>
          <w:rFonts w:ascii="Book Antiqua" w:hAnsi="Book Antiqua"/>
        </w:rPr>
        <w:t xml:space="preserve">pediatric </w:t>
      </w:r>
      <w:r w:rsidR="00E23392" w:rsidRPr="005868A4">
        <w:rPr>
          <w:rFonts w:ascii="Book Antiqua" w:hAnsi="Book Antiqua"/>
        </w:rPr>
        <w:t xml:space="preserve">autoimmune diseases. A systemic analysis of </w:t>
      </w:r>
      <w:r w:rsidR="003A1CFE" w:rsidRPr="005868A4">
        <w:rPr>
          <w:rFonts w:ascii="Book Antiqua" w:hAnsi="Book Antiqua"/>
        </w:rPr>
        <w:t xml:space="preserve">the </w:t>
      </w:r>
      <w:r w:rsidR="00E23392" w:rsidRPr="005868A4">
        <w:rPr>
          <w:rFonts w:ascii="Book Antiqua" w:hAnsi="Book Antiqua"/>
        </w:rPr>
        <w:t>use of RTX in children with idiopathic thrombocytopenic purpura</w:t>
      </w:r>
      <w:r w:rsidR="00AB00CC" w:rsidRPr="005868A4">
        <w:rPr>
          <w:rFonts w:ascii="Book Antiqua" w:hAnsi="Book Antiqua"/>
          <w:vertAlign w:val="superscript"/>
        </w:rPr>
        <w:t>[</w:t>
      </w:r>
      <w:r w:rsidR="00E23392" w:rsidRPr="005868A4">
        <w:rPr>
          <w:rFonts w:ascii="Book Antiqua" w:hAnsi="Book Antiqua"/>
          <w:vertAlign w:val="superscript"/>
        </w:rPr>
        <w:t>29]</w:t>
      </w:r>
      <w:r w:rsidR="00E23392" w:rsidRPr="005868A4">
        <w:rPr>
          <w:rFonts w:ascii="Book Antiqua" w:hAnsi="Book Antiqua"/>
        </w:rPr>
        <w:t xml:space="preserve"> showed that in 11 studies (190 patients), a total of 78 (41.1%) patients experienced adverse events. </w:t>
      </w:r>
    </w:p>
    <w:p w:rsidR="00E23392" w:rsidRPr="005868A4" w:rsidRDefault="00E23392" w:rsidP="005868A4">
      <w:pPr>
        <w:spacing w:line="360" w:lineRule="auto"/>
        <w:jc w:val="both"/>
        <w:rPr>
          <w:rFonts w:ascii="Book Antiqua" w:hAnsi="Book Antiqua"/>
        </w:rPr>
      </w:pPr>
    </w:p>
    <w:p w:rsidR="00E23392" w:rsidRPr="005868A4" w:rsidRDefault="00E23392" w:rsidP="005868A4">
      <w:pPr>
        <w:spacing w:line="360" w:lineRule="auto"/>
        <w:jc w:val="both"/>
        <w:rPr>
          <w:rFonts w:ascii="Book Antiqua" w:eastAsiaTheme="minorEastAsia" w:hAnsi="Book Antiqua"/>
          <w:b/>
          <w:bCs/>
          <w:lang w:eastAsia="zh-CN"/>
        </w:rPr>
      </w:pPr>
      <w:r w:rsidRPr="005868A4">
        <w:rPr>
          <w:rFonts w:ascii="Book Antiqua" w:hAnsi="Book Antiqua"/>
          <w:b/>
          <w:bCs/>
        </w:rPr>
        <w:t>CONCLUSION</w:t>
      </w:r>
    </w:p>
    <w:p w:rsidR="00E23392" w:rsidRPr="005868A4" w:rsidRDefault="003A1CFE" w:rsidP="005868A4">
      <w:pPr>
        <w:spacing w:line="360" w:lineRule="auto"/>
        <w:jc w:val="both"/>
        <w:rPr>
          <w:rFonts w:ascii="Book Antiqua" w:hAnsi="Book Antiqua"/>
        </w:rPr>
      </w:pPr>
      <w:r w:rsidRPr="005868A4">
        <w:rPr>
          <w:rFonts w:ascii="Book Antiqua" w:hAnsi="Book Antiqua"/>
        </w:rPr>
        <w:t>This review allows us to</w:t>
      </w:r>
      <w:r w:rsidR="00E23392" w:rsidRPr="005868A4">
        <w:rPr>
          <w:rFonts w:ascii="Book Antiqua" w:hAnsi="Book Antiqua"/>
        </w:rPr>
        <w:t xml:space="preserve"> conclude that RTX </w:t>
      </w:r>
      <w:r w:rsidRPr="005868A4">
        <w:rPr>
          <w:rFonts w:ascii="Book Antiqua" w:hAnsi="Book Antiqua"/>
        </w:rPr>
        <w:t>appears</w:t>
      </w:r>
      <w:r w:rsidR="00E23392" w:rsidRPr="005868A4">
        <w:rPr>
          <w:rFonts w:ascii="Book Antiqua" w:hAnsi="Book Antiqua"/>
        </w:rPr>
        <w:t xml:space="preserve"> to be </w:t>
      </w:r>
      <w:r w:rsidRPr="005868A4">
        <w:rPr>
          <w:rFonts w:ascii="Book Antiqua" w:hAnsi="Book Antiqua"/>
        </w:rPr>
        <w:t>an effective</w:t>
      </w:r>
      <w:r w:rsidR="00E23392" w:rsidRPr="005868A4">
        <w:rPr>
          <w:rFonts w:ascii="Book Antiqua" w:hAnsi="Book Antiqua"/>
        </w:rPr>
        <w:t xml:space="preserve"> therapy that maintains remission in children </w:t>
      </w:r>
      <w:r w:rsidRPr="005868A4">
        <w:rPr>
          <w:rFonts w:ascii="Book Antiqua" w:hAnsi="Book Antiqua"/>
        </w:rPr>
        <w:t>with SDNS who failed to respond</w:t>
      </w:r>
      <w:r w:rsidR="00E23392" w:rsidRPr="005868A4">
        <w:rPr>
          <w:rFonts w:ascii="Book Antiqua" w:hAnsi="Book Antiqua"/>
        </w:rPr>
        <w:t xml:space="preserve"> to other medi</w:t>
      </w:r>
      <w:r w:rsidRPr="005868A4">
        <w:rPr>
          <w:rFonts w:ascii="Book Antiqua" w:hAnsi="Book Antiqua"/>
        </w:rPr>
        <w:t>c</w:t>
      </w:r>
      <w:r w:rsidR="00E23392" w:rsidRPr="005868A4">
        <w:rPr>
          <w:rFonts w:ascii="Book Antiqua" w:hAnsi="Book Antiqua"/>
        </w:rPr>
        <w:t>ations. The role of</w:t>
      </w:r>
      <w:r w:rsidRPr="005868A4">
        <w:rPr>
          <w:rFonts w:ascii="Book Antiqua" w:hAnsi="Book Antiqua"/>
        </w:rPr>
        <w:t xml:space="preserve"> r</w:t>
      </w:r>
      <w:r w:rsidR="00E23392" w:rsidRPr="005868A4">
        <w:rPr>
          <w:rFonts w:ascii="Book Antiqua" w:hAnsi="Book Antiqua"/>
        </w:rPr>
        <w:t>ituximab in children with SRNS needs to be evaluated further</w:t>
      </w:r>
      <w:r w:rsidRPr="005868A4">
        <w:rPr>
          <w:rFonts w:ascii="Book Antiqua" w:hAnsi="Book Antiqua"/>
        </w:rPr>
        <w:t>,</w:t>
      </w:r>
      <w:r w:rsidR="00E23392" w:rsidRPr="005868A4">
        <w:rPr>
          <w:rFonts w:ascii="Book Antiqua" w:hAnsi="Book Antiqua"/>
        </w:rPr>
        <w:t xml:space="preserve"> as there </w:t>
      </w:r>
      <w:r w:rsidRPr="005868A4">
        <w:rPr>
          <w:rFonts w:ascii="Book Antiqua" w:hAnsi="Book Antiqua"/>
        </w:rPr>
        <w:t>are</w:t>
      </w:r>
      <w:r w:rsidR="00E23392" w:rsidRPr="005868A4">
        <w:rPr>
          <w:rFonts w:ascii="Book Antiqua" w:hAnsi="Book Antiqua"/>
        </w:rPr>
        <w:t xml:space="preserve"> conflicting results regarding its efficacy in this group of patients</w:t>
      </w:r>
      <w:r w:rsidRPr="005868A4">
        <w:rPr>
          <w:rFonts w:ascii="Book Antiqua" w:hAnsi="Book Antiqua"/>
        </w:rPr>
        <w:t>. M</w:t>
      </w:r>
      <w:r w:rsidR="00E23392" w:rsidRPr="005868A4">
        <w:rPr>
          <w:rFonts w:ascii="Book Antiqua" w:hAnsi="Book Antiqua"/>
        </w:rPr>
        <w:t>ore</w:t>
      </w:r>
      <w:r w:rsidRPr="005868A4">
        <w:rPr>
          <w:rFonts w:ascii="Book Antiqua" w:hAnsi="Book Antiqua"/>
        </w:rPr>
        <w:t xml:space="preserve"> randomized controlled</w:t>
      </w:r>
      <w:r w:rsidR="00E23392" w:rsidRPr="005868A4">
        <w:rPr>
          <w:rFonts w:ascii="Book Antiqua" w:hAnsi="Book Antiqua"/>
        </w:rPr>
        <w:t xml:space="preserve"> studies are before recommending rituximab as </w:t>
      </w:r>
      <w:r w:rsidRPr="005868A4">
        <w:rPr>
          <w:rFonts w:ascii="Book Antiqua" w:hAnsi="Book Antiqua"/>
        </w:rPr>
        <w:t xml:space="preserve">a </w:t>
      </w:r>
      <w:r w:rsidR="00E23392" w:rsidRPr="005868A4">
        <w:rPr>
          <w:rFonts w:ascii="Book Antiqua" w:hAnsi="Book Antiqua"/>
        </w:rPr>
        <w:t>rescu</w:t>
      </w:r>
      <w:r w:rsidR="00D51A0F" w:rsidRPr="005868A4">
        <w:rPr>
          <w:rFonts w:ascii="Book Antiqua" w:hAnsi="Book Antiqua"/>
        </w:rPr>
        <w:t xml:space="preserve">e therapy in children with SRNS. </w:t>
      </w:r>
      <w:r w:rsidR="00E23392" w:rsidRPr="005868A4">
        <w:rPr>
          <w:rFonts w:ascii="Book Antiqua" w:hAnsi="Book Antiqua"/>
        </w:rPr>
        <w:t>RTX seems to be safe in children with nephrotic syndrome</w:t>
      </w:r>
      <w:r w:rsidRPr="005868A4">
        <w:rPr>
          <w:rFonts w:ascii="Book Antiqua" w:hAnsi="Book Antiqua"/>
        </w:rPr>
        <w:t>,</w:t>
      </w:r>
      <w:r w:rsidR="00E23392" w:rsidRPr="005868A4">
        <w:rPr>
          <w:rFonts w:ascii="Book Antiqua" w:hAnsi="Book Antiqua"/>
        </w:rPr>
        <w:t xml:space="preserve"> and the main adverse events are related to infusion reaction</w:t>
      </w:r>
      <w:r w:rsidR="00D51A0F" w:rsidRPr="005868A4">
        <w:rPr>
          <w:rFonts w:ascii="Book Antiqua" w:hAnsi="Book Antiqua"/>
        </w:rPr>
        <w:t>s</w:t>
      </w:r>
      <w:r w:rsidR="00E23392" w:rsidRPr="005868A4">
        <w:rPr>
          <w:rFonts w:ascii="Book Antiqua" w:hAnsi="Book Antiqua"/>
        </w:rPr>
        <w:t>. How</w:t>
      </w:r>
      <w:r w:rsidRPr="005868A4">
        <w:rPr>
          <w:rFonts w:ascii="Book Antiqua" w:hAnsi="Book Antiqua"/>
        </w:rPr>
        <w:t>ever, close monitoring for long-</w:t>
      </w:r>
      <w:r w:rsidR="00E23392" w:rsidRPr="005868A4">
        <w:rPr>
          <w:rFonts w:ascii="Book Antiqua" w:hAnsi="Book Antiqua"/>
        </w:rPr>
        <w:t>term side effects is recommended.</w:t>
      </w:r>
    </w:p>
    <w:p w:rsidR="00E23392" w:rsidRPr="005868A4" w:rsidRDefault="00E23392" w:rsidP="005868A4">
      <w:pPr>
        <w:spacing w:line="360" w:lineRule="auto"/>
        <w:jc w:val="both"/>
        <w:rPr>
          <w:rFonts w:ascii="Book Antiqua" w:hAnsi="Book Antiqua"/>
        </w:rPr>
      </w:pPr>
    </w:p>
    <w:p w:rsidR="005C1F3B" w:rsidRDefault="00824203" w:rsidP="005C1F3B">
      <w:pPr>
        <w:spacing w:line="360" w:lineRule="auto"/>
        <w:jc w:val="both"/>
        <w:rPr>
          <w:rFonts w:ascii="Book Antiqua" w:eastAsiaTheme="minorEastAsia" w:hAnsi="Book Antiqua"/>
          <w:b/>
          <w:bCs/>
          <w:lang w:eastAsia="zh-CN"/>
        </w:rPr>
      </w:pPr>
      <w:r w:rsidRPr="005868A4">
        <w:rPr>
          <w:rFonts w:ascii="Book Antiqua" w:hAnsi="Book Antiqua"/>
          <w:b/>
          <w:bCs/>
        </w:rPr>
        <w:t>REFERENCES</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 </w:t>
      </w:r>
      <w:r w:rsidRPr="001C0FC9">
        <w:rPr>
          <w:rFonts w:ascii="Book Antiqua" w:eastAsia="宋体" w:hAnsi="Book Antiqua" w:cs="宋体"/>
          <w:b/>
          <w:bCs/>
        </w:rPr>
        <w:t>Kyrieleis HA</w:t>
      </w:r>
      <w:r w:rsidRPr="001C0FC9">
        <w:rPr>
          <w:rFonts w:ascii="Book Antiqua" w:eastAsia="宋体" w:hAnsi="Book Antiqua" w:cs="宋体"/>
        </w:rPr>
        <w:t xml:space="preserve">, Löwik MM, Pronk I, Cruysberg HR, Kremer JA, Oyen WJ, van den Heuvel BL, Wetzels JF, Levtchenko EN. Long-term outcome of biopsy-proven, frequently relapsing minimal-change nephrotic syndrome in children. </w:t>
      </w:r>
      <w:r w:rsidRPr="001C0FC9">
        <w:rPr>
          <w:rFonts w:ascii="Book Antiqua" w:eastAsia="宋体" w:hAnsi="Book Antiqua" w:cs="宋体"/>
          <w:i/>
          <w:iCs/>
        </w:rPr>
        <w:t>Clin J Am Soc Nephrol</w:t>
      </w:r>
      <w:r w:rsidRPr="001C0FC9">
        <w:rPr>
          <w:rFonts w:ascii="Book Antiqua" w:eastAsia="宋体" w:hAnsi="Book Antiqua" w:cs="宋体"/>
        </w:rPr>
        <w:t xml:space="preserve"> 2009; </w:t>
      </w:r>
      <w:r w:rsidRPr="001C0FC9">
        <w:rPr>
          <w:rFonts w:ascii="Book Antiqua" w:eastAsia="宋体" w:hAnsi="Book Antiqua" w:cs="宋体"/>
          <w:b/>
          <w:bCs/>
        </w:rPr>
        <w:t>4</w:t>
      </w:r>
      <w:r w:rsidRPr="001C0FC9">
        <w:rPr>
          <w:rFonts w:ascii="Book Antiqua" w:eastAsia="宋体" w:hAnsi="Book Antiqua" w:cs="宋体"/>
        </w:rPr>
        <w:t>: 1593-1600 [PMID: 19808243 DOI: 10.2215/CJN.05691108]</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 </w:t>
      </w:r>
      <w:r w:rsidRPr="001C0FC9">
        <w:rPr>
          <w:rFonts w:ascii="Book Antiqua" w:eastAsia="宋体" w:hAnsi="Book Antiqua" w:cs="宋体"/>
          <w:b/>
          <w:bCs/>
        </w:rPr>
        <w:t>Ehrich JH</w:t>
      </w:r>
      <w:r w:rsidRPr="001C0FC9">
        <w:rPr>
          <w:rFonts w:ascii="Book Antiqua" w:eastAsia="宋体" w:hAnsi="Book Antiqua" w:cs="宋体"/>
        </w:rPr>
        <w:t xml:space="preserve">, Geerlings C, Zivicnjak M, Franke D, Geerlings H, Gellermann J. Steroid-resistant idiopathic childhood nephrosis: overdiagnosed and undertreated. </w:t>
      </w:r>
      <w:r w:rsidRPr="001C0FC9">
        <w:rPr>
          <w:rFonts w:ascii="Book Antiqua" w:eastAsia="宋体" w:hAnsi="Book Antiqua" w:cs="宋体"/>
          <w:i/>
          <w:iCs/>
        </w:rPr>
        <w:t>Nephrol Dial Transplant</w:t>
      </w:r>
      <w:r w:rsidRPr="001C0FC9">
        <w:rPr>
          <w:rFonts w:ascii="Book Antiqua" w:eastAsia="宋体" w:hAnsi="Book Antiqua" w:cs="宋体"/>
        </w:rPr>
        <w:t xml:space="preserve"> 2007; </w:t>
      </w:r>
      <w:r w:rsidRPr="001C0FC9">
        <w:rPr>
          <w:rFonts w:ascii="Book Antiqua" w:eastAsia="宋体" w:hAnsi="Book Antiqua" w:cs="宋体"/>
          <w:b/>
          <w:bCs/>
        </w:rPr>
        <w:t>22</w:t>
      </w:r>
      <w:r w:rsidRPr="001C0FC9">
        <w:rPr>
          <w:rFonts w:ascii="Book Antiqua" w:eastAsia="宋体" w:hAnsi="Book Antiqua" w:cs="宋体"/>
        </w:rPr>
        <w:t>: 2183-2193 [PMID: 17504846 DOI: 10.1093/ndt/gfm092]</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3 </w:t>
      </w:r>
      <w:r w:rsidRPr="001C0FC9">
        <w:rPr>
          <w:rFonts w:ascii="Book Antiqua" w:eastAsia="宋体" w:hAnsi="Book Antiqua" w:cs="宋体"/>
          <w:b/>
          <w:bCs/>
        </w:rPr>
        <w:t>Di Gaetano N</w:t>
      </w:r>
      <w:r w:rsidRPr="001C0FC9">
        <w:rPr>
          <w:rFonts w:ascii="Book Antiqua" w:eastAsia="宋体" w:hAnsi="Book Antiqua" w:cs="宋体"/>
        </w:rPr>
        <w:t xml:space="preserve">, Cittera E, Nota R, Vecchi A, Grieco V, Scanziani E, Botto M, Introna M, Golay J. Complement activation determines the therapeutic activity of rituximab in vivo. </w:t>
      </w:r>
      <w:r w:rsidRPr="001C0FC9">
        <w:rPr>
          <w:rFonts w:ascii="Book Antiqua" w:eastAsia="宋体" w:hAnsi="Book Antiqua" w:cs="宋体"/>
          <w:i/>
          <w:iCs/>
        </w:rPr>
        <w:t>J Immunol</w:t>
      </w:r>
      <w:r w:rsidRPr="001C0FC9">
        <w:rPr>
          <w:rFonts w:ascii="Book Antiqua" w:eastAsia="宋体" w:hAnsi="Book Antiqua" w:cs="宋体"/>
        </w:rPr>
        <w:t xml:space="preserve"> 2003; </w:t>
      </w:r>
      <w:r w:rsidRPr="001C0FC9">
        <w:rPr>
          <w:rFonts w:ascii="Book Antiqua" w:eastAsia="宋体" w:hAnsi="Book Antiqua" w:cs="宋体"/>
          <w:b/>
          <w:bCs/>
        </w:rPr>
        <w:t>171</w:t>
      </w:r>
      <w:r w:rsidRPr="001C0FC9">
        <w:rPr>
          <w:rFonts w:ascii="Book Antiqua" w:eastAsia="宋体" w:hAnsi="Book Antiqua" w:cs="宋体"/>
        </w:rPr>
        <w:t>: 1581-1587 [PMID: 12874252 DOI: 10.4049/jimmunol.171.3.1581]</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4 </w:t>
      </w:r>
      <w:r w:rsidRPr="001C0FC9">
        <w:rPr>
          <w:rFonts w:ascii="Book Antiqua" w:eastAsia="宋体" w:hAnsi="Book Antiqua" w:cs="宋体"/>
          <w:b/>
          <w:bCs/>
        </w:rPr>
        <w:t>Golay J</w:t>
      </w:r>
      <w:r w:rsidRPr="001C0FC9">
        <w:rPr>
          <w:rFonts w:ascii="Book Antiqua" w:eastAsia="宋体" w:hAnsi="Book Antiqua" w:cs="宋体"/>
        </w:rPr>
        <w:t xml:space="preserve">, Zaffaroni L, Vaccari T, Lazzari M, Borleri GM, Bernasconi S, Tedesco F, Rambaldi A, Introna M. Biologic response of B lymphoma cells to anti-CD20 monoclonal antibody rituximab in vitro: CD55 and CD59 regulate complement-mediated cell lysis. </w:t>
      </w:r>
      <w:r w:rsidRPr="001C0FC9">
        <w:rPr>
          <w:rFonts w:ascii="Book Antiqua" w:eastAsia="宋体" w:hAnsi="Book Antiqua" w:cs="宋体"/>
          <w:i/>
          <w:iCs/>
        </w:rPr>
        <w:t>Blood</w:t>
      </w:r>
      <w:r w:rsidRPr="001C0FC9">
        <w:rPr>
          <w:rFonts w:ascii="Book Antiqua" w:eastAsia="宋体" w:hAnsi="Book Antiqua" w:cs="宋体"/>
        </w:rPr>
        <w:t xml:space="preserve"> 2000; </w:t>
      </w:r>
      <w:r w:rsidRPr="001C0FC9">
        <w:rPr>
          <w:rFonts w:ascii="Book Antiqua" w:eastAsia="宋体" w:hAnsi="Book Antiqua" w:cs="宋体"/>
          <w:b/>
          <w:bCs/>
        </w:rPr>
        <w:t>95</w:t>
      </w:r>
      <w:r w:rsidRPr="001C0FC9">
        <w:rPr>
          <w:rFonts w:ascii="Book Antiqua" w:eastAsia="宋体" w:hAnsi="Book Antiqua" w:cs="宋体"/>
        </w:rPr>
        <w:t>: 3900-3908 [PMID: 10845926]</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5 </w:t>
      </w:r>
      <w:r w:rsidRPr="001C0FC9">
        <w:rPr>
          <w:rFonts w:ascii="Book Antiqua" w:eastAsia="宋体" w:hAnsi="Book Antiqua" w:cs="宋体"/>
          <w:b/>
          <w:bCs/>
        </w:rPr>
        <w:t>Guigonis V</w:t>
      </w:r>
      <w:r w:rsidRPr="001C0FC9">
        <w:rPr>
          <w:rFonts w:ascii="Book Antiqua" w:eastAsia="宋体" w:hAnsi="Book Antiqua" w:cs="宋体"/>
        </w:rPr>
        <w:t xml:space="preserve">, Dallocchio A, Baudouin V, Dehennault M, Hachon-Le Camus C, Afanetti M, Groothoff J, Llanas B, Niaudet P, Nivet H, Raynaud N, Taque S, Ronco P, Bouissou F. Rituximab treatment for severe steroid- or cyclosporine-dependent nephrotic syndrome: a multicentric series of 22 cases. </w:t>
      </w:r>
      <w:r w:rsidRPr="001C0FC9">
        <w:rPr>
          <w:rFonts w:ascii="Book Antiqua" w:eastAsia="宋体" w:hAnsi="Book Antiqua" w:cs="宋体"/>
          <w:i/>
          <w:iCs/>
        </w:rPr>
        <w:t>Pediatr Nephrol</w:t>
      </w:r>
      <w:r w:rsidRPr="001C0FC9">
        <w:rPr>
          <w:rFonts w:ascii="Book Antiqua" w:eastAsia="宋体" w:hAnsi="Book Antiqua" w:cs="宋体"/>
        </w:rPr>
        <w:t xml:space="preserve"> 2008; </w:t>
      </w:r>
      <w:r w:rsidRPr="001C0FC9">
        <w:rPr>
          <w:rFonts w:ascii="Book Antiqua" w:eastAsia="宋体" w:hAnsi="Book Antiqua" w:cs="宋体"/>
          <w:b/>
          <w:bCs/>
        </w:rPr>
        <w:t>23</w:t>
      </w:r>
      <w:r w:rsidRPr="001C0FC9">
        <w:rPr>
          <w:rFonts w:ascii="Book Antiqua" w:eastAsia="宋体" w:hAnsi="Book Antiqua" w:cs="宋体"/>
        </w:rPr>
        <w:t>: 1269-1279 [PMID: 18465150 DOI: 10.1007/s00467-008-0814-1]</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6 </w:t>
      </w:r>
      <w:r w:rsidRPr="001C0FC9">
        <w:rPr>
          <w:rFonts w:ascii="Book Antiqua" w:eastAsia="宋体" w:hAnsi="Book Antiqua" w:cs="宋体"/>
          <w:b/>
          <w:bCs/>
        </w:rPr>
        <w:t>Sellier-Leclerc AL</w:t>
      </w:r>
      <w:r w:rsidRPr="001C0FC9">
        <w:rPr>
          <w:rFonts w:ascii="Book Antiqua" w:eastAsia="宋体" w:hAnsi="Book Antiqua" w:cs="宋体"/>
        </w:rPr>
        <w:t xml:space="preserve">, Macher MA, Loirat C, Guérin V, Watier H, Peuchmaur M, Baudouin V, Deschênes G. Rituximab efficiency in children with steroid-dependent nephrotic syndrome. </w:t>
      </w:r>
      <w:r w:rsidRPr="001C0FC9">
        <w:rPr>
          <w:rFonts w:ascii="Book Antiqua" w:eastAsia="宋体" w:hAnsi="Book Antiqua" w:cs="宋体"/>
          <w:i/>
          <w:iCs/>
        </w:rPr>
        <w:t>Pediatr Nephrol</w:t>
      </w:r>
      <w:r w:rsidRPr="001C0FC9">
        <w:rPr>
          <w:rFonts w:ascii="Book Antiqua" w:eastAsia="宋体" w:hAnsi="Book Antiqua" w:cs="宋体"/>
        </w:rPr>
        <w:t xml:space="preserve"> 2010; </w:t>
      </w:r>
      <w:r w:rsidRPr="001C0FC9">
        <w:rPr>
          <w:rFonts w:ascii="Book Antiqua" w:eastAsia="宋体" w:hAnsi="Book Antiqua" w:cs="宋体"/>
          <w:b/>
          <w:bCs/>
        </w:rPr>
        <w:t>25</w:t>
      </w:r>
      <w:r w:rsidRPr="001C0FC9">
        <w:rPr>
          <w:rFonts w:ascii="Book Antiqua" w:eastAsia="宋体" w:hAnsi="Book Antiqua" w:cs="宋体"/>
        </w:rPr>
        <w:t>: 1109-1115 [PMID: 20238230 DOI: 10.1007/s00467-010-1465-6]</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7 </w:t>
      </w:r>
      <w:r w:rsidRPr="001C0FC9">
        <w:rPr>
          <w:rFonts w:ascii="Book Antiqua" w:eastAsia="宋体" w:hAnsi="Book Antiqua" w:cs="宋体"/>
          <w:b/>
          <w:bCs/>
        </w:rPr>
        <w:t>Gulati A</w:t>
      </w:r>
      <w:r w:rsidRPr="001C0FC9">
        <w:rPr>
          <w:rFonts w:ascii="Book Antiqua" w:eastAsia="宋体" w:hAnsi="Book Antiqua" w:cs="宋体"/>
        </w:rPr>
        <w:t xml:space="preserve">, Sinha A, Jordan SC, Hari P, Dinda AK, Sharma S, Srivastava RN, Moudgil A, Bagga A. Efficacy and safety of treatment with rituximab for difficult steroid-resistant and -dependent nephrotic syndrome: multicentric report. </w:t>
      </w:r>
      <w:r w:rsidRPr="001C0FC9">
        <w:rPr>
          <w:rFonts w:ascii="Book Antiqua" w:eastAsia="宋体" w:hAnsi="Book Antiqua" w:cs="宋体"/>
          <w:i/>
          <w:iCs/>
        </w:rPr>
        <w:t>Clin J Am Soc Nephrol</w:t>
      </w:r>
      <w:r w:rsidRPr="001C0FC9">
        <w:rPr>
          <w:rFonts w:ascii="Book Antiqua" w:eastAsia="宋体" w:hAnsi="Book Antiqua" w:cs="宋体"/>
        </w:rPr>
        <w:t xml:space="preserve"> 2010; </w:t>
      </w:r>
      <w:r w:rsidRPr="001C0FC9">
        <w:rPr>
          <w:rFonts w:ascii="Book Antiqua" w:eastAsia="宋体" w:hAnsi="Book Antiqua" w:cs="宋体"/>
          <w:b/>
          <w:bCs/>
        </w:rPr>
        <w:t>5</w:t>
      </w:r>
      <w:r w:rsidRPr="001C0FC9">
        <w:rPr>
          <w:rFonts w:ascii="Book Antiqua" w:eastAsia="宋体" w:hAnsi="Book Antiqua" w:cs="宋体"/>
        </w:rPr>
        <w:t>: 2207-2212 [PMID: 20798255 DOI: 10.2215/CJN.03470410]</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8 </w:t>
      </w:r>
      <w:r w:rsidRPr="001C0FC9">
        <w:rPr>
          <w:rFonts w:ascii="Book Antiqua" w:eastAsia="宋体" w:hAnsi="Book Antiqua" w:cs="宋体"/>
          <w:b/>
          <w:bCs/>
        </w:rPr>
        <w:t>Kemper MJ</w:t>
      </w:r>
      <w:r w:rsidRPr="001C0FC9">
        <w:rPr>
          <w:rFonts w:ascii="Book Antiqua" w:eastAsia="宋体" w:hAnsi="Book Antiqua" w:cs="宋体"/>
        </w:rPr>
        <w:t xml:space="preserve">, Gellermann J, Habbig S, Krmar RT, Dittrich K, Jungraithmayr T, Pape L, Patzer L, Billing H, Weber L, Pohl M, Rosenthal K, Rosahl A, Mueller-Wiefel DE, Dötsch J. Long-term follow-up after rituximab for steroid-dependent idiopathic nephrotic syndrome. </w:t>
      </w:r>
      <w:r w:rsidRPr="001C0FC9">
        <w:rPr>
          <w:rFonts w:ascii="Book Antiqua" w:eastAsia="宋体" w:hAnsi="Book Antiqua" w:cs="宋体"/>
          <w:i/>
          <w:iCs/>
        </w:rPr>
        <w:t>Nephrol Dial Transplant</w:t>
      </w:r>
      <w:r w:rsidRPr="001C0FC9">
        <w:rPr>
          <w:rFonts w:ascii="Book Antiqua" w:eastAsia="宋体" w:hAnsi="Book Antiqua" w:cs="宋体"/>
        </w:rPr>
        <w:t xml:space="preserve"> 2012; </w:t>
      </w:r>
      <w:r w:rsidRPr="001C0FC9">
        <w:rPr>
          <w:rFonts w:ascii="Book Antiqua" w:eastAsia="宋体" w:hAnsi="Book Antiqua" w:cs="宋体"/>
          <w:b/>
          <w:bCs/>
        </w:rPr>
        <w:t>27</w:t>
      </w:r>
      <w:r w:rsidRPr="001C0FC9">
        <w:rPr>
          <w:rFonts w:ascii="Book Antiqua" w:eastAsia="宋体" w:hAnsi="Book Antiqua" w:cs="宋体"/>
        </w:rPr>
        <w:t>: 1910-1915 [PMID: 22076431 DOI: 10.1093/ndt/gfr548]</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9 </w:t>
      </w:r>
      <w:r w:rsidRPr="001C0FC9">
        <w:rPr>
          <w:rFonts w:ascii="Book Antiqua" w:eastAsia="宋体" w:hAnsi="Book Antiqua" w:cs="宋体"/>
          <w:b/>
          <w:bCs/>
        </w:rPr>
        <w:t>Shalhoub RJ</w:t>
      </w:r>
      <w:r w:rsidRPr="001C0FC9">
        <w:rPr>
          <w:rFonts w:ascii="Book Antiqua" w:eastAsia="宋体" w:hAnsi="Book Antiqua" w:cs="宋体"/>
        </w:rPr>
        <w:t xml:space="preserve">. Pathogenesis of lipoid nephrosis: a disorder of T-cell function. </w:t>
      </w:r>
      <w:r w:rsidRPr="001C0FC9">
        <w:rPr>
          <w:rFonts w:ascii="Book Antiqua" w:eastAsia="宋体" w:hAnsi="Book Antiqua" w:cs="宋体"/>
          <w:i/>
          <w:iCs/>
        </w:rPr>
        <w:t>Lancet</w:t>
      </w:r>
      <w:r w:rsidRPr="001C0FC9">
        <w:rPr>
          <w:rFonts w:ascii="Book Antiqua" w:eastAsia="宋体" w:hAnsi="Book Antiqua" w:cs="宋体"/>
        </w:rPr>
        <w:t xml:space="preserve"> 1974; </w:t>
      </w:r>
      <w:r w:rsidRPr="001C0FC9">
        <w:rPr>
          <w:rFonts w:ascii="Book Antiqua" w:eastAsia="宋体" w:hAnsi="Book Antiqua" w:cs="宋体"/>
          <w:b/>
          <w:bCs/>
        </w:rPr>
        <w:t>2</w:t>
      </w:r>
      <w:r w:rsidRPr="001C0FC9">
        <w:rPr>
          <w:rFonts w:ascii="Book Antiqua" w:eastAsia="宋体" w:hAnsi="Book Antiqua" w:cs="宋体"/>
        </w:rPr>
        <w:t>: 556-560 [PMID: 4140273 DOI: 10.1016/S0140-6736(74)91880-7]</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10 </w:t>
      </w:r>
      <w:r w:rsidRPr="001C0FC9">
        <w:rPr>
          <w:rFonts w:ascii="Book Antiqua" w:eastAsia="宋体" w:hAnsi="Book Antiqua" w:cs="宋体"/>
          <w:b/>
          <w:bCs/>
        </w:rPr>
        <w:t>Kemper MJ</w:t>
      </w:r>
      <w:r w:rsidRPr="001C0FC9">
        <w:rPr>
          <w:rFonts w:ascii="Book Antiqua" w:eastAsia="宋体" w:hAnsi="Book Antiqua" w:cs="宋体"/>
        </w:rPr>
        <w:t xml:space="preserve">, Meyer-Jark T, Lilova M, Müller-Wiefel DE. Combined T- and B-cell activation in childhood steroid-sensitive nephrotic syndrome. </w:t>
      </w:r>
      <w:r w:rsidRPr="001C0FC9">
        <w:rPr>
          <w:rFonts w:ascii="Book Antiqua" w:eastAsia="宋体" w:hAnsi="Book Antiqua" w:cs="宋体"/>
          <w:i/>
          <w:iCs/>
        </w:rPr>
        <w:t>Clin Nephrol</w:t>
      </w:r>
      <w:r w:rsidRPr="001C0FC9">
        <w:rPr>
          <w:rFonts w:ascii="Book Antiqua" w:eastAsia="宋体" w:hAnsi="Book Antiqua" w:cs="宋体"/>
        </w:rPr>
        <w:t xml:space="preserve"> 2003; </w:t>
      </w:r>
      <w:r w:rsidRPr="001C0FC9">
        <w:rPr>
          <w:rFonts w:ascii="Book Antiqua" w:eastAsia="宋体" w:hAnsi="Book Antiqua" w:cs="宋体"/>
          <w:b/>
          <w:bCs/>
        </w:rPr>
        <w:t>60</w:t>
      </w:r>
      <w:r w:rsidRPr="001C0FC9">
        <w:rPr>
          <w:rFonts w:ascii="Book Antiqua" w:eastAsia="宋体" w:hAnsi="Book Antiqua" w:cs="宋体"/>
        </w:rPr>
        <w:t>: 242-247 [PMID: 14579938 DOI: 10.5414/CNP60242]</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11 </w:t>
      </w:r>
      <w:r w:rsidRPr="001C0FC9">
        <w:rPr>
          <w:rFonts w:ascii="Book Antiqua" w:eastAsia="宋体" w:hAnsi="Book Antiqua" w:cs="宋体"/>
          <w:b/>
          <w:bCs/>
        </w:rPr>
        <w:t>Iijima K</w:t>
      </w:r>
      <w:r w:rsidRPr="001C0FC9">
        <w:rPr>
          <w:rFonts w:ascii="Book Antiqua" w:eastAsia="宋体" w:hAnsi="Book Antiqua" w:cs="宋体"/>
        </w:rPr>
        <w:t xml:space="preserve">, Sako M, Nozu K, Mori R, Tuchida N, Kamei K, Miura K, Aya K, Nakanishi K, Ohtomo Y, Takahashi S, Tanaka R, Kaito H, Nakamura H, Ishikura K, Ito S, Ohashi Y. Rituximab for childhood-onset, complicated, frequently relapsing nephrotic syndrome or steroid-dependent nephrotic syndrome: a multicentre, double-blind, randomised, placebo-controlled trial. </w:t>
      </w:r>
      <w:r w:rsidRPr="001C0FC9">
        <w:rPr>
          <w:rFonts w:ascii="Book Antiqua" w:eastAsia="宋体" w:hAnsi="Book Antiqua" w:cs="宋体"/>
          <w:i/>
          <w:iCs/>
        </w:rPr>
        <w:t>Lancet</w:t>
      </w:r>
      <w:r w:rsidRPr="001C0FC9">
        <w:rPr>
          <w:rFonts w:ascii="Book Antiqua" w:eastAsia="宋体" w:hAnsi="Book Antiqua" w:cs="宋体"/>
        </w:rPr>
        <w:t xml:space="preserve"> 2014; </w:t>
      </w:r>
      <w:r w:rsidRPr="001C0FC9">
        <w:rPr>
          <w:rFonts w:ascii="Book Antiqua" w:eastAsia="宋体" w:hAnsi="Book Antiqua" w:cs="宋体"/>
          <w:b/>
          <w:bCs/>
        </w:rPr>
        <w:t>384</w:t>
      </w:r>
      <w:r w:rsidRPr="001C0FC9">
        <w:rPr>
          <w:rFonts w:ascii="Book Antiqua" w:eastAsia="宋体" w:hAnsi="Book Antiqua" w:cs="宋体"/>
        </w:rPr>
        <w:t>: 1273-1281 [PMID: 24965823 DOI: 10.1016/S0140-6736(14)60541-9]</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12 </w:t>
      </w:r>
      <w:r w:rsidRPr="001C0FC9">
        <w:rPr>
          <w:rFonts w:ascii="Book Antiqua" w:eastAsia="宋体" w:hAnsi="Book Antiqua" w:cs="宋体"/>
          <w:b/>
          <w:bCs/>
        </w:rPr>
        <w:t>Tellier S</w:t>
      </w:r>
      <w:r w:rsidRPr="001C0FC9">
        <w:rPr>
          <w:rFonts w:ascii="Book Antiqua" w:eastAsia="宋体" w:hAnsi="Book Antiqua" w:cs="宋体"/>
        </w:rPr>
        <w:t xml:space="preserve">, Brochard K, Garnier A, Bandin F, Llanas B, Guigonis V, Cailliez M, Pietrement C, Dunand O, Nathanson S, Bertholet-Thomas A, Ichay L, Decramer S. Long-term outcome of children treated with rituximab for idiopathic nephrotic syndrome. </w:t>
      </w:r>
      <w:r w:rsidRPr="001C0FC9">
        <w:rPr>
          <w:rFonts w:ascii="Book Antiqua" w:eastAsia="宋体" w:hAnsi="Book Antiqua" w:cs="宋体"/>
          <w:i/>
          <w:iCs/>
        </w:rPr>
        <w:t>Pediatr Nephrol</w:t>
      </w:r>
      <w:r w:rsidRPr="001C0FC9">
        <w:rPr>
          <w:rFonts w:ascii="Book Antiqua" w:eastAsia="宋体" w:hAnsi="Book Antiqua" w:cs="宋体"/>
        </w:rPr>
        <w:t xml:space="preserve"> 2013; </w:t>
      </w:r>
      <w:r w:rsidRPr="001C0FC9">
        <w:rPr>
          <w:rFonts w:ascii="Book Antiqua" w:eastAsia="宋体" w:hAnsi="Book Antiqua" w:cs="宋体"/>
          <w:b/>
          <w:bCs/>
        </w:rPr>
        <w:t>28</w:t>
      </w:r>
      <w:r w:rsidRPr="001C0FC9">
        <w:rPr>
          <w:rFonts w:ascii="Book Antiqua" w:eastAsia="宋体" w:hAnsi="Book Antiqua" w:cs="宋体"/>
        </w:rPr>
        <w:t>: 911-918 [PMID: 23340857 DOI: 10.1007/s00467-012-2406-3]</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13 </w:t>
      </w:r>
      <w:r w:rsidRPr="001C0FC9">
        <w:rPr>
          <w:rFonts w:ascii="Book Antiqua" w:eastAsia="宋体" w:hAnsi="Book Antiqua" w:cs="宋体"/>
          <w:b/>
          <w:bCs/>
        </w:rPr>
        <w:t>Ravani P</w:t>
      </w:r>
      <w:r w:rsidRPr="001C0FC9">
        <w:rPr>
          <w:rFonts w:ascii="Book Antiqua" w:eastAsia="宋体" w:hAnsi="Book Antiqua" w:cs="宋体"/>
        </w:rPr>
        <w:t xml:space="preserve">, Ponticelli A, Siciliano C, Fornoni A, Magnasco A, Sica F, Bodria M, Caridi G, Wei C, Belingheri M, Ghio L, Merscher-Gomez S, Edefonti A, Pasini A, Montini G, Murtas C, Wang X, Muruve D, Vaglio A, Martorana D, Pani A, Scolari F, Reiser J, Ghiggeri GM. Rituximab is a safe and effective long-term treatment for children with steroid and calcineurin inhibitor-dependent idiopathic nephrotic syndrome. </w:t>
      </w:r>
      <w:r w:rsidRPr="001C0FC9">
        <w:rPr>
          <w:rFonts w:ascii="Book Antiqua" w:eastAsia="宋体" w:hAnsi="Book Antiqua" w:cs="宋体"/>
          <w:i/>
          <w:iCs/>
        </w:rPr>
        <w:t>Kidney Int</w:t>
      </w:r>
      <w:r w:rsidRPr="001C0FC9">
        <w:rPr>
          <w:rFonts w:ascii="Book Antiqua" w:eastAsia="宋体" w:hAnsi="Book Antiqua" w:cs="宋体"/>
        </w:rPr>
        <w:t xml:space="preserve"> 2013; </w:t>
      </w:r>
      <w:r w:rsidRPr="001C0FC9">
        <w:rPr>
          <w:rFonts w:ascii="Book Antiqua" w:eastAsia="宋体" w:hAnsi="Book Antiqua" w:cs="宋体"/>
          <w:b/>
          <w:bCs/>
        </w:rPr>
        <w:t>84</w:t>
      </w:r>
      <w:r w:rsidRPr="001C0FC9">
        <w:rPr>
          <w:rFonts w:ascii="Book Antiqua" w:eastAsia="宋体" w:hAnsi="Book Antiqua" w:cs="宋体"/>
        </w:rPr>
        <w:t>: 1025-1033 [PMID: 23739238 DOI: 10.1038/ki.2013.211]</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14 </w:t>
      </w:r>
      <w:r w:rsidRPr="001C0FC9">
        <w:rPr>
          <w:rFonts w:ascii="Book Antiqua" w:eastAsia="宋体" w:hAnsi="Book Antiqua" w:cs="宋体"/>
          <w:b/>
          <w:bCs/>
        </w:rPr>
        <w:t>Sun L</w:t>
      </w:r>
      <w:r w:rsidRPr="001C0FC9">
        <w:rPr>
          <w:rFonts w:ascii="Book Antiqua" w:eastAsia="宋体" w:hAnsi="Book Antiqua" w:cs="宋体"/>
        </w:rPr>
        <w:t xml:space="preserve">, Xu H, Shen Q, Cao Q, Rao J, Liu HM, Fang XY, Zhou LJ. Efficacy of rituximab therapy in children with refractory nephrotic syndrome: a prospective observational study in Shanghai. </w:t>
      </w:r>
      <w:r w:rsidRPr="001C0FC9">
        <w:rPr>
          <w:rFonts w:ascii="Book Antiqua" w:eastAsia="宋体" w:hAnsi="Book Antiqua" w:cs="宋体"/>
          <w:i/>
          <w:iCs/>
        </w:rPr>
        <w:t>World J Pediatr</w:t>
      </w:r>
      <w:r w:rsidRPr="001C0FC9">
        <w:rPr>
          <w:rFonts w:ascii="Book Antiqua" w:eastAsia="宋体" w:hAnsi="Book Antiqua" w:cs="宋体"/>
        </w:rPr>
        <w:t xml:space="preserve"> 2014; </w:t>
      </w:r>
      <w:r w:rsidRPr="001C0FC9">
        <w:rPr>
          <w:rFonts w:ascii="Book Antiqua" w:eastAsia="宋体" w:hAnsi="Book Antiqua" w:cs="宋体"/>
          <w:b/>
          <w:bCs/>
        </w:rPr>
        <w:t>10</w:t>
      </w:r>
      <w:r w:rsidRPr="001C0FC9">
        <w:rPr>
          <w:rFonts w:ascii="Book Antiqua" w:eastAsia="宋体" w:hAnsi="Book Antiqua" w:cs="宋体"/>
        </w:rPr>
        <w:t>: 59-63 [PMID: 24464665 DOI: 10.1007/s12519-014-0453-5]</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15 </w:t>
      </w:r>
      <w:r w:rsidRPr="001C0FC9">
        <w:rPr>
          <w:rFonts w:ascii="Book Antiqua" w:eastAsia="宋体" w:hAnsi="Book Antiqua" w:cs="宋体"/>
          <w:b/>
          <w:bCs/>
        </w:rPr>
        <w:t>El Koumi M</w:t>
      </w:r>
      <w:r w:rsidRPr="001C0FC9">
        <w:rPr>
          <w:rFonts w:ascii="Book Antiqua" w:eastAsia="宋体" w:hAnsi="Book Antiqua" w:cs="宋体"/>
        </w:rPr>
        <w:t xml:space="preserve">. Rituximab in steroid-dependent nephrotic syndrome. </w:t>
      </w:r>
      <w:r w:rsidRPr="001C0FC9">
        <w:rPr>
          <w:rFonts w:ascii="Book Antiqua" w:eastAsia="宋体" w:hAnsi="Book Antiqua" w:cs="宋体"/>
          <w:i/>
          <w:iCs/>
        </w:rPr>
        <w:t>Iran J Kidney Dis</w:t>
      </w:r>
      <w:r w:rsidRPr="001C0FC9">
        <w:rPr>
          <w:rFonts w:ascii="Book Antiqua" w:eastAsia="宋体" w:hAnsi="Book Antiqua" w:cs="宋体"/>
        </w:rPr>
        <w:t xml:space="preserve"> 2013; </w:t>
      </w:r>
      <w:r w:rsidRPr="001C0FC9">
        <w:rPr>
          <w:rFonts w:ascii="Book Antiqua" w:eastAsia="宋体" w:hAnsi="Book Antiqua" w:cs="宋体"/>
          <w:b/>
          <w:bCs/>
        </w:rPr>
        <w:t>7</w:t>
      </w:r>
      <w:r w:rsidRPr="001C0FC9">
        <w:rPr>
          <w:rFonts w:ascii="Book Antiqua" w:eastAsia="宋体" w:hAnsi="Book Antiqua" w:cs="宋体"/>
        </w:rPr>
        <w:t>: 502-506 [PMID: 24241100]</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16 </w:t>
      </w:r>
      <w:r w:rsidRPr="001C0FC9">
        <w:rPr>
          <w:rFonts w:ascii="Book Antiqua" w:eastAsia="宋体" w:hAnsi="Book Antiqua" w:cs="宋体"/>
          <w:b/>
          <w:bCs/>
        </w:rPr>
        <w:t>Prytu</w:t>
      </w:r>
      <w:r w:rsidRPr="001C0FC9">
        <w:rPr>
          <w:rFonts w:ascii="Book Antiqua" w:eastAsia="MS Mincho" w:hAnsi="Book Antiqua" w:cs="MS Mincho"/>
          <w:b/>
          <w:bCs/>
        </w:rPr>
        <w:t>ł</w:t>
      </w:r>
      <w:r w:rsidRPr="001C0FC9">
        <w:rPr>
          <w:rFonts w:ascii="Book Antiqua" w:eastAsia="宋体" w:hAnsi="Book Antiqua" w:cs="宋体"/>
          <w:b/>
          <w:bCs/>
        </w:rPr>
        <w:t>a A</w:t>
      </w:r>
      <w:r w:rsidRPr="001C0FC9">
        <w:rPr>
          <w:rFonts w:ascii="Book Antiqua" w:eastAsia="宋体" w:hAnsi="Book Antiqua" w:cs="宋体"/>
        </w:rPr>
        <w:t xml:space="preserve">, Iijima K, Kamei K, Geary D, Gottlich E, Majeed A, Taylor M, Marks SD, Tuchman S, Camilla R, Ognjanovic M, Filler G, Smith G, Tullus K. Rituximab in refractory nephrotic syndrome. </w:t>
      </w:r>
      <w:r w:rsidRPr="001C0FC9">
        <w:rPr>
          <w:rFonts w:ascii="Book Antiqua" w:eastAsia="宋体" w:hAnsi="Book Antiqua" w:cs="宋体"/>
          <w:i/>
          <w:iCs/>
        </w:rPr>
        <w:t>Pediatr Nephrol</w:t>
      </w:r>
      <w:r w:rsidRPr="001C0FC9">
        <w:rPr>
          <w:rFonts w:ascii="Book Antiqua" w:eastAsia="宋体" w:hAnsi="Book Antiqua" w:cs="宋体"/>
        </w:rPr>
        <w:t xml:space="preserve"> 2010; </w:t>
      </w:r>
      <w:r w:rsidRPr="001C0FC9">
        <w:rPr>
          <w:rFonts w:ascii="Book Antiqua" w:eastAsia="宋体" w:hAnsi="Book Antiqua" w:cs="宋体"/>
          <w:b/>
          <w:bCs/>
        </w:rPr>
        <w:t>25</w:t>
      </w:r>
      <w:r w:rsidRPr="001C0FC9">
        <w:rPr>
          <w:rFonts w:ascii="Book Antiqua" w:eastAsia="宋体" w:hAnsi="Book Antiqua" w:cs="宋体"/>
        </w:rPr>
        <w:t>: 461-468 [PMID: 20033225 DOI: 10.1007/s00467-009-1376-6]</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17 </w:t>
      </w:r>
      <w:r w:rsidRPr="001C0FC9">
        <w:rPr>
          <w:rFonts w:ascii="Book Antiqua" w:eastAsia="宋体" w:hAnsi="Book Antiqua" w:cs="宋体"/>
          <w:b/>
          <w:bCs/>
        </w:rPr>
        <w:t>Kimata T</w:t>
      </w:r>
      <w:r w:rsidRPr="001C0FC9">
        <w:rPr>
          <w:rFonts w:ascii="Book Antiqua" w:eastAsia="宋体" w:hAnsi="Book Antiqua" w:cs="宋体"/>
        </w:rPr>
        <w:t xml:space="preserve">, Hasui M, Kino J, Kitao T, Yamanouchi S, Tsuji S, Kaneko K. Novel use of rituximab for steroid-dependent nephrotic syndrome in children. </w:t>
      </w:r>
      <w:r w:rsidRPr="001C0FC9">
        <w:rPr>
          <w:rFonts w:ascii="Book Antiqua" w:eastAsia="宋体" w:hAnsi="Book Antiqua" w:cs="宋体"/>
          <w:i/>
          <w:iCs/>
        </w:rPr>
        <w:t>Am J Nephrol</w:t>
      </w:r>
      <w:r w:rsidRPr="001C0FC9">
        <w:rPr>
          <w:rFonts w:ascii="Book Antiqua" w:eastAsia="宋体" w:hAnsi="Book Antiqua" w:cs="宋体"/>
        </w:rPr>
        <w:t xml:space="preserve"> 2013; </w:t>
      </w:r>
      <w:r w:rsidRPr="001C0FC9">
        <w:rPr>
          <w:rFonts w:ascii="Book Antiqua" w:eastAsia="宋体" w:hAnsi="Book Antiqua" w:cs="宋体"/>
          <w:b/>
          <w:bCs/>
        </w:rPr>
        <w:t>38</w:t>
      </w:r>
      <w:r w:rsidRPr="001C0FC9">
        <w:rPr>
          <w:rFonts w:ascii="Book Antiqua" w:eastAsia="宋体" w:hAnsi="Book Antiqua" w:cs="宋体"/>
        </w:rPr>
        <w:t>: 483-488 [PMID: 24296765 DOI: 10.1159/000356439]</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18 </w:t>
      </w:r>
      <w:r w:rsidRPr="001C0FC9">
        <w:rPr>
          <w:rFonts w:ascii="Book Antiqua" w:eastAsia="宋体" w:hAnsi="Book Antiqua" w:cs="宋体"/>
          <w:b/>
          <w:bCs/>
        </w:rPr>
        <w:t>Fujinaga S</w:t>
      </w:r>
      <w:r w:rsidRPr="001C0FC9">
        <w:rPr>
          <w:rFonts w:ascii="Book Antiqua" w:eastAsia="宋体" w:hAnsi="Book Antiqua" w:cs="宋体"/>
        </w:rPr>
        <w:t xml:space="preserve">, Someya T, Watanabe T, Ito A, Ohtomo Y, Shimizu T, Kaneko K. Cyclosporine versus mycophenolate mofetil for maintenance of remission of steroid-dependent nephrotic syndrome after a single infusion of rituximab. </w:t>
      </w:r>
      <w:r w:rsidRPr="001C0FC9">
        <w:rPr>
          <w:rFonts w:ascii="Book Antiqua" w:eastAsia="宋体" w:hAnsi="Book Antiqua" w:cs="宋体"/>
          <w:i/>
          <w:iCs/>
        </w:rPr>
        <w:t>Eur J Pediatr</w:t>
      </w:r>
      <w:r w:rsidRPr="001C0FC9">
        <w:rPr>
          <w:rFonts w:ascii="Book Antiqua" w:eastAsia="宋体" w:hAnsi="Book Antiqua" w:cs="宋体"/>
        </w:rPr>
        <w:t xml:space="preserve"> 2013; </w:t>
      </w:r>
      <w:r w:rsidRPr="001C0FC9">
        <w:rPr>
          <w:rFonts w:ascii="Book Antiqua" w:eastAsia="宋体" w:hAnsi="Book Antiqua" w:cs="宋体"/>
          <w:b/>
          <w:bCs/>
        </w:rPr>
        <w:t>172</w:t>
      </w:r>
      <w:r w:rsidRPr="001C0FC9">
        <w:rPr>
          <w:rFonts w:ascii="Book Antiqua" w:eastAsia="宋体" w:hAnsi="Book Antiqua" w:cs="宋体"/>
        </w:rPr>
        <w:t>: 513-518 [PMID: 23271494 DOI: 10.1007/s00431-012-1913-3]</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19 </w:t>
      </w:r>
      <w:r w:rsidRPr="001C0FC9">
        <w:rPr>
          <w:rFonts w:ascii="Book Antiqua" w:eastAsia="宋体" w:hAnsi="Book Antiqua" w:cs="宋体"/>
          <w:b/>
          <w:bCs/>
        </w:rPr>
        <w:t>Santín S</w:t>
      </w:r>
      <w:r w:rsidRPr="001C0FC9">
        <w:rPr>
          <w:rFonts w:ascii="Book Antiqua" w:eastAsia="宋体" w:hAnsi="Book Antiqua" w:cs="宋体"/>
        </w:rPr>
        <w:t xml:space="preserve">, Bullich G, Tazón-Vega B, García-Maset R, Giménez I, Silva I, Ruíz P, Ballarín J, Torra R, Ars E. Clinical utility of genetic testing in children and adults with steroid-resistant nephrotic syndrome. </w:t>
      </w:r>
      <w:r w:rsidRPr="001C0FC9">
        <w:rPr>
          <w:rFonts w:ascii="Book Antiqua" w:eastAsia="宋体" w:hAnsi="Book Antiqua" w:cs="宋体"/>
          <w:i/>
          <w:iCs/>
        </w:rPr>
        <w:t>Clin J Am Soc Nephrol</w:t>
      </w:r>
      <w:r w:rsidRPr="001C0FC9">
        <w:rPr>
          <w:rFonts w:ascii="Book Antiqua" w:eastAsia="宋体" w:hAnsi="Book Antiqua" w:cs="宋体"/>
        </w:rPr>
        <w:t xml:space="preserve"> 2011; </w:t>
      </w:r>
      <w:r w:rsidRPr="001C0FC9">
        <w:rPr>
          <w:rFonts w:ascii="Book Antiqua" w:eastAsia="宋体" w:hAnsi="Book Antiqua" w:cs="宋体"/>
          <w:b/>
          <w:bCs/>
        </w:rPr>
        <w:t>6</w:t>
      </w:r>
      <w:r w:rsidRPr="001C0FC9">
        <w:rPr>
          <w:rFonts w:ascii="Book Antiqua" w:eastAsia="宋体" w:hAnsi="Book Antiqua" w:cs="宋体"/>
        </w:rPr>
        <w:t>: 1139-1148 [PMID: 21415313 DOI: 10.2215/CJN.05260610]</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20 </w:t>
      </w:r>
      <w:r w:rsidRPr="001C0FC9">
        <w:rPr>
          <w:rFonts w:ascii="Book Antiqua" w:eastAsia="宋体" w:hAnsi="Book Antiqua" w:cs="宋体"/>
          <w:b/>
          <w:bCs/>
        </w:rPr>
        <w:t>Magnasco A</w:t>
      </w:r>
      <w:r w:rsidRPr="001C0FC9">
        <w:rPr>
          <w:rFonts w:ascii="Book Antiqua" w:eastAsia="宋体" w:hAnsi="Book Antiqua" w:cs="宋体"/>
        </w:rPr>
        <w:t xml:space="preserve">, Ravani P, Edefonti A, Murer L, Ghio L, Belingheri M, Benetti E, Murtas C, Messina G, Massella L, Porcellini MG, Montagna M, Regazzi M, Scolari F, Ghiggeri GM. Rituximab in children with resistant idiopathic nephrotic syndrome. </w:t>
      </w:r>
      <w:r w:rsidRPr="001C0FC9">
        <w:rPr>
          <w:rFonts w:ascii="Book Antiqua" w:eastAsia="宋体" w:hAnsi="Book Antiqua" w:cs="宋体"/>
          <w:i/>
          <w:iCs/>
        </w:rPr>
        <w:t>J Am Soc Nephrol</w:t>
      </w:r>
      <w:r w:rsidRPr="001C0FC9">
        <w:rPr>
          <w:rFonts w:ascii="Book Antiqua" w:eastAsia="宋体" w:hAnsi="Book Antiqua" w:cs="宋体"/>
        </w:rPr>
        <w:t xml:space="preserve"> 2012; </w:t>
      </w:r>
      <w:r w:rsidRPr="001C0FC9">
        <w:rPr>
          <w:rFonts w:ascii="Book Antiqua" w:eastAsia="宋体" w:hAnsi="Book Antiqua" w:cs="宋体"/>
          <w:b/>
          <w:bCs/>
        </w:rPr>
        <w:t>23</w:t>
      </w:r>
      <w:r w:rsidRPr="001C0FC9">
        <w:rPr>
          <w:rFonts w:ascii="Book Antiqua" w:eastAsia="宋体" w:hAnsi="Book Antiqua" w:cs="宋体"/>
        </w:rPr>
        <w:t>: 1117-1124 [PMID: 22581994 DOI: 10.1681/ASN.2011080775]</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21 </w:t>
      </w:r>
      <w:r w:rsidRPr="001C0FC9">
        <w:rPr>
          <w:rFonts w:ascii="Book Antiqua" w:eastAsia="宋体" w:hAnsi="Book Antiqua" w:cs="宋体"/>
          <w:b/>
          <w:bCs/>
        </w:rPr>
        <w:t>Bagga A</w:t>
      </w:r>
      <w:r w:rsidRPr="001C0FC9">
        <w:rPr>
          <w:rFonts w:ascii="Book Antiqua" w:eastAsia="宋体" w:hAnsi="Book Antiqua" w:cs="宋体"/>
        </w:rPr>
        <w:t xml:space="preserve">, Sinha A, Moudgil A. Rituximab in patients with the steroid-resistant nephrotic syndrome. </w:t>
      </w:r>
      <w:r w:rsidRPr="001C0FC9">
        <w:rPr>
          <w:rFonts w:ascii="Book Antiqua" w:eastAsia="宋体" w:hAnsi="Book Antiqua" w:cs="宋体"/>
          <w:i/>
          <w:iCs/>
        </w:rPr>
        <w:t>N Engl J Med</w:t>
      </w:r>
      <w:r w:rsidRPr="001C0FC9">
        <w:rPr>
          <w:rFonts w:ascii="Book Antiqua" w:eastAsia="宋体" w:hAnsi="Book Antiqua" w:cs="宋体"/>
        </w:rPr>
        <w:t xml:space="preserve"> 2007; </w:t>
      </w:r>
      <w:r w:rsidRPr="001C0FC9">
        <w:rPr>
          <w:rFonts w:ascii="Book Antiqua" w:eastAsia="宋体" w:hAnsi="Book Antiqua" w:cs="宋体"/>
          <w:b/>
          <w:bCs/>
        </w:rPr>
        <w:t>356</w:t>
      </w:r>
      <w:r w:rsidRPr="001C0FC9">
        <w:rPr>
          <w:rFonts w:ascii="Book Antiqua" w:eastAsia="宋体" w:hAnsi="Book Antiqua" w:cs="宋体"/>
        </w:rPr>
        <w:t>: 2751-2752 [PMID: 17596616 DOI: 10.1056/NEJMc063706]</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22 </w:t>
      </w:r>
      <w:r w:rsidRPr="001C0FC9">
        <w:rPr>
          <w:rFonts w:ascii="Book Antiqua" w:eastAsia="宋体" w:hAnsi="Book Antiqua" w:cs="宋体"/>
          <w:b/>
          <w:bCs/>
        </w:rPr>
        <w:t>Cravedi P</w:t>
      </w:r>
      <w:r w:rsidRPr="001C0FC9">
        <w:rPr>
          <w:rFonts w:ascii="Book Antiqua" w:eastAsia="宋体" w:hAnsi="Book Antiqua" w:cs="宋体"/>
        </w:rPr>
        <w:t xml:space="preserve">, Ruggenenti P, Sghirlanzoni MC, Remuzzi G. Titrating rituximab to circulating B cells to optimize lymphocytolytic therapy in idiopathic membranous nephropathy. </w:t>
      </w:r>
      <w:r w:rsidRPr="001C0FC9">
        <w:rPr>
          <w:rFonts w:ascii="Book Antiqua" w:eastAsia="宋体" w:hAnsi="Book Antiqua" w:cs="宋体"/>
          <w:i/>
          <w:iCs/>
        </w:rPr>
        <w:t>Clin J Am Soc Nephrol</w:t>
      </w:r>
      <w:r w:rsidRPr="001C0FC9">
        <w:rPr>
          <w:rFonts w:ascii="Book Antiqua" w:eastAsia="宋体" w:hAnsi="Book Antiqua" w:cs="宋体"/>
        </w:rPr>
        <w:t xml:space="preserve"> 2007; </w:t>
      </w:r>
      <w:r w:rsidRPr="001C0FC9">
        <w:rPr>
          <w:rFonts w:ascii="Book Antiqua" w:eastAsia="宋体" w:hAnsi="Book Antiqua" w:cs="宋体"/>
          <w:b/>
          <w:bCs/>
        </w:rPr>
        <w:t>2</w:t>
      </w:r>
      <w:r w:rsidRPr="001C0FC9">
        <w:rPr>
          <w:rFonts w:ascii="Book Antiqua" w:eastAsia="宋体" w:hAnsi="Book Antiqua" w:cs="宋体"/>
        </w:rPr>
        <w:t>: 932-937 [PMID: 17702725 DOI: 10.2215/CJN.01180307]</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23 </w:t>
      </w:r>
      <w:r w:rsidRPr="001C0FC9">
        <w:rPr>
          <w:rFonts w:ascii="Book Antiqua" w:eastAsia="宋体" w:hAnsi="Book Antiqua" w:cs="宋体"/>
          <w:b/>
          <w:bCs/>
        </w:rPr>
        <w:t>Bitzan M</w:t>
      </w:r>
      <w:r w:rsidRPr="001C0FC9">
        <w:rPr>
          <w:rFonts w:ascii="Book Antiqua" w:eastAsia="宋体" w:hAnsi="Book Antiqua" w:cs="宋体"/>
        </w:rPr>
        <w:t xml:space="preserve">, Anselmo M, Carpineta L. Rituximab (B-cell depleting antibody) associated lung injury (RALI): a pediatric case and systematic review of the literature. </w:t>
      </w:r>
      <w:r w:rsidRPr="001C0FC9">
        <w:rPr>
          <w:rFonts w:ascii="Book Antiqua" w:eastAsia="宋体" w:hAnsi="Book Antiqua" w:cs="宋体"/>
          <w:i/>
          <w:iCs/>
        </w:rPr>
        <w:t>Pediatr Pulmonol</w:t>
      </w:r>
      <w:r w:rsidRPr="001C0FC9">
        <w:rPr>
          <w:rFonts w:ascii="Book Antiqua" w:eastAsia="宋体" w:hAnsi="Book Antiqua" w:cs="宋体"/>
        </w:rPr>
        <w:t xml:space="preserve"> 2009; </w:t>
      </w:r>
      <w:r w:rsidRPr="001C0FC9">
        <w:rPr>
          <w:rFonts w:ascii="Book Antiqua" w:eastAsia="宋体" w:hAnsi="Book Antiqua" w:cs="宋体"/>
          <w:b/>
          <w:bCs/>
        </w:rPr>
        <w:t>44</w:t>
      </w:r>
      <w:r w:rsidRPr="001C0FC9">
        <w:rPr>
          <w:rFonts w:ascii="Book Antiqua" w:eastAsia="宋体" w:hAnsi="Book Antiqua" w:cs="宋体"/>
        </w:rPr>
        <w:t>: 922-934 [PMID: 19681063 DOI: 10.1002/ppul.20864]</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24 </w:t>
      </w:r>
      <w:r w:rsidRPr="001C0FC9">
        <w:rPr>
          <w:rFonts w:ascii="Book Antiqua" w:eastAsia="宋体" w:hAnsi="Book Antiqua" w:cs="宋体"/>
          <w:b/>
          <w:bCs/>
        </w:rPr>
        <w:t>Kamei K</w:t>
      </w:r>
      <w:r w:rsidRPr="001C0FC9">
        <w:rPr>
          <w:rFonts w:ascii="Book Antiqua" w:eastAsia="宋体" w:hAnsi="Book Antiqua" w:cs="宋体"/>
        </w:rPr>
        <w:t xml:space="preserve">, Ito S, Nozu K, Fujinaga S, Nakayama M, Sako M, Saito M, Yoneko M, Iijima K. Single dose of rituximab for refractory steroid-dependent nephrotic syndrome in children. </w:t>
      </w:r>
      <w:r w:rsidRPr="001C0FC9">
        <w:rPr>
          <w:rFonts w:ascii="Book Antiqua" w:eastAsia="宋体" w:hAnsi="Book Antiqua" w:cs="宋体"/>
          <w:i/>
          <w:iCs/>
        </w:rPr>
        <w:t>Pediatr Nephrol</w:t>
      </w:r>
      <w:r w:rsidRPr="001C0FC9">
        <w:rPr>
          <w:rFonts w:ascii="Book Antiqua" w:eastAsia="宋体" w:hAnsi="Book Antiqua" w:cs="宋体"/>
        </w:rPr>
        <w:t xml:space="preserve"> 2009; </w:t>
      </w:r>
      <w:r w:rsidRPr="001C0FC9">
        <w:rPr>
          <w:rFonts w:ascii="Book Antiqua" w:eastAsia="宋体" w:hAnsi="Book Antiqua" w:cs="宋体"/>
          <w:b/>
          <w:bCs/>
        </w:rPr>
        <w:t>24</w:t>
      </w:r>
      <w:r w:rsidRPr="001C0FC9">
        <w:rPr>
          <w:rFonts w:ascii="Book Antiqua" w:eastAsia="宋体" w:hAnsi="Book Antiqua" w:cs="宋体"/>
        </w:rPr>
        <w:t>: 1321-1328 [PMID: 19421786 DOI: 10.1007/s00467-009-1191-0]</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25 </w:t>
      </w:r>
      <w:r w:rsidRPr="001C0FC9">
        <w:rPr>
          <w:rFonts w:ascii="Book Antiqua" w:eastAsia="宋体" w:hAnsi="Book Antiqua" w:cs="宋体"/>
          <w:b/>
          <w:bCs/>
        </w:rPr>
        <w:t>Kari JA</w:t>
      </w:r>
      <w:r w:rsidRPr="001C0FC9">
        <w:rPr>
          <w:rFonts w:ascii="Book Antiqua" w:eastAsia="宋体" w:hAnsi="Book Antiqua" w:cs="宋体"/>
        </w:rPr>
        <w:t xml:space="preserve">, El-Morshedy SM, El-Desoky S, Alshaya HO, Rahim KA, Edrees BM. Rituximab for refractory cases of childhood nephrotic syndrome. </w:t>
      </w:r>
      <w:r w:rsidRPr="001C0FC9">
        <w:rPr>
          <w:rFonts w:ascii="Book Antiqua" w:eastAsia="宋体" w:hAnsi="Book Antiqua" w:cs="宋体"/>
          <w:i/>
          <w:iCs/>
        </w:rPr>
        <w:t>Pediatr Nephrol</w:t>
      </w:r>
      <w:r w:rsidRPr="001C0FC9">
        <w:rPr>
          <w:rFonts w:ascii="Book Antiqua" w:eastAsia="宋体" w:hAnsi="Book Antiqua" w:cs="宋体"/>
        </w:rPr>
        <w:t xml:space="preserve"> 2011; </w:t>
      </w:r>
      <w:r w:rsidRPr="001C0FC9">
        <w:rPr>
          <w:rFonts w:ascii="Book Antiqua" w:eastAsia="宋体" w:hAnsi="Book Antiqua" w:cs="宋体"/>
          <w:b/>
          <w:bCs/>
        </w:rPr>
        <w:t>26</w:t>
      </w:r>
      <w:r w:rsidRPr="001C0FC9">
        <w:rPr>
          <w:rFonts w:ascii="Book Antiqua" w:eastAsia="宋体" w:hAnsi="Book Antiqua" w:cs="宋体"/>
        </w:rPr>
        <w:t>: 733-737 [PMID: 21279725 DOI: 10.1007/s00467-011-1778-0]</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26 </w:t>
      </w:r>
      <w:r w:rsidRPr="001C0FC9">
        <w:rPr>
          <w:rFonts w:ascii="Book Antiqua" w:eastAsia="宋体" w:hAnsi="Book Antiqua" w:cs="宋体"/>
          <w:b/>
          <w:bCs/>
        </w:rPr>
        <w:t>Tony HP</w:t>
      </w:r>
      <w:r w:rsidRPr="001C0FC9">
        <w:rPr>
          <w:rFonts w:ascii="Book Antiqua" w:eastAsia="宋体" w:hAnsi="Book Antiqua" w:cs="宋体"/>
        </w:rPr>
        <w:t xml:space="preserve">, Burmester G, Schulze-Koops H, Grunke M, Henes J, Kötter I, Haas J, Unger L, Lovric S, Haubitz M, Fischer-Betz R, Chehab G, Rubbert-Roth A, Specker C, Weinerth J, Holle J, Müller-Ladner U, König R, Fiehn C, Burgwinkel P, Budde K, Sörensen H, Meurer M, Aringer M, Kieseier B, Erfurt-Berge C, Sticherling M, Veelken R, Ziemann U, Strutz F, von Wussow P, Meier FM, Hunzelmann N, Schmidt E, Bergner R, Schwarting A, Eming R, Hertl M, Stadler R, Schwarz-Eywill M, Wassenberg S, Fleck M, Metzler C, Zettl U, Westphal J, Heitmann S, Herzog AL, Wiendl H, Jakob W, Schmidt E, Freivogel K, Dörner T. Safety and clinical outcomes of rituximab therapy in patients with different autoimmune diseases: experience from a national registry (GRAID). </w:t>
      </w:r>
      <w:r w:rsidRPr="001C0FC9">
        <w:rPr>
          <w:rFonts w:ascii="Book Antiqua" w:eastAsia="宋体" w:hAnsi="Book Antiqua" w:cs="宋体"/>
          <w:i/>
          <w:iCs/>
        </w:rPr>
        <w:t>Arthritis Res Ther</w:t>
      </w:r>
      <w:r w:rsidRPr="001C0FC9">
        <w:rPr>
          <w:rFonts w:ascii="Book Antiqua" w:eastAsia="宋体" w:hAnsi="Book Antiqua" w:cs="宋体"/>
        </w:rPr>
        <w:t xml:space="preserve"> 2011; </w:t>
      </w:r>
      <w:r w:rsidRPr="001C0FC9">
        <w:rPr>
          <w:rFonts w:ascii="Book Antiqua" w:eastAsia="宋体" w:hAnsi="Book Antiqua" w:cs="宋体"/>
          <w:b/>
          <w:bCs/>
        </w:rPr>
        <w:t>13</w:t>
      </w:r>
      <w:r w:rsidRPr="001C0FC9">
        <w:rPr>
          <w:rFonts w:ascii="Book Antiqua" w:eastAsia="宋体" w:hAnsi="Book Antiqua" w:cs="宋体"/>
        </w:rPr>
        <w:t>: R75 [PMID: 21569519 DOI: 10.1186/ar3337]</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27 </w:t>
      </w:r>
      <w:r w:rsidRPr="001C0FC9">
        <w:rPr>
          <w:rFonts w:ascii="Book Antiqua" w:eastAsia="宋体" w:hAnsi="Book Antiqua" w:cs="宋体"/>
          <w:b/>
          <w:bCs/>
        </w:rPr>
        <w:t>Sellier-Leclerc AL</w:t>
      </w:r>
      <w:r w:rsidRPr="001C0FC9">
        <w:rPr>
          <w:rFonts w:ascii="Book Antiqua" w:eastAsia="宋体" w:hAnsi="Book Antiqua" w:cs="宋体"/>
        </w:rPr>
        <w:t xml:space="preserve">, Belli E, Guérin V, Dorfmüller P, Deschênes G. Fulminant viral myocarditis after rituximab therapy in pediatric nephrotic syndrome. </w:t>
      </w:r>
      <w:r w:rsidRPr="001C0FC9">
        <w:rPr>
          <w:rFonts w:ascii="Book Antiqua" w:eastAsia="宋体" w:hAnsi="Book Antiqua" w:cs="宋体"/>
          <w:i/>
          <w:iCs/>
        </w:rPr>
        <w:t>Pediatr Nephrol</w:t>
      </w:r>
      <w:r w:rsidRPr="001C0FC9">
        <w:rPr>
          <w:rFonts w:ascii="Book Antiqua" w:eastAsia="宋体" w:hAnsi="Book Antiqua" w:cs="宋体"/>
        </w:rPr>
        <w:t xml:space="preserve"> 2013; </w:t>
      </w:r>
      <w:r w:rsidRPr="001C0FC9">
        <w:rPr>
          <w:rFonts w:ascii="Book Antiqua" w:eastAsia="宋体" w:hAnsi="Book Antiqua" w:cs="宋体"/>
          <w:b/>
          <w:bCs/>
        </w:rPr>
        <w:t>28</w:t>
      </w:r>
      <w:r w:rsidRPr="001C0FC9">
        <w:rPr>
          <w:rFonts w:ascii="Book Antiqua" w:eastAsia="宋体" w:hAnsi="Book Antiqua" w:cs="宋体"/>
        </w:rPr>
        <w:t>: 1875-1879 [PMID: 23700173 DOI: 10.1007/s00467-013-2485-9]</w:t>
      </w:r>
    </w:p>
    <w:p w:rsidR="005C1F3B" w:rsidRPr="001C0FC9" w:rsidRDefault="005C1F3B" w:rsidP="005C1F3B">
      <w:pPr>
        <w:spacing w:line="360" w:lineRule="auto"/>
        <w:jc w:val="both"/>
        <w:rPr>
          <w:rFonts w:ascii="Book Antiqua" w:eastAsia="宋体" w:hAnsi="Book Antiqua" w:cs="宋体"/>
        </w:rPr>
      </w:pPr>
      <w:r w:rsidRPr="001C0FC9">
        <w:rPr>
          <w:rFonts w:ascii="Book Antiqua" w:eastAsia="宋体" w:hAnsi="Book Antiqua" w:cs="宋体"/>
        </w:rPr>
        <w:t xml:space="preserve">28 </w:t>
      </w:r>
      <w:r w:rsidRPr="001C0FC9">
        <w:rPr>
          <w:rFonts w:ascii="Book Antiqua" w:eastAsia="宋体" w:hAnsi="Book Antiqua" w:cs="宋体"/>
          <w:b/>
          <w:bCs/>
        </w:rPr>
        <w:t>Tan CS</w:t>
      </w:r>
      <w:r w:rsidRPr="001C0FC9">
        <w:rPr>
          <w:rFonts w:ascii="Book Antiqua" w:eastAsia="宋体" w:hAnsi="Book Antiqua" w:cs="宋体"/>
        </w:rPr>
        <w:t xml:space="preserve">, Koralnik IJ. Progressive multifocal leukoencephalopathy and other disorders caused by JC virus: clinical features and pathogenesis. </w:t>
      </w:r>
      <w:r w:rsidRPr="001C0FC9">
        <w:rPr>
          <w:rFonts w:ascii="Book Antiqua" w:eastAsia="宋体" w:hAnsi="Book Antiqua" w:cs="宋体"/>
          <w:i/>
          <w:iCs/>
        </w:rPr>
        <w:t>Lancet Neurol</w:t>
      </w:r>
      <w:r w:rsidRPr="001C0FC9">
        <w:rPr>
          <w:rFonts w:ascii="Book Antiqua" w:eastAsia="宋体" w:hAnsi="Book Antiqua" w:cs="宋体"/>
        </w:rPr>
        <w:t xml:space="preserve"> 2010; </w:t>
      </w:r>
      <w:r w:rsidRPr="001C0FC9">
        <w:rPr>
          <w:rFonts w:ascii="Book Antiqua" w:eastAsia="宋体" w:hAnsi="Book Antiqua" w:cs="宋体"/>
          <w:b/>
          <w:bCs/>
        </w:rPr>
        <w:t>9</w:t>
      </w:r>
      <w:r w:rsidRPr="001C0FC9">
        <w:rPr>
          <w:rFonts w:ascii="Book Antiqua" w:eastAsia="宋体" w:hAnsi="Book Antiqua" w:cs="宋体"/>
        </w:rPr>
        <w:t>: 425-437 [PMID: 20298966 DOI: 10.1016/S1474-4422(10)70040-5]</w:t>
      </w:r>
    </w:p>
    <w:p w:rsidR="00E23392" w:rsidRDefault="005C1F3B" w:rsidP="005C1F3B">
      <w:pPr>
        <w:spacing w:line="360" w:lineRule="auto"/>
        <w:jc w:val="both"/>
        <w:rPr>
          <w:rFonts w:ascii="Book Antiqua" w:eastAsia="宋体" w:hAnsi="Book Antiqua" w:cs="宋体"/>
          <w:lang w:eastAsia="zh-CN"/>
        </w:rPr>
      </w:pPr>
      <w:r w:rsidRPr="001C0FC9">
        <w:rPr>
          <w:rFonts w:ascii="Book Antiqua" w:eastAsia="宋体" w:hAnsi="Book Antiqua" w:cs="宋体"/>
        </w:rPr>
        <w:t xml:space="preserve">29 </w:t>
      </w:r>
      <w:r w:rsidRPr="001C0FC9">
        <w:rPr>
          <w:rFonts w:ascii="Book Antiqua" w:eastAsia="宋体" w:hAnsi="Book Antiqua" w:cs="宋体"/>
          <w:b/>
          <w:bCs/>
        </w:rPr>
        <w:t>Liang Y</w:t>
      </w:r>
      <w:r w:rsidRPr="001C0FC9">
        <w:rPr>
          <w:rFonts w:ascii="Book Antiqua" w:eastAsia="宋体" w:hAnsi="Book Antiqua" w:cs="宋体"/>
        </w:rPr>
        <w:t xml:space="preserve">, Zhang L, Gao J, Hu D, Ai Y. Rituximab for children with immune thrombocytopenia: a systematic review. </w:t>
      </w:r>
      <w:r w:rsidRPr="001C0FC9">
        <w:rPr>
          <w:rFonts w:ascii="Book Antiqua" w:eastAsia="宋体" w:hAnsi="Book Antiqua" w:cs="宋体"/>
          <w:i/>
          <w:iCs/>
        </w:rPr>
        <w:t>PLoS One</w:t>
      </w:r>
      <w:r w:rsidRPr="001C0FC9">
        <w:rPr>
          <w:rFonts w:ascii="Book Antiqua" w:eastAsia="宋体" w:hAnsi="Book Antiqua" w:cs="宋体"/>
        </w:rPr>
        <w:t xml:space="preserve"> 2012; </w:t>
      </w:r>
      <w:r w:rsidRPr="001C0FC9">
        <w:rPr>
          <w:rFonts w:ascii="Book Antiqua" w:eastAsia="宋体" w:hAnsi="Book Antiqua" w:cs="宋体"/>
          <w:b/>
          <w:bCs/>
        </w:rPr>
        <w:t>7</w:t>
      </w:r>
      <w:r w:rsidRPr="001C0FC9">
        <w:rPr>
          <w:rFonts w:ascii="Book Antiqua" w:eastAsia="宋体" w:hAnsi="Book Antiqua" w:cs="宋体"/>
        </w:rPr>
        <w:t>: e36698 [PMID: 22666325 DOI: 10.1371/journal.pone.0036698]</w:t>
      </w:r>
    </w:p>
    <w:p w:rsidR="00C02E01" w:rsidRPr="005C1F3B" w:rsidRDefault="00C02E01" w:rsidP="005C1F3B">
      <w:pPr>
        <w:spacing w:line="360" w:lineRule="auto"/>
        <w:jc w:val="both"/>
        <w:rPr>
          <w:rFonts w:ascii="Book Antiqua" w:eastAsiaTheme="minorEastAsia" w:hAnsi="Book Antiqua"/>
          <w:b/>
          <w:bCs/>
          <w:lang w:eastAsia="zh-CN"/>
        </w:rPr>
      </w:pPr>
    </w:p>
    <w:p w:rsidR="00590040" w:rsidRPr="005868A4" w:rsidRDefault="00590040" w:rsidP="005868A4">
      <w:pPr>
        <w:adjustRightInd w:val="0"/>
        <w:snapToGrid w:val="0"/>
        <w:spacing w:line="360" w:lineRule="auto"/>
        <w:jc w:val="right"/>
        <w:rPr>
          <w:rFonts w:ascii="Book Antiqua" w:hAnsi="Book Antiqua"/>
          <w:b/>
          <w:bCs/>
          <w:lang w:eastAsia="zh-CN"/>
        </w:rPr>
      </w:pP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bookmarkStart w:id="75" w:name="OLE_LINK419"/>
      <w:bookmarkStart w:id="76" w:name="OLE_LINK420"/>
      <w:bookmarkStart w:id="77" w:name="OLE_LINK423"/>
      <w:bookmarkStart w:id="78" w:name="OLE_LINK449"/>
      <w:bookmarkStart w:id="79" w:name="OLE_LINK450"/>
      <w:bookmarkStart w:id="80" w:name="OLE_LINK454"/>
      <w:r w:rsidRPr="005868A4">
        <w:rPr>
          <w:rStyle w:val="Strong"/>
          <w:rFonts w:ascii="Book Antiqua" w:hAnsi="Book Antiqua" w:cs="Arial"/>
          <w:noProof/>
        </w:rPr>
        <w:t>P-Reviewer:</w:t>
      </w:r>
      <w:r w:rsidRPr="005868A4">
        <w:rPr>
          <w:rStyle w:val="Strong"/>
          <w:rFonts w:ascii="Book Antiqua" w:eastAsiaTheme="minorEastAsia" w:hAnsi="Book Antiqua" w:cs="Arial"/>
          <w:noProof/>
          <w:lang w:eastAsia="zh-CN"/>
        </w:rPr>
        <w:t xml:space="preserve"> </w:t>
      </w:r>
      <w:r w:rsidRPr="005868A4">
        <w:rPr>
          <w:rFonts w:ascii="Book Antiqua" w:hAnsi="Book Antiqua"/>
          <w:color w:val="000000"/>
        </w:rPr>
        <w:t xml:space="preserve">Nihalani </w:t>
      </w:r>
      <w:r w:rsidRPr="005868A4">
        <w:rPr>
          <w:rFonts w:ascii="Book Antiqua" w:eastAsiaTheme="minorEastAsia" w:hAnsi="Book Antiqua"/>
          <w:color w:val="000000"/>
          <w:lang w:eastAsia="zh-CN"/>
        </w:rPr>
        <w:t>D,</w:t>
      </w:r>
      <w:r w:rsidR="00C02E01">
        <w:rPr>
          <w:rFonts w:ascii="Book Antiqua" w:eastAsiaTheme="minorEastAsia" w:hAnsi="Book Antiqua" w:hint="eastAsia"/>
          <w:color w:val="000000"/>
          <w:lang w:eastAsia="zh-CN"/>
        </w:rPr>
        <w:t xml:space="preserve"> </w:t>
      </w:r>
      <w:r w:rsidRPr="005868A4">
        <w:rPr>
          <w:rFonts w:ascii="Book Antiqua" w:hAnsi="Book Antiqua"/>
          <w:color w:val="000000"/>
        </w:rPr>
        <w:t>Tanaka H</w:t>
      </w:r>
      <w:r w:rsidRPr="005868A4">
        <w:rPr>
          <w:rFonts w:ascii="Book Antiqua" w:hAnsi="Book Antiqua"/>
          <w:lang w:eastAsia="zh-CN"/>
        </w:rPr>
        <w:t xml:space="preserve">, </w:t>
      </w:r>
      <w:r w:rsidRPr="005868A4">
        <w:rPr>
          <w:rFonts w:ascii="Book Antiqua" w:hAnsi="Book Antiqua"/>
          <w:color w:val="000000"/>
        </w:rPr>
        <w:t>Salvadori</w:t>
      </w:r>
      <w:r w:rsidRPr="005868A4">
        <w:rPr>
          <w:rFonts w:ascii="Book Antiqua" w:eastAsiaTheme="minorEastAsia" w:hAnsi="Book Antiqua"/>
          <w:color w:val="000000"/>
          <w:lang w:eastAsia="zh-CN"/>
        </w:rPr>
        <w:t xml:space="preserve"> </w:t>
      </w:r>
      <w:r w:rsidR="00C02E01">
        <w:rPr>
          <w:rFonts w:ascii="Book Antiqua" w:hAnsi="Book Antiqua"/>
          <w:color w:val="000000"/>
        </w:rPr>
        <w:t>M</w:t>
      </w:r>
      <w:r w:rsidRPr="005868A4">
        <w:rPr>
          <w:rFonts w:ascii="Book Antiqua" w:hAnsi="Book Antiqua"/>
          <w:bCs/>
          <w:lang w:eastAsia="zh-CN"/>
        </w:rPr>
        <w:t xml:space="preserve"> </w:t>
      </w:r>
      <w:r w:rsidRPr="005868A4">
        <w:rPr>
          <w:rFonts w:ascii="Book Antiqua" w:hAnsi="Book Antiqua"/>
          <w:b/>
          <w:bCs/>
        </w:rPr>
        <w:t>S-Editor:</w:t>
      </w:r>
      <w:r w:rsidRPr="005868A4">
        <w:rPr>
          <w:rFonts w:ascii="Book Antiqua" w:hAnsi="Book Antiqua"/>
          <w:bCs/>
        </w:rPr>
        <w:t xml:space="preserve"> </w:t>
      </w:r>
      <w:r w:rsidRPr="005868A4">
        <w:rPr>
          <w:rFonts w:ascii="Book Antiqua" w:hAnsi="Book Antiqua"/>
          <w:bCs/>
          <w:lang w:eastAsia="zh-CN"/>
        </w:rPr>
        <w:t>T</w:t>
      </w:r>
      <w:r w:rsidRPr="005868A4">
        <w:rPr>
          <w:rFonts w:ascii="Book Antiqua" w:eastAsiaTheme="minorEastAsia" w:hAnsi="Book Antiqua"/>
          <w:bCs/>
          <w:lang w:eastAsia="zh-CN"/>
        </w:rPr>
        <w:t>ian</w:t>
      </w:r>
      <w:r w:rsidRPr="005868A4">
        <w:rPr>
          <w:rFonts w:ascii="Book Antiqua" w:hAnsi="Book Antiqua"/>
          <w:bCs/>
          <w:lang w:eastAsia="zh-CN"/>
        </w:rPr>
        <w:t xml:space="preserve"> YL</w:t>
      </w:r>
    </w:p>
    <w:p w:rsidR="00590040" w:rsidRPr="005868A4" w:rsidRDefault="00590040" w:rsidP="005868A4">
      <w:pPr>
        <w:adjustRightInd w:val="0"/>
        <w:snapToGrid w:val="0"/>
        <w:spacing w:line="360" w:lineRule="auto"/>
        <w:jc w:val="right"/>
        <w:rPr>
          <w:rFonts w:ascii="Book Antiqua" w:hAnsi="Book Antiqua"/>
          <w:b/>
          <w:bCs/>
        </w:rPr>
      </w:pPr>
      <w:r w:rsidRPr="005868A4">
        <w:rPr>
          <w:rFonts w:ascii="Book Antiqua" w:hAnsi="Book Antiqua"/>
          <w:b/>
          <w:bCs/>
        </w:rPr>
        <w:t>L-Editor:   E-Editor: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D574A6" w:rsidRPr="005868A4" w:rsidRDefault="00D574A6" w:rsidP="005868A4">
      <w:pPr>
        <w:spacing w:line="360" w:lineRule="auto"/>
        <w:jc w:val="both"/>
        <w:rPr>
          <w:rFonts w:ascii="Book Antiqua" w:eastAsiaTheme="minorEastAsia" w:hAnsi="Book Antiqua"/>
          <w:b/>
          <w:bCs/>
          <w:lang w:eastAsia="zh-CN"/>
        </w:rPr>
      </w:pPr>
    </w:p>
    <w:p w:rsidR="009A2F09" w:rsidRPr="005868A4" w:rsidRDefault="00D574A6" w:rsidP="005868A4">
      <w:pPr>
        <w:spacing w:line="360" w:lineRule="auto"/>
        <w:rPr>
          <w:rFonts w:ascii="Book Antiqua" w:eastAsiaTheme="minorEastAsia" w:hAnsi="Book Antiqua"/>
          <w:lang w:eastAsia="zh-CN"/>
        </w:rPr>
      </w:pPr>
      <w:r w:rsidRPr="005868A4">
        <w:rPr>
          <w:rFonts w:ascii="Book Antiqua" w:eastAsiaTheme="minorEastAsia" w:hAnsi="Book Antiqua"/>
          <w:b/>
          <w:bCs/>
          <w:lang w:eastAsia="zh-CN"/>
        </w:rPr>
        <w:br w:type="page"/>
      </w:r>
    </w:p>
    <w:p w:rsidR="00E23392" w:rsidRPr="005868A4" w:rsidRDefault="00E23392" w:rsidP="005868A4">
      <w:pPr>
        <w:shd w:val="clear" w:color="auto" w:fill="FFFFFF"/>
        <w:spacing w:line="360" w:lineRule="auto"/>
        <w:jc w:val="both"/>
        <w:rPr>
          <w:rFonts w:ascii="Book Antiqua" w:hAnsi="Book Antiqua" w:cs="Lucida Sans Unicode"/>
          <w:b/>
          <w:bCs/>
        </w:rPr>
      </w:pPr>
      <w:r w:rsidRPr="005868A4">
        <w:rPr>
          <w:rFonts w:ascii="Book Antiqua" w:hAnsi="Book Antiqua" w:cs="Lucida Sans Unicode"/>
          <w:b/>
          <w:bCs/>
        </w:rPr>
        <w:t>Table 1 Summary of published studies</w:t>
      </w:r>
      <w:r w:rsidR="00AA0EAF" w:rsidRPr="005868A4">
        <w:rPr>
          <w:rFonts w:ascii="Book Antiqua" w:hAnsi="Book Antiqua" w:cs="Lucida Sans Unicode"/>
          <w:b/>
          <w:bCs/>
        </w:rPr>
        <w:t xml:space="preserve"> of rituximab</w:t>
      </w:r>
      <w:r w:rsidRPr="005868A4">
        <w:rPr>
          <w:rFonts w:ascii="Book Antiqua" w:hAnsi="Book Antiqua" w:cs="Lucida Sans Unicode"/>
          <w:b/>
          <w:bCs/>
        </w:rPr>
        <w:t xml:space="preserve"> in childhood </w:t>
      </w:r>
      <w:r w:rsidR="00BD34EB" w:rsidRPr="005868A4">
        <w:rPr>
          <w:rFonts w:ascii="Book Antiqua" w:hAnsi="Book Antiqua"/>
          <w:b/>
        </w:rPr>
        <w:t>nephrotic syndrome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952"/>
        <w:gridCol w:w="1969"/>
        <w:gridCol w:w="1599"/>
        <w:gridCol w:w="2418"/>
      </w:tblGrid>
      <w:tr w:rsidR="00BD34EB" w:rsidRPr="005868A4" w:rsidTr="00320639">
        <w:trPr>
          <w:trHeight w:val="1413"/>
        </w:trPr>
        <w:tc>
          <w:tcPr>
            <w:tcW w:w="2271" w:type="dxa"/>
          </w:tcPr>
          <w:p w:rsidR="00E23392" w:rsidRPr="0095232A" w:rsidRDefault="0095232A" w:rsidP="005868A4">
            <w:pPr>
              <w:spacing w:line="360" w:lineRule="auto"/>
              <w:jc w:val="both"/>
              <w:rPr>
                <w:rFonts w:ascii="Book Antiqua" w:eastAsiaTheme="minorEastAsia" w:hAnsi="Book Antiqua" w:cs="Arial"/>
                <w:b/>
                <w:bCs/>
                <w:lang w:eastAsia="zh-CN"/>
              </w:rPr>
            </w:pPr>
            <w:r>
              <w:rPr>
                <w:rFonts w:ascii="Book Antiqua" w:eastAsiaTheme="minorEastAsia" w:hAnsi="Book Antiqua" w:cs="Arial" w:hint="eastAsia"/>
                <w:b/>
                <w:bCs/>
                <w:lang w:eastAsia="zh-CN"/>
              </w:rPr>
              <w:t>Ref.</w:t>
            </w:r>
          </w:p>
        </w:tc>
        <w:tc>
          <w:tcPr>
            <w:tcW w:w="2130" w:type="dxa"/>
          </w:tcPr>
          <w:p w:rsidR="00E23392" w:rsidRPr="005868A4" w:rsidRDefault="00E23392" w:rsidP="005868A4">
            <w:pPr>
              <w:spacing w:line="360" w:lineRule="auto"/>
              <w:jc w:val="both"/>
              <w:rPr>
                <w:rFonts w:ascii="Book Antiqua" w:hAnsi="Book Antiqua" w:cs="Arial"/>
                <w:b/>
                <w:bCs/>
              </w:rPr>
            </w:pPr>
            <w:r w:rsidRPr="005868A4">
              <w:rPr>
                <w:rFonts w:ascii="Book Antiqua" w:hAnsi="Book Antiqua" w:cs="Arial"/>
                <w:b/>
                <w:bCs/>
              </w:rPr>
              <w:t>D</w:t>
            </w:r>
            <w:r w:rsidR="001B3BFE" w:rsidRPr="005868A4">
              <w:rPr>
                <w:rFonts w:ascii="Book Antiqua" w:hAnsi="Book Antiqua" w:cs="Arial"/>
                <w:b/>
                <w:bCs/>
              </w:rPr>
              <w:t>emographics</w:t>
            </w:r>
          </w:p>
        </w:tc>
        <w:tc>
          <w:tcPr>
            <w:tcW w:w="2131" w:type="dxa"/>
          </w:tcPr>
          <w:p w:rsidR="00E23392" w:rsidRPr="005868A4" w:rsidRDefault="001B3BFE" w:rsidP="005868A4">
            <w:pPr>
              <w:spacing w:line="360" w:lineRule="auto"/>
              <w:jc w:val="both"/>
              <w:rPr>
                <w:rFonts w:ascii="Book Antiqua" w:hAnsi="Book Antiqua" w:cs="Arial"/>
                <w:b/>
                <w:bCs/>
              </w:rPr>
            </w:pPr>
            <w:r w:rsidRPr="005868A4">
              <w:rPr>
                <w:rFonts w:ascii="Book Antiqua" w:hAnsi="Book Antiqua" w:cs="Arial"/>
                <w:b/>
                <w:bCs/>
              </w:rPr>
              <w:t>Histologic</w:t>
            </w:r>
            <w:r w:rsidR="00E23392" w:rsidRPr="005868A4">
              <w:rPr>
                <w:rFonts w:ascii="Book Antiqua" w:hAnsi="Book Antiqua" w:cs="Arial"/>
                <w:b/>
                <w:bCs/>
              </w:rPr>
              <w:t xml:space="preserve"> </w:t>
            </w:r>
            <w:r w:rsidRPr="005868A4">
              <w:rPr>
                <w:rFonts w:ascii="Book Antiqua" w:hAnsi="Book Antiqua" w:cs="Arial"/>
                <w:b/>
                <w:bCs/>
              </w:rPr>
              <w:t>findings</w:t>
            </w:r>
          </w:p>
        </w:tc>
        <w:tc>
          <w:tcPr>
            <w:tcW w:w="2131" w:type="dxa"/>
          </w:tcPr>
          <w:p w:rsidR="00E23392" w:rsidRPr="005868A4" w:rsidRDefault="00E23392" w:rsidP="005868A4">
            <w:pPr>
              <w:spacing w:line="360" w:lineRule="auto"/>
              <w:jc w:val="both"/>
              <w:rPr>
                <w:rFonts w:ascii="Book Antiqua" w:hAnsi="Book Antiqua" w:cs="Arial"/>
                <w:b/>
                <w:bCs/>
              </w:rPr>
            </w:pPr>
            <w:r w:rsidRPr="005868A4">
              <w:rPr>
                <w:rFonts w:ascii="Book Antiqua" w:hAnsi="Book Antiqua" w:cs="Arial"/>
                <w:b/>
                <w:bCs/>
              </w:rPr>
              <w:t>No</w:t>
            </w:r>
            <w:r w:rsidR="00AA0EAF" w:rsidRPr="005868A4">
              <w:rPr>
                <w:rFonts w:ascii="Book Antiqua" w:hAnsi="Book Antiqua" w:cs="Arial"/>
                <w:b/>
                <w:bCs/>
              </w:rPr>
              <w:t>.</w:t>
            </w:r>
            <w:r w:rsidRPr="005868A4">
              <w:rPr>
                <w:rFonts w:ascii="Book Antiqua" w:hAnsi="Book Antiqua" w:cs="Arial"/>
                <w:b/>
                <w:bCs/>
              </w:rPr>
              <w:t xml:space="preserve"> of doses</w:t>
            </w:r>
          </w:p>
        </w:tc>
        <w:tc>
          <w:tcPr>
            <w:tcW w:w="2436" w:type="dxa"/>
          </w:tcPr>
          <w:p w:rsidR="00E23392" w:rsidRPr="005868A4" w:rsidRDefault="00AA0EAF" w:rsidP="005868A4">
            <w:pPr>
              <w:spacing w:line="360" w:lineRule="auto"/>
              <w:jc w:val="both"/>
              <w:rPr>
                <w:rFonts w:ascii="Book Antiqua" w:hAnsi="Book Antiqua" w:cs="Arial"/>
                <w:b/>
                <w:bCs/>
              </w:rPr>
            </w:pPr>
            <w:r w:rsidRPr="005868A4">
              <w:rPr>
                <w:rFonts w:ascii="Book Antiqua" w:hAnsi="Book Antiqua" w:cs="Arial"/>
                <w:b/>
                <w:bCs/>
              </w:rPr>
              <w:t>Out</w:t>
            </w:r>
            <w:r w:rsidR="00E23392" w:rsidRPr="005868A4">
              <w:rPr>
                <w:rFonts w:ascii="Book Antiqua" w:hAnsi="Book Antiqua" w:cs="Arial"/>
                <w:b/>
                <w:bCs/>
              </w:rPr>
              <w:t>come</w:t>
            </w:r>
          </w:p>
        </w:tc>
      </w:tr>
      <w:tr w:rsidR="00BD34EB" w:rsidRPr="005868A4" w:rsidTr="00320639">
        <w:tc>
          <w:tcPr>
            <w:tcW w:w="2271" w:type="dxa"/>
          </w:tcPr>
          <w:p w:rsidR="00E23392" w:rsidRPr="005868A4" w:rsidRDefault="00E23392" w:rsidP="005868A4">
            <w:pPr>
              <w:spacing w:line="360" w:lineRule="auto"/>
              <w:jc w:val="both"/>
              <w:rPr>
                <w:rFonts w:ascii="Book Antiqua" w:eastAsia="宋体" w:hAnsi="Book Antiqua" w:cs="Arial"/>
                <w:lang w:eastAsia="zh-CN"/>
              </w:rPr>
            </w:pPr>
            <w:r w:rsidRPr="005868A4">
              <w:rPr>
                <w:rFonts w:ascii="Book Antiqua" w:hAnsi="Book Antiqua" w:cs="Arial"/>
              </w:rPr>
              <w:t xml:space="preserve">Gulati </w:t>
            </w:r>
            <w:r w:rsidRPr="005868A4">
              <w:rPr>
                <w:rFonts w:ascii="Book Antiqua" w:hAnsi="Book Antiqua" w:cs="Arial"/>
                <w:i/>
              </w:rPr>
              <w:t>et al</w:t>
            </w:r>
            <w:r w:rsidRPr="005868A4">
              <w:rPr>
                <w:rFonts w:ascii="Book Antiqua" w:eastAsia="宋体" w:hAnsi="Book Antiqua" w:cs="Arial"/>
                <w:vertAlign w:val="superscript"/>
                <w:lang w:eastAsia="zh-CN"/>
              </w:rPr>
              <w:t>[7]</w:t>
            </w:r>
          </w:p>
          <w:p w:rsidR="00E23392" w:rsidRPr="005868A4" w:rsidRDefault="00E23392" w:rsidP="005868A4">
            <w:pPr>
              <w:spacing w:line="360" w:lineRule="auto"/>
              <w:jc w:val="both"/>
              <w:rPr>
                <w:rFonts w:ascii="Book Antiqua" w:hAnsi="Book Antiqua" w:cs="Arial"/>
              </w:rPr>
            </w:pP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SDNS</w:t>
            </w:r>
          </w:p>
          <w:p w:rsidR="00E23392" w:rsidRPr="005868A4" w:rsidRDefault="00E23392" w:rsidP="005868A4">
            <w:pPr>
              <w:spacing w:line="360" w:lineRule="auto"/>
              <w:jc w:val="both"/>
              <w:rPr>
                <w:rFonts w:ascii="Book Antiqua" w:eastAsiaTheme="minorEastAsia" w:hAnsi="Book Antiqua" w:cs="Arial"/>
                <w:lang w:eastAsia="zh-CN"/>
              </w:rPr>
            </w:pPr>
            <w:r w:rsidRPr="005868A4">
              <w:rPr>
                <w:rFonts w:ascii="Book Antiqua" w:hAnsi="Book Antiqua" w:cs="Arial"/>
              </w:rPr>
              <w:t>Age (mean):</w:t>
            </w:r>
            <w:r w:rsidR="001E30D5" w:rsidRPr="005868A4">
              <w:rPr>
                <w:rFonts w:ascii="Book Antiqua" w:hAnsi="Book Antiqua" w:cs="Arial"/>
              </w:rPr>
              <w:t xml:space="preserve"> </w:t>
            </w:r>
            <w:r w:rsidRPr="005868A4">
              <w:rPr>
                <w:rFonts w:ascii="Book Antiqua" w:hAnsi="Book Antiqua" w:cs="Arial"/>
              </w:rPr>
              <w:t xml:space="preserve">12.7 ± 9.1 </w:t>
            </w:r>
            <w:r w:rsidR="00320639" w:rsidRPr="005868A4">
              <w:rPr>
                <w:rFonts w:ascii="Book Antiqua" w:hAnsi="Book Antiqua" w:cs="Arial"/>
              </w:rPr>
              <w:t>y</w:t>
            </w:r>
            <w:r w:rsidR="00320639" w:rsidRPr="005868A4">
              <w:rPr>
                <w:rFonts w:ascii="Book Antiqua" w:eastAsiaTheme="minorEastAsia" w:hAnsi="Book Antiqua" w:cs="Arial"/>
                <w:lang w:eastAsia="zh-CN"/>
              </w:rPr>
              <w:t>r</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33 SRNS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 17</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 16</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Age (mean):</w:t>
            </w:r>
          </w:p>
          <w:p w:rsidR="00E23392" w:rsidRPr="005868A4" w:rsidRDefault="00E23392" w:rsidP="005868A4">
            <w:pPr>
              <w:spacing w:line="360" w:lineRule="auto"/>
              <w:jc w:val="both"/>
              <w:rPr>
                <w:rFonts w:ascii="Book Antiqua" w:eastAsiaTheme="minorEastAsia" w:hAnsi="Book Antiqua" w:cs="Arial"/>
                <w:lang w:eastAsia="zh-CN"/>
              </w:rPr>
            </w:pPr>
            <w:r w:rsidRPr="005868A4">
              <w:rPr>
                <w:rFonts w:ascii="Book Antiqua" w:hAnsi="Book Antiqua" w:cs="Arial"/>
              </w:rPr>
              <w:t xml:space="preserve">11.7 ± 2.9 </w:t>
            </w:r>
            <w:r w:rsidR="00320639" w:rsidRPr="005868A4">
              <w:rPr>
                <w:rFonts w:ascii="Book Antiqua" w:hAnsi="Book Antiqua" w:cs="Arial"/>
              </w:rPr>
              <w:t>y</w:t>
            </w:r>
            <w:r w:rsidR="00320639" w:rsidRPr="005868A4">
              <w:rPr>
                <w:rFonts w:ascii="Book Antiqua" w:eastAsiaTheme="minorEastAsia" w:hAnsi="Book Antiqua" w:cs="Arial"/>
                <w:lang w:eastAsia="zh-CN"/>
              </w:rPr>
              <w:t>r</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w:t>
            </w:r>
            <w:r w:rsidR="001E30D5" w:rsidRPr="005868A4">
              <w:rPr>
                <w:rFonts w:ascii="Book Antiqua" w:hAnsi="Book Antiqua" w:cs="Arial"/>
              </w:rPr>
              <w:t xml:space="preserve"> </w:t>
            </w:r>
            <w:r w:rsidRPr="005868A4">
              <w:rPr>
                <w:rFonts w:ascii="Book Antiqua" w:hAnsi="Book Antiqua" w:cs="Arial"/>
              </w:rPr>
              <w:t>19</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w:t>
            </w:r>
            <w:r w:rsidR="001E30D5" w:rsidRPr="005868A4">
              <w:rPr>
                <w:rFonts w:ascii="Book Antiqua" w:hAnsi="Book Antiqua" w:cs="Arial"/>
              </w:rPr>
              <w:t xml:space="preserve"> </w:t>
            </w:r>
            <w:r w:rsidRPr="005868A4">
              <w:rPr>
                <w:rFonts w:ascii="Book Antiqua" w:hAnsi="Book Antiqua" w:cs="Arial"/>
              </w:rPr>
              <w:t>5</w:t>
            </w:r>
          </w:p>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SRNS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17 MCD (51%)</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16 FSGS (49%)</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SDNS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12 MCD (50%)</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2 FSGS (8%)</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2 Mesangial hypercelluarity (8%)</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8 No biopsy (33%)</w:t>
            </w: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SDNS 2 doses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SRNS 4 doses</w:t>
            </w:r>
          </w:p>
        </w:tc>
        <w:tc>
          <w:tcPr>
            <w:tcW w:w="2436"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SDNS</w:t>
            </w:r>
            <w:r w:rsidR="00BB3786" w:rsidRPr="005868A4">
              <w:rPr>
                <w:rFonts w:ascii="Book Antiqua" w:hAnsi="Book Antiqua" w:cs="Arial"/>
              </w:rPr>
              <w:t>:</w:t>
            </w:r>
            <w:r w:rsidRPr="005868A4">
              <w:rPr>
                <w:rFonts w:ascii="Book Antiqua" w:hAnsi="Book Antiqua" w:cs="Arial"/>
              </w:rPr>
              <w:t xml:space="preserve"> one yr 20 remission</w:t>
            </w:r>
            <w:r w:rsidR="001E30D5" w:rsidRPr="005868A4">
              <w:rPr>
                <w:rFonts w:ascii="Book Antiqua" w:hAnsi="Book Antiqua" w:cs="Arial"/>
              </w:rPr>
              <w:t>; after one yr, 17</w:t>
            </w:r>
            <w:r w:rsidRPr="005868A4">
              <w:rPr>
                <w:rFonts w:ascii="Book Antiqua" w:hAnsi="Book Antiqua" w:cs="Arial"/>
              </w:rPr>
              <w:t xml:space="preserve"> still in remission</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SRNS at 9 mo</w:t>
            </w:r>
            <w:r w:rsidR="00BB3786" w:rsidRPr="005868A4">
              <w:rPr>
                <w:rFonts w:ascii="Book Antiqua" w:hAnsi="Book Antiqua" w:cs="Arial"/>
              </w:rPr>
              <w:t>:</w:t>
            </w:r>
            <w:r w:rsidRPr="005868A4">
              <w:rPr>
                <w:rFonts w:ascii="Book Antiqua" w:hAnsi="Book Antiqua" w:cs="Arial"/>
              </w:rPr>
              <w:t xml:space="preserve"> 9 CP, 7 PR, 17 NON</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After one yr</w:t>
            </w:r>
            <w:r w:rsidR="00BB3786" w:rsidRPr="005868A4">
              <w:rPr>
                <w:rFonts w:ascii="Book Antiqua" w:hAnsi="Book Antiqua" w:cs="Arial"/>
              </w:rPr>
              <w:t>:</w:t>
            </w:r>
            <w:r w:rsidRPr="005868A4">
              <w:rPr>
                <w:rFonts w:ascii="Book Antiqua" w:hAnsi="Book Antiqua" w:cs="Arial"/>
              </w:rPr>
              <w:t xml:space="preserve"> 7 CR,  8 </w:t>
            </w:r>
            <w:r w:rsidR="00FC6E37" w:rsidRPr="005868A4">
              <w:rPr>
                <w:rFonts w:ascii="Book Antiqua" w:hAnsi="Book Antiqua" w:cs="Arial"/>
              </w:rPr>
              <w:t>PR</w:t>
            </w:r>
          </w:p>
        </w:tc>
      </w:tr>
      <w:tr w:rsidR="00BD34EB" w:rsidRPr="005868A4" w:rsidTr="00320639">
        <w:tc>
          <w:tcPr>
            <w:tcW w:w="227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Kemper </w:t>
            </w:r>
            <w:r w:rsidRPr="005868A4">
              <w:rPr>
                <w:rFonts w:ascii="Book Antiqua" w:hAnsi="Book Antiqua" w:cs="Arial"/>
                <w:i/>
              </w:rPr>
              <w:t>et al</w:t>
            </w:r>
            <w:r w:rsidRPr="005868A4">
              <w:rPr>
                <w:rFonts w:ascii="Book Antiqua" w:hAnsi="Book Antiqua" w:cs="Arial"/>
                <w:vertAlign w:val="superscript"/>
              </w:rPr>
              <w:t>[8]</w:t>
            </w:r>
          </w:p>
          <w:p w:rsidR="00E23392" w:rsidRPr="005868A4" w:rsidRDefault="00E23392" w:rsidP="005868A4">
            <w:pPr>
              <w:spacing w:line="360" w:lineRule="auto"/>
              <w:jc w:val="both"/>
              <w:rPr>
                <w:rFonts w:ascii="Book Antiqua" w:hAnsi="Book Antiqua" w:cs="Arial"/>
              </w:rPr>
            </w:pP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37 SDNS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w:t>
            </w:r>
            <w:r w:rsidR="001E30D5" w:rsidRPr="005868A4">
              <w:rPr>
                <w:rFonts w:ascii="Book Antiqua" w:hAnsi="Book Antiqua" w:cs="Arial"/>
              </w:rPr>
              <w:t xml:space="preserve"> </w:t>
            </w:r>
            <w:r w:rsidRPr="005868A4">
              <w:rPr>
                <w:rFonts w:ascii="Book Antiqua" w:hAnsi="Book Antiqua" w:cs="Arial"/>
              </w:rPr>
              <w:t>25</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w:t>
            </w:r>
            <w:r w:rsidR="001E30D5" w:rsidRPr="005868A4">
              <w:rPr>
                <w:rFonts w:ascii="Book Antiqua" w:hAnsi="Book Antiqua" w:cs="Arial"/>
              </w:rPr>
              <w:t xml:space="preserve"> </w:t>
            </w:r>
            <w:r w:rsidRPr="005868A4">
              <w:rPr>
                <w:rFonts w:ascii="Book Antiqua" w:hAnsi="Book Antiqua" w:cs="Arial"/>
              </w:rPr>
              <w:t>12</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Age (mean):</w:t>
            </w:r>
          </w:p>
          <w:p w:rsidR="00E23392" w:rsidRPr="005868A4" w:rsidRDefault="00E23392" w:rsidP="005868A4">
            <w:pPr>
              <w:spacing w:line="360" w:lineRule="auto"/>
              <w:jc w:val="both"/>
              <w:rPr>
                <w:rFonts w:ascii="Book Antiqua" w:eastAsiaTheme="minorEastAsia" w:hAnsi="Book Antiqua" w:cs="Arial"/>
                <w:lang w:eastAsia="zh-CN"/>
              </w:rPr>
            </w:pPr>
            <w:r w:rsidRPr="005868A4">
              <w:rPr>
                <w:rFonts w:ascii="Book Antiqua" w:hAnsi="Book Antiqua" w:cs="Arial"/>
              </w:rPr>
              <w:t>4.4</w:t>
            </w:r>
            <w:r w:rsidR="00320639" w:rsidRPr="005868A4">
              <w:rPr>
                <w:rFonts w:ascii="Book Antiqua" w:eastAsiaTheme="minorEastAsia" w:hAnsi="Book Antiqua" w:cs="Arial"/>
                <w:lang w:eastAsia="zh-CN"/>
              </w:rPr>
              <w:t xml:space="preserve"> </w:t>
            </w:r>
            <w:r w:rsidRPr="005868A4">
              <w:rPr>
                <w:rFonts w:ascii="Book Antiqua" w:hAnsi="Book Antiqua" w:cs="Arial"/>
              </w:rPr>
              <w:t>±</w:t>
            </w:r>
            <w:r w:rsidR="00320639" w:rsidRPr="005868A4">
              <w:rPr>
                <w:rFonts w:ascii="Book Antiqua" w:eastAsiaTheme="minorEastAsia" w:hAnsi="Book Antiqua" w:cs="Arial"/>
                <w:lang w:eastAsia="zh-CN"/>
              </w:rPr>
              <w:t xml:space="preserve"> </w:t>
            </w:r>
            <w:r w:rsidRPr="005868A4">
              <w:rPr>
                <w:rFonts w:ascii="Book Antiqua" w:hAnsi="Book Antiqua" w:cs="Arial"/>
              </w:rPr>
              <w:t xml:space="preserve">3.1 </w:t>
            </w:r>
            <w:r w:rsidR="00320639" w:rsidRPr="005868A4">
              <w:rPr>
                <w:rFonts w:ascii="Book Antiqua" w:hAnsi="Book Antiqua" w:cs="Arial"/>
              </w:rPr>
              <w:t>y</w:t>
            </w:r>
            <w:r w:rsidR="00320639" w:rsidRPr="005868A4">
              <w:rPr>
                <w:rFonts w:ascii="Book Antiqua" w:eastAsiaTheme="minorEastAsia" w:hAnsi="Book Antiqua" w:cs="Arial"/>
                <w:lang w:eastAsia="zh-CN"/>
              </w:rPr>
              <w:t>r</w:t>
            </w:r>
          </w:p>
        </w:tc>
        <w:tc>
          <w:tcPr>
            <w:tcW w:w="2131" w:type="dxa"/>
          </w:tcPr>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1-4 doses</w:t>
            </w:r>
          </w:p>
        </w:tc>
        <w:tc>
          <w:tcPr>
            <w:tcW w:w="2436" w:type="dxa"/>
          </w:tcPr>
          <w:p w:rsidR="00E23392" w:rsidRPr="005868A4" w:rsidRDefault="001E30D5" w:rsidP="005868A4">
            <w:pPr>
              <w:spacing w:line="360" w:lineRule="auto"/>
              <w:jc w:val="both"/>
              <w:rPr>
                <w:rFonts w:ascii="Book Antiqua" w:hAnsi="Book Antiqua" w:cs="Arial"/>
              </w:rPr>
            </w:pPr>
            <w:r w:rsidRPr="005868A4">
              <w:rPr>
                <w:rFonts w:ascii="Book Antiqua" w:hAnsi="Book Antiqua" w:cs="Arial"/>
              </w:rPr>
              <w:t xml:space="preserve">After 1 </w:t>
            </w:r>
            <w:r w:rsidR="00FC6E37" w:rsidRPr="005868A4">
              <w:rPr>
                <w:rFonts w:ascii="Book Antiqua" w:hAnsi="Book Antiqua" w:cs="Arial"/>
              </w:rPr>
              <w:t>yr</w:t>
            </w:r>
            <w:r w:rsidRPr="005868A4">
              <w:rPr>
                <w:rFonts w:ascii="Book Antiqua" w:hAnsi="Book Antiqua" w:cs="Arial"/>
              </w:rPr>
              <w:t>,</w:t>
            </w:r>
            <w:r w:rsidR="00E23392" w:rsidRPr="005868A4">
              <w:rPr>
                <w:rFonts w:ascii="Book Antiqua" w:hAnsi="Book Antiqua" w:cs="Arial"/>
              </w:rPr>
              <w:t xml:space="preserve"> 26 patients (70.3%) remained in remission</w:t>
            </w:r>
          </w:p>
          <w:p w:rsidR="00E23392" w:rsidRPr="005868A4" w:rsidRDefault="001E30D5" w:rsidP="005868A4">
            <w:pPr>
              <w:spacing w:line="360" w:lineRule="auto"/>
              <w:jc w:val="both"/>
              <w:rPr>
                <w:rFonts w:ascii="Book Antiqua" w:hAnsi="Book Antiqua" w:cs="Arial"/>
              </w:rPr>
            </w:pPr>
            <w:r w:rsidRPr="005868A4">
              <w:rPr>
                <w:rFonts w:ascii="Book Antiqua" w:hAnsi="Book Antiqua" w:cs="Arial"/>
              </w:rPr>
              <w:t xml:space="preserve">After 2 </w:t>
            </w:r>
            <w:r w:rsidR="00320639" w:rsidRPr="005868A4">
              <w:rPr>
                <w:rFonts w:ascii="Book Antiqua" w:hAnsi="Book Antiqua" w:cs="Arial"/>
              </w:rPr>
              <w:t>y</w:t>
            </w:r>
            <w:r w:rsidR="00320639" w:rsidRPr="005868A4">
              <w:rPr>
                <w:rFonts w:ascii="Book Antiqua" w:eastAsiaTheme="minorEastAsia" w:hAnsi="Book Antiqua" w:cs="Arial"/>
                <w:lang w:eastAsia="zh-CN"/>
              </w:rPr>
              <w:t>r</w:t>
            </w:r>
            <w:r w:rsidRPr="005868A4">
              <w:rPr>
                <w:rFonts w:ascii="Book Antiqua" w:hAnsi="Book Antiqua" w:cs="Arial"/>
              </w:rPr>
              <w:t>,</w:t>
            </w:r>
            <w:r w:rsidR="00E23392" w:rsidRPr="005868A4">
              <w:rPr>
                <w:rFonts w:ascii="Book Antiqua" w:hAnsi="Book Antiqua" w:cs="Arial"/>
              </w:rPr>
              <w:t xml:space="preserve"> 12 patients (41%) remained in remission</w:t>
            </w:r>
          </w:p>
        </w:tc>
      </w:tr>
      <w:tr w:rsidR="00BD34EB" w:rsidRPr="005868A4" w:rsidTr="00320639">
        <w:tc>
          <w:tcPr>
            <w:tcW w:w="227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Guignonis</w:t>
            </w:r>
            <w:r w:rsidR="004444C3" w:rsidRPr="005868A4">
              <w:rPr>
                <w:rFonts w:ascii="Book Antiqua" w:hAnsi="Book Antiqua" w:cs="Arial"/>
              </w:rPr>
              <w:t xml:space="preserve"> </w:t>
            </w:r>
            <w:r w:rsidR="004444C3" w:rsidRPr="005868A4">
              <w:rPr>
                <w:rFonts w:ascii="Book Antiqua" w:hAnsi="Book Antiqua" w:cs="Arial"/>
                <w:i/>
              </w:rPr>
              <w:t>et al</w:t>
            </w:r>
            <w:r w:rsidRPr="005868A4">
              <w:rPr>
                <w:rFonts w:ascii="Book Antiqua" w:hAnsi="Book Antiqua" w:cs="Arial"/>
                <w:vertAlign w:val="superscript"/>
              </w:rPr>
              <w:t>[5]</w:t>
            </w:r>
          </w:p>
          <w:p w:rsidR="00E23392" w:rsidRPr="005868A4" w:rsidRDefault="00E23392" w:rsidP="005868A4">
            <w:pPr>
              <w:spacing w:line="360" w:lineRule="auto"/>
              <w:jc w:val="both"/>
              <w:rPr>
                <w:rFonts w:ascii="Book Antiqua" w:hAnsi="Book Antiqua" w:cs="Arial"/>
                <w:vertAlign w:val="superscript"/>
              </w:rPr>
            </w:pPr>
            <w:r w:rsidRPr="005868A4">
              <w:rPr>
                <w:rFonts w:ascii="Book Antiqua" w:hAnsi="Book Antiqua" w:cs="Arial"/>
                <w:vertAlign w:val="superscript"/>
              </w:rPr>
              <w:t xml:space="preserve">                    </w:t>
            </w: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22 SDNS</w:t>
            </w:r>
          </w:p>
          <w:p w:rsidR="00E23392" w:rsidRPr="005868A4" w:rsidRDefault="00E23392" w:rsidP="005868A4">
            <w:pPr>
              <w:spacing w:line="360" w:lineRule="auto"/>
              <w:jc w:val="both"/>
              <w:rPr>
                <w:rFonts w:ascii="Book Antiqua" w:eastAsiaTheme="minorEastAsia" w:hAnsi="Book Antiqua" w:cs="Arial"/>
                <w:lang w:eastAsia="zh-CN"/>
              </w:rPr>
            </w:pPr>
            <w:r w:rsidRPr="005868A4">
              <w:rPr>
                <w:rFonts w:ascii="Book Antiqua" w:hAnsi="Book Antiqua" w:cs="Arial"/>
              </w:rPr>
              <w:t xml:space="preserve">Age: 6.3-22 </w:t>
            </w:r>
            <w:r w:rsidR="00320639" w:rsidRPr="005868A4">
              <w:rPr>
                <w:rFonts w:ascii="Book Antiqua" w:hAnsi="Book Antiqua" w:cs="Arial"/>
              </w:rPr>
              <w:t>y</w:t>
            </w:r>
            <w:r w:rsidR="00320639" w:rsidRPr="005868A4">
              <w:rPr>
                <w:rFonts w:ascii="Book Antiqua" w:eastAsiaTheme="minorEastAsia" w:hAnsi="Book Antiqua" w:cs="Arial"/>
                <w:lang w:eastAsia="zh-CN"/>
              </w:rPr>
              <w:t>r</w:t>
            </w:r>
          </w:p>
        </w:tc>
        <w:tc>
          <w:tcPr>
            <w:tcW w:w="2131" w:type="dxa"/>
          </w:tcPr>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p>
        </w:tc>
        <w:tc>
          <w:tcPr>
            <w:tcW w:w="2436"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Immunosuppressive withdrawn in 19 patients with no relapse of proteinuria (85%)</w:t>
            </w:r>
          </w:p>
        </w:tc>
      </w:tr>
      <w:tr w:rsidR="00BD34EB" w:rsidRPr="005868A4" w:rsidTr="00320639">
        <w:tc>
          <w:tcPr>
            <w:tcW w:w="227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Iijima </w:t>
            </w:r>
            <w:r w:rsidRPr="005868A4">
              <w:rPr>
                <w:rFonts w:ascii="Book Antiqua" w:hAnsi="Book Antiqua" w:cs="Arial"/>
                <w:i/>
              </w:rPr>
              <w:t>et al</w:t>
            </w:r>
            <w:r w:rsidRPr="005868A4">
              <w:rPr>
                <w:rFonts w:ascii="Book Antiqua" w:hAnsi="Book Antiqua" w:cs="Arial"/>
                <w:vertAlign w:val="superscript"/>
              </w:rPr>
              <w:t>[11]</w:t>
            </w:r>
          </w:p>
          <w:p w:rsidR="00E23392" w:rsidRPr="005868A4" w:rsidRDefault="00E23392" w:rsidP="0095232A">
            <w:pPr>
              <w:spacing w:line="360" w:lineRule="auto"/>
              <w:jc w:val="both"/>
              <w:rPr>
                <w:rFonts w:ascii="Book Antiqua" w:hAnsi="Book Antiqua" w:cs="Arial"/>
              </w:rPr>
            </w:pP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48 SRNS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RTX 24 (intervention)</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Placebo 24 </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(control)</w:t>
            </w:r>
          </w:p>
        </w:tc>
        <w:tc>
          <w:tcPr>
            <w:tcW w:w="2131" w:type="dxa"/>
          </w:tcPr>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 4 infusions weekly for 4 doses</w:t>
            </w:r>
          </w:p>
        </w:tc>
        <w:tc>
          <w:tcPr>
            <w:tcW w:w="2436" w:type="dxa"/>
          </w:tcPr>
          <w:p w:rsidR="00E23392" w:rsidRPr="005868A4" w:rsidRDefault="00E23392" w:rsidP="005868A4">
            <w:pPr>
              <w:spacing w:line="360" w:lineRule="auto"/>
              <w:jc w:val="both"/>
              <w:rPr>
                <w:rFonts w:ascii="Book Antiqua" w:hAnsi="Book Antiqua" w:cs="Arial"/>
              </w:rPr>
            </w:pPr>
          </w:p>
        </w:tc>
      </w:tr>
      <w:tr w:rsidR="00BD34EB" w:rsidRPr="005868A4" w:rsidTr="00320639">
        <w:tc>
          <w:tcPr>
            <w:tcW w:w="227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Tellier </w:t>
            </w:r>
            <w:r w:rsidRPr="005868A4">
              <w:rPr>
                <w:rFonts w:ascii="Book Antiqua" w:hAnsi="Book Antiqua" w:cs="Lucida Sans Unicode"/>
                <w:i/>
              </w:rPr>
              <w:t>et al</w:t>
            </w:r>
            <w:r w:rsidRPr="005868A4">
              <w:rPr>
                <w:rFonts w:ascii="Book Antiqua" w:hAnsi="Book Antiqua" w:cs="Lucida Sans Unicode"/>
                <w:vertAlign w:val="superscript"/>
              </w:rPr>
              <w:t>[12]</w:t>
            </w:r>
          </w:p>
          <w:p w:rsidR="00E23392" w:rsidRPr="005868A4" w:rsidRDefault="00E23392" w:rsidP="0095232A">
            <w:pPr>
              <w:spacing w:line="360" w:lineRule="auto"/>
              <w:jc w:val="both"/>
              <w:rPr>
                <w:rFonts w:ascii="Book Antiqua" w:hAnsi="Book Antiqua" w:cs="Arial"/>
              </w:rPr>
            </w:pP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18 SDNS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 9</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 9</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Age (median): </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2.8 </w:t>
            </w:r>
            <w:r w:rsidR="00320639" w:rsidRPr="005868A4">
              <w:rPr>
                <w:rFonts w:ascii="Book Antiqua" w:hAnsi="Book Antiqua" w:cs="Arial"/>
              </w:rPr>
              <w:t>y</w:t>
            </w:r>
            <w:r w:rsidR="00320639" w:rsidRPr="005868A4">
              <w:rPr>
                <w:rFonts w:ascii="Book Antiqua" w:eastAsiaTheme="minorEastAsia" w:hAnsi="Book Antiqua" w:cs="Arial"/>
                <w:lang w:eastAsia="zh-CN"/>
              </w:rPr>
              <w:t>r</w:t>
            </w:r>
            <w:r w:rsidR="00320639" w:rsidRPr="005868A4">
              <w:rPr>
                <w:rFonts w:ascii="Book Antiqua" w:hAnsi="Book Antiqua" w:cs="Arial"/>
              </w:rPr>
              <w:t xml:space="preserve"> </w:t>
            </w:r>
            <w:r w:rsidRPr="005868A4">
              <w:rPr>
                <w:rFonts w:ascii="Book Antiqua" w:hAnsi="Book Antiqua" w:cs="Arial"/>
              </w:rPr>
              <w:t>(1.6-7.4)</w:t>
            </w:r>
          </w:p>
        </w:tc>
        <w:tc>
          <w:tcPr>
            <w:tcW w:w="2131" w:type="dxa"/>
          </w:tcPr>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One to four infusion</w:t>
            </w:r>
            <w:r w:rsidR="001E30D5" w:rsidRPr="005868A4">
              <w:rPr>
                <w:rFonts w:ascii="Book Antiqua" w:hAnsi="Book Antiqua" w:cs="Arial"/>
              </w:rPr>
              <w:t>s</w:t>
            </w:r>
            <w:r w:rsidRPr="005868A4">
              <w:rPr>
                <w:rFonts w:ascii="Book Antiqua" w:hAnsi="Book Antiqua" w:cs="Arial"/>
              </w:rPr>
              <w:t xml:space="preserve"> </w:t>
            </w:r>
          </w:p>
        </w:tc>
        <w:tc>
          <w:tcPr>
            <w:tcW w:w="2436"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22% had remission without relapse and increase</w:t>
            </w:r>
            <w:r w:rsidR="001E30D5" w:rsidRPr="005868A4">
              <w:rPr>
                <w:rFonts w:ascii="Book Antiqua" w:hAnsi="Book Antiqua" w:cs="Arial"/>
              </w:rPr>
              <w:t>d</w:t>
            </w:r>
            <w:r w:rsidRPr="005868A4">
              <w:rPr>
                <w:rFonts w:ascii="Book Antiqua" w:hAnsi="Book Antiqua" w:cs="Arial"/>
              </w:rPr>
              <w:t xml:space="preserve"> duration of remission </w:t>
            </w:r>
          </w:p>
        </w:tc>
      </w:tr>
      <w:tr w:rsidR="00BD34EB" w:rsidRPr="005868A4" w:rsidTr="00320639">
        <w:tc>
          <w:tcPr>
            <w:tcW w:w="227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Kimata </w:t>
            </w:r>
            <w:r w:rsidRPr="005868A4">
              <w:rPr>
                <w:rFonts w:ascii="Book Antiqua" w:hAnsi="Book Antiqua" w:cs="Arial"/>
                <w:i/>
              </w:rPr>
              <w:t>et al</w:t>
            </w:r>
            <w:r w:rsidRPr="005868A4">
              <w:rPr>
                <w:rFonts w:ascii="Book Antiqua" w:hAnsi="Book Antiqua" w:cs="Arial"/>
                <w:vertAlign w:val="superscript"/>
              </w:rPr>
              <w:t>[17]</w:t>
            </w:r>
          </w:p>
          <w:p w:rsidR="00E23392" w:rsidRPr="005868A4" w:rsidRDefault="00E23392" w:rsidP="005868A4">
            <w:pPr>
              <w:spacing w:line="360" w:lineRule="auto"/>
              <w:jc w:val="both"/>
              <w:rPr>
                <w:rFonts w:ascii="Book Antiqua" w:hAnsi="Book Antiqua" w:cs="Arial"/>
              </w:rPr>
            </w:pP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5 SDNS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Age (median):</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6.3 </w:t>
            </w:r>
            <w:r w:rsidR="00320639" w:rsidRPr="005868A4">
              <w:rPr>
                <w:rFonts w:ascii="Book Antiqua" w:hAnsi="Book Antiqua" w:cs="Arial"/>
              </w:rPr>
              <w:t>y</w:t>
            </w:r>
            <w:r w:rsidR="00320639" w:rsidRPr="005868A4">
              <w:rPr>
                <w:rFonts w:ascii="Book Antiqua" w:eastAsiaTheme="minorEastAsia" w:hAnsi="Book Antiqua" w:cs="Arial"/>
                <w:lang w:eastAsia="zh-CN"/>
              </w:rPr>
              <w:t>r</w:t>
            </w:r>
            <w:r w:rsidR="00320639" w:rsidRPr="005868A4">
              <w:rPr>
                <w:rFonts w:ascii="Book Antiqua" w:hAnsi="Book Antiqua" w:cs="Arial"/>
              </w:rPr>
              <w:t xml:space="preserve"> </w:t>
            </w:r>
            <w:r w:rsidRPr="005868A4">
              <w:rPr>
                <w:rFonts w:ascii="Book Antiqua" w:hAnsi="Book Antiqua" w:cs="Arial"/>
              </w:rPr>
              <w:t>(0.9-8.4)</w:t>
            </w:r>
          </w:p>
        </w:tc>
        <w:tc>
          <w:tcPr>
            <w:tcW w:w="2131" w:type="dxa"/>
          </w:tcPr>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Four dose</w:t>
            </w:r>
            <w:r w:rsidR="001E30D5" w:rsidRPr="005868A4">
              <w:rPr>
                <w:rFonts w:ascii="Book Antiqua" w:hAnsi="Book Antiqua" w:cs="Arial"/>
              </w:rPr>
              <w:t>s</w:t>
            </w:r>
            <w:r w:rsidRPr="005868A4">
              <w:rPr>
                <w:rFonts w:ascii="Book Antiqua" w:hAnsi="Book Antiqua" w:cs="Arial"/>
              </w:rPr>
              <w:t xml:space="preserve"> every 3 mo</w:t>
            </w:r>
          </w:p>
        </w:tc>
        <w:tc>
          <w:tcPr>
            <w:tcW w:w="2436"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Number of relapse</w:t>
            </w:r>
            <w:r w:rsidR="001E30D5" w:rsidRPr="005868A4">
              <w:rPr>
                <w:rFonts w:ascii="Book Antiqua" w:hAnsi="Book Antiqua" w:cs="Arial"/>
              </w:rPr>
              <w:t>s</w:t>
            </w:r>
            <w:r w:rsidRPr="005868A4">
              <w:rPr>
                <w:rFonts w:ascii="Book Antiqua" w:hAnsi="Book Antiqua" w:cs="Arial"/>
              </w:rPr>
              <w:t xml:space="preserve"> =</w:t>
            </w:r>
            <w:r w:rsidR="00320639" w:rsidRPr="005868A4">
              <w:rPr>
                <w:rFonts w:ascii="Book Antiqua" w:eastAsiaTheme="minorEastAsia" w:hAnsi="Book Antiqua" w:cs="Arial"/>
                <w:lang w:eastAsia="zh-CN"/>
              </w:rPr>
              <w:t xml:space="preserve"> </w:t>
            </w:r>
            <w:r w:rsidRPr="005868A4">
              <w:rPr>
                <w:rFonts w:ascii="Book Antiqua" w:hAnsi="Book Antiqua" w:cs="Arial"/>
              </w:rPr>
              <w:t xml:space="preserve">0 after </w:t>
            </w:r>
            <w:r w:rsidR="001E30D5" w:rsidRPr="005868A4">
              <w:rPr>
                <w:rFonts w:ascii="Book Antiqua" w:hAnsi="Book Antiqua" w:cs="Arial"/>
              </w:rPr>
              <w:t>the</w:t>
            </w:r>
            <w:r w:rsidRPr="005868A4">
              <w:rPr>
                <w:rFonts w:ascii="Book Antiqua" w:hAnsi="Book Antiqua" w:cs="Arial"/>
              </w:rPr>
              <w:t xml:space="preserve"> last dose of RTX</w:t>
            </w:r>
          </w:p>
          <w:p w:rsidR="00E23392" w:rsidRPr="005868A4" w:rsidRDefault="00E23392" w:rsidP="005868A4">
            <w:pPr>
              <w:spacing w:line="360" w:lineRule="auto"/>
              <w:jc w:val="both"/>
              <w:rPr>
                <w:rFonts w:ascii="Book Antiqua" w:hAnsi="Book Antiqua" w:cs="Arial"/>
              </w:rPr>
            </w:pPr>
          </w:p>
        </w:tc>
      </w:tr>
      <w:tr w:rsidR="00BD34EB" w:rsidRPr="005868A4" w:rsidTr="00320639">
        <w:tc>
          <w:tcPr>
            <w:tcW w:w="2271" w:type="dxa"/>
          </w:tcPr>
          <w:p w:rsidR="00E23392" w:rsidRPr="005868A4" w:rsidRDefault="00E23392" w:rsidP="005868A4">
            <w:pPr>
              <w:spacing w:line="360" w:lineRule="auto"/>
              <w:jc w:val="both"/>
              <w:rPr>
                <w:rFonts w:ascii="Book Antiqua" w:hAnsi="Book Antiqua" w:cs="Lucida Sans Unicode"/>
              </w:rPr>
            </w:pPr>
            <w:r w:rsidRPr="005868A4">
              <w:rPr>
                <w:rFonts w:ascii="Book Antiqua" w:hAnsi="Book Antiqua"/>
              </w:rPr>
              <w:t>Ravani</w:t>
            </w:r>
            <w:r w:rsidRPr="005868A4">
              <w:rPr>
                <w:rFonts w:ascii="Book Antiqua" w:hAnsi="Book Antiqua" w:cs="Lucida Sans Unicode"/>
              </w:rPr>
              <w:t xml:space="preserve"> </w:t>
            </w:r>
            <w:r w:rsidRPr="005868A4">
              <w:rPr>
                <w:rFonts w:ascii="Book Antiqua" w:hAnsi="Book Antiqua" w:cs="Lucida Sans Unicode"/>
                <w:i/>
              </w:rPr>
              <w:t>et al</w:t>
            </w:r>
            <w:r w:rsidRPr="005868A4">
              <w:rPr>
                <w:rFonts w:ascii="Book Antiqua" w:hAnsi="Book Antiqua" w:cs="Lucida Sans Unicode"/>
                <w:vertAlign w:val="superscript"/>
              </w:rPr>
              <w:t>[13]</w:t>
            </w:r>
            <w:r w:rsidRPr="005868A4">
              <w:rPr>
                <w:rFonts w:ascii="Book Antiqua" w:hAnsi="Book Antiqua" w:cs="Lucida Sans Unicode"/>
              </w:rPr>
              <w:t xml:space="preserve"> </w:t>
            </w:r>
          </w:p>
          <w:p w:rsidR="00E23392" w:rsidRPr="005868A4" w:rsidRDefault="00E23392" w:rsidP="005868A4">
            <w:pPr>
              <w:spacing w:line="360" w:lineRule="auto"/>
              <w:jc w:val="both"/>
              <w:rPr>
                <w:rFonts w:ascii="Book Antiqua" w:hAnsi="Book Antiqua" w:cs="Arial"/>
              </w:rPr>
            </w:pPr>
          </w:p>
          <w:p w:rsidR="00E23392" w:rsidRPr="005868A4" w:rsidRDefault="00E23392" w:rsidP="005868A4">
            <w:pPr>
              <w:spacing w:line="360" w:lineRule="auto"/>
              <w:jc w:val="both"/>
              <w:rPr>
                <w:rFonts w:ascii="Book Antiqua" w:hAnsi="Book Antiqua" w:cs="Arial"/>
              </w:rPr>
            </w:pP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46 PT SDNS</w:t>
            </w:r>
          </w:p>
          <w:p w:rsidR="00E23392" w:rsidRPr="005868A4" w:rsidRDefault="00E23392" w:rsidP="005868A4">
            <w:pPr>
              <w:spacing w:line="360" w:lineRule="auto"/>
              <w:jc w:val="both"/>
              <w:rPr>
                <w:rFonts w:ascii="Book Antiqua" w:eastAsiaTheme="minorEastAsia" w:hAnsi="Book Antiqua" w:cs="Arial"/>
                <w:lang w:eastAsia="zh-CN"/>
              </w:rPr>
            </w:pPr>
            <w:r w:rsidRPr="005868A4">
              <w:rPr>
                <w:rFonts w:ascii="Book Antiqua" w:hAnsi="Book Antiqua" w:cs="Arial"/>
              </w:rPr>
              <w:t>Age (mean)</w:t>
            </w:r>
            <w:r w:rsidR="00741081" w:rsidRPr="005868A4">
              <w:rPr>
                <w:rFonts w:ascii="Book Antiqua" w:hAnsi="Book Antiqua" w:cs="Arial"/>
              </w:rPr>
              <w:t>:</w:t>
            </w:r>
            <w:r w:rsidRPr="005868A4">
              <w:rPr>
                <w:rFonts w:ascii="Book Antiqua" w:hAnsi="Book Antiqua" w:cs="Arial"/>
              </w:rPr>
              <w:t xml:space="preserve"> 9.9</w:t>
            </w:r>
            <w:r w:rsidR="00320639" w:rsidRPr="005868A4">
              <w:rPr>
                <w:rFonts w:ascii="Book Antiqua" w:eastAsiaTheme="minorEastAsia" w:hAnsi="Book Antiqua" w:cs="Arial"/>
                <w:lang w:eastAsia="zh-CN"/>
              </w:rPr>
              <w:t xml:space="preserve"> </w:t>
            </w:r>
            <w:r w:rsidRPr="005868A4">
              <w:rPr>
                <w:rFonts w:ascii="Book Antiqua" w:hAnsi="Book Antiqua" w:cs="Arial"/>
              </w:rPr>
              <w:t>±</w:t>
            </w:r>
            <w:r w:rsidR="00320639" w:rsidRPr="005868A4">
              <w:rPr>
                <w:rFonts w:ascii="Book Antiqua" w:eastAsiaTheme="minorEastAsia" w:hAnsi="Book Antiqua" w:cs="Arial"/>
                <w:lang w:eastAsia="zh-CN"/>
              </w:rPr>
              <w:t xml:space="preserve"> </w:t>
            </w:r>
            <w:r w:rsidRPr="005868A4">
              <w:rPr>
                <w:rFonts w:ascii="Book Antiqua" w:hAnsi="Book Antiqua" w:cs="Arial"/>
              </w:rPr>
              <w:t xml:space="preserve">4.3 </w:t>
            </w:r>
            <w:r w:rsidR="00320639" w:rsidRPr="005868A4">
              <w:rPr>
                <w:rFonts w:ascii="Book Antiqua" w:eastAsiaTheme="minorEastAsia" w:hAnsi="Book Antiqua" w:cs="Arial"/>
                <w:lang w:eastAsia="zh-CN"/>
              </w:rPr>
              <w:t>yr</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 29</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F:17</w:t>
            </w:r>
          </w:p>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O</w:t>
            </w:r>
            <w:r w:rsidR="001B3BFE" w:rsidRPr="005868A4">
              <w:rPr>
                <w:rFonts w:ascii="Book Antiqua" w:hAnsi="Book Antiqua" w:cs="Arial"/>
              </w:rPr>
              <w:t>ne</w:t>
            </w:r>
            <w:r w:rsidRPr="005868A4">
              <w:rPr>
                <w:rFonts w:ascii="Book Antiqua" w:hAnsi="Book Antiqua" w:cs="Arial"/>
              </w:rPr>
              <w:t xml:space="preserve"> </w:t>
            </w:r>
            <w:r w:rsidR="001B3BFE" w:rsidRPr="005868A4">
              <w:rPr>
                <w:rFonts w:ascii="Book Antiqua" w:hAnsi="Book Antiqua" w:cs="Arial"/>
              </w:rPr>
              <w:t>to five</w:t>
            </w:r>
          </w:p>
        </w:tc>
        <w:tc>
          <w:tcPr>
            <w:tcW w:w="2436"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Probabil</w:t>
            </w:r>
            <w:r w:rsidR="001E30D5" w:rsidRPr="005868A4">
              <w:rPr>
                <w:rFonts w:ascii="Book Antiqua" w:hAnsi="Book Antiqua" w:cs="Arial"/>
              </w:rPr>
              <w:t>i</w:t>
            </w:r>
            <w:r w:rsidRPr="005868A4">
              <w:rPr>
                <w:rFonts w:ascii="Book Antiqua" w:hAnsi="Book Antiqua" w:cs="Arial"/>
              </w:rPr>
              <w:t>ty of remission after rituximab</w:t>
            </w:r>
          </w:p>
          <w:p w:rsidR="00E23392" w:rsidRPr="005868A4" w:rsidRDefault="001E30D5" w:rsidP="005868A4">
            <w:pPr>
              <w:spacing w:line="360" w:lineRule="auto"/>
              <w:jc w:val="both"/>
              <w:rPr>
                <w:rFonts w:ascii="Book Antiqua" w:hAnsi="Book Antiqua" w:cs="Arial"/>
              </w:rPr>
            </w:pPr>
            <w:r w:rsidRPr="005868A4">
              <w:rPr>
                <w:rFonts w:ascii="Book Antiqua" w:hAnsi="Book Antiqua" w:cs="Arial"/>
              </w:rPr>
              <w:t xml:space="preserve">At 6 </w:t>
            </w:r>
            <w:r w:rsidR="00E23392" w:rsidRPr="005868A4">
              <w:rPr>
                <w:rFonts w:ascii="Book Antiqua" w:hAnsi="Book Antiqua" w:cs="Arial"/>
              </w:rPr>
              <w:t>mo:</w:t>
            </w:r>
            <w:r w:rsidRPr="005868A4">
              <w:rPr>
                <w:rFonts w:ascii="Book Antiqua" w:hAnsi="Book Antiqua" w:cs="Arial"/>
              </w:rPr>
              <w:t xml:space="preserve"> </w:t>
            </w:r>
            <w:r w:rsidR="00E23392" w:rsidRPr="005868A4">
              <w:rPr>
                <w:rFonts w:ascii="Book Antiqua" w:hAnsi="Book Antiqua" w:cs="Arial"/>
              </w:rPr>
              <w:t>48%</w:t>
            </w:r>
          </w:p>
          <w:p w:rsidR="00E23392" w:rsidRPr="005868A4" w:rsidRDefault="001E30D5" w:rsidP="005868A4">
            <w:pPr>
              <w:spacing w:line="360" w:lineRule="auto"/>
              <w:jc w:val="both"/>
              <w:rPr>
                <w:rFonts w:ascii="Book Antiqua" w:hAnsi="Book Antiqua" w:cs="Arial"/>
              </w:rPr>
            </w:pPr>
            <w:r w:rsidRPr="005868A4">
              <w:rPr>
                <w:rFonts w:ascii="Book Antiqua" w:hAnsi="Book Antiqua" w:cs="Arial"/>
              </w:rPr>
              <w:t xml:space="preserve">At 1 </w:t>
            </w:r>
            <w:r w:rsidR="00FC6E37" w:rsidRPr="005868A4">
              <w:rPr>
                <w:rFonts w:ascii="Book Antiqua" w:hAnsi="Book Antiqua" w:cs="Arial"/>
              </w:rPr>
              <w:t>yr</w:t>
            </w:r>
            <w:r w:rsidR="00E23392" w:rsidRPr="005868A4">
              <w:rPr>
                <w:rFonts w:ascii="Book Antiqua" w:hAnsi="Book Antiqua" w:cs="Arial"/>
              </w:rPr>
              <w:t>:</w:t>
            </w:r>
            <w:r w:rsidRPr="005868A4">
              <w:rPr>
                <w:rFonts w:ascii="Book Antiqua" w:hAnsi="Book Antiqua" w:cs="Arial"/>
              </w:rPr>
              <w:t xml:space="preserve"> </w:t>
            </w:r>
            <w:r w:rsidR="00E23392" w:rsidRPr="005868A4">
              <w:rPr>
                <w:rFonts w:ascii="Book Antiqua" w:hAnsi="Book Antiqua" w:cs="Arial"/>
              </w:rPr>
              <w:t>20%</w:t>
            </w:r>
          </w:p>
          <w:p w:rsidR="00E23392" w:rsidRPr="005868A4" w:rsidRDefault="001E30D5" w:rsidP="005868A4">
            <w:pPr>
              <w:spacing w:line="360" w:lineRule="auto"/>
              <w:jc w:val="both"/>
              <w:rPr>
                <w:rFonts w:ascii="Book Antiqua" w:hAnsi="Book Antiqua" w:cs="Arial"/>
              </w:rPr>
            </w:pPr>
            <w:r w:rsidRPr="005868A4">
              <w:rPr>
                <w:rFonts w:ascii="Book Antiqua" w:hAnsi="Book Antiqua" w:cs="Arial"/>
              </w:rPr>
              <w:t xml:space="preserve">At 2 </w:t>
            </w:r>
            <w:r w:rsidR="00FC6E37" w:rsidRPr="005868A4">
              <w:rPr>
                <w:rFonts w:ascii="Book Antiqua" w:hAnsi="Book Antiqua" w:cs="Arial"/>
              </w:rPr>
              <w:t>yr</w:t>
            </w:r>
            <w:r w:rsidR="00E23392" w:rsidRPr="005868A4">
              <w:rPr>
                <w:rFonts w:ascii="Book Antiqua" w:hAnsi="Book Antiqua" w:cs="Arial"/>
              </w:rPr>
              <w:t>: 10%</w:t>
            </w:r>
          </w:p>
        </w:tc>
      </w:tr>
      <w:tr w:rsidR="00BD34EB" w:rsidRPr="005868A4" w:rsidTr="00320639">
        <w:tc>
          <w:tcPr>
            <w:tcW w:w="2271" w:type="dxa"/>
          </w:tcPr>
          <w:p w:rsidR="00E23392" w:rsidRPr="005868A4" w:rsidRDefault="004444C3" w:rsidP="005868A4">
            <w:pPr>
              <w:spacing w:line="360" w:lineRule="auto"/>
              <w:jc w:val="both"/>
              <w:rPr>
                <w:rFonts w:ascii="Book Antiqua" w:hAnsi="Book Antiqua" w:cs="Arial"/>
              </w:rPr>
            </w:pPr>
            <w:r w:rsidRPr="005868A4">
              <w:rPr>
                <w:rFonts w:ascii="Book Antiqua" w:hAnsi="Book Antiqua" w:cs="Arial"/>
              </w:rPr>
              <w:t>Magnasco</w:t>
            </w:r>
            <w:r w:rsidR="00E23392" w:rsidRPr="005868A4">
              <w:rPr>
                <w:rFonts w:ascii="Book Antiqua" w:hAnsi="Book Antiqua" w:cs="Arial"/>
              </w:rPr>
              <w:t xml:space="preserve"> </w:t>
            </w:r>
            <w:r w:rsidR="00E23392" w:rsidRPr="005868A4">
              <w:rPr>
                <w:rFonts w:ascii="Book Antiqua" w:hAnsi="Book Antiqua" w:cs="Arial"/>
                <w:i/>
              </w:rPr>
              <w:t>et al</w:t>
            </w:r>
            <w:r w:rsidR="00E23392" w:rsidRPr="005868A4">
              <w:rPr>
                <w:rFonts w:ascii="Book Antiqua" w:hAnsi="Book Antiqua" w:cs="Arial"/>
                <w:vertAlign w:val="superscript"/>
              </w:rPr>
              <w:t>[20]</w:t>
            </w:r>
          </w:p>
          <w:p w:rsidR="00E23392" w:rsidRPr="005868A4" w:rsidRDefault="00E23392" w:rsidP="005868A4">
            <w:pPr>
              <w:spacing w:line="360" w:lineRule="auto"/>
              <w:jc w:val="both"/>
              <w:rPr>
                <w:rFonts w:ascii="Book Antiqua" w:hAnsi="Book Antiqua" w:cs="Arial"/>
              </w:rPr>
            </w:pP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SRNS 31</w:t>
            </w:r>
          </w:p>
          <w:p w:rsidR="00E23392" w:rsidRPr="005868A4" w:rsidRDefault="00E23392" w:rsidP="005868A4">
            <w:pPr>
              <w:spacing w:line="360" w:lineRule="auto"/>
              <w:jc w:val="both"/>
              <w:rPr>
                <w:rFonts w:ascii="Book Antiqua" w:eastAsiaTheme="minorEastAsia" w:hAnsi="Book Antiqua" w:cs="Arial"/>
                <w:lang w:eastAsia="zh-CN"/>
              </w:rPr>
            </w:pPr>
            <w:r w:rsidRPr="005868A4">
              <w:rPr>
                <w:rFonts w:ascii="Book Antiqua" w:hAnsi="Book Antiqua" w:cs="Arial"/>
              </w:rPr>
              <w:t>Median:</w:t>
            </w:r>
            <w:r w:rsidR="00AA0EAF" w:rsidRPr="005868A4">
              <w:rPr>
                <w:rFonts w:ascii="Book Antiqua" w:hAnsi="Book Antiqua" w:cs="Arial"/>
              </w:rPr>
              <w:t xml:space="preserve"> </w:t>
            </w:r>
            <w:r w:rsidRPr="005868A4">
              <w:rPr>
                <w:rFonts w:ascii="Book Antiqua" w:hAnsi="Book Antiqua" w:cs="Arial"/>
              </w:rPr>
              <w:t>7.9</w:t>
            </w:r>
            <w:r w:rsidR="00320639" w:rsidRPr="005868A4">
              <w:rPr>
                <w:rFonts w:ascii="Book Antiqua" w:eastAsiaTheme="minorEastAsia" w:hAnsi="Book Antiqua" w:cs="Arial"/>
                <w:lang w:eastAsia="zh-CN"/>
              </w:rPr>
              <w:t xml:space="preserve"> </w:t>
            </w:r>
            <w:r w:rsidRPr="005868A4">
              <w:rPr>
                <w:rFonts w:ascii="Book Antiqua" w:hAnsi="Book Antiqua" w:cs="Arial"/>
              </w:rPr>
              <w:t>±</w:t>
            </w:r>
            <w:r w:rsidR="00320639" w:rsidRPr="005868A4">
              <w:rPr>
                <w:rFonts w:ascii="Book Antiqua" w:eastAsiaTheme="minorEastAsia" w:hAnsi="Book Antiqua" w:cs="Arial"/>
                <w:lang w:eastAsia="zh-CN"/>
              </w:rPr>
              <w:t xml:space="preserve"> </w:t>
            </w:r>
            <w:r w:rsidRPr="005868A4">
              <w:rPr>
                <w:rFonts w:ascii="Book Antiqua" w:hAnsi="Book Antiqua" w:cs="Arial"/>
              </w:rPr>
              <w:t xml:space="preserve">4.1 </w:t>
            </w:r>
            <w:r w:rsidR="00320639" w:rsidRPr="005868A4">
              <w:rPr>
                <w:rFonts w:ascii="Book Antiqua" w:eastAsiaTheme="minorEastAsia" w:hAnsi="Book Antiqua" w:cs="Arial"/>
                <w:lang w:eastAsia="zh-CN"/>
              </w:rPr>
              <w:t>yr</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w:t>
            </w:r>
            <w:r w:rsidR="00AA0EAF" w:rsidRPr="005868A4">
              <w:rPr>
                <w:rFonts w:ascii="Book Antiqua" w:hAnsi="Book Antiqua" w:cs="Arial"/>
              </w:rPr>
              <w:t xml:space="preserve"> </w:t>
            </w:r>
            <w:r w:rsidRPr="005868A4">
              <w:rPr>
                <w:rFonts w:ascii="Book Antiqua" w:hAnsi="Book Antiqua" w:cs="Arial"/>
              </w:rPr>
              <w:t>19</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w:t>
            </w:r>
            <w:r w:rsidR="00AA0EAF" w:rsidRPr="005868A4">
              <w:rPr>
                <w:rFonts w:ascii="Book Antiqua" w:hAnsi="Book Antiqua" w:cs="Arial"/>
              </w:rPr>
              <w:t xml:space="preserve"> </w:t>
            </w:r>
            <w:r w:rsidRPr="005868A4">
              <w:rPr>
                <w:rFonts w:ascii="Book Antiqua" w:hAnsi="Book Antiqua" w:cs="Arial"/>
              </w:rPr>
              <w:t>12</w:t>
            </w:r>
          </w:p>
          <w:p w:rsidR="00E23392" w:rsidRPr="005868A4" w:rsidRDefault="00AA0EAF" w:rsidP="005868A4">
            <w:pPr>
              <w:spacing w:line="360" w:lineRule="auto"/>
              <w:jc w:val="both"/>
              <w:rPr>
                <w:rFonts w:ascii="Book Antiqua" w:hAnsi="Book Antiqua" w:cs="Arial"/>
              </w:rPr>
            </w:pPr>
            <w:r w:rsidRPr="005868A4">
              <w:rPr>
                <w:rFonts w:ascii="Book Antiqua" w:hAnsi="Book Antiqua" w:cs="Arial"/>
              </w:rPr>
              <w:t>C</w:t>
            </w:r>
            <w:r w:rsidR="00E23392" w:rsidRPr="005868A4">
              <w:rPr>
                <w:rFonts w:ascii="Book Antiqua" w:hAnsi="Book Antiqua" w:cs="Arial"/>
              </w:rPr>
              <w:t>ontrol group</w:t>
            </w:r>
            <w:r w:rsidRPr="005868A4">
              <w:rPr>
                <w:rFonts w:ascii="Book Antiqua" w:hAnsi="Book Antiqua" w:cs="Arial"/>
              </w:rPr>
              <w:t>:</w:t>
            </w:r>
            <w:r w:rsidR="00E23392" w:rsidRPr="005868A4">
              <w:rPr>
                <w:rFonts w:ascii="Book Antiqua" w:hAnsi="Book Antiqua" w:cs="Arial"/>
              </w:rPr>
              <w:t xml:space="preserve"> 15 </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Intervention</w:t>
            </w:r>
            <w:r w:rsidR="00AA0EAF" w:rsidRPr="005868A4">
              <w:rPr>
                <w:rFonts w:ascii="Book Antiqua" w:hAnsi="Book Antiqua" w:cs="Arial"/>
              </w:rPr>
              <w:t>:</w:t>
            </w:r>
            <w:r w:rsidRPr="005868A4">
              <w:rPr>
                <w:rFonts w:ascii="Book Antiqua" w:hAnsi="Book Antiqua" w:cs="Arial"/>
              </w:rPr>
              <w:t xml:space="preserve"> 16</w:t>
            </w: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19 FSGS (61%)</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7 MCD (23%)</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5 no biopsy (16%)</w:t>
            </w:r>
          </w:p>
        </w:tc>
        <w:tc>
          <w:tcPr>
            <w:tcW w:w="2131" w:type="dxa"/>
          </w:tcPr>
          <w:p w:rsidR="00E23392" w:rsidRPr="005868A4" w:rsidRDefault="00E23392" w:rsidP="005868A4">
            <w:pPr>
              <w:spacing w:line="360" w:lineRule="auto"/>
              <w:jc w:val="both"/>
              <w:rPr>
                <w:rFonts w:ascii="Book Antiqua" w:hAnsi="Book Antiqua" w:cs="Arial"/>
              </w:rPr>
            </w:pPr>
          </w:p>
        </w:tc>
        <w:tc>
          <w:tcPr>
            <w:tcW w:w="2436"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No change in proteinuria</w:t>
            </w:r>
          </w:p>
        </w:tc>
      </w:tr>
      <w:tr w:rsidR="00BD34EB" w:rsidRPr="005868A4" w:rsidTr="00320639">
        <w:tc>
          <w:tcPr>
            <w:tcW w:w="227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Prytula </w:t>
            </w:r>
            <w:r w:rsidRPr="005868A4">
              <w:rPr>
                <w:rFonts w:ascii="Book Antiqua" w:hAnsi="Book Antiqua" w:cs="Arial"/>
                <w:i/>
              </w:rPr>
              <w:t>et al</w:t>
            </w:r>
            <w:r w:rsidR="004444C3" w:rsidRPr="005868A4">
              <w:rPr>
                <w:rFonts w:ascii="Book Antiqua" w:hAnsi="Book Antiqua" w:cs="Arial"/>
                <w:vertAlign w:val="superscript"/>
              </w:rPr>
              <w:t>[16]</w:t>
            </w:r>
          </w:p>
        </w:tc>
        <w:tc>
          <w:tcPr>
            <w:tcW w:w="2130"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SDNS/FR </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28  </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Age (median): 4 </w:t>
            </w:r>
            <w:r w:rsidR="00320639" w:rsidRPr="005868A4">
              <w:rPr>
                <w:rFonts w:ascii="Book Antiqua" w:hAnsi="Book Antiqua" w:cs="Arial"/>
              </w:rPr>
              <w:t>y</w:t>
            </w:r>
            <w:r w:rsidR="00320639" w:rsidRPr="005868A4">
              <w:rPr>
                <w:rFonts w:ascii="Book Antiqua" w:eastAsiaTheme="minorEastAsia" w:hAnsi="Book Antiqua" w:cs="Arial"/>
                <w:lang w:eastAsia="zh-CN"/>
              </w:rPr>
              <w:t>r</w:t>
            </w:r>
            <w:r w:rsidR="00320639" w:rsidRPr="005868A4">
              <w:rPr>
                <w:rFonts w:ascii="Book Antiqua" w:hAnsi="Book Antiqua" w:cs="Arial"/>
              </w:rPr>
              <w:t xml:space="preserve"> </w:t>
            </w:r>
            <w:r w:rsidRPr="005868A4">
              <w:rPr>
                <w:rFonts w:ascii="Book Antiqua" w:hAnsi="Book Antiqua" w:cs="Arial"/>
              </w:rPr>
              <w:t>(18 mo</w:t>
            </w:r>
            <w:r w:rsidR="001E30D5" w:rsidRPr="005868A4">
              <w:rPr>
                <w:rFonts w:ascii="Book Antiqua" w:hAnsi="Book Antiqua" w:cs="Arial"/>
              </w:rPr>
              <w:t xml:space="preserve"> </w:t>
            </w:r>
            <w:r w:rsidRPr="005868A4">
              <w:rPr>
                <w:rFonts w:ascii="Book Antiqua" w:hAnsi="Book Antiqua" w:cs="Arial"/>
              </w:rPr>
              <w:t xml:space="preserve">-17 </w:t>
            </w:r>
            <w:r w:rsidR="00320639" w:rsidRPr="005868A4">
              <w:rPr>
                <w:rFonts w:ascii="Book Antiqua" w:hAnsi="Book Antiqua" w:cs="Arial"/>
              </w:rPr>
              <w:t>y</w:t>
            </w:r>
            <w:r w:rsidR="00320639" w:rsidRPr="005868A4">
              <w:rPr>
                <w:rFonts w:ascii="Book Antiqua" w:eastAsiaTheme="minorEastAsia" w:hAnsi="Book Antiqua" w:cs="Arial"/>
                <w:lang w:eastAsia="zh-CN"/>
              </w:rPr>
              <w:t>r</w:t>
            </w:r>
            <w:r w:rsidRPr="005868A4">
              <w:rPr>
                <w:rFonts w:ascii="Book Antiqua" w:hAnsi="Book Antiqua" w:cs="Arial"/>
              </w:rPr>
              <w:t>)</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 25</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 3</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SRNS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27</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 xml:space="preserve">Age (median): 3 </w:t>
            </w:r>
            <w:r w:rsidR="00320639" w:rsidRPr="005868A4">
              <w:rPr>
                <w:rFonts w:ascii="Book Antiqua" w:hAnsi="Book Antiqua" w:cs="Arial"/>
              </w:rPr>
              <w:t>y</w:t>
            </w:r>
            <w:r w:rsidR="00320639" w:rsidRPr="005868A4">
              <w:rPr>
                <w:rFonts w:ascii="Book Antiqua" w:eastAsiaTheme="minorEastAsia" w:hAnsi="Book Antiqua" w:cs="Arial"/>
                <w:lang w:eastAsia="zh-CN"/>
              </w:rPr>
              <w:t>r</w:t>
            </w:r>
            <w:r w:rsidR="00320639" w:rsidRPr="005868A4">
              <w:rPr>
                <w:rFonts w:ascii="Book Antiqua" w:hAnsi="Book Antiqua" w:cs="Arial"/>
              </w:rPr>
              <w:t xml:space="preserve"> </w:t>
            </w:r>
            <w:r w:rsidRPr="005868A4">
              <w:rPr>
                <w:rFonts w:ascii="Book Antiqua" w:hAnsi="Book Antiqua" w:cs="Arial"/>
              </w:rPr>
              <w:t xml:space="preserve">(18 mo-11 </w:t>
            </w:r>
            <w:r w:rsidR="00320639" w:rsidRPr="005868A4">
              <w:rPr>
                <w:rFonts w:ascii="Book Antiqua" w:hAnsi="Book Antiqua" w:cs="Arial"/>
              </w:rPr>
              <w:t>y</w:t>
            </w:r>
            <w:r w:rsidR="00320639" w:rsidRPr="005868A4">
              <w:rPr>
                <w:rFonts w:ascii="Book Antiqua" w:eastAsiaTheme="minorEastAsia" w:hAnsi="Book Antiqua" w:cs="Arial"/>
                <w:lang w:eastAsia="zh-CN"/>
              </w:rPr>
              <w:t>r</w:t>
            </w:r>
            <w:r w:rsidRPr="005868A4">
              <w:rPr>
                <w:rFonts w:ascii="Book Antiqua" w:hAnsi="Book Antiqua" w:cs="Arial"/>
              </w:rPr>
              <w:t>)</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w:t>
            </w:r>
            <w:r w:rsidR="001E30D5" w:rsidRPr="005868A4">
              <w:rPr>
                <w:rFonts w:ascii="Book Antiqua" w:hAnsi="Book Antiqua" w:cs="Arial"/>
              </w:rPr>
              <w:t xml:space="preserve"> </w:t>
            </w:r>
            <w:r w:rsidRPr="005868A4">
              <w:rPr>
                <w:rFonts w:ascii="Book Antiqua" w:hAnsi="Book Antiqua" w:cs="Arial"/>
              </w:rPr>
              <w:t>17</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w:t>
            </w:r>
            <w:r w:rsidR="001E30D5" w:rsidRPr="005868A4">
              <w:rPr>
                <w:rFonts w:ascii="Book Antiqua" w:hAnsi="Book Antiqua" w:cs="Arial"/>
              </w:rPr>
              <w:t xml:space="preserve"> </w:t>
            </w:r>
            <w:r w:rsidRPr="005868A4">
              <w:rPr>
                <w:rFonts w:ascii="Book Antiqua" w:hAnsi="Book Antiqua" w:cs="Arial"/>
              </w:rPr>
              <w:t>10</w:t>
            </w:r>
          </w:p>
        </w:tc>
        <w:tc>
          <w:tcPr>
            <w:tcW w:w="2131" w:type="dxa"/>
          </w:tcPr>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SDNS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MCD 17</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FSGS 5</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Mesangial proliferation 2</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IgM nephropathy 1</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No biopsy 3</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SRNS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11 MCD</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11 FSGS</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Mesangial proliferation 3</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IgM nephropathy 1</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No Biopsy 1</w:t>
            </w:r>
          </w:p>
        </w:tc>
        <w:tc>
          <w:tcPr>
            <w:tcW w:w="2131" w:type="dxa"/>
          </w:tcPr>
          <w:p w:rsidR="00E23392" w:rsidRPr="005868A4" w:rsidRDefault="00E23392" w:rsidP="005868A4">
            <w:pPr>
              <w:spacing w:line="360" w:lineRule="auto"/>
              <w:jc w:val="both"/>
              <w:rPr>
                <w:rFonts w:ascii="Book Antiqua" w:hAnsi="Book Antiqua" w:cs="Arial"/>
              </w:rPr>
            </w:pPr>
          </w:p>
        </w:tc>
        <w:tc>
          <w:tcPr>
            <w:tcW w:w="2436" w:type="dxa"/>
          </w:tcPr>
          <w:p w:rsidR="00E23392" w:rsidRPr="005868A4" w:rsidRDefault="00E23392" w:rsidP="005868A4">
            <w:pPr>
              <w:spacing w:line="360" w:lineRule="auto"/>
              <w:jc w:val="both"/>
              <w:rPr>
                <w:rFonts w:ascii="Book Antiqua" w:hAnsi="Book Antiqua" w:cs="Arial"/>
                <w:lang w:val="pt-BR"/>
              </w:rPr>
            </w:pPr>
            <w:r w:rsidRPr="005868A4">
              <w:rPr>
                <w:rFonts w:ascii="Book Antiqua" w:hAnsi="Book Antiqua" w:cs="Arial"/>
                <w:lang w:val="pt-BR"/>
              </w:rPr>
              <w:t>SDNS</w:t>
            </w:r>
          </w:p>
          <w:p w:rsidR="00E23392" w:rsidRPr="005868A4" w:rsidRDefault="00E23392" w:rsidP="005868A4">
            <w:pPr>
              <w:spacing w:line="360" w:lineRule="auto"/>
              <w:jc w:val="both"/>
              <w:rPr>
                <w:rFonts w:ascii="Book Antiqua" w:hAnsi="Book Antiqua" w:cs="Arial"/>
                <w:lang w:val="pt-BR"/>
              </w:rPr>
            </w:pPr>
            <w:r w:rsidRPr="005868A4">
              <w:rPr>
                <w:rFonts w:ascii="Book Antiqua" w:hAnsi="Book Antiqua" w:cs="Arial"/>
                <w:lang w:val="pt-BR"/>
              </w:rPr>
              <w:t>CR: 17 (61%)</w:t>
            </w:r>
          </w:p>
          <w:p w:rsidR="00E23392" w:rsidRPr="005868A4" w:rsidRDefault="00E23392" w:rsidP="005868A4">
            <w:pPr>
              <w:spacing w:line="360" w:lineRule="auto"/>
              <w:jc w:val="both"/>
              <w:rPr>
                <w:rFonts w:ascii="Book Antiqua" w:hAnsi="Book Antiqua" w:cs="Arial"/>
                <w:lang w:val="pt-BR"/>
              </w:rPr>
            </w:pPr>
            <w:r w:rsidRPr="005868A4">
              <w:rPr>
                <w:rFonts w:ascii="Book Antiqua" w:hAnsi="Book Antiqua" w:cs="Arial"/>
                <w:lang w:val="pt-BR"/>
              </w:rPr>
              <w:t>PR:</w:t>
            </w:r>
            <w:r w:rsidR="00AA0EAF" w:rsidRPr="005868A4">
              <w:rPr>
                <w:rFonts w:ascii="Book Antiqua" w:hAnsi="Book Antiqua" w:cs="Arial"/>
                <w:lang w:val="pt-BR"/>
              </w:rPr>
              <w:t xml:space="preserve"> </w:t>
            </w:r>
            <w:r w:rsidRPr="005868A4">
              <w:rPr>
                <w:rFonts w:ascii="Book Antiqua" w:hAnsi="Book Antiqua" w:cs="Arial"/>
                <w:lang w:val="pt-BR"/>
              </w:rPr>
              <w:t>8 (28%</w:t>
            </w:r>
          </w:p>
          <w:p w:rsidR="00E23392" w:rsidRPr="005868A4" w:rsidRDefault="00E23392" w:rsidP="005868A4">
            <w:pPr>
              <w:spacing w:line="360" w:lineRule="auto"/>
              <w:jc w:val="both"/>
              <w:rPr>
                <w:rFonts w:ascii="Book Antiqua" w:hAnsi="Book Antiqua" w:cs="Arial"/>
                <w:lang w:val="pt-BR"/>
              </w:rPr>
            </w:pPr>
            <w:r w:rsidRPr="005868A4">
              <w:rPr>
                <w:rFonts w:ascii="Book Antiqua" w:hAnsi="Book Antiqua" w:cs="Arial"/>
                <w:lang w:val="pt-BR"/>
              </w:rPr>
              <w:t>NR: 3 (11%)</w:t>
            </w:r>
          </w:p>
          <w:p w:rsidR="00E23392" w:rsidRPr="005868A4" w:rsidRDefault="00E23392" w:rsidP="005868A4">
            <w:pPr>
              <w:spacing w:line="360" w:lineRule="auto"/>
              <w:jc w:val="both"/>
              <w:rPr>
                <w:rFonts w:ascii="Book Antiqua" w:hAnsi="Book Antiqua" w:cs="Arial"/>
                <w:lang w:val="pt-BR"/>
              </w:rPr>
            </w:pPr>
          </w:p>
          <w:p w:rsidR="00E23392" w:rsidRPr="005868A4" w:rsidRDefault="00E23392" w:rsidP="005868A4">
            <w:pPr>
              <w:spacing w:line="360" w:lineRule="auto"/>
              <w:jc w:val="both"/>
              <w:rPr>
                <w:rFonts w:ascii="Book Antiqua" w:hAnsi="Book Antiqua" w:cs="Arial"/>
                <w:lang w:val="pt-BR"/>
              </w:rPr>
            </w:pPr>
            <w:r w:rsidRPr="005868A4">
              <w:rPr>
                <w:rFonts w:ascii="Book Antiqua" w:hAnsi="Book Antiqua" w:cs="Arial"/>
                <w:lang w:val="pt-BR"/>
              </w:rPr>
              <w:t>SRNS</w:t>
            </w:r>
          </w:p>
          <w:p w:rsidR="00E23392" w:rsidRPr="005868A4" w:rsidRDefault="00E23392" w:rsidP="005868A4">
            <w:pPr>
              <w:spacing w:line="360" w:lineRule="auto"/>
              <w:jc w:val="both"/>
              <w:rPr>
                <w:rFonts w:ascii="Book Antiqua" w:hAnsi="Book Antiqua" w:cs="Arial"/>
                <w:lang w:val="pt-BR"/>
              </w:rPr>
            </w:pPr>
            <w:r w:rsidRPr="005868A4">
              <w:rPr>
                <w:rFonts w:ascii="Book Antiqua" w:hAnsi="Book Antiqua" w:cs="Arial"/>
                <w:lang w:val="pt-BR"/>
              </w:rPr>
              <w:t>CR 6 (22%)</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PR 12 (44%)</w:t>
            </w:r>
          </w:p>
          <w:p w:rsidR="00E23392" w:rsidRPr="005868A4" w:rsidRDefault="00E23392" w:rsidP="005868A4">
            <w:pPr>
              <w:spacing w:line="360" w:lineRule="auto"/>
              <w:jc w:val="both"/>
              <w:rPr>
                <w:rFonts w:ascii="Book Antiqua" w:hAnsi="Book Antiqua" w:cs="Arial"/>
              </w:rPr>
            </w:pPr>
            <w:r w:rsidRPr="005868A4">
              <w:rPr>
                <w:rFonts w:ascii="Book Antiqua" w:hAnsi="Book Antiqua" w:cs="Arial"/>
              </w:rPr>
              <w:t>NR 9 (34%)</w:t>
            </w:r>
          </w:p>
          <w:p w:rsidR="00E23392" w:rsidRPr="005868A4" w:rsidRDefault="00E23392" w:rsidP="005868A4">
            <w:pPr>
              <w:spacing w:line="360" w:lineRule="auto"/>
              <w:jc w:val="both"/>
              <w:rPr>
                <w:rFonts w:ascii="Book Antiqua" w:hAnsi="Book Antiqua" w:cs="Arial"/>
              </w:rPr>
            </w:pPr>
          </w:p>
          <w:p w:rsidR="00E23392" w:rsidRPr="005868A4" w:rsidRDefault="00E23392" w:rsidP="005868A4">
            <w:pPr>
              <w:spacing w:line="360" w:lineRule="auto"/>
              <w:jc w:val="both"/>
              <w:rPr>
                <w:rFonts w:ascii="Book Antiqua" w:hAnsi="Book Antiqua" w:cs="Arial"/>
              </w:rPr>
            </w:pPr>
          </w:p>
        </w:tc>
      </w:tr>
    </w:tbl>
    <w:p w:rsidR="001B3BFE" w:rsidRPr="005868A4" w:rsidRDefault="00E23392" w:rsidP="005868A4">
      <w:pPr>
        <w:shd w:val="clear" w:color="auto" w:fill="FFFFFF"/>
        <w:spacing w:line="360" w:lineRule="auto"/>
        <w:jc w:val="both"/>
        <w:rPr>
          <w:rFonts w:ascii="Book Antiqua" w:eastAsiaTheme="minorEastAsia" w:hAnsi="Book Antiqua" w:cs="Lucida Sans Unicode"/>
          <w:lang w:eastAsia="zh-CN"/>
        </w:rPr>
      </w:pPr>
      <w:r w:rsidRPr="005868A4">
        <w:rPr>
          <w:rFonts w:ascii="Book Antiqua" w:hAnsi="Book Antiqua" w:cs="Lucida Sans Unicode"/>
        </w:rPr>
        <w:t xml:space="preserve">CR: </w:t>
      </w:r>
      <w:r w:rsidR="00BD34EB" w:rsidRPr="005868A4">
        <w:rPr>
          <w:rFonts w:ascii="Book Antiqua" w:hAnsi="Book Antiqua" w:cs="Lucida Sans Unicode"/>
        </w:rPr>
        <w:t xml:space="preserve">Complete </w:t>
      </w:r>
      <w:r w:rsidRPr="005868A4">
        <w:rPr>
          <w:rFonts w:ascii="Book Antiqua" w:hAnsi="Book Antiqua" w:cs="Lucida Sans Unicode"/>
        </w:rPr>
        <w:t>remission</w:t>
      </w:r>
      <w:r w:rsidR="009A2F09" w:rsidRPr="005868A4">
        <w:rPr>
          <w:rFonts w:ascii="Book Antiqua" w:eastAsiaTheme="minorEastAsia" w:hAnsi="Book Antiqua" w:cs="Lucida Sans Unicode"/>
          <w:lang w:eastAsia="zh-CN"/>
        </w:rPr>
        <w:t>;</w:t>
      </w:r>
      <w:r w:rsidR="009A2F09" w:rsidRPr="005868A4">
        <w:rPr>
          <w:rFonts w:ascii="Book Antiqua" w:hAnsi="Book Antiqua" w:cs="Lucida Sans Unicode"/>
        </w:rPr>
        <w:t xml:space="preserve"> </w:t>
      </w:r>
      <w:r w:rsidRPr="005868A4">
        <w:rPr>
          <w:rFonts w:ascii="Book Antiqua" w:hAnsi="Book Antiqua" w:cs="Lucida Sans Unicode"/>
        </w:rPr>
        <w:t xml:space="preserve">PR: </w:t>
      </w:r>
      <w:r w:rsidR="00BD34EB" w:rsidRPr="005868A4">
        <w:rPr>
          <w:rFonts w:ascii="Book Antiqua" w:hAnsi="Book Antiqua" w:cs="Lucida Sans Unicode"/>
        </w:rPr>
        <w:t xml:space="preserve">Partial </w:t>
      </w:r>
      <w:r w:rsidRPr="005868A4">
        <w:rPr>
          <w:rFonts w:ascii="Book Antiqua" w:hAnsi="Book Antiqua" w:cs="Lucida Sans Unicode"/>
        </w:rPr>
        <w:t>remission</w:t>
      </w:r>
      <w:r w:rsidR="009A2F09" w:rsidRPr="005868A4">
        <w:rPr>
          <w:rFonts w:ascii="Book Antiqua" w:eastAsiaTheme="minorEastAsia" w:hAnsi="Book Antiqua" w:cs="Lucida Sans Unicode"/>
          <w:lang w:eastAsia="zh-CN"/>
        </w:rPr>
        <w:t>;</w:t>
      </w:r>
      <w:r w:rsidR="009A2F09" w:rsidRPr="005868A4">
        <w:rPr>
          <w:rFonts w:ascii="Book Antiqua" w:hAnsi="Book Antiqua" w:cs="Lucida Sans Unicode"/>
        </w:rPr>
        <w:t xml:space="preserve"> </w:t>
      </w:r>
      <w:r w:rsidR="00BD34EB" w:rsidRPr="005868A4">
        <w:rPr>
          <w:rFonts w:ascii="Book Antiqua" w:eastAsiaTheme="minorEastAsia" w:hAnsi="Book Antiqua" w:cs="Lucida Sans Unicode"/>
          <w:lang w:eastAsia="zh-CN"/>
        </w:rPr>
        <w:t xml:space="preserve">NR: </w:t>
      </w:r>
      <w:r w:rsidR="00BD34EB" w:rsidRPr="005868A4">
        <w:rPr>
          <w:rFonts w:ascii="Book Antiqua" w:hAnsi="Book Antiqua"/>
        </w:rPr>
        <w:t>Nephrotic syndrome</w:t>
      </w:r>
      <w:r w:rsidR="00BD34EB" w:rsidRPr="005868A4">
        <w:rPr>
          <w:rFonts w:ascii="Book Antiqua" w:eastAsiaTheme="minorEastAsia" w:hAnsi="Book Antiqua"/>
          <w:lang w:eastAsia="zh-CN"/>
        </w:rPr>
        <w:t>;</w:t>
      </w:r>
      <w:r w:rsidR="00BD34EB" w:rsidRPr="005868A4">
        <w:rPr>
          <w:rFonts w:ascii="Book Antiqua" w:hAnsi="Book Antiqua" w:cs="Lucida Sans Unicode"/>
        </w:rPr>
        <w:t xml:space="preserve"> </w:t>
      </w:r>
      <w:r w:rsidRPr="005868A4">
        <w:rPr>
          <w:rFonts w:ascii="Book Antiqua" w:hAnsi="Book Antiqua" w:cs="Lucida Sans Unicode"/>
        </w:rPr>
        <w:t xml:space="preserve">NONE: </w:t>
      </w:r>
      <w:r w:rsidR="00BD34EB" w:rsidRPr="005868A4">
        <w:rPr>
          <w:rFonts w:ascii="Book Antiqua" w:hAnsi="Book Antiqua" w:cs="Lucida Sans Unicode"/>
        </w:rPr>
        <w:t xml:space="preserve">No </w:t>
      </w:r>
      <w:r w:rsidRPr="005868A4">
        <w:rPr>
          <w:rFonts w:ascii="Book Antiqua" w:hAnsi="Book Antiqua" w:cs="Lucida Sans Unicode"/>
        </w:rPr>
        <w:t>response</w:t>
      </w:r>
      <w:r w:rsidR="009A2F09" w:rsidRPr="005868A4">
        <w:rPr>
          <w:rFonts w:ascii="Book Antiqua" w:eastAsiaTheme="minorEastAsia" w:hAnsi="Book Antiqua" w:cs="Lucida Sans Unicode"/>
          <w:lang w:eastAsia="zh-CN"/>
        </w:rPr>
        <w:t xml:space="preserve">; </w:t>
      </w:r>
      <w:r w:rsidRPr="005868A4">
        <w:rPr>
          <w:rFonts w:ascii="Book Antiqua" w:hAnsi="Book Antiqua" w:cs="Lucida Sans Unicode"/>
        </w:rPr>
        <w:t xml:space="preserve">M: </w:t>
      </w:r>
      <w:r w:rsidR="00BD34EB" w:rsidRPr="005868A4">
        <w:rPr>
          <w:rFonts w:ascii="Book Antiqua" w:hAnsi="Book Antiqua" w:cs="Lucida Sans Unicode"/>
        </w:rPr>
        <w:t>Male</w:t>
      </w:r>
      <w:r w:rsidRPr="005868A4">
        <w:rPr>
          <w:rFonts w:ascii="Book Antiqua" w:hAnsi="Book Antiqua" w:cs="Lucida Sans Unicode"/>
        </w:rPr>
        <w:t xml:space="preserve">; F: </w:t>
      </w:r>
      <w:r w:rsidR="00BD34EB" w:rsidRPr="005868A4">
        <w:rPr>
          <w:rFonts w:ascii="Book Antiqua" w:hAnsi="Book Antiqua" w:cs="Lucida Sans Unicode"/>
        </w:rPr>
        <w:t>Female</w:t>
      </w:r>
      <w:r w:rsidR="009A2F09" w:rsidRPr="005868A4">
        <w:rPr>
          <w:rFonts w:ascii="Book Antiqua" w:eastAsiaTheme="minorEastAsia" w:hAnsi="Book Antiqua" w:cs="Lucida Sans Unicode"/>
          <w:lang w:eastAsia="zh-CN"/>
        </w:rPr>
        <w:t>;</w:t>
      </w:r>
      <w:r w:rsidR="00BD34EB" w:rsidRPr="005868A4">
        <w:rPr>
          <w:rFonts w:ascii="Book Antiqua" w:eastAsiaTheme="minorEastAsia" w:hAnsi="Book Antiqua" w:cs="Lucida Sans Unicode"/>
          <w:lang w:eastAsia="zh-CN"/>
        </w:rPr>
        <w:t xml:space="preserve"> </w:t>
      </w:r>
      <w:r w:rsidR="00AA0EAF" w:rsidRPr="005868A4">
        <w:rPr>
          <w:rFonts w:ascii="Book Antiqua" w:hAnsi="Book Antiqua" w:cs="Lucida Sans Unicode"/>
        </w:rPr>
        <w:t>SDNS:</w:t>
      </w:r>
      <w:r w:rsidR="009A2F09" w:rsidRPr="005868A4">
        <w:rPr>
          <w:rFonts w:ascii="Book Antiqua" w:eastAsiaTheme="minorEastAsia" w:hAnsi="Book Antiqua" w:cs="Lucida Sans Unicode"/>
          <w:lang w:eastAsia="zh-CN"/>
        </w:rPr>
        <w:t xml:space="preserve"> </w:t>
      </w:r>
      <w:r w:rsidR="00BD34EB" w:rsidRPr="005868A4">
        <w:rPr>
          <w:rFonts w:ascii="Book Antiqua" w:hAnsi="Book Antiqua" w:cs="Lucida Sans Unicode"/>
        </w:rPr>
        <w:t>Steroid</w:t>
      </w:r>
      <w:r w:rsidR="00AA0EAF" w:rsidRPr="005868A4">
        <w:rPr>
          <w:rFonts w:ascii="Book Antiqua" w:hAnsi="Book Antiqua" w:cs="Lucida Sans Unicode"/>
        </w:rPr>
        <w:t>-</w:t>
      </w:r>
      <w:r w:rsidRPr="005868A4">
        <w:rPr>
          <w:rFonts w:ascii="Book Antiqua" w:hAnsi="Book Antiqua" w:cs="Lucida Sans Unicode"/>
        </w:rPr>
        <w:t>dependent nephrotic syn</w:t>
      </w:r>
      <w:r w:rsidR="00AA0EAF" w:rsidRPr="005868A4">
        <w:rPr>
          <w:rFonts w:ascii="Book Antiqua" w:hAnsi="Book Antiqua" w:cs="Lucida Sans Unicode"/>
        </w:rPr>
        <w:t>drome</w:t>
      </w:r>
      <w:r w:rsidR="009A2F09" w:rsidRPr="005868A4">
        <w:rPr>
          <w:rFonts w:ascii="Book Antiqua" w:eastAsiaTheme="minorEastAsia" w:hAnsi="Book Antiqua" w:cs="Lucida Sans Unicode"/>
          <w:lang w:eastAsia="zh-CN"/>
        </w:rPr>
        <w:t>;</w:t>
      </w:r>
      <w:r w:rsidR="00BD34EB" w:rsidRPr="005868A4">
        <w:rPr>
          <w:rFonts w:ascii="Book Antiqua" w:eastAsiaTheme="minorEastAsia" w:hAnsi="Book Antiqua" w:cs="Lucida Sans Unicode"/>
          <w:lang w:eastAsia="zh-CN"/>
        </w:rPr>
        <w:t xml:space="preserve"> </w:t>
      </w:r>
      <w:r w:rsidR="00AA0EAF" w:rsidRPr="005868A4">
        <w:rPr>
          <w:rFonts w:ascii="Book Antiqua" w:hAnsi="Book Antiqua" w:cs="Lucida Sans Unicode"/>
        </w:rPr>
        <w:t xml:space="preserve">SRNS: </w:t>
      </w:r>
      <w:r w:rsidR="00BD34EB" w:rsidRPr="005868A4">
        <w:rPr>
          <w:rFonts w:ascii="Book Antiqua" w:hAnsi="Book Antiqua" w:cs="Lucida Sans Unicode"/>
        </w:rPr>
        <w:t>Steroid</w:t>
      </w:r>
      <w:r w:rsidR="00AA0EAF" w:rsidRPr="005868A4">
        <w:rPr>
          <w:rFonts w:ascii="Book Antiqua" w:hAnsi="Book Antiqua" w:cs="Lucida Sans Unicode"/>
        </w:rPr>
        <w:t>-resistant n</w:t>
      </w:r>
      <w:r w:rsidRPr="005868A4">
        <w:rPr>
          <w:rFonts w:ascii="Book Antiqua" w:hAnsi="Book Antiqua" w:cs="Lucida Sans Unicode"/>
        </w:rPr>
        <w:t>ephrotic syndrome</w:t>
      </w:r>
      <w:r w:rsidR="009A2F09" w:rsidRPr="005868A4">
        <w:rPr>
          <w:rFonts w:ascii="Book Antiqua" w:eastAsiaTheme="minorEastAsia" w:hAnsi="Book Antiqua" w:cs="Lucida Sans Unicode"/>
          <w:lang w:eastAsia="zh-CN"/>
        </w:rPr>
        <w:t xml:space="preserve">; </w:t>
      </w:r>
      <w:r w:rsidR="00AA0EAF" w:rsidRPr="005868A4">
        <w:rPr>
          <w:rFonts w:ascii="Book Antiqua" w:hAnsi="Book Antiqua" w:cs="Lucida Sans Unicode"/>
        </w:rPr>
        <w:t xml:space="preserve">MCD: </w:t>
      </w:r>
      <w:r w:rsidR="00BD34EB" w:rsidRPr="005868A4">
        <w:rPr>
          <w:rFonts w:ascii="Book Antiqua" w:hAnsi="Book Antiqua" w:cs="Lucida Sans Unicode"/>
        </w:rPr>
        <w:t xml:space="preserve">Minimal </w:t>
      </w:r>
      <w:r w:rsidR="00AA0EAF" w:rsidRPr="005868A4">
        <w:rPr>
          <w:rFonts w:ascii="Book Antiqua" w:hAnsi="Book Antiqua" w:cs="Lucida Sans Unicode"/>
        </w:rPr>
        <w:t>change disease</w:t>
      </w:r>
      <w:r w:rsidR="009A2F09" w:rsidRPr="005868A4">
        <w:rPr>
          <w:rFonts w:ascii="Book Antiqua" w:eastAsiaTheme="minorEastAsia" w:hAnsi="Book Antiqua" w:cs="Lucida Sans Unicode"/>
          <w:lang w:eastAsia="zh-CN"/>
        </w:rPr>
        <w:t>;</w:t>
      </w:r>
      <w:r w:rsidR="009A2F09" w:rsidRPr="005868A4">
        <w:rPr>
          <w:rFonts w:ascii="Book Antiqua" w:hAnsi="Book Antiqua" w:cs="Lucida Sans Unicode"/>
        </w:rPr>
        <w:t xml:space="preserve"> </w:t>
      </w:r>
      <w:r w:rsidR="00AA0EAF" w:rsidRPr="005868A4">
        <w:rPr>
          <w:rFonts w:ascii="Book Antiqua" w:hAnsi="Book Antiqua" w:cs="Lucida Sans Unicode"/>
        </w:rPr>
        <w:t xml:space="preserve">FSGS: </w:t>
      </w:r>
      <w:r w:rsidR="00BD34EB" w:rsidRPr="005868A4">
        <w:rPr>
          <w:rFonts w:ascii="Book Antiqua" w:hAnsi="Book Antiqua" w:cs="Lucida Sans Unicode"/>
        </w:rPr>
        <w:t xml:space="preserve">Focal </w:t>
      </w:r>
      <w:r w:rsidR="00AA0EAF" w:rsidRPr="005868A4">
        <w:rPr>
          <w:rFonts w:ascii="Book Antiqua" w:hAnsi="Book Antiqua" w:cs="Lucida Sans Unicode"/>
        </w:rPr>
        <w:t>segmental g</w:t>
      </w:r>
      <w:r w:rsidRPr="005868A4">
        <w:rPr>
          <w:rFonts w:ascii="Book Antiqua" w:hAnsi="Book Antiqua" w:cs="Lucida Sans Unicode"/>
        </w:rPr>
        <w:t>lomerulosclerosis</w:t>
      </w:r>
      <w:r w:rsidR="009A2F09" w:rsidRPr="005868A4">
        <w:rPr>
          <w:rFonts w:ascii="Book Antiqua" w:eastAsiaTheme="minorEastAsia" w:hAnsi="Book Antiqua" w:cs="Lucida Sans Unicode"/>
          <w:lang w:eastAsia="zh-CN"/>
        </w:rPr>
        <w:t>.</w:t>
      </w:r>
    </w:p>
    <w:p w:rsidR="00E23392" w:rsidRPr="005868A4" w:rsidRDefault="001B3BFE" w:rsidP="005868A4">
      <w:pPr>
        <w:spacing w:line="360" w:lineRule="auto"/>
        <w:jc w:val="both"/>
        <w:rPr>
          <w:rFonts w:ascii="Book Antiqua" w:eastAsiaTheme="minorEastAsia" w:hAnsi="Book Antiqua"/>
          <w:lang w:eastAsia="zh-CN"/>
        </w:rPr>
      </w:pPr>
      <w:r w:rsidRPr="005868A4">
        <w:rPr>
          <w:rFonts w:ascii="Book Antiqua" w:hAnsi="Book Antiqua" w:cs="Lucida Sans Unicode"/>
        </w:rPr>
        <w:br w:type="page"/>
      </w:r>
    </w:p>
    <w:p w:rsidR="00E23392" w:rsidRPr="005868A4" w:rsidRDefault="00E23392" w:rsidP="005868A4">
      <w:pPr>
        <w:spacing w:line="360" w:lineRule="auto"/>
        <w:jc w:val="both"/>
        <w:rPr>
          <w:rFonts w:ascii="Book Antiqua" w:hAnsi="Book Antiqua"/>
        </w:rPr>
      </w:pPr>
      <w:r w:rsidRPr="005868A4">
        <w:rPr>
          <w:rFonts w:ascii="Book Antiqua" w:hAnsi="Book Antiqua"/>
        </w:rPr>
        <w:object w:dxaOrig="719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46pt" o:ole="">
            <v:imagedata r:id="rId11" o:title=""/>
          </v:shape>
          <o:OLEObject Type="Embed" ProgID="PowerPoint.Slide.12" ShapeID="_x0000_i1025" DrawAspect="Content" ObjectID="_1349513715" r:id="rId12"/>
        </w:object>
      </w:r>
    </w:p>
    <w:p w:rsidR="00E404FD" w:rsidRPr="005868A4" w:rsidRDefault="001B3BFE" w:rsidP="005868A4">
      <w:pPr>
        <w:spacing w:line="360" w:lineRule="auto"/>
        <w:jc w:val="both"/>
        <w:rPr>
          <w:rFonts w:ascii="Book Antiqua" w:eastAsiaTheme="minorEastAsia" w:hAnsi="Book Antiqua"/>
          <w:b/>
          <w:lang w:eastAsia="zh-CN"/>
        </w:rPr>
      </w:pPr>
      <w:r w:rsidRPr="005868A4">
        <w:rPr>
          <w:rFonts w:ascii="Book Antiqua" w:hAnsi="Book Antiqua"/>
          <w:b/>
        </w:rPr>
        <w:t>Figure</w:t>
      </w:r>
      <w:r w:rsidR="00E23392" w:rsidRPr="005868A4">
        <w:rPr>
          <w:rFonts w:ascii="Book Antiqua" w:hAnsi="Book Antiqua"/>
          <w:b/>
        </w:rPr>
        <w:t xml:space="preserve"> 1</w:t>
      </w:r>
      <w:r w:rsidR="003A1CFE" w:rsidRPr="005868A4">
        <w:rPr>
          <w:rFonts w:ascii="Book Antiqua" w:hAnsi="Book Antiqua"/>
          <w:b/>
        </w:rPr>
        <w:t xml:space="preserve"> </w:t>
      </w:r>
      <w:r w:rsidR="00590040" w:rsidRPr="005868A4">
        <w:rPr>
          <w:rFonts w:ascii="Book Antiqua" w:hAnsi="Book Antiqua"/>
          <w:b/>
        </w:rPr>
        <w:t>Rituximab</w:t>
      </w:r>
      <w:r w:rsidR="00FC6E37" w:rsidRPr="005868A4">
        <w:rPr>
          <w:rFonts w:ascii="Book Antiqua" w:hAnsi="Book Antiqua"/>
          <w:b/>
        </w:rPr>
        <w:t xml:space="preserve"> </w:t>
      </w:r>
      <w:r w:rsidR="00FC6E37" w:rsidRPr="005868A4">
        <w:rPr>
          <w:rFonts w:ascii="Book Antiqua" w:hAnsi="Book Antiqua"/>
          <w:b/>
          <w:i/>
        </w:rPr>
        <w:t>vs</w:t>
      </w:r>
      <w:r w:rsidR="00FC6E37" w:rsidRPr="005868A4">
        <w:rPr>
          <w:rFonts w:ascii="Book Antiqua" w:hAnsi="Book Antiqua"/>
          <w:b/>
        </w:rPr>
        <w:t xml:space="preserve"> conventional treatment in </w:t>
      </w:r>
      <w:r w:rsidR="00590040" w:rsidRPr="005868A4">
        <w:rPr>
          <w:rFonts w:ascii="Book Antiqua" w:hAnsi="Book Antiqua"/>
          <w:b/>
        </w:rPr>
        <w:t>steroid resistant nephritic syndrome</w:t>
      </w:r>
      <w:r w:rsidR="00590040" w:rsidRPr="005868A4">
        <w:rPr>
          <w:rFonts w:ascii="Book Antiqua" w:eastAsiaTheme="minorEastAsia" w:hAnsi="Book Antiqua"/>
          <w:b/>
          <w:lang w:eastAsia="zh-CN"/>
        </w:rPr>
        <w:t>.</w:t>
      </w:r>
    </w:p>
    <w:p w:rsidR="00E23392" w:rsidRPr="00295C8F" w:rsidRDefault="003A1CFE" w:rsidP="005868A4">
      <w:pPr>
        <w:spacing w:line="360" w:lineRule="auto"/>
        <w:jc w:val="both"/>
        <w:rPr>
          <w:rFonts w:ascii="Book Antiqua" w:eastAsiaTheme="minorEastAsia" w:hAnsi="Book Antiqua"/>
          <w:lang w:eastAsia="zh-CN"/>
        </w:rPr>
      </w:pPr>
      <w:r w:rsidRPr="00295C8F">
        <w:rPr>
          <w:rFonts w:ascii="Book Antiqua" w:hAnsi="Book Antiqua"/>
        </w:rPr>
        <w:t>SRNS</w:t>
      </w:r>
      <w:r w:rsidR="00320639" w:rsidRPr="00295C8F">
        <w:rPr>
          <w:rFonts w:ascii="Book Antiqua" w:eastAsiaTheme="minorEastAsia" w:hAnsi="Book Antiqua"/>
          <w:lang w:eastAsia="zh-CN"/>
        </w:rPr>
        <w:t>:</w:t>
      </w:r>
      <w:r w:rsidRPr="00295C8F">
        <w:rPr>
          <w:rFonts w:ascii="Book Antiqua" w:hAnsi="Book Antiqua"/>
        </w:rPr>
        <w:t xml:space="preserve"> </w:t>
      </w:r>
      <w:r w:rsidR="00320639" w:rsidRPr="00295C8F">
        <w:rPr>
          <w:rFonts w:ascii="Book Antiqua" w:hAnsi="Book Antiqua"/>
        </w:rPr>
        <w:t xml:space="preserve">Steroid </w:t>
      </w:r>
      <w:r w:rsidR="00E23392" w:rsidRPr="00295C8F">
        <w:rPr>
          <w:rFonts w:ascii="Book Antiqua" w:hAnsi="Book Antiqua"/>
        </w:rPr>
        <w:t>resistant nephritic syndrome; Pr</w:t>
      </w:r>
      <w:r w:rsidRPr="00295C8F">
        <w:rPr>
          <w:rFonts w:ascii="Book Antiqua" w:hAnsi="Book Antiqua"/>
        </w:rPr>
        <w:t>ed</w:t>
      </w:r>
      <w:r w:rsidR="00320639" w:rsidRPr="00295C8F">
        <w:rPr>
          <w:rFonts w:ascii="Book Antiqua" w:eastAsiaTheme="minorEastAsia" w:hAnsi="Book Antiqua"/>
          <w:lang w:eastAsia="zh-CN"/>
        </w:rPr>
        <w:t xml:space="preserve">: </w:t>
      </w:r>
      <w:r w:rsidR="00320639" w:rsidRPr="00295C8F">
        <w:rPr>
          <w:rFonts w:ascii="Book Antiqua" w:hAnsi="Book Antiqua"/>
        </w:rPr>
        <w:t>Prednisone</w:t>
      </w:r>
      <w:r w:rsidRPr="00295C8F">
        <w:rPr>
          <w:rFonts w:ascii="Book Antiqua" w:hAnsi="Book Antiqua"/>
        </w:rPr>
        <w:t>; CSA</w:t>
      </w:r>
      <w:r w:rsidR="00320639" w:rsidRPr="00295C8F">
        <w:rPr>
          <w:rFonts w:ascii="Book Antiqua" w:eastAsiaTheme="minorEastAsia" w:hAnsi="Book Antiqua"/>
          <w:lang w:eastAsia="zh-CN"/>
        </w:rPr>
        <w:t>:</w:t>
      </w:r>
      <w:r w:rsidR="00E23392" w:rsidRPr="00295C8F">
        <w:rPr>
          <w:rFonts w:ascii="Book Antiqua" w:hAnsi="Book Antiqua"/>
        </w:rPr>
        <w:t xml:space="preserve"> Cyclosporin</w:t>
      </w:r>
      <w:r w:rsidRPr="00295C8F">
        <w:rPr>
          <w:rFonts w:ascii="Book Antiqua" w:hAnsi="Book Antiqua"/>
        </w:rPr>
        <w:t>e A; RTX</w:t>
      </w:r>
      <w:r w:rsidR="00320639" w:rsidRPr="00295C8F">
        <w:rPr>
          <w:rFonts w:ascii="Book Antiqua" w:eastAsiaTheme="minorEastAsia" w:hAnsi="Book Antiqua"/>
          <w:lang w:eastAsia="zh-CN"/>
        </w:rPr>
        <w:t>:</w:t>
      </w:r>
      <w:r w:rsidRPr="00295C8F">
        <w:rPr>
          <w:rFonts w:ascii="Book Antiqua" w:hAnsi="Book Antiqua"/>
        </w:rPr>
        <w:t xml:space="preserve"> </w:t>
      </w:r>
      <w:r w:rsidR="00E23392" w:rsidRPr="00295C8F">
        <w:rPr>
          <w:rFonts w:ascii="Book Antiqua" w:hAnsi="Book Antiqua"/>
        </w:rPr>
        <w:t>Rituximab</w:t>
      </w:r>
      <w:r w:rsidR="00320639" w:rsidRPr="00295C8F">
        <w:rPr>
          <w:rFonts w:ascii="Book Antiqua" w:eastAsiaTheme="minorEastAsia" w:hAnsi="Book Antiqua"/>
          <w:lang w:eastAsia="zh-CN"/>
        </w:rPr>
        <w:t>.</w:t>
      </w:r>
      <w:r w:rsidR="00590040" w:rsidRPr="00295C8F">
        <w:rPr>
          <w:rFonts w:ascii="Book Antiqua" w:eastAsiaTheme="minorEastAsia" w:hAnsi="Book Antiqua"/>
          <w:lang w:eastAsia="zh-CN"/>
        </w:rPr>
        <w:t xml:space="preserve"> </w:t>
      </w:r>
      <w:r w:rsidR="00E23392" w:rsidRPr="00295C8F">
        <w:rPr>
          <w:rFonts w:ascii="Book Antiqua" w:hAnsi="Book Antiqua"/>
        </w:rPr>
        <w:t>From: Magnasco A,</w:t>
      </w:r>
      <w:r w:rsidR="00E23392" w:rsidRPr="00295C8F">
        <w:rPr>
          <w:rFonts w:ascii="Book Antiqua" w:hAnsi="Book Antiqua"/>
          <w:i/>
        </w:rPr>
        <w:t xml:space="preserve"> </w:t>
      </w:r>
      <w:r w:rsidR="00E23392" w:rsidRPr="00295C8F">
        <w:rPr>
          <w:rFonts w:ascii="Book Antiqua" w:hAnsi="Book Antiqua"/>
          <w:i/>
          <w:shd w:val="clear" w:color="auto" w:fill="FFFFFF"/>
        </w:rPr>
        <w:t>J Am Soc Nephrol</w:t>
      </w:r>
      <w:r w:rsidR="005C1F3B" w:rsidRPr="00295C8F">
        <w:rPr>
          <w:rStyle w:val="apple-converted-space"/>
          <w:rFonts w:ascii="Book Antiqua" w:eastAsiaTheme="minorEastAsia" w:hAnsi="Book Antiqua" w:hint="eastAsia"/>
          <w:i/>
          <w:shd w:val="clear" w:color="auto" w:fill="FFFFFF"/>
          <w:lang w:eastAsia="zh-CN"/>
        </w:rPr>
        <w:t xml:space="preserve"> </w:t>
      </w:r>
      <w:r w:rsidR="00E23392" w:rsidRPr="00295C8F">
        <w:rPr>
          <w:rFonts w:ascii="Book Antiqua" w:hAnsi="Book Antiqua"/>
          <w:shd w:val="clear" w:color="auto" w:fill="FFFFFF"/>
        </w:rPr>
        <w:t>2012</w:t>
      </w:r>
      <w:r w:rsidR="00295C8F">
        <w:rPr>
          <w:rFonts w:ascii="Book Antiqua" w:eastAsiaTheme="minorEastAsia" w:hAnsi="Book Antiqua" w:hint="eastAsia"/>
          <w:shd w:val="clear" w:color="auto" w:fill="FFFFFF"/>
          <w:lang w:eastAsia="zh-CN"/>
        </w:rPr>
        <w:t>;</w:t>
      </w:r>
      <w:r w:rsidR="005868A4" w:rsidRPr="00295C8F">
        <w:rPr>
          <w:rFonts w:ascii="Book Antiqua" w:eastAsiaTheme="minorEastAsia" w:hAnsi="Book Antiqua" w:hint="eastAsia"/>
          <w:shd w:val="clear" w:color="auto" w:fill="FFFFFF"/>
          <w:lang w:eastAsia="zh-CN"/>
        </w:rPr>
        <w:t xml:space="preserve"> </w:t>
      </w:r>
      <w:r w:rsidR="00295C8F" w:rsidRPr="001C0FC9">
        <w:rPr>
          <w:rFonts w:ascii="Book Antiqua" w:eastAsia="宋体" w:hAnsi="Book Antiqua" w:cs="宋体"/>
          <w:b/>
          <w:bCs/>
        </w:rPr>
        <w:t>23</w:t>
      </w:r>
      <w:r w:rsidR="00295C8F" w:rsidRPr="001C0FC9">
        <w:rPr>
          <w:rFonts w:ascii="Book Antiqua" w:eastAsia="宋体" w:hAnsi="Book Antiqua" w:cs="宋体"/>
        </w:rPr>
        <w:t>: 1117-1124</w:t>
      </w:r>
      <w:r w:rsidR="00507A26">
        <w:rPr>
          <w:rFonts w:ascii="Book Antiqua" w:eastAsia="宋体" w:hAnsi="Book Antiqua" w:cs="宋体" w:hint="eastAsia"/>
          <w:lang w:eastAsia="zh-CN"/>
        </w:rPr>
        <w:t>.</w:t>
      </w:r>
    </w:p>
    <w:p w:rsidR="00E23392" w:rsidRPr="005868A4" w:rsidRDefault="00E23392" w:rsidP="005868A4">
      <w:pPr>
        <w:spacing w:line="360" w:lineRule="auto"/>
        <w:jc w:val="both"/>
        <w:rPr>
          <w:rFonts w:ascii="Book Antiqua" w:eastAsiaTheme="minorEastAsia" w:hAnsi="Book Antiqua"/>
          <w:lang w:eastAsia="zh-CN"/>
        </w:rPr>
      </w:pPr>
    </w:p>
    <w:sectPr w:rsidR="00E23392" w:rsidRPr="005868A4" w:rsidSect="00AB7725">
      <w:headerReference w:type="default" r:id="rId13"/>
      <w:footerReference w:type="default" r:id="rId14"/>
      <w:pgSz w:w="11907" w:h="16839" w:code="9"/>
      <w:pgMar w:top="1440" w:right="1224" w:bottom="1440" w:left="122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978C1" w15:done="0"/>
  <w15:commentEx w15:paraId="28C332EA" w15:done="0"/>
  <w15:commentEx w15:paraId="1311BF6B" w15:done="0"/>
  <w15:commentEx w15:paraId="2AE921E5" w15:done="0"/>
  <w15:commentEx w15:paraId="18A0E455" w15:done="0"/>
  <w15:commentEx w15:paraId="57694580" w15:done="0"/>
  <w15:commentEx w15:paraId="7C9C221B" w15:done="0"/>
  <w15:commentEx w15:paraId="70121632" w15:done="0"/>
  <w15:commentEx w15:paraId="00EA7015" w15:done="0"/>
  <w15:commentEx w15:paraId="1B7FAB0E" w15:done="0"/>
  <w15:commentEx w15:paraId="26CAA27C" w15:done="0"/>
  <w15:commentEx w15:paraId="5CDD6403" w15:done="0"/>
  <w15:commentEx w15:paraId="3452A606" w15:done="0"/>
  <w15:commentEx w15:paraId="6DCABE4E" w15:done="0"/>
  <w15:commentEx w15:paraId="15F39E0A" w15:done="0"/>
  <w15:commentEx w15:paraId="6B208936" w15:done="0"/>
  <w15:commentEx w15:paraId="177DE053" w15:done="0"/>
  <w15:commentEx w15:paraId="2ED8A739" w15:done="0"/>
  <w15:commentEx w15:paraId="4893F7A5" w15:done="0"/>
  <w15:commentEx w15:paraId="5A637C0D" w15:done="0"/>
  <w15:commentEx w15:paraId="359ADC29" w15:done="0"/>
  <w15:commentEx w15:paraId="4EEEC0B0" w15:done="0"/>
  <w15:commentEx w15:paraId="38630025" w15:done="0"/>
  <w15:commentEx w15:paraId="49096DF9" w15:done="0"/>
  <w15:commentEx w15:paraId="5B577948" w15:done="0"/>
  <w15:commentEx w15:paraId="45D4A775" w15:done="0"/>
  <w15:commentEx w15:paraId="0A29075A" w15:done="0"/>
  <w15:commentEx w15:paraId="630BC4F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64" w:rsidRDefault="00875564" w:rsidP="00E23392">
      <w:r>
        <w:separator/>
      </w:r>
    </w:p>
  </w:endnote>
  <w:endnote w:type="continuationSeparator" w:id="0">
    <w:p w:rsidR="00875564" w:rsidRDefault="00875564" w:rsidP="00E2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S Serif">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597483"/>
      <w:docPartObj>
        <w:docPartGallery w:val="Page Numbers (Bottom of Page)"/>
        <w:docPartUnique/>
      </w:docPartObj>
    </w:sdtPr>
    <w:sdtEndPr>
      <w:rPr>
        <w:noProof/>
      </w:rPr>
    </w:sdtEndPr>
    <w:sdtContent>
      <w:p w:rsidR="00120DC3" w:rsidRDefault="00120DC3">
        <w:pPr>
          <w:pStyle w:val="Footer"/>
          <w:jc w:val="right"/>
        </w:pPr>
        <w:r>
          <w:fldChar w:fldCharType="begin"/>
        </w:r>
        <w:r>
          <w:instrText xml:space="preserve"> PAGE   \* MERGEFORMAT </w:instrText>
        </w:r>
        <w:r>
          <w:fldChar w:fldCharType="separate"/>
        </w:r>
        <w:r w:rsidR="00895CE6">
          <w:rPr>
            <w:noProof/>
          </w:rPr>
          <w:t>1</w:t>
        </w:r>
        <w:r>
          <w:rPr>
            <w:noProof/>
          </w:rPr>
          <w:fldChar w:fldCharType="end"/>
        </w:r>
      </w:p>
    </w:sdtContent>
  </w:sdt>
  <w:p w:rsidR="00120DC3" w:rsidRDefault="00120D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64" w:rsidRDefault="00875564" w:rsidP="00E23392">
      <w:r>
        <w:separator/>
      </w:r>
    </w:p>
  </w:footnote>
  <w:footnote w:type="continuationSeparator" w:id="0">
    <w:p w:rsidR="00875564" w:rsidRDefault="00875564" w:rsidP="00E23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C3" w:rsidRDefault="00120DC3" w:rsidP="00E233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E54"/>
    <w:multiLevelType w:val="hybridMultilevel"/>
    <w:tmpl w:val="443AE1FC"/>
    <w:lvl w:ilvl="0" w:tplc="4009000F">
      <w:start w:val="1"/>
      <w:numFmt w:val="decimal"/>
      <w:lvlText w:val="%1."/>
      <w:lvlJc w:val="left"/>
      <w:pPr>
        <w:tabs>
          <w:tab w:val="num" w:pos="720"/>
        </w:tabs>
        <w:ind w:left="72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1">
    <w:nsid w:val="785F32BE"/>
    <w:multiLevelType w:val="hybridMultilevel"/>
    <w:tmpl w:val="AE10076C"/>
    <w:lvl w:ilvl="0" w:tplc="4009000F">
      <w:start w:val="1"/>
      <w:numFmt w:val="decimal"/>
      <w:lvlText w:val="%1."/>
      <w:lvlJc w:val="left"/>
      <w:pPr>
        <w:tabs>
          <w:tab w:val="num" w:pos="720"/>
        </w:tabs>
        <w:ind w:left="72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safder">
    <w15:presenceInfo w15:providerId="Windows Live" w15:userId="cfcdf902fe37fb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27"/>
    <w:rsid w:val="000310D4"/>
    <w:rsid w:val="0003160B"/>
    <w:rsid w:val="0005585F"/>
    <w:rsid w:val="0006451E"/>
    <w:rsid w:val="0008141C"/>
    <w:rsid w:val="000B4F13"/>
    <w:rsid w:val="000E22EA"/>
    <w:rsid w:val="000E77B3"/>
    <w:rsid w:val="0010527F"/>
    <w:rsid w:val="00120DC3"/>
    <w:rsid w:val="0012296A"/>
    <w:rsid w:val="001324DD"/>
    <w:rsid w:val="00145098"/>
    <w:rsid w:val="001767F2"/>
    <w:rsid w:val="001811AE"/>
    <w:rsid w:val="00187F15"/>
    <w:rsid w:val="00187FB7"/>
    <w:rsid w:val="001B3BFE"/>
    <w:rsid w:val="001D1058"/>
    <w:rsid w:val="001E30D5"/>
    <w:rsid w:val="002459A2"/>
    <w:rsid w:val="00252D62"/>
    <w:rsid w:val="00264446"/>
    <w:rsid w:val="00295C8F"/>
    <w:rsid w:val="002A47F3"/>
    <w:rsid w:val="002B2665"/>
    <w:rsid w:val="002C1A76"/>
    <w:rsid w:val="002E49A8"/>
    <w:rsid w:val="002F4C40"/>
    <w:rsid w:val="002F52CA"/>
    <w:rsid w:val="00310526"/>
    <w:rsid w:val="00320639"/>
    <w:rsid w:val="00353455"/>
    <w:rsid w:val="00380DA2"/>
    <w:rsid w:val="00386917"/>
    <w:rsid w:val="003A1CFE"/>
    <w:rsid w:val="003F1C40"/>
    <w:rsid w:val="004444C3"/>
    <w:rsid w:val="00446CC7"/>
    <w:rsid w:val="0046584C"/>
    <w:rsid w:val="00483EE7"/>
    <w:rsid w:val="00494D70"/>
    <w:rsid w:val="004A20E3"/>
    <w:rsid w:val="004C27B4"/>
    <w:rsid w:val="00507A26"/>
    <w:rsid w:val="0054360B"/>
    <w:rsid w:val="0057248F"/>
    <w:rsid w:val="005733F4"/>
    <w:rsid w:val="005847DD"/>
    <w:rsid w:val="005868A4"/>
    <w:rsid w:val="00590040"/>
    <w:rsid w:val="00591F01"/>
    <w:rsid w:val="005B399A"/>
    <w:rsid w:val="005C1F3B"/>
    <w:rsid w:val="005E7E3A"/>
    <w:rsid w:val="005F04C3"/>
    <w:rsid w:val="00603B33"/>
    <w:rsid w:val="0063777E"/>
    <w:rsid w:val="006636E8"/>
    <w:rsid w:val="006D07F5"/>
    <w:rsid w:val="006F1FF5"/>
    <w:rsid w:val="00706AB6"/>
    <w:rsid w:val="0071382F"/>
    <w:rsid w:val="007409AC"/>
    <w:rsid w:val="00741081"/>
    <w:rsid w:val="00741C50"/>
    <w:rsid w:val="00744B6E"/>
    <w:rsid w:val="007717ED"/>
    <w:rsid w:val="00777114"/>
    <w:rsid w:val="00782A98"/>
    <w:rsid w:val="00790B49"/>
    <w:rsid w:val="00794490"/>
    <w:rsid w:val="007953CE"/>
    <w:rsid w:val="007A12A9"/>
    <w:rsid w:val="007B5459"/>
    <w:rsid w:val="007C2E27"/>
    <w:rsid w:val="007E3F8F"/>
    <w:rsid w:val="00812650"/>
    <w:rsid w:val="00824203"/>
    <w:rsid w:val="00842BD1"/>
    <w:rsid w:val="0084748C"/>
    <w:rsid w:val="008533D9"/>
    <w:rsid w:val="008576FF"/>
    <w:rsid w:val="00873D2E"/>
    <w:rsid w:val="00875564"/>
    <w:rsid w:val="00876D42"/>
    <w:rsid w:val="00883534"/>
    <w:rsid w:val="0089581C"/>
    <w:rsid w:val="00895CE6"/>
    <w:rsid w:val="008B071B"/>
    <w:rsid w:val="008D3E76"/>
    <w:rsid w:val="008E2318"/>
    <w:rsid w:val="0091353F"/>
    <w:rsid w:val="00934B64"/>
    <w:rsid w:val="0095232A"/>
    <w:rsid w:val="00955CCD"/>
    <w:rsid w:val="009624DC"/>
    <w:rsid w:val="0096265F"/>
    <w:rsid w:val="00973D33"/>
    <w:rsid w:val="009A2F09"/>
    <w:rsid w:val="009B0033"/>
    <w:rsid w:val="009B3CD3"/>
    <w:rsid w:val="009C584C"/>
    <w:rsid w:val="009F149E"/>
    <w:rsid w:val="00A21CF1"/>
    <w:rsid w:val="00A40928"/>
    <w:rsid w:val="00A62488"/>
    <w:rsid w:val="00A92DBD"/>
    <w:rsid w:val="00AA0EAF"/>
    <w:rsid w:val="00AB00CC"/>
    <w:rsid w:val="00AB2DB9"/>
    <w:rsid w:val="00AB7725"/>
    <w:rsid w:val="00AD0C80"/>
    <w:rsid w:val="00AE7132"/>
    <w:rsid w:val="00B0730D"/>
    <w:rsid w:val="00B076FD"/>
    <w:rsid w:val="00B10475"/>
    <w:rsid w:val="00B14D7A"/>
    <w:rsid w:val="00B3281B"/>
    <w:rsid w:val="00B4484D"/>
    <w:rsid w:val="00B47D5E"/>
    <w:rsid w:val="00B54567"/>
    <w:rsid w:val="00B9181F"/>
    <w:rsid w:val="00BB3786"/>
    <w:rsid w:val="00BB72F8"/>
    <w:rsid w:val="00BC245C"/>
    <w:rsid w:val="00BD34EB"/>
    <w:rsid w:val="00BD5B69"/>
    <w:rsid w:val="00C02E01"/>
    <w:rsid w:val="00C403F9"/>
    <w:rsid w:val="00C40E3C"/>
    <w:rsid w:val="00CA06E6"/>
    <w:rsid w:val="00CA503E"/>
    <w:rsid w:val="00CD17B8"/>
    <w:rsid w:val="00D01947"/>
    <w:rsid w:val="00D04279"/>
    <w:rsid w:val="00D51A0F"/>
    <w:rsid w:val="00D574A6"/>
    <w:rsid w:val="00D93BA8"/>
    <w:rsid w:val="00DB601A"/>
    <w:rsid w:val="00DE6D68"/>
    <w:rsid w:val="00DF33CD"/>
    <w:rsid w:val="00E147D5"/>
    <w:rsid w:val="00E21217"/>
    <w:rsid w:val="00E23392"/>
    <w:rsid w:val="00E26D2A"/>
    <w:rsid w:val="00E32B35"/>
    <w:rsid w:val="00E3377F"/>
    <w:rsid w:val="00E404FD"/>
    <w:rsid w:val="00E40EC4"/>
    <w:rsid w:val="00E429DA"/>
    <w:rsid w:val="00E43360"/>
    <w:rsid w:val="00E47942"/>
    <w:rsid w:val="00E51594"/>
    <w:rsid w:val="00E517E6"/>
    <w:rsid w:val="00E53D4E"/>
    <w:rsid w:val="00E62AD3"/>
    <w:rsid w:val="00E94711"/>
    <w:rsid w:val="00EA204D"/>
    <w:rsid w:val="00EA580E"/>
    <w:rsid w:val="00EA6C14"/>
    <w:rsid w:val="00F01400"/>
    <w:rsid w:val="00F4020B"/>
    <w:rsid w:val="00F45FE1"/>
    <w:rsid w:val="00F47903"/>
    <w:rsid w:val="00F6054C"/>
    <w:rsid w:val="00F652A0"/>
    <w:rsid w:val="00F70396"/>
    <w:rsid w:val="00FC1101"/>
    <w:rsid w:val="00FC6E37"/>
    <w:rsid w:val="00FF7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MS Serif"/>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C2E27"/>
    <w:rPr>
      <w:rFonts w:ascii="Times New Roman" w:eastAsia="Times New Roman" w:hAnsi="Times New Roman" w:cs="Times New Roman"/>
      <w:sz w:val="24"/>
      <w:szCs w:val="24"/>
    </w:rPr>
  </w:style>
  <w:style w:type="paragraph" w:styleId="Heading1">
    <w:name w:val="heading 1"/>
    <w:basedOn w:val="Normal"/>
    <w:link w:val="Heading1Char"/>
    <w:uiPriority w:val="9"/>
    <w:qFormat/>
    <w:locked/>
    <w:rsid w:val="00E429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C2E27"/>
    <w:rPr>
      <w:rFonts w:cs="Times New Roman"/>
      <w:color w:val="0000FF"/>
      <w:u w:val="single"/>
    </w:rPr>
  </w:style>
  <w:style w:type="character" w:styleId="HTMLTypewriter">
    <w:name w:val="HTML Typewriter"/>
    <w:uiPriority w:val="99"/>
    <w:semiHidden/>
    <w:rsid w:val="00343DC2"/>
    <w:rPr>
      <w:rFonts w:ascii="Courier New" w:hAnsi="Courier New" w:cs="Courier New"/>
      <w:sz w:val="17"/>
      <w:szCs w:val="17"/>
    </w:rPr>
  </w:style>
  <w:style w:type="paragraph" w:styleId="Header">
    <w:name w:val="header"/>
    <w:basedOn w:val="Normal"/>
    <w:link w:val="HeaderChar"/>
    <w:uiPriority w:val="99"/>
    <w:semiHidden/>
    <w:rsid w:val="00812067"/>
    <w:pPr>
      <w:tabs>
        <w:tab w:val="center" w:pos="4153"/>
        <w:tab w:val="right" w:pos="8306"/>
      </w:tabs>
    </w:pPr>
    <w:rPr>
      <w:rFonts w:eastAsia="宋体"/>
    </w:rPr>
  </w:style>
  <w:style w:type="character" w:customStyle="1" w:styleId="HeaderChar">
    <w:name w:val="Header Char"/>
    <w:link w:val="Header"/>
    <w:uiPriority w:val="99"/>
    <w:semiHidden/>
    <w:locked/>
    <w:rsid w:val="00812067"/>
    <w:rPr>
      <w:rFonts w:ascii="Times New Roman" w:hAnsi="Times New Roman" w:cs="Times New Roman"/>
      <w:sz w:val="24"/>
      <w:szCs w:val="24"/>
    </w:rPr>
  </w:style>
  <w:style w:type="paragraph" w:styleId="Footer">
    <w:name w:val="footer"/>
    <w:basedOn w:val="Normal"/>
    <w:link w:val="FooterChar"/>
    <w:uiPriority w:val="99"/>
    <w:rsid w:val="00812067"/>
    <w:pPr>
      <w:tabs>
        <w:tab w:val="center" w:pos="4153"/>
        <w:tab w:val="right" w:pos="8306"/>
      </w:tabs>
    </w:pPr>
    <w:rPr>
      <w:rFonts w:eastAsia="宋体"/>
    </w:rPr>
  </w:style>
  <w:style w:type="character" w:customStyle="1" w:styleId="FooterChar">
    <w:name w:val="Footer Char"/>
    <w:link w:val="Footer"/>
    <w:uiPriority w:val="99"/>
    <w:locked/>
    <w:rsid w:val="00812067"/>
    <w:rPr>
      <w:rFonts w:ascii="Times New Roman" w:hAnsi="Times New Roman" w:cs="Times New Roman"/>
      <w:sz w:val="24"/>
      <w:szCs w:val="24"/>
    </w:rPr>
  </w:style>
  <w:style w:type="paragraph" w:styleId="BalloonText">
    <w:name w:val="Balloon Text"/>
    <w:basedOn w:val="Normal"/>
    <w:link w:val="BalloonTextChar"/>
    <w:uiPriority w:val="99"/>
    <w:semiHidden/>
    <w:rsid w:val="00F70396"/>
    <w:rPr>
      <w:rFonts w:eastAsia="宋体"/>
      <w:sz w:val="16"/>
      <w:szCs w:val="20"/>
    </w:rPr>
  </w:style>
  <w:style w:type="character" w:customStyle="1" w:styleId="BalloonTextChar">
    <w:name w:val="Balloon Text Char"/>
    <w:link w:val="BalloonText"/>
    <w:uiPriority w:val="99"/>
    <w:semiHidden/>
    <w:locked/>
    <w:rsid w:val="00F70396"/>
    <w:rPr>
      <w:rFonts w:ascii="Times New Roman" w:hAnsi="Times New Roman" w:cs="Times New Roman"/>
      <w:sz w:val="16"/>
    </w:rPr>
  </w:style>
  <w:style w:type="character" w:styleId="CommentReference">
    <w:name w:val="annotation reference"/>
    <w:uiPriority w:val="99"/>
    <w:semiHidden/>
    <w:rsid w:val="00E272C7"/>
    <w:rPr>
      <w:rFonts w:cs="Times New Roman"/>
      <w:sz w:val="16"/>
      <w:szCs w:val="16"/>
    </w:rPr>
  </w:style>
  <w:style w:type="paragraph" w:styleId="CommentText">
    <w:name w:val="annotation text"/>
    <w:basedOn w:val="Normal"/>
    <w:link w:val="CommentTextChar"/>
    <w:uiPriority w:val="99"/>
    <w:rsid w:val="00E272C7"/>
    <w:rPr>
      <w:rFonts w:eastAsia="宋体"/>
      <w:sz w:val="20"/>
      <w:szCs w:val="20"/>
    </w:rPr>
  </w:style>
  <w:style w:type="character" w:customStyle="1" w:styleId="CommentTextChar">
    <w:name w:val="Comment Text Char"/>
    <w:link w:val="CommentText"/>
    <w:uiPriority w:val="99"/>
    <w:locked/>
    <w:rsid w:val="006F43A3"/>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E272C7"/>
    <w:rPr>
      <w:b/>
      <w:bCs/>
    </w:rPr>
  </w:style>
  <w:style w:type="character" w:customStyle="1" w:styleId="CommentSubjectChar">
    <w:name w:val="Comment Subject Char"/>
    <w:link w:val="CommentSubject"/>
    <w:uiPriority w:val="99"/>
    <w:semiHidden/>
    <w:locked/>
    <w:rsid w:val="006F43A3"/>
    <w:rPr>
      <w:rFonts w:ascii="Times New Roman" w:hAnsi="Times New Roman" w:cs="Times New Roman"/>
      <w:b/>
      <w:bCs/>
      <w:sz w:val="20"/>
      <w:szCs w:val="20"/>
      <w:lang w:val="en-US" w:eastAsia="en-US"/>
    </w:rPr>
  </w:style>
  <w:style w:type="character" w:customStyle="1" w:styleId="highlight2">
    <w:name w:val="highlight2"/>
    <w:basedOn w:val="DefaultParagraphFont"/>
    <w:rsid w:val="004516A0"/>
  </w:style>
  <w:style w:type="character" w:customStyle="1" w:styleId="apple-converted-space">
    <w:name w:val="apple-converted-space"/>
    <w:basedOn w:val="DefaultParagraphFont"/>
    <w:rsid w:val="00FA3762"/>
  </w:style>
  <w:style w:type="character" w:customStyle="1" w:styleId="Heading1Char">
    <w:name w:val="Heading 1 Char"/>
    <w:link w:val="Heading1"/>
    <w:uiPriority w:val="9"/>
    <w:rsid w:val="00E42940"/>
    <w:rPr>
      <w:rFonts w:ascii="Times New Roman" w:eastAsia="Times New Roman" w:hAnsi="Times New Roman" w:cs="Times New Roman"/>
      <w:b/>
      <w:bCs/>
      <w:kern w:val="36"/>
      <w:sz w:val="48"/>
      <w:szCs w:val="48"/>
    </w:rPr>
  </w:style>
  <w:style w:type="table" w:styleId="TableGrid">
    <w:name w:val="Table Grid"/>
    <w:basedOn w:val="TableNormal"/>
    <w:uiPriority w:val="59"/>
    <w:locked/>
    <w:rsid w:val="00773050"/>
    <w:rPr>
      <w:rFonts w:eastAsia="Times New Roman"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1">
    <w:name w:val="highlight1"/>
    <w:rsid w:val="001C38FD"/>
    <w:rPr>
      <w:shd w:val="clear" w:color="auto" w:fill="F1BFE0"/>
    </w:rPr>
  </w:style>
  <w:style w:type="paragraph" w:styleId="Revision">
    <w:name w:val="Revision"/>
    <w:hidden/>
    <w:rsid w:val="008533D9"/>
    <w:rPr>
      <w:rFonts w:ascii="Times New Roman" w:eastAsia="Times New Roman" w:hAnsi="Times New Roman" w:cs="Times New Roman"/>
      <w:sz w:val="24"/>
      <w:szCs w:val="24"/>
    </w:rPr>
  </w:style>
  <w:style w:type="character" w:customStyle="1" w:styleId="highlight">
    <w:name w:val="highlight"/>
    <w:basedOn w:val="DefaultParagraphFont"/>
    <w:rsid w:val="00A40928"/>
  </w:style>
  <w:style w:type="character" w:customStyle="1" w:styleId="st1">
    <w:name w:val="st1"/>
    <w:basedOn w:val="DefaultParagraphFont"/>
    <w:rsid w:val="00590040"/>
  </w:style>
  <w:style w:type="character" w:styleId="Strong">
    <w:name w:val="Strong"/>
    <w:qFormat/>
    <w:rsid w:val="005900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MS Serif"/>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C2E27"/>
    <w:rPr>
      <w:rFonts w:ascii="Times New Roman" w:eastAsia="Times New Roman" w:hAnsi="Times New Roman" w:cs="Times New Roman"/>
      <w:sz w:val="24"/>
      <w:szCs w:val="24"/>
    </w:rPr>
  </w:style>
  <w:style w:type="paragraph" w:styleId="Heading1">
    <w:name w:val="heading 1"/>
    <w:basedOn w:val="Normal"/>
    <w:link w:val="Heading1Char"/>
    <w:uiPriority w:val="9"/>
    <w:qFormat/>
    <w:locked/>
    <w:rsid w:val="00E429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C2E27"/>
    <w:rPr>
      <w:rFonts w:cs="Times New Roman"/>
      <w:color w:val="0000FF"/>
      <w:u w:val="single"/>
    </w:rPr>
  </w:style>
  <w:style w:type="character" w:styleId="HTMLTypewriter">
    <w:name w:val="HTML Typewriter"/>
    <w:uiPriority w:val="99"/>
    <w:semiHidden/>
    <w:rsid w:val="00343DC2"/>
    <w:rPr>
      <w:rFonts w:ascii="Courier New" w:hAnsi="Courier New" w:cs="Courier New"/>
      <w:sz w:val="17"/>
      <w:szCs w:val="17"/>
    </w:rPr>
  </w:style>
  <w:style w:type="paragraph" w:styleId="Header">
    <w:name w:val="header"/>
    <w:basedOn w:val="Normal"/>
    <w:link w:val="HeaderChar"/>
    <w:uiPriority w:val="99"/>
    <w:semiHidden/>
    <w:rsid w:val="00812067"/>
    <w:pPr>
      <w:tabs>
        <w:tab w:val="center" w:pos="4153"/>
        <w:tab w:val="right" w:pos="8306"/>
      </w:tabs>
    </w:pPr>
    <w:rPr>
      <w:rFonts w:eastAsia="宋体"/>
    </w:rPr>
  </w:style>
  <w:style w:type="character" w:customStyle="1" w:styleId="HeaderChar">
    <w:name w:val="Header Char"/>
    <w:link w:val="Header"/>
    <w:uiPriority w:val="99"/>
    <w:semiHidden/>
    <w:locked/>
    <w:rsid w:val="00812067"/>
    <w:rPr>
      <w:rFonts w:ascii="Times New Roman" w:hAnsi="Times New Roman" w:cs="Times New Roman"/>
      <w:sz w:val="24"/>
      <w:szCs w:val="24"/>
    </w:rPr>
  </w:style>
  <w:style w:type="paragraph" w:styleId="Footer">
    <w:name w:val="footer"/>
    <w:basedOn w:val="Normal"/>
    <w:link w:val="FooterChar"/>
    <w:uiPriority w:val="99"/>
    <w:rsid w:val="00812067"/>
    <w:pPr>
      <w:tabs>
        <w:tab w:val="center" w:pos="4153"/>
        <w:tab w:val="right" w:pos="8306"/>
      </w:tabs>
    </w:pPr>
    <w:rPr>
      <w:rFonts w:eastAsia="宋体"/>
    </w:rPr>
  </w:style>
  <w:style w:type="character" w:customStyle="1" w:styleId="FooterChar">
    <w:name w:val="Footer Char"/>
    <w:link w:val="Footer"/>
    <w:uiPriority w:val="99"/>
    <w:locked/>
    <w:rsid w:val="00812067"/>
    <w:rPr>
      <w:rFonts w:ascii="Times New Roman" w:hAnsi="Times New Roman" w:cs="Times New Roman"/>
      <w:sz w:val="24"/>
      <w:szCs w:val="24"/>
    </w:rPr>
  </w:style>
  <w:style w:type="paragraph" w:styleId="BalloonText">
    <w:name w:val="Balloon Text"/>
    <w:basedOn w:val="Normal"/>
    <w:link w:val="BalloonTextChar"/>
    <w:uiPriority w:val="99"/>
    <w:semiHidden/>
    <w:rsid w:val="00F70396"/>
    <w:rPr>
      <w:rFonts w:eastAsia="宋体"/>
      <w:sz w:val="16"/>
      <w:szCs w:val="20"/>
    </w:rPr>
  </w:style>
  <w:style w:type="character" w:customStyle="1" w:styleId="BalloonTextChar">
    <w:name w:val="Balloon Text Char"/>
    <w:link w:val="BalloonText"/>
    <w:uiPriority w:val="99"/>
    <w:semiHidden/>
    <w:locked/>
    <w:rsid w:val="00F70396"/>
    <w:rPr>
      <w:rFonts w:ascii="Times New Roman" w:hAnsi="Times New Roman" w:cs="Times New Roman"/>
      <w:sz w:val="16"/>
    </w:rPr>
  </w:style>
  <w:style w:type="character" w:styleId="CommentReference">
    <w:name w:val="annotation reference"/>
    <w:uiPriority w:val="99"/>
    <w:semiHidden/>
    <w:rsid w:val="00E272C7"/>
    <w:rPr>
      <w:rFonts w:cs="Times New Roman"/>
      <w:sz w:val="16"/>
      <w:szCs w:val="16"/>
    </w:rPr>
  </w:style>
  <w:style w:type="paragraph" w:styleId="CommentText">
    <w:name w:val="annotation text"/>
    <w:basedOn w:val="Normal"/>
    <w:link w:val="CommentTextChar"/>
    <w:uiPriority w:val="99"/>
    <w:rsid w:val="00E272C7"/>
    <w:rPr>
      <w:rFonts w:eastAsia="宋体"/>
      <w:sz w:val="20"/>
      <w:szCs w:val="20"/>
    </w:rPr>
  </w:style>
  <w:style w:type="character" w:customStyle="1" w:styleId="CommentTextChar">
    <w:name w:val="Comment Text Char"/>
    <w:link w:val="CommentText"/>
    <w:uiPriority w:val="99"/>
    <w:locked/>
    <w:rsid w:val="006F43A3"/>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E272C7"/>
    <w:rPr>
      <w:b/>
      <w:bCs/>
    </w:rPr>
  </w:style>
  <w:style w:type="character" w:customStyle="1" w:styleId="CommentSubjectChar">
    <w:name w:val="Comment Subject Char"/>
    <w:link w:val="CommentSubject"/>
    <w:uiPriority w:val="99"/>
    <w:semiHidden/>
    <w:locked/>
    <w:rsid w:val="006F43A3"/>
    <w:rPr>
      <w:rFonts w:ascii="Times New Roman" w:hAnsi="Times New Roman" w:cs="Times New Roman"/>
      <w:b/>
      <w:bCs/>
      <w:sz w:val="20"/>
      <w:szCs w:val="20"/>
      <w:lang w:val="en-US" w:eastAsia="en-US"/>
    </w:rPr>
  </w:style>
  <w:style w:type="character" w:customStyle="1" w:styleId="highlight2">
    <w:name w:val="highlight2"/>
    <w:basedOn w:val="DefaultParagraphFont"/>
    <w:rsid w:val="004516A0"/>
  </w:style>
  <w:style w:type="character" w:customStyle="1" w:styleId="apple-converted-space">
    <w:name w:val="apple-converted-space"/>
    <w:basedOn w:val="DefaultParagraphFont"/>
    <w:rsid w:val="00FA3762"/>
  </w:style>
  <w:style w:type="character" w:customStyle="1" w:styleId="Heading1Char">
    <w:name w:val="Heading 1 Char"/>
    <w:link w:val="Heading1"/>
    <w:uiPriority w:val="9"/>
    <w:rsid w:val="00E42940"/>
    <w:rPr>
      <w:rFonts w:ascii="Times New Roman" w:eastAsia="Times New Roman" w:hAnsi="Times New Roman" w:cs="Times New Roman"/>
      <w:b/>
      <w:bCs/>
      <w:kern w:val="36"/>
      <w:sz w:val="48"/>
      <w:szCs w:val="48"/>
    </w:rPr>
  </w:style>
  <w:style w:type="table" w:styleId="TableGrid">
    <w:name w:val="Table Grid"/>
    <w:basedOn w:val="TableNormal"/>
    <w:uiPriority w:val="59"/>
    <w:locked/>
    <w:rsid w:val="00773050"/>
    <w:rPr>
      <w:rFonts w:eastAsia="Times New Roman"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1">
    <w:name w:val="highlight1"/>
    <w:rsid w:val="001C38FD"/>
    <w:rPr>
      <w:shd w:val="clear" w:color="auto" w:fill="F1BFE0"/>
    </w:rPr>
  </w:style>
  <w:style w:type="paragraph" w:styleId="Revision">
    <w:name w:val="Revision"/>
    <w:hidden/>
    <w:rsid w:val="008533D9"/>
    <w:rPr>
      <w:rFonts w:ascii="Times New Roman" w:eastAsia="Times New Roman" w:hAnsi="Times New Roman" w:cs="Times New Roman"/>
      <w:sz w:val="24"/>
      <w:szCs w:val="24"/>
    </w:rPr>
  </w:style>
  <w:style w:type="character" w:customStyle="1" w:styleId="highlight">
    <w:name w:val="highlight"/>
    <w:basedOn w:val="DefaultParagraphFont"/>
    <w:rsid w:val="00A40928"/>
  </w:style>
  <w:style w:type="character" w:customStyle="1" w:styleId="st1">
    <w:name w:val="st1"/>
    <w:basedOn w:val="DefaultParagraphFont"/>
    <w:rsid w:val="00590040"/>
  </w:style>
  <w:style w:type="character" w:styleId="Strong">
    <w:name w:val="Strong"/>
    <w:qFormat/>
    <w:rsid w:val="0059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0639">
      <w:marLeft w:val="0"/>
      <w:marRight w:val="0"/>
      <w:marTop w:val="0"/>
      <w:marBottom w:val="0"/>
      <w:divBdr>
        <w:top w:val="none" w:sz="0" w:space="0" w:color="auto"/>
        <w:left w:val="none" w:sz="0" w:space="0" w:color="auto"/>
        <w:bottom w:val="none" w:sz="0" w:space="0" w:color="auto"/>
        <w:right w:val="none" w:sz="0" w:space="0" w:color="auto"/>
      </w:divBdr>
      <w:divsChild>
        <w:div w:id="1076323317">
          <w:marLeft w:val="0"/>
          <w:marRight w:val="0"/>
          <w:marTop w:val="0"/>
          <w:marBottom w:val="0"/>
          <w:divBdr>
            <w:top w:val="none" w:sz="0" w:space="0" w:color="auto"/>
            <w:left w:val="none" w:sz="0" w:space="0" w:color="auto"/>
            <w:bottom w:val="none" w:sz="0" w:space="0" w:color="auto"/>
            <w:right w:val="none" w:sz="0" w:space="0" w:color="auto"/>
          </w:divBdr>
        </w:div>
        <w:div w:id="1297568863">
          <w:marLeft w:val="0"/>
          <w:marRight w:val="0"/>
          <w:marTop w:val="0"/>
          <w:marBottom w:val="0"/>
          <w:divBdr>
            <w:top w:val="none" w:sz="0" w:space="0" w:color="auto"/>
            <w:left w:val="none" w:sz="0" w:space="0" w:color="auto"/>
            <w:bottom w:val="none" w:sz="0" w:space="0" w:color="auto"/>
            <w:right w:val="none" w:sz="0" w:space="0" w:color="auto"/>
          </w:divBdr>
        </w:div>
        <w:div w:id="1928227527">
          <w:marLeft w:val="0"/>
          <w:marRight w:val="0"/>
          <w:marTop w:val="0"/>
          <w:marBottom w:val="0"/>
          <w:divBdr>
            <w:top w:val="none" w:sz="0" w:space="0" w:color="auto"/>
            <w:left w:val="none" w:sz="0" w:space="0" w:color="auto"/>
            <w:bottom w:val="none" w:sz="0" w:space="0" w:color="auto"/>
            <w:right w:val="none" w:sz="0" w:space="0" w:color="auto"/>
          </w:divBdr>
        </w:div>
        <w:div w:id="150099637">
          <w:marLeft w:val="0"/>
          <w:marRight w:val="0"/>
          <w:marTop w:val="0"/>
          <w:marBottom w:val="0"/>
          <w:divBdr>
            <w:top w:val="none" w:sz="0" w:space="0" w:color="auto"/>
            <w:left w:val="none" w:sz="0" w:space="0" w:color="auto"/>
            <w:bottom w:val="none" w:sz="0" w:space="0" w:color="auto"/>
            <w:right w:val="none" w:sz="0" w:space="0" w:color="auto"/>
          </w:divBdr>
        </w:div>
        <w:div w:id="2014841456">
          <w:marLeft w:val="0"/>
          <w:marRight w:val="0"/>
          <w:marTop w:val="0"/>
          <w:marBottom w:val="0"/>
          <w:divBdr>
            <w:top w:val="none" w:sz="0" w:space="0" w:color="auto"/>
            <w:left w:val="none" w:sz="0" w:space="0" w:color="auto"/>
            <w:bottom w:val="none" w:sz="0" w:space="0" w:color="auto"/>
            <w:right w:val="none" w:sz="0" w:space="0" w:color="auto"/>
          </w:divBdr>
        </w:div>
        <w:div w:id="1792937711">
          <w:marLeft w:val="0"/>
          <w:marRight w:val="0"/>
          <w:marTop w:val="0"/>
          <w:marBottom w:val="0"/>
          <w:divBdr>
            <w:top w:val="none" w:sz="0" w:space="0" w:color="auto"/>
            <w:left w:val="none" w:sz="0" w:space="0" w:color="auto"/>
            <w:bottom w:val="none" w:sz="0" w:space="0" w:color="auto"/>
            <w:right w:val="none" w:sz="0" w:space="0" w:color="auto"/>
          </w:divBdr>
        </w:div>
        <w:div w:id="1985506153">
          <w:marLeft w:val="0"/>
          <w:marRight w:val="0"/>
          <w:marTop w:val="0"/>
          <w:marBottom w:val="0"/>
          <w:divBdr>
            <w:top w:val="none" w:sz="0" w:space="0" w:color="auto"/>
            <w:left w:val="none" w:sz="0" w:space="0" w:color="auto"/>
            <w:bottom w:val="none" w:sz="0" w:space="0" w:color="auto"/>
            <w:right w:val="none" w:sz="0" w:space="0" w:color="auto"/>
          </w:divBdr>
        </w:div>
        <w:div w:id="1240020043">
          <w:marLeft w:val="0"/>
          <w:marRight w:val="0"/>
          <w:marTop w:val="0"/>
          <w:marBottom w:val="0"/>
          <w:divBdr>
            <w:top w:val="none" w:sz="0" w:space="0" w:color="auto"/>
            <w:left w:val="none" w:sz="0" w:space="0" w:color="auto"/>
            <w:bottom w:val="none" w:sz="0" w:space="0" w:color="auto"/>
            <w:right w:val="none" w:sz="0" w:space="0" w:color="auto"/>
          </w:divBdr>
        </w:div>
        <w:div w:id="1103768847">
          <w:marLeft w:val="0"/>
          <w:marRight w:val="0"/>
          <w:marTop w:val="0"/>
          <w:marBottom w:val="0"/>
          <w:divBdr>
            <w:top w:val="none" w:sz="0" w:space="0" w:color="auto"/>
            <w:left w:val="none" w:sz="0" w:space="0" w:color="auto"/>
            <w:bottom w:val="none" w:sz="0" w:space="0" w:color="auto"/>
            <w:right w:val="none" w:sz="0" w:space="0" w:color="auto"/>
          </w:divBdr>
        </w:div>
        <w:div w:id="1086465136">
          <w:marLeft w:val="0"/>
          <w:marRight w:val="0"/>
          <w:marTop w:val="0"/>
          <w:marBottom w:val="0"/>
          <w:divBdr>
            <w:top w:val="none" w:sz="0" w:space="0" w:color="auto"/>
            <w:left w:val="none" w:sz="0" w:space="0" w:color="auto"/>
            <w:bottom w:val="none" w:sz="0" w:space="0" w:color="auto"/>
            <w:right w:val="none" w:sz="0" w:space="0" w:color="auto"/>
          </w:divBdr>
        </w:div>
        <w:div w:id="1680161501">
          <w:marLeft w:val="0"/>
          <w:marRight w:val="0"/>
          <w:marTop w:val="0"/>
          <w:marBottom w:val="0"/>
          <w:divBdr>
            <w:top w:val="none" w:sz="0" w:space="0" w:color="auto"/>
            <w:left w:val="none" w:sz="0" w:space="0" w:color="auto"/>
            <w:bottom w:val="none" w:sz="0" w:space="0" w:color="auto"/>
            <w:right w:val="none" w:sz="0" w:space="0" w:color="auto"/>
          </w:divBdr>
        </w:div>
        <w:div w:id="1543326483">
          <w:marLeft w:val="0"/>
          <w:marRight w:val="0"/>
          <w:marTop w:val="0"/>
          <w:marBottom w:val="0"/>
          <w:divBdr>
            <w:top w:val="none" w:sz="0" w:space="0" w:color="auto"/>
            <w:left w:val="none" w:sz="0" w:space="0" w:color="auto"/>
            <w:bottom w:val="none" w:sz="0" w:space="0" w:color="auto"/>
            <w:right w:val="none" w:sz="0" w:space="0" w:color="auto"/>
          </w:divBdr>
        </w:div>
        <w:div w:id="912861822">
          <w:marLeft w:val="0"/>
          <w:marRight w:val="0"/>
          <w:marTop w:val="0"/>
          <w:marBottom w:val="0"/>
          <w:divBdr>
            <w:top w:val="none" w:sz="0" w:space="0" w:color="auto"/>
            <w:left w:val="none" w:sz="0" w:space="0" w:color="auto"/>
            <w:bottom w:val="none" w:sz="0" w:space="0" w:color="auto"/>
            <w:right w:val="none" w:sz="0" w:space="0" w:color="auto"/>
          </w:divBdr>
        </w:div>
        <w:div w:id="625507786">
          <w:marLeft w:val="0"/>
          <w:marRight w:val="0"/>
          <w:marTop w:val="0"/>
          <w:marBottom w:val="0"/>
          <w:divBdr>
            <w:top w:val="none" w:sz="0" w:space="0" w:color="auto"/>
            <w:left w:val="none" w:sz="0" w:space="0" w:color="auto"/>
            <w:bottom w:val="none" w:sz="0" w:space="0" w:color="auto"/>
            <w:right w:val="none" w:sz="0" w:space="0" w:color="auto"/>
          </w:divBdr>
        </w:div>
        <w:div w:id="1547595411">
          <w:marLeft w:val="0"/>
          <w:marRight w:val="0"/>
          <w:marTop w:val="0"/>
          <w:marBottom w:val="0"/>
          <w:divBdr>
            <w:top w:val="none" w:sz="0" w:space="0" w:color="auto"/>
            <w:left w:val="none" w:sz="0" w:space="0" w:color="auto"/>
            <w:bottom w:val="none" w:sz="0" w:space="0" w:color="auto"/>
            <w:right w:val="none" w:sz="0" w:space="0" w:color="auto"/>
          </w:divBdr>
        </w:div>
        <w:div w:id="902983987">
          <w:marLeft w:val="0"/>
          <w:marRight w:val="0"/>
          <w:marTop w:val="0"/>
          <w:marBottom w:val="0"/>
          <w:divBdr>
            <w:top w:val="none" w:sz="0" w:space="0" w:color="auto"/>
            <w:left w:val="none" w:sz="0" w:space="0" w:color="auto"/>
            <w:bottom w:val="none" w:sz="0" w:space="0" w:color="auto"/>
            <w:right w:val="none" w:sz="0" w:space="0" w:color="auto"/>
          </w:divBdr>
        </w:div>
        <w:div w:id="1385593338">
          <w:marLeft w:val="0"/>
          <w:marRight w:val="0"/>
          <w:marTop w:val="0"/>
          <w:marBottom w:val="0"/>
          <w:divBdr>
            <w:top w:val="none" w:sz="0" w:space="0" w:color="auto"/>
            <w:left w:val="none" w:sz="0" w:space="0" w:color="auto"/>
            <w:bottom w:val="none" w:sz="0" w:space="0" w:color="auto"/>
            <w:right w:val="none" w:sz="0" w:space="0" w:color="auto"/>
          </w:divBdr>
        </w:div>
        <w:div w:id="416291636">
          <w:marLeft w:val="0"/>
          <w:marRight w:val="0"/>
          <w:marTop w:val="0"/>
          <w:marBottom w:val="0"/>
          <w:divBdr>
            <w:top w:val="none" w:sz="0" w:space="0" w:color="auto"/>
            <w:left w:val="none" w:sz="0" w:space="0" w:color="auto"/>
            <w:bottom w:val="none" w:sz="0" w:space="0" w:color="auto"/>
            <w:right w:val="none" w:sz="0" w:space="0" w:color="auto"/>
          </w:divBdr>
        </w:div>
        <w:div w:id="1020163044">
          <w:marLeft w:val="0"/>
          <w:marRight w:val="0"/>
          <w:marTop w:val="0"/>
          <w:marBottom w:val="0"/>
          <w:divBdr>
            <w:top w:val="none" w:sz="0" w:space="0" w:color="auto"/>
            <w:left w:val="none" w:sz="0" w:space="0" w:color="auto"/>
            <w:bottom w:val="none" w:sz="0" w:space="0" w:color="auto"/>
            <w:right w:val="none" w:sz="0" w:space="0" w:color="auto"/>
          </w:divBdr>
        </w:div>
        <w:div w:id="370226348">
          <w:marLeft w:val="0"/>
          <w:marRight w:val="0"/>
          <w:marTop w:val="0"/>
          <w:marBottom w:val="0"/>
          <w:divBdr>
            <w:top w:val="none" w:sz="0" w:space="0" w:color="auto"/>
            <w:left w:val="none" w:sz="0" w:space="0" w:color="auto"/>
            <w:bottom w:val="none" w:sz="0" w:space="0" w:color="auto"/>
            <w:right w:val="none" w:sz="0" w:space="0" w:color="auto"/>
          </w:divBdr>
        </w:div>
        <w:div w:id="1328679248">
          <w:marLeft w:val="0"/>
          <w:marRight w:val="0"/>
          <w:marTop w:val="0"/>
          <w:marBottom w:val="0"/>
          <w:divBdr>
            <w:top w:val="none" w:sz="0" w:space="0" w:color="auto"/>
            <w:left w:val="none" w:sz="0" w:space="0" w:color="auto"/>
            <w:bottom w:val="none" w:sz="0" w:space="0" w:color="auto"/>
            <w:right w:val="none" w:sz="0" w:space="0" w:color="auto"/>
          </w:divBdr>
        </w:div>
        <w:div w:id="984697622">
          <w:marLeft w:val="0"/>
          <w:marRight w:val="0"/>
          <w:marTop w:val="0"/>
          <w:marBottom w:val="0"/>
          <w:divBdr>
            <w:top w:val="none" w:sz="0" w:space="0" w:color="auto"/>
            <w:left w:val="none" w:sz="0" w:space="0" w:color="auto"/>
            <w:bottom w:val="none" w:sz="0" w:space="0" w:color="auto"/>
            <w:right w:val="none" w:sz="0" w:space="0" w:color="auto"/>
          </w:divBdr>
        </w:div>
        <w:div w:id="889657887">
          <w:marLeft w:val="0"/>
          <w:marRight w:val="0"/>
          <w:marTop w:val="0"/>
          <w:marBottom w:val="0"/>
          <w:divBdr>
            <w:top w:val="none" w:sz="0" w:space="0" w:color="auto"/>
            <w:left w:val="none" w:sz="0" w:space="0" w:color="auto"/>
            <w:bottom w:val="none" w:sz="0" w:space="0" w:color="auto"/>
            <w:right w:val="none" w:sz="0" w:space="0" w:color="auto"/>
          </w:divBdr>
        </w:div>
        <w:div w:id="581257424">
          <w:marLeft w:val="0"/>
          <w:marRight w:val="0"/>
          <w:marTop w:val="0"/>
          <w:marBottom w:val="0"/>
          <w:divBdr>
            <w:top w:val="none" w:sz="0" w:space="0" w:color="auto"/>
            <w:left w:val="none" w:sz="0" w:space="0" w:color="auto"/>
            <w:bottom w:val="none" w:sz="0" w:space="0" w:color="auto"/>
            <w:right w:val="none" w:sz="0" w:space="0" w:color="auto"/>
          </w:divBdr>
        </w:div>
        <w:div w:id="2044551000">
          <w:marLeft w:val="0"/>
          <w:marRight w:val="0"/>
          <w:marTop w:val="0"/>
          <w:marBottom w:val="0"/>
          <w:divBdr>
            <w:top w:val="none" w:sz="0" w:space="0" w:color="auto"/>
            <w:left w:val="none" w:sz="0" w:space="0" w:color="auto"/>
            <w:bottom w:val="none" w:sz="0" w:space="0" w:color="auto"/>
            <w:right w:val="none" w:sz="0" w:space="0" w:color="auto"/>
          </w:divBdr>
        </w:div>
        <w:div w:id="1416047310">
          <w:marLeft w:val="0"/>
          <w:marRight w:val="0"/>
          <w:marTop w:val="0"/>
          <w:marBottom w:val="0"/>
          <w:divBdr>
            <w:top w:val="none" w:sz="0" w:space="0" w:color="auto"/>
            <w:left w:val="none" w:sz="0" w:space="0" w:color="auto"/>
            <w:bottom w:val="none" w:sz="0" w:space="0" w:color="auto"/>
            <w:right w:val="none" w:sz="0" w:space="0" w:color="auto"/>
          </w:divBdr>
        </w:div>
        <w:div w:id="1205285992">
          <w:marLeft w:val="0"/>
          <w:marRight w:val="0"/>
          <w:marTop w:val="0"/>
          <w:marBottom w:val="0"/>
          <w:divBdr>
            <w:top w:val="none" w:sz="0" w:space="0" w:color="auto"/>
            <w:left w:val="none" w:sz="0" w:space="0" w:color="auto"/>
            <w:bottom w:val="none" w:sz="0" w:space="0" w:color="auto"/>
            <w:right w:val="none" w:sz="0" w:space="0" w:color="auto"/>
          </w:divBdr>
        </w:div>
        <w:div w:id="392047866">
          <w:marLeft w:val="0"/>
          <w:marRight w:val="0"/>
          <w:marTop w:val="0"/>
          <w:marBottom w:val="0"/>
          <w:divBdr>
            <w:top w:val="none" w:sz="0" w:space="0" w:color="auto"/>
            <w:left w:val="none" w:sz="0" w:space="0" w:color="auto"/>
            <w:bottom w:val="none" w:sz="0" w:space="0" w:color="auto"/>
            <w:right w:val="none" w:sz="0" w:space="0" w:color="auto"/>
          </w:divBdr>
        </w:div>
        <w:div w:id="50737442">
          <w:marLeft w:val="0"/>
          <w:marRight w:val="0"/>
          <w:marTop w:val="0"/>
          <w:marBottom w:val="0"/>
          <w:divBdr>
            <w:top w:val="none" w:sz="0" w:space="0" w:color="auto"/>
            <w:left w:val="none" w:sz="0" w:space="0" w:color="auto"/>
            <w:bottom w:val="none" w:sz="0" w:space="0" w:color="auto"/>
            <w:right w:val="none" w:sz="0" w:space="0" w:color="auto"/>
          </w:divBdr>
        </w:div>
      </w:divsChild>
    </w:div>
    <w:div w:id="1780492442">
      <w:bodyDiv w:val="1"/>
      <w:marLeft w:val="0"/>
      <w:marRight w:val="0"/>
      <w:marTop w:val="0"/>
      <w:marBottom w:val="0"/>
      <w:divBdr>
        <w:top w:val="none" w:sz="0" w:space="0" w:color="auto"/>
        <w:left w:val="none" w:sz="0" w:space="0" w:color="auto"/>
        <w:bottom w:val="none" w:sz="0" w:space="0" w:color="auto"/>
        <w:right w:val="none" w:sz="0" w:space="0" w:color="auto"/>
      </w:divBdr>
    </w:div>
    <w:div w:id="1842819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package" Target="embeddings/Microsoft_PowerPoint_Slide11.sldx"/><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93" Type="http://schemas.microsoft.com/office/2011/relationships/people" Target="people.xml"/><Relationship Id="rId9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kari@kau.edu.sa" TargetMode="External"/><Relationship Id="rId10" Type="http://schemas.openxmlformats.org/officeDocument/2006/relationships/hyperlink" Target="http://www.ncbi.nlm.nih.gov/pubmed?term=Tellier%20S%5BAuthor%5D&amp;cauthor=true&amp;cauthor_uid=23340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916C-5AA1-3F43-8E22-3840DE03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5014</Words>
  <Characters>28585</Characters>
  <Application>Microsoft Macintosh Word</Application>
  <DocSecurity>0</DocSecurity>
  <Lines>238</Lines>
  <Paragraphs>67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Rituximab for troublesome cases of childhood nephrotic syndrome</vt:lpstr>
      <vt:lpstr>Rituximab for troublesome cases of childhood nephrotic syndrome</vt:lpstr>
    </vt:vector>
  </TitlesOfParts>
  <Company>Microsoft</Company>
  <LinksUpToDate>false</LinksUpToDate>
  <CharactersWithSpaces>33532</CharactersWithSpaces>
  <SharedDoc>false</SharedDoc>
  <HLinks>
    <vt:vector size="144" baseType="variant">
      <vt:variant>
        <vt:i4>3932191</vt:i4>
      </vt:variant>
      <vt:variant>
        <vt:i4>63</vt:i4>
      </vt:variant>
      <vt:variant>
        <vt:i4>0</vt:i4>
      </vt:variant>
      <vt:variant>
        <vt:i4>5</vt:i4>
      </vt:variant>
      <vt:variant>
        <vt:lpwstr>http://www.ncbi.nlm.nih.gov/pubmed/24965823</vt:lpwstr>
      </vt:variant>
      <vt:variant>
        <vt:lpwstr/>
      </vt:variant>
      <vt:variant>
        <vt:i4>5308508</vt:i4>
      </vt:variant>
      <vt:variant>
        <vt:i4>60</vt:i4>
      </vt:variant>
      <vt:variant>
        <vt:i4>0</vt:i4>
      </vt:variant>
      <vt:variant>
        <vt:i4>5</vt:i4>
      </vt:variant>
      <vt:variant>
        <vt:lpwstr>http://www.ncbi.nlm.nih.gov/pubmed?term=%22on behalf of the Rituximab for Childhood-onset Refractory Nephrotic Syndrome (RCRNS) Study Group%22%5BCorporate Author%5D</vt:lpwstr>
      </vt:variant>
      <vt:variant>
        <vt:lpwstr/>
      </vt:variant>
      <vt:variant>
        <vt:i4>6094898</vt:i4>
      </vt:variant>
      <vt:variant>
        <vt:i4>57</vt:i4>
      </vt:variant>
      <vt:variant>
        <vt:i4>0</vt:i4>
      </vt:variant>
      <vt:variant>
        <vt:i4>5</vt:i4>
      </vt:variant>
      <vt:variant>
        <vt:lpwstr>http://www.ncbi.nlm.nih.gov/pubmed?term=Ohashi Y%5BAuthor%5D&amp;cauthor=true&amp;cauthor_uid=24965823</vt:lpwstr>
      </vt:variant>
      <vt:variant>
        <vt:lpwstr/>
      </vt:variant>
      <vt:variant>
        <vt:i4>2424870</vt:i4>
      </vt:variant>
      <vt:variant>
        <vt:i4>54</vt:i4>
      </vt:variant>
      <vt:variant>
        <vt:i4>0</vt:i4>
      </vt:variant>
      <vt:variant>
        <vt:i4>5</vt:i4>
      </vt:variant>
      <vt:variant>
        <vt:lpwstr>http://www.ncbi.nlm.nih.gov/pubmed?term=Ito S%5BAuthor%5D&amp;cauthor=true&amp;cauthor_uid=24965823</vt:lpwstr>
      </vt:variant>
      <vt:variant>
        <vt:lpwstr/>
      </vt:variant>
      <vt:variant>
        <vt:i4>3342412</vt:i4>
      </vt:variant>
      <vt:variant>
        <vt:i4>51</vt:i4>
      </vt:variant>
      <vt:variant>
        <vt:i4>0</vt:i4>
      </vt:variant>
      <vt:variant>
        <vt:i4>5</vt:i4>
      </vt:variant>
      <vt:variant>
        <vt:lpwstr>http://www.ncbi.nlm.nih.gov/pubmed?term=Ishikura K%5BAuthor%5D&amp;cauthor=true&amp;cauthor_uid=24965823</vt:lpwstr>
      </vt:variant>
      <vt:variant>
        <vt:lpwstr/>
      </vt:variant>
      <vt:variant>
        <vt:i4>2752590</vt:i4>
      </vt:variant>
      <vt:variant>
        <vt:i4>48</vt:i4>
      </vt:variant>
      <vt:variant>
        <vt:i4>0</vt:i4>
      </vt:variant>
      <vt:variant>
        <vt:i4>5</vt:i4>
      </vt:variant>
      <vt:variant>
        <vt:lpwstr>http://www.ncbi.nlm.nih.gov/pubmed?term=Nakamura H%5BAuthor%5D&amp;cauthor=true&amp;cauthor_uid=24965823</vt:lpwstr>
      </vt:variant>
      <vt:variant>
        <vt:lpwstr/>
      </vt:variant>
      <vt:variant>
        <vt:i4>4456534</vt:i4>
      </vt:variant>
      <vt:variant>
        <vt:i4>45</vt:i4>
      </vt:variant>
      <vt:variant>
        <vt:i4>0</vt:i4>
      </vt:variant>
      <vt:variant>
        <vt:i4>5</vt:i4>
      </vt:variant>
      <vt:variant>
        <vt:lpwstr>http://www.ncbi.nlm.nih.gov/pubmed?term=Kaito H%5BAuthor%5D&amp;cauthor=true&amp;cauthor_uid=24965823</vt:lpwstr>
      </vt:variant>
      <vt:variant>
        <vt:lpwstr/>
      </vt:variant>
      <vt:variant>
        <vt:i4>4522021</vt:i4>
      </vt:variant>
      <vt:variant>
        <vt:i4>42</vt:i4>
      </vt:variant>
      <vt:variant>
        <vt:i4>0</vt:i4>
      </vt:variant>
      <vt:variant>
        <vt:i4>5</vt:i4>
      </vt:variant>
      <vt:variant>
        <vt:lpwstr>http://www.ncbi.nlm.nih.gov/pubmed?term=Tanaka R%5BAuthor%5D&amp;cauthor=true&amp;cauthor_uid=24965823</vt:lpwstr>
      </vt:variant>
      <vt:variant>
        <vt:lpwstr/>
      </vt:variant>
      <vt:variant>
        <vt:i4>5767245</vt:i4>
      </vt:variant>
      <vt:variant>
        <vt:i4>39</vt:i4>
      </vt:variant>
      <vt:variant>
        <vt:i4>0</vt:i4>
      </vt:variant>
      <vt:variant>
        <vt:i4>5</vt:i4>
      </vt:variant>
      <vt:variant>
        <vt:lpwstr>http://www.ncbi.nlm.nih.gov/pubmed?term=Takahashi S%5BAuthor%5D&amp;cauthor=true&amp;cauthor_uid=24965823</vt:lpwstr>
      </vt:variant>
      <vt:variant>
        <vt:lpwstr/>
      </vt:variant>
      <vt:variant>
        <vt:i4>4653090</vt:i4>
      </vt:variant>
      <vt:variant>
        <vt:i4>36</vt:i4>
      </vt:variant>
      <vt:variant>
        <vt:i4>0</vt:i4>
      </vt:variant>
      <vt:variant>
        <vt:i4>5</vt:i4>
      </vt:variant>
      <vt:variant>
        <vt:lpwstr>http://www.ncbi.nlm.nih.gov/pubmed?term=Ohtomo Y%5BAuthor%5D&amp;cauthor=true&amp;cauthor_uid=24965823</vt:lpwstr>
      </vt:variant>
      <vt:variant>
        <vt:lpwstr/>
      </vt:variant>
      <vt:variant>
        <vt:i4>5242953</vt:i4>
      </vt:variant>
      <vt:variant>
        <vt:i4>33</vt:i4>
      </vt:variant>
      <vt:variant>
        <vt:i4>0</vt:i4>
      </vt:variant>
      <vt:variant>
        <vt:i4>5</vt:i4>
      </vt:variant>
      <vt:variant>
        <vt:lpwstr>http://www.ncbi.nlm.nih.gov/pubmed?term=Nakanishi K%5BAuthor%5D&amp;cauthor=true&amp;cauthor_uid=24965823</vt:lpwstr>
      </vt:variant>
      <vt:variant>
        <vt:lpwstr/>
      </vt:variant>
      <vt:variant>
        <vt:i4>2621496</vt:i4>
      </vt:variant>
      <vt:variant>
        <vt:i4>30</vt:i4>
      </vt:variant>
      <vt:variant>
        <vt:i4>0</vt:i4>
      </vt:variant>
      <vt:variant>
        <vt:i4>5</vt:i4>
      </vt:variant>
      <vt:variant>
        <vt:lpwstr>http://www.ncbi.nlm.nih.gov/pubmed?term=Aya K%5BAuthor%5D&amp;cauthor=true&amp;cauthor_uid=24965823</vt:lpwstr>
      </vt:variant>
      <vt:variant>
        <vt:lpwstr/>
      </vt:variant>
      <vt:variant>
        <vt:i4>4849729</vt:i4>
      </vt:variant>
      <vt:variant>
        <vt:i4>27</vt:i4>
      </vt:variant>
      <vt:variant>
        <vt:i4>0</vt:i4>
      </vt:variant>
      <vt:variant>
        <vt:i4>5</vt:i4>
      </vt:variant>
      <vt:variant>
        <vt:lpwstr>http://www.ncbi.nlm.nih.gov/pubmed?term=Miura K%5BAuthor%5D&amp;cauthor=true&amp;cauthor_uid=24965823</vt:lpwstr>
      </vt:variant>
      <vt:variant>
        <vt:lpwstr/>
      </vt:variant>
      <vt:variant>
        <vt:i4>5570647</vt:i4>
      </vt:variant>
      <vt:variant>
        <vt:i4>24</vt:i4>
      </vt:variant>
      <vt:variant>
        <vt:i4>0</vt:i4>
      </vt:variant>
      <vt:variant>
        <vt:i4>5</vt:i4>
      </vt:variant>
      <vt:variant>
        <vt:lpwstr>http://www.ncbi.nlm.nih.gov/pubmed?term=Kamei K%5BAuthor%5D&amp;cauthor=true&amp;cauthor_uid=24965823</vt:lpwstr>
      </vt:variant>
      <vt:variant>
        <vt:lpwstr/>
      </vt:variant>
      <vt:variant>
        <vt:i4>2621474</vt:i4>
      </vt:variant>
      <vt:variant>
        <vt:i4>21</vt:i4>
      </vt:variant>
      <vt:variant>
        <vt:i4>0</vt:i4>
      </vt:variant>
      <vt:variant>
        <vt:i4>5</vt:i4>
      </vt:variant>
      <vt:variant>
        <vt:lpwstr>http://www.ncbi.nlm.nih.gov/pubmed?term=Tuchida N%5BAuthor%5D&amp;cauthor=true&amp;cauthor_uid=24965823</vt:lpwstr>
      </vt:variant>
      <vt:variant>
        <vt:lpwstr/>
      </vt:variant>
      <vt:variant>
        <vt:i4>2228299</vt:i4>
      </vt:variant>
      <vt:variant>
        <vt:i4>18</vt:i4>
      </vt:variant>
      <vt:variant>
        <vt:i4>0</vt:i4>
      </vt:variant>
      <vt:variant>
        <vt:i4>5</vt:i4>
      </vt:variant>
      <vt:variant>
        <vt:lpwstr>http://www.ncbi.nlm.nih.gov/pubmed?term=Mori R%5BAuthor%5D&amp;cauthor=true&amp;cauthor_uid=24965823</vt:lpwstr>
      </vt:variant>
      <vt:variant>
        <vt:lpwstr/>
      </vt:variant>
      <vt:variant>
        <vt:i4>2555968</vt:i4>
      </vt:variant>
      <vt:variant>
        <vt:i4>15</vt:i4>
      </vt:variant>
      <vt:variant>
        <vt:i4>0</vt:i4>
      </vt:variant>
      <vt:variant>
        <vt:i4>5</vt:i4>
      </vt:variant>
      <vt:variant>
        <vt:lpwstr>http://www.ncbi.nlm.nih.gov/pubmed?term=Nozu K%5BAuthor%5D&amp;cauthor=true&amp;cauthor_uid=24965823</vt:lpwstr>
      </vt:variant>
      <vt:variant>
        <vt:lpwstr/>
      </vt:variant>
      <vt:variant>
        <vt:i4>3473484</vt:i4>
      </vt:variant>
      <vt:variant>
        <vt:i4>12</vt:i4>
      </vt:variant>
      <vt:variant>
        <vt:i4>0</vt:i4>
      </vt:variant>
      <vt:variant>
        <vt:i4>5</vt:i4>
      </vt:variant>
      <vt:variant>
        <vt:lpwstr>http://www.ncbi.nlm.nih.gov/pubmed?term=Sako M%5BAuthor%5D&amp;cauthor=true&amp;cauthor_uid=24965823</vt:lpwstr>
      </vt:variant>
      <vt:variant>
        <vt:lpwstr/>
      </vt:variant>
      <vt:variant>
        <vt:i4>6029370</vt:i4>
      </vt:variant>
      <vt:variant>
        <vt:i4>9</vt:i4>
      </vt:variant>
      <vt:variant>
        <vt:i4>0</vt:i4>
      </vt:variant>
      <vt:variant>
        <vt:i4>5</vt:i4>
      </vt:variant>
      <vt:variant>
        <vt:lpwstr>http://www.ncbi.nlm.nih.gov/pubmed?term=Iijima K%5BAuthor%5D&amp;cauthor=true&amp;cauthor_uid=24965823</vt:lpwstr>
      </vt:variant>
      <vt:variant>
        <vt:lpwstr/>
      </vt:variant>
      <vt:variant>
        <vt:i4>3473442</vt:i4>
      </vt:variant>
      <vt:variant>
        <vt:i4>6</vt:i4>
      </vt:variant>
      <vt:variant>
        <vt:i4>0</vt:i4>
      </vt:variant>
      <vt:variant>
        <vt:i4>5</vt:i4>
      </vt:variant>
      <vt:variant>
        <vt:lpwstr>http://www.ncbi.nlm.nih.gov/pubmed?term=Tellier S%5BAuthor%5D&amp;cauthor=true&amp;cauthor_uid=23340857</vt:lpwstr>
      </vt:variant>
      <vt:variant>
        <vt:lpwstr/>
      </vt:variant>
      <vt:variant>
        <vt:i4>8192119</vt:i4>
      </vt:variant>
      <vt:variant>
        <vt:i4>3</vt:i4>
      </vt:variant>
      <vt:variant>
        <vt:i4>0</vt:i4>
      </vt:variant>
      <vt:variant>
        <vt:i4>5</vt:i4>
      </vt:variant>
      <vt:variant>
        <vt:lpwstr>mailto:jkari@kau.edu.sa</vt:lpwstr>
      </vt:variant>
      <vt:variant>
        <vt:lpwstr/>
      </vt:variant>
      <vt:variant>
        <vt:i4>6684771</vt:i4>
      </vt:variant>
      <vt:variant>
        <vt:i4>0</vt:i4>
      </vt:variant>
      <vt:variant>
        <vt:i4>0</vt:i4>
      </vt:variant>
      <vt:variant>
        <vt:i4>5</vt:i4>
      </vt:variant>
      <vt:variant>
        <vt:lpwstr>mailto:jkari@doctors.org.uk</vt:lpwstr>
      </vt:variant>
      <vt:variant>
        <vt:lpwstr/>
      </vt:variant>
      <vt:variant>
        <vt:i4>458846</vt:i4>
      </vt:variant>
      <vt:variant>
        <vt:i4>7</vt:i4>
      </vt:variant>
      <vt:variant>
        <vt:i4>0</vt:i4>
      </vt:variant>
      <vt:variant>
        <vt:i4>5</vt:i4>
      </vt:variant>
      <vt:variant>
        <vt:lpwstr>http://www.crossref.org/SimpleTextQuery/</vt:lpwstr>
      </vt:variant>
      <vt:variant>
        <vt:lpwstr/>
      </vt:variant>
      <vt:variant>
        <vt:i4>7077907</vt:i4>
      </vt:variant>
      <vt:variant>
        <vt:i4>4</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Rituximab for troublesome cases of childhood nephrotic syndrome</dc:title>
  <dc:creator>Senior Managing  Editor</dc:creator>
  <cp:lastModifiedBy>Na Ma</cp:lastModifiedBy>
  <cp:revision>2</cp:revision>
  <dcterms:created xsi:type="dcterms:W3CDTF">2014-10-24T16:09:00Z</dcterms:created>
  <dcterms:modified xsi:type="dcterms:W3CDTF">2014-10-24T16:09:00Z</dcterms:modified>
</cp:coreProperties>
</file>