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42" w:rsidRPr="003C3701" w:rsidRDefault="006F2942" w:rsidP="00414947">
      <w:pPr>
        <w:spacing w:after="0" w:line="360" w:lineRule="auto"/>
        <w:jc w:val="both"/>
        <w:rPr>
          <w:rFonts w:ascii="Book Antiqua" w:hAnsi="Book Antiqua" w:cs="Book Antiqua"/>
          <w:b/>
          <w:bCs/>
          <w:sz w:val="24"/>
          <w:szCs w:val="24"/>
          <w:lang w:eastAsia="en-US"/>
        </w:rPr>
      </w:pPr>
      <w:r w:rsidRPr="003C3701">
        <w:rPr>
          <w:rFonts w:ascii="Book Antiqua" w:hAnsi="Book Antiqua" w:cs="Book Antiqua"/>
          <w:b/>
          <w:bCs/>
          <w:sz w:val="24"/>
          <w:szCs w:val="24"/>
          <w:lang w:eastAsia="en-US"/>
        </w:rPr>
        <w:t xml:space="preserve">Name of journal: </w:t>
      </w:r>
      <w:r w:rsidRPr="003C3701">
        <w:rPr>
          <w:rFonts w:ascii="Book Antiqua" w:hAnsi="Book Antiqua" w:cs="Book Antiqua"/>
          <w:b/>
          <w:bCs/>
          <w:i/>
          <w:sz w:val="24"/>
          <w:szCs w:val="24"/>
          <w:lang w:eastAsia="en-US"/>
        </w:rPr>
        <w:t>World Journal of Hepatology</w:t>
      </w:r>
    </w:p>
    <w:p w:rsidR="006F2942" w:rsidRPr="003C3701" w:rsidRDefault="006F2942" w:rsidP="00414947">
      <w:pPr>
        <w:spacing w:after="0" w:line="360" w:lineRule="auto"/>
        <w:jc w:val="both"/>
        <w:rPr>
          <w:rFonts w:ascii="Book Antiqua" w:hAnsi="Book Antiqua" w:cs="Book Antiqua"/>
          <w:b/>
          <w:bCs/>
          <w:sz w:val="24"/>
          <w:szCs w:val="24"/>
          <w:lang w:eastAsia="en-US"/>
        </w:rPr>
      </w:pPr>
      <w:r w:rsidRPr="003C3701">
        <w:rPr>
          <w:rFonts w:ascii="Book Antiqua" w:hAnsi="Book Antiqua" w:cs="Book Antiqua"/>
          <w:b/>
          <w:bCs/>
          <w:sz w:val="24"/>
          <w:szCs w:val="24"/>
          <w:lang w:eastAsia="en-US"/>
        </w:rPr>
        <w:t>ESPS Manuscript NO: 16148</w:t>
      </w:r>
    </w:p>
    <w:p w:rsidR="006F2942" w:rsidRPr="003C3701" w:rsidRDefault="006F2942" w:rsidP="00414947">
      <w:pPr>
        <w:spacing w:after="0" w:line="360" w:lineRule="auto"/>
        <w:jc w:val="both"/>
        <w:rPr>
          <w:rFonts w:ascii="Book Antiqua" w:hAnsi="Book Antiqua" w:cs="Book Antiqua"/>
          <w:b/>
          <w:bCs/>
          <w:sz w:val="24"/>
          <w:szCs w:val="24"/>
          <w:lang w:eastAsia="zh-CN"/>
        </w:rPr>
      </w:pPr>
      <w:r w:rsidRPr="003C3701">
        <w:rPr>
          <w:rFonts w:ascii="Book Antiqua" w:hAnsi="Book Antiqua"/>
          <w:b/>
          <w:sz w:val="24"/>
          <w:szCs w:val="24"/>
          <w:lang w:eastAsia="en-US"/>
        </w:rPr>
        <w:t>Manuscript Type</w:t>
      </w:r>
      <w:r w:rsidRPr="003C3701">
        <w:rPr>
          <w:rFonts w:ascii="Book Antiqua" w:hAnsi="Book Antiqua"/>
          <w:b/>
          <w:sz w:val="24"/>
          <w:szCs w:val="24"/>
        </w:rPr>
        <w:t>:</w:t>
      </w:r>
      <w:r w:rsidRPr="003C3701">
        <w:rPr>
          <w:rFonts w:ascii="Book Antiqua" w:hAnsi="Book Antiqua" w:cs="Book Antiqua"/>
          <w:b/>
          <w:bCs/>
          <w:sz w:val="24"/>
          <w:szCs w:val="24"/>
          <w:lang w:eastAsia="en-US"/>
        </w:rPr>
        <w:t xml:space="preserve"> Editorial</w:t>
      </w:r>
    </w:p>
    <w:p w:rsidR="006F2942" w:rsidRPr="003C3701" w:rsidRDefault="006F2942" w:rsidP="00414947">
      <w:pPr>
        <w:spacing w:after="0" w:line="360" w:lineRule="auto"/>
        <w:jc w:val="both"/>
        <w:rPr>
          <w:rFonts w:ascii="Book Antiqua" w:hAnsi="Book Antiqua" w:cs="Book Antiqua"/>
          <w:b/>
          <w:bCs/>
          <w:sz w:val="24"/>
          <w:szCs w:val="24"/>
          <w:lang w:eastAsia="zh-CN"/>
        </w:rPr>
      </w:pPr>
    </w:p>
    <w:p w:rsidR="006F2942" w:rsidRPr="003C3701" w:rsidRDefault="006F2942" w:rsidP="00414947">
      <w:pPr>
        <w:spacing w:after="0" w:line="360" w:lineRule="auto"/>
        <w:jc w:val="both"/>
        <w:rPr>
          <w:rFonts w:ascii="Book Antiqua" w:hAnsi="Book Antiqua" w:cs="Book Antiqua"/>
          <w:b/>
          <w:bCs/>
          <w:sz w:val="24"/>
          <w:szCs w:val="24"/>
          <w:lang w:eastAsia="zh-CN"/>
        </w:rPr>
      </w:pPr>
      <w:r w:rsidRPr="003C3701">
        <w:rPr>
          <w:rFonts w:ascii="Book Antiqua" w:hAnsi="Book Antiqua" w:cs="Times New Roman"/>
          <w:b/>
          <w:sz w:val="24"/>
          <w:szCs w:val="24"/>
          <w:lang w:eastAsia="zh-HK"/>
        </w:rPr>
        <w:t>Optimal</w:t>
      </w:r>
      <w:r w:rsidRPr="003C3701">
        <w:rPr>
          <w:rFonts w:ascii="Book Antiqua" w:hAnsi="Book Antiqua" w:cs="Book Antiqua"/>
          <w:b/>
          <w:bCs/>
          <w:sz w:val="24"/>
          <w:szCs w:val="24"/>
        </w:rPr>
        <w:t xml:space="preserve"> surveillance program for hepatocellular carcinoma - getting ready, but not yet</w:t>
      </w:r>
    </w:p>
    <w:p w:rsidR="006F2942" w:rsidRPr="003C3701" w:rsidRDefault="006F2942" w:rsidP="00414947">
      <w:pPr>
        <w:spacing w:after="0" w:line="360" w:lineRule="auto"/>
        <w:jc w:val="both"/>
        <w:rPr>
          <w:rFonts w:ascii="Book Antiqua" w:hAnsi="Book Antiqua" w:cs="Book Antiqua"/>
          <w:b/>
          <w:bCs/>
          <w:sz w:val="24"/>
          <w:szCs w:val="24"/>
          <w:lang w:eastAsia="zh-CN"/>
        </w:rPr>
      </w:pPr>
    </w:p>
    <w:p w:rsidR="006F2942" w:rsidRPr="003C3701" w:rsidRDefault="006F2942" w:rsidP="00414947">
      <w:pPr>
        <w:spacing w:after="0" w:line="360" w:lineRule="auto"/>
        <w:jc w:val="both"/>
        <w:rPr>
          <w:rFonts w:ascii="Book Antiqua" w:hAnsi="Book Antiqua" w:cs="Book Antiqua"/>
          <w:sz w:val="24"/>
          <w:szCs w:val="24"/>
          <w:lang w:eastAsia="zh-CN"/>
        </w:rPr>
      </w:pPr>
      <w:r w:rsidRPr="003C3701">
        <w:rPr>
          <w:rFonts w:ascii="Book Antiqua" w:hAnsi="Book Antiqua" w:cs="Book Antiqua"/>
          <w:bCs/>
          <w:sz w:val="24"/>
          <w:szCs w:val="24"/>
          <w:lang w:eastAsia="zh-HK"/>
        </w:rPr>
        <w:t>Wong GL</w:t>
      </w:r>
      <w:r w:rsidRPr="003C3701">
        <w:rPr>
          <w:rFonts w:ascii="Book Antiqua" w:eastAsia="宋体" w:hAnsi="Book Antiqua" w:cs="Book Antiqua"/>
          <w:bCs/>
          <w:sz w:val="24"/>
          <w:szCs w:val="24"/>
          <w:lang w:eastAsia="zh-CN"/>
        </w:rPr>
        <w:t>.</w:t>
      </w:r>
      <w:r w:rsidRPr="003C3701">
        <w:rPr>
          <w:rFonts w:ascii="Book Antiqua" w:hAnsi="Book Antiqua" w:cs="Book Antiqua"/>
          <w:sz w:val="24"/>
          <w:szCs w:val="24"/>
        </w:rPr>
        <w:t xml:space="preserve"> Perfect HCC surveillance</w:t>
      </w:r>
    </w:p>
    <w:p w:rsidR="006F2942" w:rsidRPr="003C3701" w:rsidRDefault="006F2942" w:rsidP="00414947">
      <w:pPr>
        <w:spacing w:after="0" w:line="360" w:lineRule="auto"/>
        <w:jc w:val="both"/>
        <w:rPr>
          <w:rFonts w:ascii="Book Antiqua" w:eastAsia="宋体" w:hAnsi="Book Antiqua" w:cs="Book Antiqua"/>
          <w:sz w:val="24"/>
          <w:szCs w:val="24"/>
          <w:lang w:eastAsia="zh-CN"/>
        </w:rPr>
      </w:pPr>
    </w:p>
    <w:p w:rsidR="006F2942" w:rsidRPr="00217AE0" w:rsidRDefault="006F2942" w:rsidP="00414947">
      <w:pPr>
        <w:spacing w:after="0" w:line="360" w:lineRule="auto"/>
        <w:jc w:val="both"/>
        <w:rPr>
          <w:rFonts w:ascii="Book Antiqua" w:eastAsia="宋体" w:hAnsi="Book Antiqua" w:cs="Book Antiqua"/>
          <w:b/>
          <w:sz w:val="24"/>
          <w:szCs w:val="24"/>
          <w:lang w:eastAsia="zh-CN"/>
        </w:rPr>
      </w:pPr>
      <w:r w:rsidRPr="00217AE0">
        <w:rPr>
          <w:rFonts w:ascii="Book Antiqua" w:hAnsi="Book Antiqua" w:cs="Book Antiqua"/>
          <w:b/>
          <w:sz w:val="24"/>
          <w:szCs w:val="24"/>
        </w:rPr>
        <w:t>Grace Lai-Hung Wong</w:t>
      </w:r>
    </w:p>
    <w:p w:rsidR="006F2942" w:rsidRPr="003C3701" w:rsidRDefault="006F2942" w:rsidP="00414947">
      <w:pPr>
        <w:spacing w:after="0" w:line="360" w:lineRule="auto"/>
        <w:jc w:val="both"/>
        <w:rPr>
          <w:rFonts w:ascii="Book Antiqua" w:eastAsia="宋体" w:hAnsi="Book Antiqua" w:cs="Book Antiqua"/>
          <w:sz w:val="24"/>
          <w:szCs w:val="24"/>
          <w:lang w:eastAsia="zh-CN"/>
        </w:rPr>
      </w:pPr>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r w:rsidRPr="003C3701">
        <w:rPr>
          <w:rFonts w:ascii="Book Antiqua" w:hAnsi="Book Antiqua" w:cs="Book Antiqua"/>
          <w:b/>
          <w:sz w:val="24"/>
          <w:szCs w:val="24"/>
        </w:rPr>
        <w:t>Grace Lai-Hung Wong</w:t>
      </w:r>
      <w:r w:rsidRPr="003C3701">
        <w:rPr>
          <w:rFonts w:ascii="Book Antiqua" w:eastAsia="宋体" w:hAnsi="Book Antiqua" w:cs="Book Antiqua"/>
          <w:b/>
          <w:sz w:val="24"/>
          <w:szCs w:val="24"/>
          <w:lang w:eastAsia="zh-CN"/>
        </w:rPr>
        <w:t>,</w:t>
      </w:r>
      <w:r w:rsidRPr="003C3701">
        <w:rPr>
          <w:rFonts w:ascii="Book Antiqua" w:eastAsia="宋体" w:hAnsi="Book Antiqua" w:cs="Book Antiqua"/>
          <w:sz w:val="24"/>
          <w:szCs w:val="24"/>
          <w:lang w:eastAsia="zh-CN"/>
        </w:rPr>
        <w:t xml:space="preserve"> </w:t>
      </w:r>
      <w:r w:rsidRPr="003C3701">
        <w:rPr>
          <w:rFonts w:ascii="Book Antiqua" w:hAnsi="Book Antiqua" w:cs="Book Antiqua"/>
          <w:sz w:val="24"/>
          <w:szCs w:val="24"/>
        </w:rPr>
        <w:t>Institute of Digestive Disease,</w:t>
      </w:r>
      <w:r w:rsidRPr="003C3701">
        <w:rPr>
          <w:rFonts w:ascii="Book Antiqua" w:eastAsia="宋体" w:hAnsi="Book Antiqua" w:cs="Book Antiqua"/>
          <w:sz w:val="24"/>
          <w:szCs w:val="24"/>
          <w:lang w:eastAsia="zh-CN"/>
        </w:rPr>
        <w:t xml:space="preserve"> </w:t>
      </w:r>
      <w:r w:rsidRPr="003C3701">
        <w:rPr>
          <w:rFonts w:ascii="Book Antiqua" w:hAnsi="Book Antiqua" w:cs="Book Antiqua"/>
          <w:sz w:val="24"/>
          <w:szCs w:val="24"/>
        </w:rPr>
        <w:t>the Chinese University of Hong Kong</w:t>
      </w:r>
      <w:r w:rsidRPr="003C3701">
        <w:rPr>
          <w:rFonts w:ascii="Book Antiqua" w:eastAsia="宋体" w:hAnsi="Book Antiqua" w:cs="Book Antiqua"/>
          <w:sz w:val="24"/>
          <w:szCs w:val="24"/>
          <w:lang w:eastAsia="zh-CN"/>
        </w:rPr>
        <w:t>,</w:t>
      </w:r>
      <w:r w:rsidRPr="003C3701">
        <w:rPr>
          <w:rFonts w:ascii="Book Antiqua" w:hAnsi="Book Antiqua" w:cs="Book Antiqua"/>
          <w:sz w:val="24"/>
          <w:szCs w:val="24"/>
        </w:rPr>
        <w:t xml:space="preserve"> Hong Kong, China</w:t>
      </w:r>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r w:rsidRPr="003C3701">
        <w:rPr>
          <w:rFonts w:ascii="Book Antiqua" w:hAnsi="Book Antiqua" w:cs="Book Antiqua"/>
          <w:b/>
          <w:sz w:val="24"/>
          <w:szCs w:val="24"/>
        </w:rPr>
        <w:t>Grace Lai-Hung Wong</w:t>
      </w:r>
      <w:r w:rsidRPr="003C3701">
        <w:rPr>
          <w:rFonts w:ascii="Book Antiqua" w:eastAsia="宋体" w:hAnsi="Book Antiqua" w:cs="Book Antiqua"/>
          <w:b/>
          <w:sz w:val="24"/>
          <w:szCs w:val="24"/>
          <w:lang w:eastAsia="zh-CN"/>
        </w:rPr>
        <w:t xml:space="preserve">, </w:t>
      </w:r>
      <w:r w:rsidRPr="003C3701">
        <w:rPr>
          <w:rFonts w:ascii="Book Antiqua" w:hAnsi="Book Antiqua" w:cs="Book Antiqua"/>
          <w:sz w:val="24"/>
          <w:szCs w:val="24"/>
        </w:rPr>
        <w:t>Department of Medicine and Therapeutics</w:t>
      </w:r>
      <w:r w:rsidRPr="003C3701">
        <w:rPr>
          <w:rFonts w:ascii="Book Antiqua" w:eastAsia="宋体" w:hAnsi="Book Antiqua" w:cs="Book Antiqua"/>
          <w:sz w:val="24"/>
          <w:szCs w:val="24"/>
          <w:lang w:eastAsia="zh-CN"/>
        </w:rPr>
        <w:t xml:space="preserve">, </w:t>
      </w:r>
      <w:r w:rsidRPr="003C3701">
        <w:rPr>
          <w:rFonts w:ascii="Book Antiqua" w:hAnsi="Book Antiqua" w:cs="Book Antiqua"/>
          <w:sz w:val="24"/>
          <w:szCs w:val="24"/>
        </w:rPr>
        <w:t>the Chinese University of Hong Kong</w:t>
      </w:r>
      <w:r w:rsidRPr="003C3701">
        <w:rPr>
          <w:rFonts w:ascii="Book Antiqua" w:eastAsia="宋体" w:hAnsi="Book Antiqua" w:cs="Book Antiqua"/>
          <w:sz w:val="24"/>
          <w:szCs w:val="24"/>
          <w:lang w:eastAsia="zh-CN"/>
        </w:rPr>
        <w:t>,</w:t>
      </w:r>
      <w:r w:rsidRPr="003C3701">
        <w:rPr>
          <w:rFonts w:ascii="Book Antiqua" w:hAnsi="Book Antiqua" w:cs="Book Antiqua"/>
          <w:sz w:val="24"/>
          <w:szCs w:val="24"/>
        </w:rPr>
        <w:t xml:space="preserve"> Hong Kong, China</w:t>
      </w:r>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r w:rsidRPr="003C3701">
        <w:rPr>
          <w:rFonts w:ascii="Book Antiqua" w:hAnsi="Book Antiqua" w:cs="Book Antiqua"/>
          <w:b/>
          <w:sz w:val="24"/>
          <w:szCs w:val="24"/>
        </w:rPr>
        <w:t>Grace Lai-Hung Wong</w:t>
      </w:r>
      <w:r w:rsidRPr="003C3701">
        <w:rPr>
          <w:rFonts w:ascii="Book Antiqua" w:eastAsia="宋体" w:hAnsi="Book Antiqua" w:cs="Book Antiqua"/>
          <w:b/>
          <w:sz w:val="24"/>
          <w:szCs w:val="24"/>
          <w:lang w:eastAsia="zh-CN"/>
        </w:rPr>
        <w:t xml:space="preserve">, </w:t>
      </w:r>
      <w:r w:rsidRPr="003C3701">
        <w:rPr>
          <w:rFonts w:ascii="Book Antiqua" w:hAnsi="Book Antiqua" w:cs="Book Antiqua"/>
          <w:sz w:val="24"/>
          <w:szCs w:val="24"/>
        </w:rPr>
        <w:t>State Key Laboratory of Digestive Disease, the Chinese University of Hong Kong</w:t>
      </w:r>
      <w:r w:rsidRPr="003C3701">
        <w:rPr>
          <w:rFonts w:ascii="Book Antiqua" w:eastAsia="宋体" w:hAnsi="Book Antiqua" w:cs="Book Antiqua"/>
          <w:sz w:val="24"/>
          <w:szCs w:val="24"/>
          <w:lang w:eastAsia="zh-CN"/>
        </w:rPr>
        <w:t>,</w:t>
      </w:r>
      <w:r w:rsidRPr="003C3701">
        <w:rPr>
          <w:rFonts w:ascii="Book Antiqua" w:hAnsi="Book Antiqua" w:cs="Book Antiqua"/>
          <w:sz w:val="24"/>
          <w:szCs w:val="24"/>
        </w:rPr>
        <w:t xml:space="preserve"> Hong Kong, China</w:t>
      </w:r>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spacing w:after="0" w:line="360" w:lineRule="auto"/>
        <w:jc w:val="both"/>
        <w:rPr>
          <w:rFonts w:ascii="Book Antiqua" w:hAnsi="Book Antiqua"/>
          <w:b/>
          <w:sz w:val="24"/>
          <w:szCs w:val="24"/>
        </w:rPr>
      </w:pPr>
      <w:r w:rsidRPr="003C3701">
        <w:rPr>
          <w:rFonts w:ascii="Book Antiqua" w:hAnsi="Book Antiqua"/>
          <w:b/>
          <w:sz w:val="24"/>
          <w:szCs w:val="24"/>
        </w:rPr>
        <w:t>Author contributions:</w:t>
      </w:r>
      <w:r w:rsidRPr="003C3701">
        <w:rPr>
          <w:rFonts w:ascii="Book Antiqua" w:eastAsia="宋体" w:hAnsi="Book Antiqua"/>
          <w:b/>
          <w:sz w:val="24"/>
          <w:szCs w:val="24"/>
          <w:lang w:eastAsia="zh-CN"/>
        </w:rPr>
        <w:t xml:space="preserve"> </w:t>
      </w:r>
      <w:r w:rsidRPr="003C3701">
        <w:rPr>
          <w:rFonts w:ascii="Book Antiqua" w:hAnsi="Book Antiqua" w:cs="Book Antiqua"/>
          <w:bCs/>
          <w:sz w:val="24"/>
          <w:szCs w:val="24"/>
          <w:lang w:eastAsia="zh-HK"/>
        </w:rPr>
        <w:t>Wong GL was responsible for the conception, writing, review and revision of the manuscript.</w:t>
      </w:r>
    </w:p>
    <w:p w:rsidR="006F2942" w:rsidRPr="003C3701" w:rsidRDefault="006F2942" w:rsidP="00414947">
      <w:pPr>
        <w:pStyle w:val="CommentText"/>
        <w:spacing w:before="0" w:after="0" w:line="360" w:lineRule="auto"/>
        <w:jc w:val="both"/>
        <w:rPr>
          <w:rFonts w:ascii="Book Antiqua" w:hAnsi="Book Antiqua"/>
          <w:sz w:val="24"/>
          <w:szCs w:val="24"/>
          <w:lang w:eastAsia="zh-CN"/>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rPr>
      </w:pPr>
      <w:r w:rsidRPr="003C3701">
        <w:rPr>
          <w:rFonts w:ascii="Book Antiqua" w:hAnsi="Book Antiqua"/>
          <w:b/>
          <w:sz w:val="24"/>
          <w:szCs w:val="24"/>
        </w:rPr>
        <w:t>Conflict-of-interest statement:</w:t>
      </w:r>
      <w:r w:rsidRPr="003C3701">
        <w:rPr>
          <w:rFonts w:ascii="Book Antiqua" w:eastAsia="宋体" w:hAnsi="Book Antiqua"/>
          <w:b/>
          <w:sz w:val="24"/>
          <w:szCs w:val="24"/>
          <w:lang w:eastAsia="zh-CN"/>
        </w:rPr>
        <w:t xml:space="preserve"> </w:t>
      </w:r>
      <w:r w:rsidRPr="003C3701">
        <w:rPr>
          <w:rFonts w:ascii="Book Antiqua" w:hAnsi="Book Antiqua" w:cs="Book Antiqua"/>
          <w:sz w:val="24"/>
          <w:szCs w:val="24"/>
        </w:rPr>
        <w:t>Grace Lai-Hung Wong has served as an advisory committee member for Otsuka and Gilead. She has also served as a speaker for Abbvie, Bristol-Myers Squibb, Echosens, Furui, Gilead and Otsuka.</w:t>
      </w:r>
    </w:p>
    <w:p w:rsidR="006F2942" w:rsidRPr="003C3701" w:rsidRDefault="006F2942" w:rsidP="00414947">
      <w:pPr>
        <w:adjustRightInd w:val="0"/>
        <w:snapToGrid w:val="0"/>
        <w:spacing w:after="0" w:line="360" w:lineRule="auto"/>
        <w:jc w:val="both"/>
        <w:rPr>
          <w:rFonts w:ascii="Book Antiqua" w:eastAsia="宋体" w:hAnsi="Book Antiqua"/>
          <w:b/>
          <w:sz w:val="24"/>
          <w:szCs w:val="24"/>
          <w:lang w:eastAsia="zh-CN"/>
        </w:rPr>
      </w:pPr>
    </w:p>
    <w:p w:rsidR="006F2942" w:rsidRPr="003C3701" w:rsidRDefault="006F2942" w:rsidP="0041494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C3701">
        <w:rPr>
          <w:rFonts w:ascii="Book Antiqua" w:hAnsi="Book Antiqua"/>
          <w:b/>
          <w:sz w:val="24"/>
          <w:szCs w:val="24"/>
        </w:rPr>
        <w:t xml:space="preserve">Open-Access: </w:t>
      </w:r>
      <w:r w:rsidRPr="003C370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F2942" w:rsidRPr="003C3701" w:rsidRDefault="006F2942" w:rsidP="00414947">
      <w:pPr>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b/>
          <w:bCs/>
          <w:sz w:val="24"/>
          <w:szCs w:val="24"/>
        </w:rPr>
      </w:pPr>
      <w:r w:rsidRPr="003C3701">
        <w:rPr>
          <w:rFonts w:ascii="Book Antiqua" w:hAnsi="Book Antiqua"/>
          <w:b/>
          <w:sz w:val="24"/>
          <w:szCs w:val="24"/>
        </w:rPr>
        <w:t>Correspondence to:</w:t>
      </w:r>
      <w:r w:rsidRPr="003C3701">
        <w:rPr>
          <w:rFonts w:ascii="Book Antiqua" w:hAnsi="Book Antiqua"/>
          <w:sz w:val="24"/>
          <w:szCs w:val="24"/>
        </w:rPr>
        <w:tab/>
      </w:r>
      <w:r w:rsidRPr="003C3701">
        <w:rPr>
          <w:rFonts w:ascii="Book Antiqua" w:eastAsia="宋体" w:hAnsi="Book Antiqua"/>
          <w:sz w:val="24"/>
          <w:szCs w:val="24"/>
          <w:lang w:eastAsia="zh-CN"/>
        </w:rPr>
        <w:t xml:space="preserve"> </w:t>
      </w:r>
      <w:r w:rsidRPr="003C3701">
        <w:rPr>
          <w:rFonts w:ascii="Book Antiqua" w:hAnsi="Book Antiqua"/>
          <w:b/>
          <w:sz w:val="24"/>
          <w:szCs w:val="24"/>
        </w:rPr>
        <w:t>Grace Lai-Hung Wong</w:t>
      </w:r>
      <w:r w:rsidRPr="003C3701">
        <w:rPr>
          <w:rFonts w:ascii="Book Antiqua" w:eastAsia="宋体" w:hAnsi="Book Antiqua"/>
          <w:b/>
          <w:sz w:val="24"/>
          <w:szCs w:val="24"/>
          <w:lang w:eastAsia="zh-CN"/>
        </w:rPr>
        <w:t xml:space="preserve">, </w:t>
      </w:r>
      <w:r w:rsidRPr="003C3701">
        <w:rPr>
          <w:rFonts w:ascii="Book Antiqua" w:hAnsi="Book Antiqua"/>
          <w:b/>
          <w:sz w:val="24"/>
          <w:szCs w:val="24"/>
        </w:rPr>
        <w:t>MD</w:t>
      </w:r>
      <w:r w:rsidRPr="003C3701">
        <w:rPr>
          <w:rFonts w:ascii="Book Antiqua" w:eastAsia="宋体" w:hAnsi="Book Antiqua"/>
          <w:b/>
          <w:sz w:val="24"/>
          <w:szCs w:val="24"/>
          <w:lang w:eastAsia="zh-CN"/>
        </w:rPr>
        <w:t>,</w:t>
      </w:r>
      <w:r w:rsidRPr="003C3701">
        <w:rPr>
          <w:rFonts w:ascii="Book Antiqua" w:eastAsia="宋体" w:hAnsi="Book Antiqua"/>
          <w:sz w:val="24"/>
          <w:szCs w:val="24"/>
          <w:lang w:eastAsia="zh-CN"/>
        </w:rPr>
        <w:t xml:space="preserve"> </w:t>
      </w:r>
      <w:r w:rsidRPr="003C3701">
        <w:rPr>
          <w:rFonts w:ascii="Book Antiqua" w:hAnsi="Book Antiqua"/>
          <w:sz w:val="24"/>
          <w:szCs w:val="24"/>
        </w:rPr>
        <w:t xml:space="preserve">Department of Medicine and Therapeutics, 9/F Prince of Wales Hospital, </w:t>
      </w:r>
      <w:r w:rsidRPr="003C3701">
        <w:rPr>
          <w:rFonts w:ascii="Book Antiqua" w:hAnsi="Book Antiqua" w:cs="Book Antiqua"/>
          <w:sz w:val="24"/>
          <w:szCs w:val="24"/>
        </w:rPr>
        <w:t>the Chinese University of Hong Kong</w:t>
      </w:r>
      <w:r w:rsidRPr="003C3701">
        <w:rPr>
          <w:rFonts w:ascii="Book Antiqua" w:eastAsia="宋体" w:hAnsi="Book Antiqua" w:cs="Book Antiqua"/>
          <w:sz w:val="24"/>
          <w:szCs w:val="24"/>
          <w:lang w:eastAsia="zh-CN"/>
        </w:rPr>
        <w:t xml:space="preserve">, </w:t>
      </w:r>
      <w:r w:rsidRPr="003C3701">
        <w:rPr>
          <w:rFonts w:ascii="Book Antiqua" w:hAnsi="Book Antiqua"/>
          <w:sz w:val="24"/>
          <w:szCs w:val="24"/>
        </w:rPr>
        <w:t>30-32 Ngan Shing Street, Shatin, Hong Kong</w:t>
      </w:r>
      <w:r w:rsidRPr="003C3701">
        <w:rPr>
          <w:rFonts w:ascii="Book Antiqua" w:eastAsia="宋体" w:hAnsi="Book Antiqua"/>
          <w:sz w:val="24"/>
          <w:szCs w:val="24"/>
          <w:lang w:eastAsia="zh-CN"/>
        </w:rPr>
        <w:t xml:space="preserve">, </w:t>
      </w:r>
      <w:r w:rsidRPr="003C3701">
        <w:rPr>
          <w:rFonts w:ascii="Book Antiqua" w:hAnsi="Book Antiqua" w:cs="Book Antiqua"/>
          <w:sz w:val="24"/>
          <w:szCs w:val="24"/>
        </w:rPr>
        <w:t>China</w:t>
      </w:r>
      <w:r w:rsidRPr="003C3701">
        <w:rPr>
          <w:rFonts w:ascii="Book Antiqua" w:eastAsia="宋体" w:hAnsi="Book Antiqua" w:cs="Book Antiqua"/>
          <w:sz w:val="24"/>
          <w:szCs w:val="24"/>
          <w:lang w:eastAsia="zh-CN"/>
        </w:rPr>
        <w:t>.</w:t>
      </w:r>
      <w:r w:rsidRPr="003C3701">
        <w:rPr>
          <w:rFonts w:ascii="Book Antiqua" w:hAnsi="Book Antiqua"/>
          <w:sz w:val="24"/>
          <w:szCs w:val="24"/>
        </w:rPr>
        <w:t xml:space="preserve"> </w:t>
      </w:r>
      <w:r w:rsidRPr="003C3701">
        <w:rPr>
          <w:rFonts w:ascii="Book Antiqua" w:hAnsi="Book Antiqua" w:cs="Book Antiqua"/>
          <w:sz w:val="24"/>
          <w:szCs w:val="24"/>
        </w:rPr>
        <w:t>wonglaihung@cuhk.edu.hk</w:t>
      </w:r>
    </w:p>
    <w:p w:rsidR="006F2942" w:rsidRPr="003C3701" w:rsidRDefault="006F2942" w:rsidP="00414947">
      <w:pPr>
        <w:spacing w:after="0" w:line="360" w:lineRule="auto"/>
        <w:jc w:val="both"/>
        <w:rPr>
          <w:rFonts w:ascii="Book Antiqua" w:eastAsia="宋体" w:hAnsi="Book Antiqua" w:cs="Book Antiqua"/>
          <w:sz w:val="24"/>
          <w:szCs w:val="24"/>
          <w:lang w:eastAsia="zh-CN"/>
        </w:rPr>
      </w:pPr>
      <w:r w:rsidRPr="003C3701">
        <w:rPr>
          <w:rFonts w:ascii="Book Antiqua" w:hAnsi="Book Antiqua"/>
          <w:b/>
          <w:bCs/>
          <w:sz w:val="24"/>
          <w:szCs w:val="24"/>
        </w:rPr>
        <w:t>Telephone:</w:t>
      </w:r>
      <w:r w:rsidRPr="003C3701">
        <w:rPr>
          <w:rFonts w:ascii="Book Antiqua" w:eastAsia="宋体" w:hAnsi="Book Antiqua" w:cs="Book Antiqua"/>
          <w:sz w:val="24"/>
          <w:szCs w:val="24"/>
          <w:lang w:eastAsia="zh-CN"/>
        </w:rPr>
        <w:t xml:space="preserve"> +</w:t>
      </w:r>
      <w:r>
        <w:rPr>
          <w:rFonts w:ascii="Book Antiqua" w:hAnsi="Book Antiqua" w:cs="Book Antiqua"/>
          <w:sz w:val="24"/>
          <w:szCs w:val="24"/>
        </w:rPr>
        <w:t>852-2632</w:t>
      </w:r>
      <w:r w:rsidRPr="003C3701">
        <w:rPr>
          <w:rFonts w:ascii="Book Antiqua" w:hAnsi="Book Antiqua" w:cs="Book Antiqua"/>
          <w:sz w:val="24"/>
          <w:szCs w:val="24"/>
        </w:rPr>
        <w:t>3538</w:t>
      </w:r>
    </w:p>
    <w:p w:rsidR="006F2942" w:rsidRPr="003C3701" w:rsidRDefault="006F2942" w:rsidP="00414947">
      <w:pPr>
        <w:spacing w:after="0" w:line="360" w:lineRule="auto"/>
        <w:jc w:val="both"/>
        <w:rPr>
          <w:rFonts w:ascii="Book Antiqua" w:eastAsia="宋体" w:hAnsi="Book Antiqua" w:cs="Book Antiqua"/>
          <w:sz w:val="24"/>
          <w:szCs w:val="24"/>
          <w:lang w:eastAsia="zh-CN"/>
        </w:rPr>
      </w:pPr>
      <w:bookmarkStart w:id="4" w:name="OLE_LINK2"/>
      <w:r w:rsidRPr="003C3701">
        <w:rPr>
          <w:rFonts w:ascii="Book Antiqua" w:hAnsi="Book Antiqua" w:cs="Book Antiqua"/>
          <w:b/>
          <w:sz w:val="24"/>
          <w:szCs w:val="24"/>
        </w:rPr>
        <w:t>Fax:</w:t>
      </w:r>
      <w:r w:rsidRPr="003C3701">
        <w:rPr>
          <w:rFonts w:ascii="Book Antiqua" w:eastAsia="宋体" w:hAnsi="Book Antiqua" w:cs="Book Antiqua"/>
          <w:sz w:val="24"/>
          <w:szCs w:val="24"/>
          <w:lang w:eastAsia="zh-CN"/>
        </w:rPr>
        <w:t xml:space="preserve"> +</w:t>
      </w:r>
      <w:r>
        <w:rPr>
          <w:rFonts w:ascii="Book Antiqua" w:hAnsi="Book Antiqua" w:cs="Book Antiqua"/>
          <w:sz w:val="24"/>
          <w:szCs w:val="24"/>
        </w:rPr>
        <w:t>852-2637</w:t>
      </w:r>
      <w:r w:rsidRPr="003C3701">
        <w:rPr>
          <w:rFonts w:ascii="Book Antiqua" w:hAnsi="Book Antiqua" w:cs="Book Antiqua"/>
          <w:sz w:val="24"/>
          <w:szCs w:val="24"/>
        </w:rPr>
        <w:t>3852</w:t>
      </w:r>
      <w:bookmarkEnd w:id="4"/>
    </w:p>
    <w:p w:rsidR="006F2942" w:rsidRPr="003C3701" w:rsidRDefault="006F2942" w:rsidP="00414947">
      <w:pPr>
        <w:autoSpaceDE w:val="0"/>
        <w:autoSpaceDN w:val="0"/>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117E5C">
      <w:pPr>
        <w:spacing w:after="0" w:line="360" w:lineRule="auto"/>
        <w:jc w:val="both"/>
        <w:rPr>
          <w:rFonts w:ascii="Book Antiqua" w:eastAsia="宋体" w:hAnsi="Book Antiqua"/>
          <w:b/>
          <w:sz w:val="24"/>
          <w:szCs w:val="24"/>
          <w:lang w:eastAsia="zh-CN"/>
        </w:rPr>
      </w:pPr>
      <w:r w:rsidRPr="003C3701">
        <w:rPr>
          <w:rFonts w:ascii="Book Antiqua" w:hAnsi="Book Antiqua"/>
          <w:b/>
          <w:sz w:val="24"/>
          <w:szCs w:val="24"/>
        </w:rPr>
        <w:t>Received:</w:t>
      </w:r>
      <w:r w:rsidRPr="003C3701">
        <w:rPr>
          <w:rFonts w:ascii="Book Antiqua" w:eastAsia="宋体" w:hAnsi="Book Antiqua"/>
          <w:b/>
          <w:sz w:val="24"/>
          <w:szCs w:val="24"/>
          <w:lang w:eastAsia="zh-CN"/>
        </w:rPr>
        <w:t xml:space="preserve"> </w:t>
      </w:r>
      <w:r w:rsidRPr="003C3701">
        <w:rPr>
          <w:rFonts w:ascii="Book Antiqua" w:hAnsi="Book Antiqua"/>
          <w:sz w:val="24"/>
        </w:rPr>
        <w:t>December</w:t>
      </w:r>
      <w:r w:rsidRPr="003C3701">
        <w:rPr>
          <w:rFonts w:ascii="Book Antiqua" w:eastAsia="宋体" w:hAnsi="Book Antiqua"/>
          <w:sz w:val="24"/>
          <w:lang w:eastAsia="zh-CN"/>
        </w:rPr>
        <w:t xml:space="preserve"> 29, 2014</w:t>
      </w:r>
    </w:p>
    <w:p w:rsidR="006F2942" w:rsidRPr="003C3701" w:rsidRDefault="006F2942" w:rsidP="00117E5C">
      <w:pPr>
        <w:spacing w:after="0" w:line="360" w:lineRule="auto"/>
        <w:jc w:val="both"/>
        <w:rPr>
          <w:rFonts w:ascii="Book Antiqua" w:eastAsia="宋体" w:hAnsi="Book Antiqua"/>
          <w:b/>
          <w:sz w:val="24"/>
          <w:szCs w:val="24"/>
          <w:lang w:eastAsia="zh-CN"/>
        </w:rPr>
      </w:pPr>
      <w:r w:rsidRPr="003C3701">
        <w:rPr>
          <w:rFonts w:ascii="Book Antiqua" w:hAnsi="Book Antiqua"/>
          <w:b/>
          <w:sz w:val="24"/>
          <w:szCs w:val="24"/>
        </w:rPr>
        <w:t>Peer-review started:</w:t>
      </w:r>
      <w:r w:rsidRPr="003C3701">
        <w:rPr>
          <w:rFonts w:ascii="Book Antiqua" w:eastAsia="宋体" w:hAnsi="Book Antiqua"/>
          <w:b/>
          <w:sz w:val="24"/>
          <w:szCs w:val="24"/>
          <w:lang w:eastAsia="zh-CN"/>
        </w:rPr>
        <w:t xml:space="preserve"> </w:t>
      </w:r>
      <w:r w:rsidRPr="003C3701">
        <w:rPr>
          <w:rFonts w:ascii="Book Antiqua" w:hAnsi="Book Antiqua"/>
          <w:sz w:val="24"/>
        </w:rPr>
        <w:t>December</w:t>
      </w:r>
      <w:r w:rsidRPr="003C3701">
        <w:rPr>
          <w:rFonts w:ascii="Book Antiqua" w:eastAsia="宋体" w:hAnsi="Book Antiqua"/>
          <w:sz w:val="24"/>
          <w:lang w:eastAsia="zh-CN"/>
        </w:rPr>
        <w:t xml:space="preserve"> 30, 2014</w:t>
      </w:r>
    </w:p>
    <w:p w:rsidR="006F2942" w:rsidRPr="003C3701" w:rsidRDefault="006F2942" w:rsidP="00117E5C">
      <w:pPr>
        <w:spacing w:after="0" w:line="360" w:lineRule="auto"/>
        <w:jc w:val="both"/>
        <w:rPr>
          <w:rFonts w:ascii="Book Antiqua" w:eastAsia="宋体" w:hAnsi="Book Antiqua"/>
          <w:b/>
          <w:sz w:val="24"/>
          <w:szCs w:val="24"/>
          <w:lang w:eastAsia="zh-CN"/>
        </w:rPr>
      </w:pPr>
      <w:r w:rsidRPr="003C3701">
        <w:rPr>
          <w:rFonts w:ascii="Book Antiqua" w:hAnsi="Book Antiqua"/>
          <w:b/>
          <w:sz w:val="24"/>
          <w:szCs w:val="24"/>
        </w:rPr>
        <w:t>First decision:</w:t>
      </w:r>
      <w:r w:rsidRPr="003C3701">
        <w:rPr>
          <w:rFonts w:ascii="Book Antiqua" w:eastAsia="宋体" w:hAnsi="Book Antiqua"/>
          <w:b/>
          <w:sz w:val="24"/>
          <w:szCs w:val="24"/>
          <w:lang w:eastAsia="zh-CN"/>
        </w:rPr>
        <w:t xml:space="preserve"> </w:t>
      </w:r>
      <w:r w:rsidRPr="003C3701">
        <w:rPr>
          <w:rFonts w:ascii="Book Antiqua" w:hAnsi="Book Antiqua"/>
          <w:iCs/>
          <w:sz w:val="24"/>
        </w:rPr>
        <w:t>January</w:t>
      </w:r>
      <w:r w:rsidRPr="003C3701">
        <w:rPr>
          <w:rFonts w:ascii="Book Antiqua" w:eastAsia="宋体" w:hAnsi="Book Antiqua"/>
          <w:iCs/>
          <w:sz w:val="24"/>
          <w:lang w:eastAsia="zh-CN"/>
        </w:rPr>
        <w:t xml:space="preserve"> 20, 2015</w:t>
      </w:r>
    </w:p>
    <w:p w:rsidR="006F2942" w:rsidRPr="003C3701" w:rsidRDefault="006F2942" w:rsidP="00117E5C">
      <w:pPr>
        <w:spacing w:after="0" w:line="360" w:lineRule="auto"/>
        <w:jc w:val="both"/>
        <w:rPr>
          <w:rFonts w:ascii="Book Antiqua" w:eastAsia="宋体" w:hAnsi="Book Antiqua"/>
          <w:b/>
          <w:sz w:val="24"/>
          <w:szCs w:val="24"/>
          <w:lang w:eastAsia="zh-CN"/>
        </w:rPr>
      </w:pPr>
      <w:r w:rsidRPr="003C3701">
        <w:rPr>
          <w:rFonts w:ascii="Book Antiqua" w:hAnsi="Book Antiqua"/>
          <w:b/>
          <w:sz w:val="24"/>
          <w:szCs w:val="24"/>
        </w:rPr>
        <w:t>Revised:</w:t>
      </w:r>
      <w:r w:rsidRPr="003C3701">
        <w:rPr>
          <w:rFonts w:ascii="Book Antiqua" w:eastAsia="宋体" w:hAnsi="Book Antiqua"/>
          <w:b/>
          <w:sz w:val="24"/>
          <w:szCs w:val="24"/>
          <w:lang w:eastAsia="zh-CN"/>
        </w:rPr>
        <w:t xml:space="preserve"> </w:t>
      </w:r>
      <w:r w:rsidRPr="003C3701">
        <w:rPr>
          <w:rFonts w:ascii="Book Antiqua" w:eastAsia="宋体" w:hAnsi="Book Antiqua"/>
          <w:sz w:val="24"/>
          <w:szCs w:val="24"/>
          <w:lang w:eastAsia="zh-CN"/>
        </w:rPr>
        <w:t>June 29, 2015</w:t>
      </w:r>
    </w:p>
    <w:p w:rsidR="006F2942" w:rsidRPr="003B3471" w:rsidRDefault="006F2942" w:rsidP="00117E5C">
      <w:pPr>
        <w:spacing w:after="0" w:line="360" w:lineRule="auto"/>
        <w:rPr>
          <w:rFonts w:ascii="Book Antiqua" w:hAnsi="Book Antiqua" w:cs="宋体"/>
          <w:sz w:val="24"/>
        </w:rPr>
      </w:pPr>
      <w:r w:rsidRPr="003C3701">
        <w:rPr>
          <w:rFonts w:ascii="Book Antiqua" w:hAnsi="Book Antiqua"/>
          <w:b/>
          <w:sz w:val="24"/>
          <w:szCs w:val="24"/>
        </w:rPr>
        <w:t>Accepted:</w:t>
      </w:r>
      <w:r w:rsidRPr="003B3471">
        <w:rPr>
          <w:rFonts w:ascii="Book Antiqua" w:hAnsi="Book Antiqua" w:cs="宋体"/>
          <w:sz w:val="24"/>
        </w:rPr>
        <w:t xml:space="preserve"> </w:t>
      </w:r>
      <w:r>
        <w:rPr>
          <w:rFonts w:ascii="Book Antiqua" w:hAnsi="Book Antiqua" w:cs="宋体"/>
          <w:sz w:val="24"/>
        </w:rPr>
        <w:t>August 10</w:t>
      </w:r>
      <w:r w:rsidRPr="00AF30D4">
        <w:rPr>
          <w:rFonts w:ascii="Book Antiqua" w:hAnsi="Book Antiqua" w:cs="宋体"/>
          <w:sz w:val="24"/>
        </w:rPr>
        <w:t>, 2015</w:t>
      </w:r>
      <w:bookmarkStart w:id="5" w:name="_GoBack"/>
      <w:bookmarkEnd w:id="5"/>
    </w:p>
    <w:p w:rsidR="006F2942" w:rsidRPr="003C3701" w:rsidRDefault="006F2942" w:rsidP="00117E5C">
      <w:pPr>
        <w:spacing w:after="0" w:line="360" w:lineRule="auto"/>
        <w:jc w:val="both"/>
        <w:rPr>
          <w:rFonts w:ascii="Book Antiqua" w:hAnsi="Book Antiqua"/>
          <w:b/>
          <w:sz w:val="24"/>
          <w:szCs w:val="24"/>
        </w:rPr>
      </w:pPr>
      <w:r w:rsidRPr="003C3701">
        <w:rPr>
          <w:rFonts w:ascii="Book Antiqua" w:hAnsi="Book Antiqua"/>
          <w:b/>
          <w:sz w:val="24"/>
          <w:szCs w:val="24"/>
        </w:rPr>
        <w:t>Article in press:</w:t>
      </w:r>
    </w:p>
    <w:p w:rsidR="006F2942" w:rsidRPr="003C3701" w:rsidRDefault="006F2942" w:rsidP="00117E5C">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3C3701">
        <w:rPr>
          <w:rFonts w:ascii="Book Antiqua" w:hAnsi="Book Antiqua"/>
          <w:b/>
          <w:sz w:val="24"/>
          <w:szCs w:val="24"/>
        </w:rPr>
        <w:t>Published online:</w:t>
      </w:r>
    </w:p>
    <w:p w:rsidR="006F2942" w:rsidRPr="003C3701" w:rsidRDefault="006F2942" w:rsidP="00414947">
      <w:pPr>
        <w:autoSpaceDE w:val="0"/>
        <w:autoSpaceDN w:val="0"/>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autoSpaceDE w:val="0"/>
        <w:autoSpaceDN w:val="0"/>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autoSpaceDE w:val="0"/>
        <w:autoSpaceDN w:val="0"/>
        <w:adjustRightInd w:val="0"/>
        <w:snapToGrid w:val="0"/>
        <w:spacing w:after="0" w:line="360" w:lineRule="auto"/>
        <w:jc w:val="both"/>
        <w:rPr>
          <w:rFonts w:ascii="Book Antiqua" w:eastAsia="宋体" w:hAnsi="Book Antiqua" w:cs="Book Antiqua"/>
          <w:sz w:val="24"/>
          <w:szCs w:val="24"/>
          <w:lang w:eastAsia="zh-CN"/>
        </w:rPr>
      </w:pPr>
    </w:p>
    <w:p w:rsidR="006F2942" w:rsidRPr="003C3701" w:rsidRDefault="006F2942" w:rsidP="00414947">
      <w:pPr>
        <w:autoSpaceDE w:val="0"/>
        <w:autoSpaceDN w:val="0"/>
        <w:adjustRightInd w:val="0"/>
        <w:snapToGrid w:val="0"/>
        <w:spacing w:after="0" w:line="360" w:lineRule="auto"/>
        <w:jc w:val="both"/>
        <w:rPr>
          <w:rFonts w:ascii="Book Antiqua" w:eastAsia="宋体" w:hAnsi="Book Antiqua" w:cs="Book Antiqua"/>
          <w:b/>
          <w:bCs/>
          <w:sz w:val="24"/>
          <w:szCs w:val="24"/>
          <w:lang w:eastAsia="zh-CN"/>
        </w:rPr>
      </w:pPr>
    </w:p>
    <w:p w:rsidR="006F2942" w:rsidRPr="003C3701" w:rsidRDefault="006F2942" w:rsidP="00414947">
      <w:pPr>
        <w:autoSpaceDE w:val="0"/>
        <w:autoSpaceDN w:val="0"/>
        <w:adjustRightInd w:val="0"/>
        <w:snapToGrid w:val="0"/>
        <w:spacing w:after="0" w:line="360" w:lineRule="auto"/>
        <w:jc w:val="both"/>
        <w:rPr>
          <w:rFonts w:ascii="Book Antiqua" w:hAnsi="Book Antiqua"/>
          <w:sz w:val="24"/>
          <w:szCs w:val="24"/>
          <w:lang w:eastAsia="zh-CN"/>
        </w:rPr>
      </w:pPr>
      <w:r w:rsidRPr="003C3701">
        <w:rPr>
          <w:rFonts w:ascii="Book Antiqua" w:hAnsi="Book Antiqua"/>
          <w:sz w:val="24"/>
          <w:szCs w:val="24"/>
          <w:lang w:eastAsia="zh-CN"/>
        </w:rPr>
        <w:br w:type="page"/>
      </w:r>
      <w:r w:rsidRPr="003C3701">
        <w:rPr>
          <w:rFonts w:ascii="Book Antiqua" w:hAnsi="Book Antiqua"/>
          <w:b/>
          <w:sz w:val="24"/>
          <w:szCs w:val="24"/>
        </w:rPr>
        <w:t>Abstract</w:t>
      </w:r>
    </w:p>
    <w:p w:rsidR="006F2942" w:rsidRPr="003C3701" w:rsidRDefault="006F2942" w:rsidP="00414947">
      <w:pPr>
        <w:pStyle w:val="CommentText"/>
        <w:spacing w:before="0" w:after="0" w:line="360" w:lineRule="auto"/>
        <w:jc w:val="both"/>
        <w:rPr>
          <w:rFonts w:ascii="Book Antiqua" w:hAnsi="Book Antiqua" w:cs="Book Antiqua"/>
          <w:sz w:val="24"/>
          <w:szCs w:val="24"/>
          <w:lang w:eastAsia="zh-HK"/>
        </w:rPr>
      </w:pPr>
      <w:r w:rsidRPr="003C3701">
        <w:rPr>
          <w:rFonts w:ascii="Book Antiqua" w:hAnsi="Book Antiqua" w:cs="Book Antiqua"/>
          <w:sz w:val="24"/>
          <w:szCs w:val="24"/>
          <w:lang w:eastAsia="zh-HK"/>
        </w:rPr>
        <w:t>Hepatocellular carcinoma (HCC) secondary to chronic viral hepatitis is a major health problem in Asian-Pacific regions due to the endemics of chronic hepatitis B and C virus infection. HCC surveillance has been recommended to patients who are at risk to develop HCC. Unfortunately, a significant proportion of patients still died in long run due to tumor recurrence. The key components of an optimal surveillance program include an accurate tumor biomarker and optimal surveillance interval. Serum alpha-fetoprotein (AFP), despite of being the most widely used biomarker for HCC surveillance, it was criticized as neither sensitive nor specific. Other HCC biomarkers, including lectin-reactive AFP (AFP-L3), des-gamma carboxyprothrombin, are still under investigations. Recent study showed cancer-associated genome-wide hypomethylation and copy number aberrations by plasma DNA bisulfite sequencing to be accurate with both sensitivity and specificity close to 90% in detecting HCC in a case-control study. Concerning the optimal surveillance interval, we believe one size does not fit all patients. Accurate risk prediction to assist prognostication with well-validated HCC risk scores would be useful to decide the need for HCC surveillance. These key components of an optimal HCC surveillance program should be further validated at a surveillance setting.</w:t>
      </w:r>
    </w:p>
    <w:p w:rsidR="006F2942" w:rsidRPr="003C3701" w:rsidRDefault="006F2942" w:rsidP="00414947">
      <w:pPr>
        <w:spacing w:after="0" w:line="360" w:lineRule="auto"/>
        <w:jc w:val="both"/>
        <w:rPr>
          <w:rFonts w:ascii="Book Antiqua" w:hAnsi="Book Antiqua" w:cs="Times New Roman"/>
          <w:b/>
          <w:bCs/>
          <w:sz w:val="24"/>
          <w:szCs w:val="24"/>
          <w:lang w:eastAsia="zh-CN"/>
        </w:rPr>
      </w:pPr>
    </w:p>
    <w:p w:rsidR="006F2942" w:rsidRPr="003C3701" w:rsidRDefault="006F2942" w:rsidP="00414947">
      <w:pPr>
        <w:spacing w:after="0" w:line="360" w:lineRule="auto"/>
        <w:jc w:val="both"/>
        <w:rPr>
          <w:rFonts w:ascii="Book Antiqua" w:hAnsi="Book Antiqua" w:cs="Book Antiqua"/>
          <w:sz w:val="24"/>
          <w:szCs w:val="24"/>
          <w:lang w:eastAsia="zh-HK"/>
        </w:rPr>
      </w:pPr>
      <w:r w:rsidRPr="003C3701">
        <w:rPr>
          <w:rFonts w:ascii="Book Antiqua" w:hAnsi="Book Antiqua" w:cs="Book Antiqua"/>
          <w:b/>
          <w:bCs/>
          <w:sz w:val="24"/>
          <w:szCs w:val="24"/>
        </w:rPr>
        <w:t xml:space="preserve">Key words: </w:t>
      </w:r>
      <w:r w:rsidRPr="003C3701">
        <w:rPr>
          <w:rFonts w:ascii="Book Antiqua" w:hAnsi="Book Antiqua" w:cs="Book Antiqua"/>
          <w:sz w:val="24"/>
          <w:szCs w:val="24"/>
        </w:rPr>
        <w:t xml:space="preserve">Antiviral therapy; Biomarkers; Hepatocellular carcinoma; </w:t>
      </w:r>
      <w:r w:rsidRPr="003C3701">
        <w:rPr>
          <w:rFonts w:ascii="Book Antiqua" w:hAnsi="Book Antiqua" w:cs="Book Antiqua"/>
          <w:sz w:val="24"/>
          <w:szCs w:val="24"/>
          <w:lang w:eastAsia="zh-HK"/>
        </w:rPr>
        <w:t xml:space="preserve">Hepatocellular carcinoma </w:t>
      </w:r>
      <w:r w:rsidRPr="003C3701">
        <w:rPr>
          <w:rFonts w:ascii="Book Antiqua" w:hAnsi="Book Antiqua" w:cs="Book Antiqua"/>
          <w:sz w:val="24"/>
          <w:szCs w:val="24"/>
        </w:rPr>
        <w:t xml:space="preserve">risk </w:t>
      </w:r>
      <w:r w:rsidRPr="003C3701">
        <w:rPr>
          <w:rFonts w:ascii="Book Antiqua" w:hAnsi="Book Antiqua" w:cs="Book Antiqua"/>
          <w:sz w:val="24"/>
          <w:szCs w:val="24"/>
          <w:lang w:eastAsia="zh-HK"/>
        </w:rPr>
        <w:t>scores</w:t>
      </w:r>
      <w:r w:rsidRPr="003C3701">
        <w:rPr>
          <w:rFonts w:ascii="Book Antiqua" w:hAnsi="Book Antiqua" w:cs="Book Antiqua"/>
          <w:sz w:val="24"/>
          <w:szCs w:val="24"/>
        </w:rPr>
        <w:t>; Liver stiffness measure;</w:t>
      </w:r>
      <w:r w:rsidRPr="003C3701">
        <w:rPr>
          <w:rFonts w:ascii="Book Antiqua" w:hAnsi="Book Antiqua" w:cs="Book Antiqua"/>
          <w:sz w:val="24"/>
          <w:szCs w:val="24"/>
          <w:lang w:eastAsia="zh-HK"/>
        </w:rPr>
        <w:t xml:space="preserve"> S</w:t>
      </w:r>
      <w:r w:rsidRPr="003C3701">
        <w:rPr>
          <w:rFonts w:ascii="Book Antiqua" w:hAnsi="Book Antiqua" w:cs="Book Antiqua"/>
          <w:sz w:val="24"/>
          <w:szCs w:val="24"/>
        </w:rPr>
        <w:t>urveillance program</w:t>
      </w:r>
    </w:p>
    <w:p w:rsidR="006F2942" w:rsidRPr="003C3701" w:rsidRDefault="006F2942" w:rsidP="00414947">
      <w:pPr>
        <w:spacing w:after="0" w:line="360" w:lineRule="auto"/>
        <w:jc w:val="both"/>
        <w:rPr>
          <w:rFonts w:ascii="Book Antiqua" w:eastAsia="宋体" w:hAnsi="Book Antiqua" w:cs="Book Antiqua"/>
          <w:sz w:val="24"/>
          <w:szCs w:val="24"/>
          <w:lang w:eastAsia="zh-CN"/>
        </w:rPr>
      </w:pPr>
    </w:p>
    <w:p w:rsidR="006F2942" w:rsidRPr="003C3701" w:rsidRDefault="006F2942" w:rsidP="00414947">
      <w:pPr>
        <w:snapToGrid w:val="0"/>
        <w:spacing w:after="0" w:line="360" w:lineRule="auto"/>
        <w:jc w:val="both"/>
        <w:rPr>
          <w:rFonts w:ascii="Book Antiqua" w:hAnsi="Book Antiqua"/>
          <w:sz w:val="24"/>
          <w:szCs w:val="24"/>
        </w:rPr>
      </w:pPr>
      <w:r w:rsidRPr="003C3701">
        <w:rPr>
          <w:rFonts w:ascii="Book Antiqua" w:hAnsi="Book Antiqua"/>
          <w:sz w:val="24"/>
          <w:szCs w:val="24"/>
        </w:rPr>
        <w:t xml:space="preserve">© </w:t>
      </w:r>
      <w:r w:rsidRPr="003C3701">
        <w:rPr>
          <w:rFonts w:ascii="Book Antiqua" w:hAnsi="Book Antiqua"/>
          <w:b/>
          <w:sz w:val="24"/>
          <w:szCs w:val="24"/>
        </w:rPr>
        <w:t>The Author(s) 2015</w:t>
      </w:r>
      <w:r w:rsidRPr="003C3701">
        <w:rPr>
          <w:rFonts w:ascii="Book Antiqua" w:hAnsi="Book Antiqua"/>
          <w:sz w:val="24"/>
          <w:szCs w:val="24"/>
        </w:rPr>
        <w:t>. Published by Baishideng Publishing Group Inc. All rights reserved.</w:t>
      </w:r>
    </w:p>
    <w:p w:rsidR="006F2942" w:rsidRPr="003C3701" w:rsidRDefault="006F2942" w:rsidP="00414947">
      <w:pPr>
        <w:spacing w:after="0" w:line="360" w:lineRule="auto"/>
        <w:jc w:val="both"/>
        <w:rPr>
          <w:rFonts w:ascii="Book Antiqua" w:eastAsia="宋体" w:hAnsi="Book Antiqua" w:cs="Book Antiqua"/>
          <w:sz w:val="24"/>
          <w:szCs w:val="24"/>
          <w:lang w:eastAsia="zh-CN"/>
        </w:rPr>
      </w:pPr>
    </w:p>
    <w:p w:rsidR="006F2942" w:rsidRPr="003C3701" w:rsidRDefault="006F2942" w:rsidP="00414947">
      <w:pPr>
        <w:spacing w:after="0" w:line="360" w:lineRule="auto"/>
        <w:jc w:val="both"/>
        <w:rPr>
          <w:rFonts w:ascii="Book Antiqua" w:hAnsi="Book Antiqua" w:cs="Book Antiqua"/>
          <w:sz w:val="24"/>
          <w:szCs w:val="24"/>
        </w:rPr>
      </w:pPr>
      <w:r w:rsidRPr="003C3701">
        <w:rPr>
          <w:rFonts w:ascii="Book Antiqua" w:hAnsi="Book Antiqua" w:cs="Book Antiqua"/>
          <w:b/>
          <w:bCs/>
          <w:sz w:val="24"/>
          <w:szCs w:val="24"/>
          <w:lang w:eastAsia="zh-CN"/>
        </w:rPr>
        <w:t xml:space="preserve">Core tip: </w:t>
      </w:r>
      <w:r w:rsidRPr="003C3701">
        <w:rPr>
          <w:rFonts w:ascii="Book Antiqua" w:hAnsi="Book Antiqua" w:cs="Book Antiqua"/>
          <w:sz w:val="24"/>
          <w:szCs w:val="24"/>
          <w:lang w:eastAsia="zh-HK"/>
        </w:rPr>
        <w:t>The key components of an optimal surveillance program include an accurate tumor biomarker and optimal surveillance interval for hepatocellular carcinoma (HCC). Cancer-associated genome-wide hypomethylation and copy number aberrations by plasma DNA bisulfite sequencing are two promising genomic markers of HCC. Risk prediction by HCC risk scores may assist prognostication and to decide the optimal surveillance interval.</w:t>
      </w:r>
    </w:p>
    <w:p w:rsidR="006F2942" w:rsidRPr="003C3701" w:rsidRDefault="006F2942" w:rsidP="00414947">
      <w:pPr>
        <w:spacing w:after="0" w:line="360" w:lineRule="auto"/>
        <w:jc w:val="both"/>
        <w:rPr>
          <w:rFonts w:ascii="Book Antiqua" w:eastAsia="宋体" w:hAnsi="Book Antiqua" w:cs="Times New Roman"/>
          <w:b/>
          <w:bCs/>
          <w:sz w:val="24"/>
          <w:szCs w:val="24"/>
          <w:lang w:eastAsia="zh-CN"/>
        </w:rPr>
      </w:pPr>
    </w:p>
    <w:p w:rsidR="006F2942" w:rsidRPr="003C3701" w:rsidRDefault="006F2942" w:rsidP="00414947">
      <w:pPr>
        <w:spacing w:after="0" w:line="360" w:lineRule="auto"/>
        <w:jc w:val="both"/>
        <w:rPr>
          <w:rFonts w:ascii="Book Antiqua" w:eastAsia="宋体" w:hAnsi="Book Antiqua" w:cs="Book Antiqua"/>
          <w:bCs/>
          <w:sz w:val="24"/>
          <w:szCs w:val="24"/>
          <w:lang w:eastAsia="zh-CN"/>
        </w:rPr>
      </w:pPr>
      <w:r w:rsidRPr="003C3701">
        <w:rPr>
          <w:rFonts w:ascii="Book Antiqua" w:hAnsi="Book Antiqua" w:cs="Book Antiqua"/>
          <w:bCs/>
          <w:sz w:val="24"/>
          <w:szCs w:val="24"/>
          <w:lang w:eastAsia="zh-HK"/>
        </w:rPr>
        <w:t>Wong GL</w:t>
      </w:r>
      <w:r w:rsidRPr="003C3701">
        <w:rPr>
          <w:rFonts w:ascii="Book Antiqua" w:eastAsia="宋体" w:hAnsi="Book Antiqua" w:cs="Book Antiqua"/>
          <w:bCs/>
          <w:sz w:val="24"/>
          <w:szCs w:val="24"/>
          <w:lang w:eastAsia="zh-CN"/>
        </w:rPr>
        <w:t xml:space="preserve">. </w:t>
      </w:r>
      <w:r w:rsidRPr="003C3701">
        <w:rPr>
          <w:rFonts w:ascii="Book Antiqua" w:hAnsi="Book Antiqua" w:cs="Times New Roman"/>
          <w:sz w:val="24"/>
          <w:szCs w:val="24"/>
          <w:lang w:eastAsia="zh-HK"/>
        </w:rPr>
        <w:t>Optimal</w:t>
      </w:r>
      <w:r w:rsidRPr="003C3701">
        <w:rPr>
          <w:rFonts w:ascii="Book Antiqua" w:hAnsi="Book Antiqua" w:cs="Book Antiqua"/>
          <w:bCs/>
          <w:sz w:val="24"/>
          <w:szCs w:val="24"/>
        </w:rPr>
        <w:t xml:space="preserve"> surveillance program for hepatocellular carcinoma - getting ready, but not yet</w:t>
      </w:r>
      <w:r w:rsidRPr="003C3701">
        <w:rPr>
          <w:rFonts w:ascii="Book Antiqua" w:eastAsia="宋体" w:hAnsi="Book Antiqua" w:cs="Book Antiqua"/>
          <w:bCs/>
          <w:sz w:val="24"/>
          <w:szCs w:val="24"/>
          <w:lang w:eastAsia="zh-CN"/>
        </w:rPr>
        <w:t xml:space="preserve">. </w:t>
      </w:r>
      <w:r w:rsidRPr="003C3701">
        <w:rPr>
          <w:rFonts w:ascii="Book Antiqua" w:hAnsi="Book Antiqua"/>
          <w:i/>
          <w:iCs/>
          <w:sz w:val="24"/>
          <w:szCs w:val="24"/>
        </w:rPr>
        <w:t>World J Hepatol</w:t>
      </w:r>
      <w:r w:rsidRPr="003C3701">
        <w:rPr>
          <w:rFonts w:ascii="Book Antiqua" w:eastAsia="宋体" w:hAnsi="Book Antiqua"/>
          <w:iCs/>
          <w:sz w:val="24"/>
          <w:szCs w:val="24"/>
          <w:lang w:eastAsia="zh-CN"/>
        </w:rPr>
        <w:t xml:space="preserve"> 2015; In press</w:t>
      </w:r>
    </w:p>
    <w:p w:rsidR="006F2942" w:rsidRPr="003C3701" w:rsidRDefault="006F2942" w:rsidP="00414947">
      <w:pPr>
        <w:spacing w:after="0" w:line="360" w:lineRule="auto"/>
        <w:jc w:val="both"/>
        <w:rPr>
          <w:rFonts w:ascii="Book Antiqua" w:hAnsi="Book Antiqua" w:cs="Book Antiqua"/>
          <w:sz w:val="24"/>
          <w:szCs w:val="24"/>
          <w:lang w:eastAsia="zh-CN"/>
        </w:rPr>
      </w:pPr>
    </w:p>
    <w:p w:rsidR="006F2942" w:rsidRPr="003C3701" w:rsidRDefault="006F2942" w:rsidP="00414947">
      <w:pPr>
        <w:spacing w:after="0" w:line="360" w:lineRule="auto"/>
        <w:jc w:val="both"/>
        <w:rPr>
          <w:rFonts w:ascii="Book Antiqua" w:eastAsia="宋体" w:hAnsi="Book Antiqua" w:cs="Times New Roman"/>
          <w:b/>
          <w:bCs/>
          <w:sz w:val="24"/>
          <w:szCs w:val="24"/>
          <w:lang w:eastAsia="zh-CN"/>
        </w:rPr>
      </w:pPr>
    </w:p>
    <w:p w:rsidR="006F2942" w:rsidRPr="003C3701" w:rsidRDefault="006F2942" w:rsidP="00320010">
      <w:pPr>
        <w:spacing w:after="0" w:line="360" w:lineRule="auto"/>
        <w:jc w:val="both"/>
        <w:rPr>
          <w:rFonts w:ascii="Book Antiqua" w:hAnsi="Book Antiqua" w:cs="Book Antiqua"/>
          <w:b/>
          <w:bCs/>
          <w:sz w:val="24"/>
          <w:szCs w:val="24"/>
        </w:rPr>
      </w:pPr>
      <w:r w:rsidRPr="003C3701">
        <w:rPr>
          <w:rFonts w:ascii="Book Antiqua" w:hAnsi="Book Antiqua" w:cs="Book Antiqua"/>
          <w:sz w:val="24"/>
          <w:szCs w:val="24"/>
        </w:rPr>
        <w:br w:type="page"/>
      </w:r>
      <w:r w:rsidRPr="003C3701">
        <w:rPr>
          <w:rFonts w:ascii="Book Antiqua" w:hAnsi="Book Antiqua" w:cs="Book Antiqua"/>
          <w:b/>
          <w:bCs/>
          <w:sz w:val="24"/>
          <w:szCs w:val="24"/>
        </w:rPr>
        <w:t>INTRODUCTION</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r w:rsidRPr="003C3701">
        <w:rPr>
          <w:rFonts w:ascii="Book Antiqua" w:hAnsi="Book Antiqua" w:cs="Book Antiqua"/>
          <w:sz w:val="24"/>
          <w:szCs w:val="24"/>
          <w:lang w:eastAsia="zh-HK"/>
        </w:rPr>
        <w:t xml:space="preserve">Hepatocellular carcinoma (HCC) secondary to chronic viral hepatitis is a major health problem in Asian-Pacific regions </w:t>
      </w:r>
      <w:r w:rsidRPr="003C3701">
        <w:rPr>
          <w:rFonts w:ascii="Book Antiqua" w:hAnsi="Book Antiqua" w:cs="Book Antiqua"/>
          <w:sz w:val="24"/>
          <w:szCs w:val="24"/>
        </w:rPr>
        <w:t>due to the endemics of chronic hepatitis B and C virus infection</w:t>
      </w:r>
      <w:r w:rsidRPr="003C3701">
        <w:rPr>
          <w:rFonts w:ascii="Book Antiqua" w:hAnsi="Book Antiqua" w:cs="Book Antiqua"/>
          <w:sz w:val="24"/>
          <w:szCs w:val="24"/>
          <w:vertAlign w:val="superscript"/>
          <w:lang w:eastAsia="zh-HK"/>
        </w:rPr>
        <w:t>[1]</w:t>
      </w:r>
      <w:r w:rsidRPr="003C3701">
        <w:rPr>
          <w:rFonts w:ascii="Book Antiqua" w:hAnsi="Book Antiqua" w:cs="Book Antiqua"/>
          <w:sz w:val="24"/>
          <w:szCs w:val="24"/>
          <w:lang w:eastAsia="zh-HK"/>
        </w:rPr>
        <w:t>. Antiviral therapy reduces the risk but does not eliminate HCC</w:t>
      </w:r>
      <w:r w:rsidRPr="003C3701">
        <w:rPr>
          <w:rFonts w:ascii="Book Antiqua" w:hAnsi="Book Antiqua" w:cs="Book Antiqua"/>
          <w:sz w:val="24"/>
          <w:szCs w:val="24"/>
          <w:vertAlign w:val="superscript"/>
          <w:lang w:eastAsia="zh-HK"/>
        </w:rPr>
        <w:t>[2]</w:t>
      </w:r>
      <w:r w:rsidRPr="003C3701">
        <w:rPr>
          <w:rFonts w:ascii="Book Antiqua" w:hAnsi="Book Antiqua" w:cs="Book Antiqua"/>
          <w:sz w:val="24"/>
          <w:szCs w:val="24"/>
          <w:lang w:eastAsia="zh-HK"/>
        </w:rPr>
        <w:t xml:space="preserve">. Therefore </w:t>
      </w:r>
      <w:r w:rsidRPr="003C3701">
        <w:rPr>
          <w:rFonts w:ascii="Book Antiqua" w:hAnsi="Book Antiqua" w:cs="Book Antiqua"/>
          <w:sz w:val="24"/>
          <w:szCs w:val="24"/>
        </w:rPr>
        <w:t xml:space="preserve">cancer surveillance remains indispensable </w:t>
      </w:r>
      <w:r w:rsidRPr="003C3701">
        <w:rPr>
          <w:rFonts w:ascii="Book Antiqua" w:hAnsi="Book Antiqua" w:cs="Book Antiqua"/>
          <w:sz w:val="24"/>
          <w:szCs w:val="24"/>
          <w:lang w:eastAsia="zh-HK"/>
        </w:rPr>
        <w:t xml:space="preserve">to </w:t>
      </w:r>
      <w:r w:rsidRPr="003C3701">
        <w:rPr>
          <w:rFonts w:ascii="Book Antiqua" w:hAnsi="Book Antiqua" w:cs="Book Antiqua"/>
          <w:sz w:val="24"/>
          <w:szCs w:val="24"/>
        </w:rPr>
        <w:t>patients who remain at high risk despite antiviral therapy, namely those with cirrhosis</w:t>
      </w:r>
      <w:r w:rsidRPr="003C3701">
        <w:rPr>
          <w:rFonts w:ascii="Book Antiqua" w:hAnsi="Book Antiqua" w:cs="Book Antiqua"/>
          <w:sz w:val="24"/>
          <w:szCs w:val="24"/>
          <w:vertAlign w:val="superscript"/>
          <w:lang w:eastAsia="zh-HK"/>
        </w:rPr>
        <w:t>[3]</w:t>
      </w:r>
      <w:r w:rsidRPr="003C3701">
        <w:rPr>
          <w:rFonts w:ascii="Book Antiqua" w:hAnsi="Book Antiqua" w:cs="Book Antiqua"/>
          <w:sz w:val="24"/>
          <w:szCs w:val="24"/>
          <w:lang w:eastAsia="zh-HK"/>
        </w:rPr>
        <w:t>.</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b/>
          <w:bCs/>
          <w:sz w:val="24"/>
          <w:szCs w:val="24"/>
          <w:lang w:eastAsia="zh-HK"/>
        </w:rPr>
      </w:pPr>
      <w:r w:rsidRPr="003C3701">
        <w:rPr>
          <w:rFonts w:ascii="Book Antiqua" w:hAnsi="Book Antiqua" w:cs="Book Antiqua"/>
          <w:b/>
          <w:bCs/>
          <w:sz w:val="24"/>
          <w:szCs w:val="24"/>
          <w:lang w:eastAsia="zh-HK"/>
        </w:rPr>
        <w:t>BENEFITS OF HCC SURVEILLANCE</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r w:rsidRPr="003C3701">
        <w:rPr>
          <w:rFonts w:ascii="Book Antiqua" w:hAnsi="Book Antiqua" w:cs="Book Antiqua"/>
          <w:sz w:val="24"/>
          <w:szCs w:val="24"/>
          <w:lang w:eastAsia="zh-HK"/>
        </w:rPr>
        <w:t>It has been recommended to offer HCC surveillance to patients who are at risk to develop HCC for almost a decade</w:t>
      </w:r>
      <w:r w:rsidRPr="003C3701">
        <w:rPr>
          <w:rFonts w:ascii="Book Antiqua" w:hAnsi="Book Antiqua" w:cs="Book Antiqua"/>
          <w:sz w:val="24"/>
          <w:szCs w:val="24"/>
          <w:vertAlign w:val="superscript"/>
          <w:lang w:eastAsia="zh-HK"/>
        </w:rPr>
        <w:t>[4]</w:t>
      </w:r>
      <w:r w:rsidRPr="003C3701">
        <w:rPr>
          <w:rFonts w:ascii="Book Antiqua" w:hAnsi="Book Antiqua" w:cs="Book Antiqua"/>
          <w:sz w:val="24"/>
          <w:szCs w:val="24"/>
          <w:lang w:eastAsia="zh-HK"/>
        </w:rPr>
        <w:t>.</w:t>
      </w:r>
      <w:r w:rsidRPr="003C3701">
        <w:rPr>
          <w:rFonts w:ascii="Book Antiqua" w:hAnsi="Book Antiqua" w:cs="Book Antiqua"/>
          <w:sz w:val="24"/>
          <w:szCs w:val="24"/>
          <w:vertAlign w:val="superscript"/>
          <w:lang w:eastAsia="zh-HK"/>
        </w:rPr>
        <w:t xml:space="preserve"> </w:t>
      </w:r>
      <w:r w:rsidRPr="003C3701">
        <w:rPr>
          <w:rFonts w:ascii="Book Antiqua" w:hAnsi="Book Antiqua" w:cs="Book Antiqua"/>
          <w:sz w:val="24"/>
          <w:szCs w:val="24"/>
          <w:lang w:eastAsia="zh-HK"/>
        </w:rPr>
        <w:t xml:space="preserve">The surveillance program recommended at that time was composed of the 6-monthly trans-abdominal ultrasonography and serum </w:t>
      </w:r>
      <w:r w:rsidRPr="003C3701">
        <w:rPr>
          <w:rFonts w:ascii="Book Antiqua" w:hAnsi="Book Antiqua" w:cs="Book Antiqua"/>
          <w:sz w:val="24"/>
          <w:szCs w:val="24"/>
          <w:lang w:val="en-GB"/>
        </w:rPr>
        <w:t>alpha-fetoprotein</w:t>
      </w:r>
      <w:r w:rsidRPr="003C3701">
        <w:rPr>
          <w:rFonts w:ascii="Book Antiqua" w:hAnsi="Book Antiqua" w:cs="Book Antiqua"/>
          <w:sz w:val="24"/>
          <w:szCs w:val="24"/>
          <w:lang w:eastAsia="zh-HK"/>
        </w:rPr>
        <w:t xml:space="preserve"> </w:t>
      </w:r>
      <w:r w:rsidRPr="003C3701">
        <w:rPr>
          <w:rFonts w:ascii="Book Antiqua" w:eastAsia="宋体" w:hAnsi="Book Antiqua" w:cs="Book Antiqua"/>
          <w:sz w:val="24"/>
          <w:szCs w:val="24"/>
          <w:lang w:eastAsia="zh-CN"/>
        </w:rPr>
        <w:t>(</w:t>
      </w:r>
      <w:r w:rsidRPr="003C3701">
        <w:rPr>
          <w:rFonts w:ascii="Book Antiqua" w:hAnsi="Book Antiqua" w:cs="Book Antiqua"/>
          <w:sz w:val="24"/>
          <w:szCs w:val="24"/>
          <w:lang w:eastAsia="zh-HK"/>
        </w:rPr>
        <w:t>AFP</w:t>
      </w:r>
      <w:r w:rsidRPr="003C3701">
        <w:rPr>
          <w:rFonts w:ascii="Book Antiqua" w:eastAsia="宋体" w:hAnsi="Book Antiqua" w:cs="Book Antiqua"/>
          <w:sz w:val="24"/>
          <w:szCs w:val="24"/>
          <w:lang w:eastAsia="zh-CN"/>
        </w:rPr>
        <w:t>)</w:t>
      </w:r>
      <w:r w:rsidRPr="003C3701">
        <w:rPr>
          <w:rFonts w:ascii="Book Antiqua" w:hAnsi="Book Antiqua" w:cs="Book Antiqua"/>
          <w:sz w:val="24"/>
          <w:szCs w:val="24"/>
          <w:lang w:eastAsia="zh-HK"/>
        </w:rPr>
        <w:t xml:space="preserve"> testing. HCC surveillance improves prognosis of patients by identifying tumors of smaller sizes, fewer numbers of tumors, and longer overall survival</w:t>
      </w:r>
      <w:r w:rsidRPr="003C3701">
        <w:rPr>
          <w:rFonts w:ascii="Book Antiqua" w:hAnsi="Book Antiqua" w:cs="Book Antiqua"/>
          <w:sz w:val="24"/>
          <w:szCs w:val="24"/>
          <w:vertAlign w:val="superscript"/>
          <w:lang w:eastAsia="zh-HK"/>
        </w:rPr>
        <w:t>[5]</w:t>
      </w:r>
      <w:r w:rsidRPr="003C3701">
        <w:rPr>
          <w:rFonts w:ascii="Book Antiqua" w:hAnsi="Book Antiqua" w:cs="Book Antiqua"/>
          <w:sz w:val="24"/>
          <w:szCs w:val="24"/>
          <w:lang w:eastAsia="zh-HK"/>
        </w:rPr>
        <w:t>. Unfortunately, nearly 40% of patients still died in 5 years even they had received regular HCC surveillance</w:t>
      </w:r>
      <w:r w:rsidRPr="003C3701">
        <w:rPr>
          <w:rFonts w:ascii="Book Antiqua" w:hAnsi="Book Antiqua" w:cs="Book Antiqua"/>
          <w:sz w:val="24"/>
          <w:szCs w:val="24"/>
          <w:vertAlign w:val="superscript"/>
          <w:lang w:eastAsia="zh-HK"/>
        </w:rPr>
        <w:t>[5]</w:t>
      </w:r>
      <w:r w:rsidRPr="003C3701">
        <w:rPr>
          <w:rFonts w:ascii="Book Antiqua" w:hAnsi="Book Antiqua" w:cs="Book Antiqua"/>
          <w:sz w:val="24"/>
          <w:szCs w:val="24"/>
          <w:lang w:eastAsia="zh-HK"/>
        </w:rPr>
        <w:t>. This implies the current HCC surveillance is still far from perfect.</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b/>
          <w:bCs/>
          <w:sz w:val="24"/>
          <w:szCs w:val="24"/>
          <w:lang w:eastAsia="zh-HK"/>
        </w:rPr>
      </w:pPr>
      <w:r w:rsidRPr="003C3701">
        <w:rPr>
          <w:rFonts w:ascii="Book Antiqua" w:hAnsi="Book Antiqua" w:cs="Book Antiqua"/>
          <w:b/>
          <w:bCs/>
          <w:sz w:val="24"/>
          <w:szCs w:val="24"/>
          <w:lang w:eastAsia="zh-HK"/>
        </w:rPr>
        <w:t>THE PERFECT HCC BIOMARKER – DOES IT EXIST?</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rPr>
      </w:pPr>
      <w:r w:rsidRPr="003C3701">
        <w:rPr>
          <w:rFonts w:ascii="Book Antiqua" w:hAnsi="Book Antiqua" w:cs="Book Antiqua"/>
          <w:sz w:val="24"/>
          <w:szCs w:val="24"/>
          <w:lang w:eastAsia="zh-HK"/>
        </w:rPr>
        <w:t xml:space="preserve">The key components of the perfect surveillance program include an accurate tumor biomarker and optimal surveillance interval. Serum </w:t>
      </w:r>
      <w:r w:rsidRPr="003C3701">
        <w:rPr>
          <w:rFonts w:ascii="Book Antiqua" w:hAnsi="Book Antiqua" w:cs="Book Antiqua"/>
          <w:sz w:val="24"/>
          <w:szCs w:val="24"/>
          <w:lang w:val="en-GB"/>
        </w:rPr>
        <w:t>AFP</w:t>
      </w:r>
      <w:r w:rsidRPr="003C3701">
        <w:rPr>
          <w:rFonts w:ascii="Book Antiqua" w:hAnsi="Book Antiqua" w:cs="Book Antiqua"/>
          <w:sz w:val="24"/>
          <w:szCs w:val="24"/>
        </w:rPr>
        <w:t xml:space="preserve"> is the most </w:t>
      </w:r>
      <w:r w:rsidRPr="003C3701">
        <w:rPr>
          <w:rFonts w:ascii="Book Antiqua" w:hAnsi="Book Antiqua" w:cs="Book Antiqua"/>
          <w:sz w:val="24"/>
          <w:szCs w:val="24"/>
          <w:lang w:eastAsia="zh-HK"/>
        </w:rPr>
        <w:t>extensive</w:t>
      </w:r>
      <w:r w:rsidRPr="003C3701">
        <w:rPr>
          <w:rFonts w:ascii="Book Antiqua" w:hAnsi="Book Antiqua" w:cs="Book Antiqua"/>
          <w:sz w:val="24"/>
          <w:szCs w:val="24"/>
        </w:rPr>
        <w:t xml:space="preserve">ly </w:t>
      </w:r>
      <w:r w:rsidRPr="003C3701">
        <w:rPr>
          <w:rFonts w:ascii="Book Antiqua" w:hAnsi="Book Antiqua" w:cs="Book Antiqua"/>
          <w:sz w:val="24"/>
          <w:szCs w:val="24"/>
          <w:lang w:eastAsia="zh-HK"/>
        </w:rPr>
        <w:t>applied</w:t>
      </w:r>
      <w:r w:rsidRPr="003C3701">
        <w:rPr>
          <w:rFonts w:ascii="Book Antiqua" w:hAnsi="Book Antiqua" w:cs="Book Antiqua"/>
          <w:sz w:val="24"/>
          <w:szCs w:val="24"/>
        </w:rPr>
        <w:t xml:space="preserve"> biomarker for HCC surveillance</w:t>
      </w:r>
      <w:r w:rsidRPr="003C3701">
        <w:rPr>
          <w:rFonts w:ascii="Book Antiqua" w:hAnsi="Book Antiqua" w:cs="Book Antiqua"/>
          <w:sz w:val="24"/>
          <w:szCs w:val="24"/>
          <w:vertAlign w:val="superscript"/>
        </w:rPr>
        <w:t>[3]</w:t>
      </w:r>
      <w:r w:rsidRPr="003C3701">
        <w:rPr>
          <w:rFonts w:ascii="Book Antiqua" w:hAnsi="Book Antiqua" w:cs="Book Antiqua"/>
          <w:sz w:val="24"/>
          <w:szCs w:val="24"/>
        </w:rPr>
        <w:t>. However, its low sensitivity (20% to 65%) and specificity (50% to 94%) in d</w:t>
      </w:r>
      <w:r w:rsidRPr="003C3701">
        <w:rPr>
          <w:rFonts w:ascii="Book Antiqua" w:hAnsi="Book Antiqua" w:cs="Book Antiqua"/>
          <w:sz w:val="24"/>
          <w:szCs w:val="24"/>
          <w:lang w:eastAsia="zh-HK"/>
        </w:rPr>
        <w:t>iscovering</w:t>
      </w:r>
      <w:r w:rsidRPr="003C3701">
        <w:rPr>
          <w:rFonts w:ascii="Book Antiqua" w:hAnsi="Book Antiqua" w:cs="Book Antiqua"/>
          <w:sz w:val="24"/>
          <w:szCs w:val="24"/>
        </w:rPr>
        <w:t xml:space="preserve"> early HCC </w:t>
      </w:r>
      <w:r w:rsidRPr="003C3701">
        <w:rPr>
          <w:rFonts w:ascii="Book Antiqua" w:hAnsi="Book Antiqua" w:cs="Times New Roman"/>
          <w:sz w:val="24"/>
          <w:szCs w:val="24"/>
          <w:lang w:eastAsia="zh-CN"/>
        </w:rPr>
        <w:t xml:space="preserve">has </w:t>
      </w:r>
      <w:r w:rsidRPr="003C3701">
        <w:rPr>
          <w:rFonts w:ascii="Book Antiqua" w:hAnsi="Book Antiqua" w:cs="Book Antiqua"/>
          <w:sz w:val="24"/>
          <w:szCs w:val="24"/>
          <w:lang w:eastAsia="zh-HK"/>
        </w:rPr>
        <w:t>resulted in</w:t>
      </w:r>
      <w:r w:rsidRPr="003C3701">
        <w:rPr>
          <w:rFonts w:ascii="Book Antiqua" w:hAnsi="Book Antiqua" w:cs="Book Antiqua"/>
          <w:sz w:val="24"/>
          <w:szCs w:val="24"/>
        </w:rPr>
        <w:t xml:space="preserve"> the latest </w:t>
      </w:r>
      <w:r w:rsidRPr="003C3701">
        <w:rPr>
          <w:rFonts w:ascii="Book Antiqua" w:hAnsi="Book Antiqua" w:cs="Times New Roman"/>
          <w:sz w:val="24"/>
          <w:szCs w:val="24"/>
          <w:lang w:eastAsia="zh-CN"/>
        </w:rPr>
        <w:t>American guidelines</w:t>
      </w:r>
      <w:r w:rsidRPr="003C3701">
        <w:rPr>
          <w:rFonts w:ascii="Book Antiqua" w:hAnsi="Book Antiqua" w:cs="Book Antiqua"/>
          <w:sz w:val="24"/>
          <w:szCs w:val="24"/>
        </w:rPr>
        <w:t xml:space="preserve"> abandoning AFP but using ultrasonography alone as the single surveillance tool</w:t>
      </w:r>
      <w:r w:rsidRPr="003C3701">
        <w:rPr>
          <w:rFonts w:ascii="Book Antiqua" w:hAnsi="Book Antiqua" w:cs="Book Antiqua"/>
          <w:sz w:val="24"/>
          <w:szCs w:val="24"/>
          <w:vertAlign w:val="superscript"/>
        </w:rPr>
        <w:t>[6]</w:t>
      </w:r>
      <w:r w:rsidRPr="003C3701">
        <w:rPr>
          <w:rFonts w:ascii="Book Antiqua" w:hAnsi="Book Antiqua" w:cs="Book Antiqua"/>
          <w:sz w:val="24"/>
          <w:szCs w:val="24"/>
        </w:rPr>
        <w:t>. Despite it has been recently demonstrated the high specificity of AFP in patients receiving antiviral therapy</w:t>
      </w:r>
      <w:r w:rsidRPr="003C3701">
        <w:rPr>
          <w:rFonts w:ascii="Book Antiqua" w:hAnsi="Book Antiqua" w:cs="Book Antiqua"/>
          <w:sz w:val="24"/>
          <w:szCs w:val="24"/>
          <w:vertAlign w:val="superscript"/>
        </w:rPr>
        <w:t>[7]</w:t>
      </w:r>
      <w:r w:rsidRPr="003C3701">
        <w:rPr>
          <w:rFonts w:ascii="Book Antiqua" w:hAnsi="Book Antiqua" w:cs="Book Antiqua"/>
          <w:sz w:val="24"/>
          <w:szCs w:val="24"/>
        </w:rPr>
        <w:t>, it is well known that this commonly adopted tumor marker remains suboptimal.</w:t>
      </w:r>
    </w:p>
    <w:p w:rsidR="006F2942" w:rsidRPr="003C3701" w:rsidRDefault="006F2942" w:rsidP="00117E5C">
      <w:pPr>
        <w:autoSpaceDE w:val="0"/>
        <w:autoSpaceDN w:val="0"/>
        <w:adjustRightInd w:val="0"/>
        <w:snapToGrid w:val="0"/>
        <w:spacing w:after="0" w:line="360" w:lineRule="auto"/>
        <w:ind w:firstLineChars="100" w:firstLine="31680"/>
        <w:jc w:val="both"/>
        <w:rPr>
          <w:rFonts w:ascii="Book Antiqua" w:hAnsi="Book Antiqua" w:cs="Book Antiqua"/>
          <w:sz w:val="24"/>
          <w:szCs w:val="24"/>
        </w:rPr>
      </w:pPr>
      <w:r w:rsidRPr="003C3701">
        <w:rPr>
          <w:rFonts w:ascii="Book Antiqua" w:hAnsi="Book Antiqua" w:cs="Book Antiqua"/>
          <w:sz w:val="24"/>
          <w:szCs w:val="24"/>
        </w:rPr>
        <w:t xml:space="preserve">There have been a handful of HCC biomarkers, </w:t>
      </w:r>
      <w:r w:rsidRPr="003C3701">
        <w:rPr>
          <w:rFonts w:ascii="Book Antiqua" w:hAnsi="Book Antiqua" w:cs="Book Antiqua"/>
          <w:i/>
          <w:sz w:val="24"/>
          <w:szCs w:val="24"/>
        </w:rPr>
        <w:t>e.g.</w:t>
      </w:r>
      <w:r w:rsidRPr="003C3701">
        <w:rPr>
          <w:rFonts w:ascii="Book Antiqua" w:eastAsia="宋体" w:hAnsi="Book Antiqua" w:cs="Book Antiqua"/>
          <w:sz w:val="24"/>
          <w:szCs w:val="24"/>
          <w:lang w:eastAsia="zh-CN"/>
        </w:rPr>
        <w:t>,</w:t>
      </w:r>
      <w:r w:rsidRPr="003C3701">
        <w:rPr>
          <w:rFonts w:ascii="Book Antiqua" w:hAnsi="Book Antiqua" w:cs="Book Antiqua"/>
          <w:sz w:val="24"/>
          <w:szCs w:val="24"/>
        </w:rPr>
        <w:t xml:space="preserve"> lectin-reactive AFP (AFP-L3), des-gamma carboxyprothrombin (DC</w:t>
      </w:r>
      <w:r w:rsidRPr="003C3701">
        <w:rPr>
          <w:rFonts w:ascii="Book Antiqua" w:hAnsi="Book Antiqua" w:cs="Book Antiqua"/>
          <w:sz w:val="24"/>
          <w:szCs w:val="24"/>
          <w:lang w:eastAsia="zh-HK"/>
        </w:rPr>
        <w:t>P</w:t>
      </w:r>
      <w:r w:rsidRPr="003C3701">
        <w:rPr>
          <w:rFonts w:ascii="Book Antiqua" w:hAnsi="Book Antiqua" w:cs="Book Antiqua"/>
          <w:sz w:val="24"/>
          <w:szCs w:val="24"/>
        </w:rPr>
        <w:t>), under investigations</w:t>
      </w:r>
      <w:r w:rsidRPr="003C3701">
        <w:rPr>
          <w:rFonts w:ascii="Book Antiqua" w:hAnsi="Book Antiqua" w:cs="Book Antiqua"/>
          <w:sz w:val="24"/>
          <w:szCs w:val="24"/>
          <w:vertAlign w:val="superscript"/>
        </w:rPr>
        <w:t>[8]</w:t>
      </w:r>
      <w:r w:rsidRPr="003C3701">
        <w:rPr>
          <w:rFonts w:ascii="Book Antiqua" w:hAnsi="Book Antiqua" w:cs="Book Antiqua"/>
          <w:sz w:val="24"/>
          <w:szCs w:val="24"/>
        </w:rPr>
        <w:t>.</w:t>
      </w:r>
      <w:r w:rsidRPr="003C3701">
        <w:rPr>
          <w:rFonts w:ascii="Book Antiqua" w:hAnsi="Book Antiqua" w:cs="Book Antiqua"/>
          <w:sz w:val="24"/>
          <w:szCs w:val="24"/>
          <w:vertAlign w:val="superscript"/>
        </w:rPr>
        <w:t xml:space="preserve"> </w:t>
      </w:r>
      <w:r w:rsidRPr="003C3701">
        <w:rPr>
          <w:rFonts w:ascii="Book Antiqua" w:hAnsi="Book Antiqua" w:cs="Book Antiqua"/>
          <w:sz w:val="24"/>
          <w:szCs w:val="24"/>
        </w:rPr>
        <w:t>Despite some of the biomarkers appeared promising initially, subsequent studies could not always reproduce the similar results</w:t>
      </w:r>
      <w:r w:rsidRPr="003C3701">
        <w:rPr>
          <w:rFonts w:ascii="Book Antiqua" w:hAnsi="Book Antiqua" w:cs="Book Antiqua"/>
          <w:sz w:val="24"/>
          <w:szCs w:val="24"/>
          <w:vertAlign w:val="superscript"/>
        </w:rPr>
        <w:t>[9]</w:t>
      </w:r>
      <w:r w:rsidRPr="003C3701">
        <w:rPr>
          <w:rFonts w:ascii="Book Antiqua" w:hAnsi="Book Antiqua" w:cs="Book Antiqua"/>
          <w:sz w:val="24"/>
          <w:szCs w:val="24"/>
        </w:rPr>
        <w:t>. Hence the latest European guidelines still commented that accurate tumor biomarkers for early detection of HCC needed to be developed. Such biomarkers (</w:t>
      </w:r>
      <w:r w:rsidRPr="003C3701">
        <w:rPr>
          <w:rFonts w:ascii="Book Antiqua" w:hAnsi="Book Antiqua" w:cs="Book Antiqua"/>
          <w:i/>
          <w:sz w:val="24"/>
          <w:szCs w:val="24"/>
        </w:rPr>
        <w:t>i.e.</w:t>
      </w:r>
      <w:r w:rsidRPr="003C3701">
        <w:rPr>
          <w:rFonts w:ascii="Book Antiqua" w:eastAsia="宋体" w:hAnsi="Book Antiqua" w:cs="Book Antiqua"/>
          <w:sz w:val="24"/>
          <w:szCs w:val="24"/>
          <w:lang w:eastAsia="zh-CN"/>
        </w:rPr>
        <w:t>,</w:t>
      </w:r>
      <w:r w:rsidRPr="003C3701">
        <w:rPr>
          <w:rFonts w:ascii="Book Antiqua" w:hAnsi="Book Antiqua" w:cs="Book Antiqua"/>
          <w:sz w:val="24"/>
          <w:szCs w:val="24"/>
        </w:rPr>
        <w:t xml:space="preserve"> AFP, AFP-L3 and DCP) are indeed suboptimal for routine clinical practice</w:t>
      </w:r>
      <w:r w:rsidRPr="003C3701">
        <w:rPr>
          <w:rFonts w:ascii="Book Antiqua" w:hAnsi="Book Antiqua" w:cs="Book Antiqua"/>
          <w:sz w:val="24"/>
          <w:szCs w:val="24"/>
          <w:vertAlign w:val="superscript"/>
        </w:rPr>
        <w:t>[3]</w:t>
      </w:r>
      <w:r w:rsidRPr="003C3701">
        <w:rPr>
          <w:rFonts w:ascii="Book Antiqua" w:hAnsi="Book Antiqua" w:cs="Book Antiqua"/>
          <w:sz w:val="24"/>
          <w:szCs w:val="24"/>
        </w:rPr>
        <w:t>.</w:t>
      </w:r>
    </w:p>
    <w:p w:rsidR="006F2942" w:rsidRPr="003C3701" w:rsidRDefault="006F2942" w:rsidP="00117E5C">
      <w:pPr>
        <w:autoSpaceDE w:val="0"/>
        <w:autoSpaceDN w:val="0"/>
        <w:adjustRightInd w:val="0"/>
        <w:snapToGrid w:val="0"/>
        <w:spacing w:after="0" w:line="360" w:lineRule="auto"/>
        <w:ind w:firstLineChars="100" w:firstLine="31680"/>
        <w:jc w:val="both"/>
        <w:rPr>
          <w:rFonts w:ascii="Book Antiqua" w:hAnsi="Book Antiqua" w:cs="Book Antiqua"/>
          <w:sz w:val="24"/>
          <w:szCs w:val="24"/>
        </w:rPr>
      </w:pPr>
      <w:r w:rsidRPr="003C3701">
        <w:rPr>
          <w:rFonts w:ascii="Book Antiqua" w:hAnsi="Book Antiqua" w:cs="Book Antiqua"/>
          <w:sz w:val="24"/>
          <w:szCs w:val="24"/>
        </w:rPr>
        <w:t>The dysregulated signaling pathways in HCC have been under intensive study for both diagnostic and therapeutic targets</w:t>
      </w:r>
      <w:r w:rsidRPr="003C3701">
        <w:rPr>
          <w:rFonts w:ascii="Book Antiqua" w:hAnsi="Book Antiqua" w:cs="Book Antiqua"/>
          <w:sz w:val="24"/>
          <w:szCs w:val="24"/>
          <w:vertAlign w:val="superscript"/>
        </w:rPr>
        <w:t>[10]</w:t>
      </w:r>
      <w:r w:rsidRPr="003C3701">
        <w:rPr>
          <w:rFonts w:ascii="Book Antiqua" w:hAnsi="Book Antiqua" w:cs="Book Antiqua"/>
          <w:sz w:val="24"/>
          <w:szCs w:val="24"/>
        </w:rPr>
        <w:t>. Nonetheless, HCC often involves heterogeneous pathogenesis such that multiple genes are involved (Table 1). This made using a single or a few genomic markers as HCC biomarker infeasible. Recently, cancer-associated genome-wide hypomethylation and copy number aberrations by plasma DNA bisulfite sequencing has been found to be accurate with both sensitivity and specificity close to 90% in detecting HCC in a case-control study</w:t>
      </w:r>
      <w:r w:rsidRPr="003C3701">
        <w:rPr>
          <w:rFonts w:ascii="Book Antiqua" w:hAnsi="Book Antiqua" w:cs="Book Antiqua"/>
          <w:sz w:val="24"/>
          <w:szCs w:val="24"/>
          <w:vertAlign w:val="superscript"/>
        </w:rPr>
        <w:t>[11]</w:t>
      </w:r>
      <w:r w:rsidRPr="003C3701">
        <w:rPr>
          <w:rFonts w:ascii="Book Antiqua" w:hAnsi="Book Antiqua" w:cs="Book Antiqua"/>
          <w:sz w:val="24"/>
          <w:szCs w:val="24"/>
        </w:rPr>
        <w:t>. The remaining issue of such genomic sequencing is that it is rather costly (approximately US$10000 per assay). Apart from further validation of these novel genomic biomarkers in a surveillance setting, further optimization of the assay to reduce the cost yet maintaining the accuracy would be essential to make it applicable and accessible to more patients.</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b/>
          <w:bCs/>
          <w:sz w:val="24"/>
          <w:szCs w:val="24"/>
          <w:lang w:eastAsia="zh-HK"/>
        </w:rPr>
      </w:pPr>
      <w:r w:rsidRPr="003C3701">
        <w:rPr>
          <w:rFonts w:ascii="Book Antiqua" w:hAnsi="Book Antiqua" w:cs="Book Antiqua"/>
          <w:b/>
          <w:bCs/>
          <w:sz w:val="24"/>
          <w:szCs w:val="24"/>
          <w:lang w:eastAsia="zh-HK"/>
        </w:rPr>
        <w:t>OPTIMAL SURVEILLANCE INTERVAL – DOES ONE SIZE FITS ALL?</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r w:rsidRPr="003C3701">
        <w:rPr>
          <w:rFonts w:ascii="Book Antiqua" w:hAnsi="Book Antiqua" w:cs="Book Antiqua"/>
          <w:sz w:val="24"/>
          <w:szCs w:val="24"/>
          <w:lang w:eastAsia="zh-HK"/>
        </w:rPr>
        <w:t>There would be much economic implication in many low-to-middle economic countries if all patients at risk of HCC received antiviral therapy together with HCC surveillance. Therefore an accurate risk prediction would be able to help prognostication, deciding on the need for antiviral therapy as well as HCC surveillance. Several well-established risk factors for HBV-related HCC include advanced age, male gender, high viral load, cirrhosis. These factors are the core components of three well-validated HCC risk scores: CU-HCC</w:t>
      </w:r>
      <w:r w:rsidRPr="003C3701">
        <w:rPr>
          <w:rFonts w:ascii="Book Antiqua" w:hAnsi="Book Antiqua" w:cs="Book Antiqua"/>
          <w:sz w:val="24"/>
          <w:szCs w:val="24"/>
          <w:vertAlign w:val="superscript"/>
          <w:lang w:eastAsia="zh-HK"/>
        </w:rPr>
        <w:t>[12]</w:t>
      </w:r>
      <w:r w:rsidRPr="003C3701">
        <w:rPr>
          <w:rFonts w:ascii="Book Antiqua" w:hAnsi="Book Antiqua" w:cs="Book Antiqua"/>
          <w:sz w:val="24"/>
          <w:szCs w:val="24"/>
          <w:lang w:eastAsia="zh-HK"/>
        </w:rPr>
        <w:t>, GAG-HCC</w:t>
      </w:r>
      <w:r w:rsidRPr="003C3701">
        <w:rPr>
          <w:rFonts w:ascii="Book Antiqua" w:hAnsi="Book Antiqua" w:cs="Book Antiqua"/>
          <w:sz w:val="24"/>
          <w:szCs w:val="24"/>
          <w:vertAlign w:val="superscript"/>
          <w:lang w:eastAsia="zh-HK"/>
        </w:rPr>
        <w:t>[13]</w:t>
      </w:r>
      <w:r w:rsidRPr="003C3701">
        <w:rPr>
          <w:rFonts w:ascii="Book Antiqua" w:hAnsi="Book Antiqua" w:cs="Book Antiqua"/>
          <w:sz w:val="24"/>
          <w:szCs w:val="24"/>
          <w:lang w:eastAsia="zh-HK"/>
        </w:rPr>
        <w:t xml:space="preserve"> and REACH-B scores</w:t>
      </w:r>
      <w:r w:rsidRPr="003C3701">
        <w:rPr>
          <w:rFonts w:ascii="Book Antiqua" w:hAnsi="Book Antiqua" w:cs="Book Antiqua"/>
          <w:sz w:val="24"/>
          <w:szCs w:val="24"/>
          <w:vertAlign w:val="superscript"/>
          <w:lang w:eastAsia="zh-HK"/>
        </w:rPr>
        <w:t>[14]</w:t>
      </w:r>
      <w:r w:rsidRPr="003C3701">
        <w:rPr>
          <w:rFonts w:ascii="Book Antiqua" w:hAnsi="Book Antiqua" w:cs="Book Antiqua"/>
          <w:sz w:val="24"/>
          <w:szCs w:val="24"/>
          <w:lang w:eastAsia="zh-HK"/>
        </w:rPr>
        <w:t>. These risk scores were confirmed to be accurate in forecasting HCC up to 10 years in patients with chronic hepatitis B (CHB) who were mostly treatment-naïve.</w:t>
      </w:r>
    </w:p>
    <w:p w:rsidR="006F2942" w:rsidRPr="003C3701" w:rsidRDefault="006F2942" w:rsidP="00117E5C">
      <w:pPr>
        <w:autoSpaceDE w:val="0"/>
        <w:autoSpaceDN w:val="0"/>
        <w:adjustRightInd w:val="0"/>
        <w:snapToGrid w:val="0"/>
        <w:spacing w:after="0" w:line="360" w:lineRule="auto"/>
        <w:ind w:firstLineChars="100" w:firstLine="31680"/>
        <w:jc w:val="both"/>
        <w:rPr>
          <w:rFonts w:ascii="Book Antiqua" w:hAnsi="Book Antiqua" w:cs="Book Antiqua"/>
          <w:sz w:val="24"/>
          <w:szCs w:val="24"/>
          <w:lang w:eastAsia="zh-HK"/>
        </w:rPr>
      </w:pPr>
      <w:r w:rsidRPr="003C3701">
        <w:rPr>
          <w:rFonts w:ascii="Book Antiqua" w:hAnsi="Book Antiqua" w:cs="Book Antiqua"/>
          <w:sz w:val="24"/>
          <w:szCs w:val="24"/>
          <w:lang w:eastAsia="zh-HK"/>
        </w:rPr>
        <w:t>Their validity and applicability have been recently illustrated in a large cohort of patients receiving antiviral treatment entecavir</w:t>
      </w:r>
      <w:r w:rsidRPr="003C3701">
        <w:rPr>
          <w:rFonts w:ascii="Book Antiqua" w:hAnsi="Book Antiqua" w:cs="Book Antiqua"/>
          <w:sz w:val="24"/>
          <w:szCs w:val="24"/>
          <w:vertAlign w:val="superscript"/>
          <w:lang w:eastAsia="zh-HK"/>
        </w:rPr>
        <w:t>[15]</w:t>
      </w:r>
      <w:r w:rsidRPr="003C3701">
        <w:rPr>
          <w:rFonts w:ascii="Book Antiqua" w:hAnsi="Book Antiqua" w:cs="Book Antiqua"/>
          <w:sz w:val="24"/>
          <w:szCs w:val="24"/>
          <w:lang w:eastAsia="zh-HK"/>
        </w:rPr>
        <w:t>. A reducion in risk scores after antiviral therapy renders to a lower risk of HCC</w:t>
      </w:r>
      <w:r w:rsidRPr="003C3701">
        <w:rPr>
          <w:rFonts w:ascii="Book Antiqua" w:hAnsi="Book Antiqua" w:cs="Book Antiqua"/>
          <w:sz w:val="24"/>
          <w:szCs w:val="24"/>
          <w:vertAlign w:val="superscript"/>
          <w:lang w:eastAsia="zh-HK"/>
        </w:rPr>
        <w:t>[15]</w:t>
      </w:r>
      <w:r w:rsidRPr="003C3701">
        <w:rPr>
          <w:rFonts w:ascii="Book Antiqua" w:hAnsi="Book Antiqua" w:cs="Book Antiqua"/>
          <w:sz w:val="24"/>
          <w:szCs w:val="24"/>
          <w:lang w:eastAsia="zh-HK"/>
        </w:rPr>
        <w:t>. CU-HCC score was further optimized with liver stiffness measure (LSM) by transient elastography</w:t>
      </w:r>
      <w:r w:rsidRPr="003C3701">
        <w:rPr>
          <w:rFonts w:ascii="Book Antiqua" w:hAnsi="Book Antiqua" w:cs="Book Antiqua"/>
          <w:sz w:val="24"/>
          <w:szCs w:val="24"/>
          <w:vertAlign w:val="superscript"/>
          <w:lang w:eastAsia="zh-HK"/>
        </w:rPr>
        <w:t>[16]</w:t>
      </w:r>
      <w:r w:rsidRPr="003C3701">
        <w:rPr>
          <w:rFonts w:ascii="Book Antiqua" w:hAnsi="Book Antiqua" w:cs="Book Antiqua"/>
          <w:sz w:val="24"/>
          <w:szCs w:val="24"/>
          <w:lang w:eastAsia="zh-HK"/>
        </w:rPr>
        <w:t>. This new LSM-HCC score excludes future HCC with high negative predictive value (99.4%-100%) at 5</w:t>
      </w:r>
      <w:r w:rsidRPr="003C3701">
        <w:rPr>
          <w:rFonts w:ascii="Book Antiqua" w:eastAsia="宋体" w:hAnsi="Book Antiqua" w:cs="Book Antiqua"/>
          <w:sz w:val="24"/>
          <w:szCs w:val="24"/>
          <w:lang w:eastAsia="zh-CN"/>
        </w:rPr>
        <w:t xml:space="preserve"> </w:t>
      </w:r>
      <w:r w:rsidRPr="003C3701">
        <w:rPr>
          <w:rFonts w:ascii="Book Antiqua" w:hAnsi="Book Antiqua" w:cs="Book Antiqua"/>
          <w:sz w:val="24"/>
          <w:szCs w:val="24"/>
          <w:lang w:eastAsia="zh-HK"/>
        </w:rPr>
        <w:t>years</w:t>
      </w:r>
      <w:r w:rsidRPr="003C3701">
        <w:rPr>
          <w:rFonts w:ascii="Book Antiqua" w:hAnsi="Book Antiqua" w:cs="Book Antiqua"/>
          <w:sz w:val="24"/>
          <w:szCs w:val="24"/>
          <w:vertAlign w:val="superscript"/>
          <w:lang w:eastAsia="zh-HK"/>
        </w:rPr>
        <w:t>[16]</w:t>
      </w:r>
      <w:r w:rsidRPr="003C3701">
        <w:rPr>
          <w:rFonts w:ascii="Book Antiqua" w:hAnsi="Book Antiqua" w:cs="Book Antiqua"/>
          <w:sz w:val="24"/>
          <w:szCs w:val="24"/>
          <w:lang w:eastAsia="zh-HK"/>
        </w:rPr>
        <w:t>. All these observations support to apply these HCC risk scores in CHB patients. Levels of care and intensities of HCC surveillance accordingly to the risk profile of patients should be offered accordingly. Patients at intermediate or high risk of HCC should receive regular HCC surveillance, despite the use of antiviral treatment</w:t>
      </w:r>
      <w:r w:rsidRPr="003C3701">
        <w:rPr>
          <w:rFonts w:ascii="Book Antiqua" w:hAnsi="Book Antiqua" w:cs="Book Antiqua"/>
          <w:sz w:val="24"/>
          <w:szCs w:val="24"/>
          <w:vertAlign w:val="superscript"/>
          <w:lang w:eastAsia="zh-HK"/>
        </w:rPr>
        <w:t>[5,17]</w:t>
      </w:r>
      <w:r w:rsidRPr="003C3701">
        <w:rPr>
          <w:rFonts w:ascii="Book Antiqua" w:hAnsi="Book Antiqua" w:cs="Book Antiqua"/>
          <w:sz w:val="24"/>
          <w:szCs w:val="24"/>
          <w:lang w:eastAsia="zh-HK"/>
        </w:rPr>
        <w:t>.</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p>
    <w:p w:rsidR="006F2942" w:rsidRPr="00416B61" w:rsidRDefault="006F2942" w:rsidP="00414947">
      <w:pPr>
        <w:autoSpaceDE w:val="0"/>
        <w:autoSpaceDN w:val="0"/>
        <w:adjustRightInd w:val="0"/>
        <w:snapToGrid w:val="0"/>
        <w:spacing w:after="0" w:line="360" w:lineRule="auto"/>
        <w:jc w:val="both"/>
        <w:rPr>
          <w:rFonts w:ascii="Book Antiqua" w:eastAsia="宋体" w:hAnsi="Book Antiqua" w:cs="Book Antiqua"/>
          <w:b/>
          <w:bCs/>
          <w:sz w:val="24"/>
          <w:szCs w:val="24"/>
          <w:lang w:eastAsia="zh-CN"/>
        </w:rPr>
      </w:pPr>
      <w:r>
        <w:rPr>
          <w:rFonts w:ascii="Book Antiqua" w:hAnsi="Book Antiqua" w:cs="Book Antiqua"/>
          <w:b/>
          <w:bCs/>
          <w:sz w:val="24"/>
          <w:szCs w:val="24"/>
          <w:lang w:eastAsia="zh-HK"/>
        </w:rPr>
        <w:t>CONCLUSION</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r w:rsidRPr="003C3701">
        <w:rPr>
          <w:rFonts w:ascii="Book Antiqua" w:hAnsi="Book Antiqua" w:cs="Book Antiqua"/>
          <w:sz w:val="24"/>
          <w:szCs w:val="24"/>
          <w:lang w:eastAsia="zh-HK"/>
        </w:rPr>
        <w:t>The key components of a perfect HCC surveillance program are getting ready. They should be further validated at a surveillance setting in order to understand how exactly they can benefit our patients. Data on the cost-effectiveness of such a perfect HCC surveillance program would be useful to our policy maker. The days of HCC becoming a mostly curable disease are getting closer and closer.</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lang w:eastAsia="zh-HK"/>
        </w:rPr>
      </w:pPr>
    </w:p>
    <w:p w:rsidR="006F2942" w:rsidRPr="003C3701" w:rsidRDefault="006F2942" w:rsidP="00414947">
      <w:pPr>
        <w:spacing w:after="0" w:line="360" w:lineRule="auto"/>
        <w:jc w:val="both"/>
        <w:rPr>
          <w:rFonts w:ascii="Book Antiqua" w:eastAsia="宋体" w:hAnsi="Book Antiqua" w:cs="Book Antiqua"/>
          <w:b/>
          <w:sz w:val="24"/>
          <w:szCs w:val="24"/>
          <w:lang w:eastAsia="zh-CN"/>
        </w:rPr>
      </w:pPr>
      <w:r w:rsidRPr="003C3701">
        <w:rPr>
          <w:rFonts w:ascii="Book Antiqua" w:hAnsi="Book Antiqua" w:cs="Book Antiqua"/>
          <w:sz w:val="24"/>
          <w:szCs w:val="24"/>
        </w:rPr>
        <w:br w:type="page"/>
      </w:r>
      <w:r w:rsidRPr="003C3701">
        <w:rPr>
          <w:rFonts w:ascii="Book Antiqua" w:hAnsi="Book Antiqua" w:cs="Book Antiqua"/>
          <w:b/>
          <w:sz w:val="24"/>
          <w:szCs w:val="24"/>
        </w:rPr>
        <w:t>REFERENCE</w:t>
      </w:r>
      <w:r w:rsidRPr="003C3701">
        <w:rPr>
          <w:rFonts w:ascii="Book Antiqua" w:eastAsia="宋体" w:hAnsi="Book Antiqua" w:cs="Book Antiqua"/>
          <w:b/>
          <w:sz w:val="24"/>
          <w:szCs w:val="24"/>
          <w:lang w:eastAsia="zh-CN"/>
        </w:rPr>
        <w:t>S</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1 </w:t>
      </w:r>
      <w:r w:rsidRPr="003C3701">
        <w:rPr>
          <w:rFonts w:ascii="Book Antiqua" w:hAnsi="Book Antiqua" w:cs="宋体"/>
          <w:b/>
          <w:bCs/>
          <w:sz w:val="24"/>
          <w:szCs w:val="24"/>
        </w:rPr>
        <w:t>Chan HL</w:t>
      </w:r>
      <w:r w:rsidRPr="003C3701">
        <w:rPr>
          <w:rFonts w:ascii="Book Antiqua" w:hAnsi="Book Antiqua" w:cs="宋体"/>
          <w:sz w:val="24"/>
          <w:szCs w:val="24"/>
        </w:rPr>
        <w:t>, Sung JJ. Hepatocellular carcinoma and hepatitis B virus. </w:t>
      </w:r>
      <w:r w:rsidRPr="003C3701">
        <w:rPr>
          <w:rFonts w:ascii="Book Antiqua" w:hAnsi="Book Antiqua" w:cs="宋体"/>
          <w:i/>
          <w:iCs/>
          <w:sz w:val="24"/>
          <w:szCs w:val="24"/>
        </w:rPr>
        <w:t>Semin Liver Dis</w:t>
      </w:r>
      <w:r w:rsidRPr="003C3701">
        <w:rPr>
          <w:rFonts w:ascii="Book Antiqua" w:hAnsi="Book Antiqua" w:cs="宋体"/>
          <w:sz w:val="24"/>
          <w:szCs w:val="24"/>
        </w:rPr>
        <w:t> 2006; </w:t>
      </w:r>
      <w:r w:rsidRPr="003C3701">
        <w:rPr>
          <w:rFonts w:ascii="Book Antiqua" w:hAnsi="Book Antiqua" w:cs="宋体"/>
          <w:b/>
          <w:bCs/>
          <w:sz w:val="24"/>
          <w:szCs w:val="24"/>
        </w:rPr>
        <w:t>26</w:t>
      </w:r>
      <w:r w:rsidRPr="003C3701">
        <w:rPr>
          <w:rFonts w:ascii="Book Antiqua" w:hAnsi="Book Antiqua" w:cs="宋体"/>
          <w:sz w:val="24"/>
          <w:szCs w:val="24"/>
        </w:rPr>
        <w:t xml:space="preserve">: 153-161 [PMID: 16673293 DOI: </w:t>
      </w:r>
      <w:r w:rsidRPr="003C3701">
        <w:rPr>
          <w:rFonts w:ascii="Book Antiqua" w:hAnsi="Book Antiqua"/>
          <w:sz w:val="24"/>
          <w:szCs w:val="24"/>
          <w:shd w:val="clear" w:color="auto" w:fill="FFFFFF"/>
        </w:rPr>
        <w:t>10.1055/s-2006-939753</w:t>
      </w:r>
      <w:r w:rsidRPr="003C3701">
        <w:rPr>
          <w:rFonts w:ascii="Book Antiqua" w:hAnsi="Book Antiqua" w:cs="宋体"/>
          <w:sz w:val="24"/>
          <w:szCs w:val="24"/>
        </w:rPr>
        <w:t>]</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2 </w:t>
      </w:r>
      <w:r w:rsidRPr="003C3701">
        <w:rPr>
          <w:rFonts w:ascii="Book Antiqua" w:hAnsi="Book Antiqua" w:cs="宋体"/>
          <w:b/>
          <w:bCs/>
          <w:sz w:val="24"/>
          <w:szCs w:val="24"/>
        </w:rPr>
        <w:t>Wong GL</w:t>
      </w:r>
      <w:r w:rsidRPr="003C3701">
        <w:rPr>
          <w:rFonts w:ascii="Book Antiqua" w:hAnsi="Book Antiqua" w:cs="宋体"/>
          <w:sz w:val="24"/>
          <w:szCs w:val="24"/>
        </w:rPr>
        <w:t>, Chan HL, Mak CW, Lee SK, Ip ZM, Lam AT, Iu HW, Leung JM, Lai JW, Lo AO, Chan HY, Wong VW. Entecavir treatment reduces hepatic events and deaths in chronic hepatitis B patients with liver cirrhosis. </w:t>
      </w:r>
      <w:r w:rsidRPr="003C3701">
        <w:rPr>
          <w:rFonts w:ascii="Book Antiqua" w:hAnsi="Book Antiqua" w:cs="宋体"/>
          <w:i/>
          <w:iCs/>
          <w:sz w:val="24"/>
          <w:szCs w:val="24"/>
        </w:rPr>
        <w:t>Hepatology</w:t>
      </w:r>
      <w:r w:rsidRPr="003C3701">
        <w:rPr>
          <w:rFonts w:ascii="Book Antiqua" w:hAnsi="Book Antiqua" w:cs="宋体"/>
          <w:sz w:val="24"/>
          <w:szCs w:val="24"/>
        </w:rPr>
        <w:t> 2013; </w:t>
      </w:r>
      <w:r w:rsidRPr="003C3701">
        <w:rPr>
          <w:rFonts w:ascii="Book Antiqua" w:hAnsi="Book Antiqua" w:cs="宋体"/>
          <w:b/>
          <w:bCs/>
          <w:sz w:val="24"/>
          <w:szCs w:val="24"/>
        </w:rPr>
        <w:t>58</w:t>
      </w:r>
      <w:r w:rsidRPr="003C3701">
        <w:rPr>
          <w:rFonts w:ascii="Book Antiqua" w:hAnsi="Book Antiqua" w:cs="宋体"/>
          <w:sz w:val="24"/>
          <w:szCs w:val="24"/>
        </w:rPr>
        <w:t>: 1537-1547 [PMID: 23389810 DOI: 10.1002/hep.26301]</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 xml:space="preserve">3 </w:t>
      </w:r>
      <w:hyperlink r:id="rId6" w:history="1">
        <w:r w:rsidRPr="003C3701">
          <w:rPr>
            <w:rFonts w:ascii="Book Antiqua" w:hAnsi="Book Antiqua" w:cs="宋体"/>
            <w:b/>
            <w:sz w:val="24"/>
            <w:szCs w:val="24"/>
          </w:rPr>
          <w:t>European Association For The Study Of The Liver</w:t>
        </w:r>
      </w:hyperlink>
      <w:r w:rsidRPr="003C3701">
        <w:rPr>
          <w:rFonts w:ascii="Book Antiqua" w:hAnsi="Book Antiqua" w:cs="宋体"/>
          <w:sz w:val="24"/>
          <w:szCs w:val="24"/>
        </w:rPr>
        <w:t>; </w:t>
      </w:r>
      <w:hyperlink r:id="rId7" w:history="1">
        <w:r w:rsidRPr="003C3701">
          <w:rPr>
            <w:rFonts w:ascii="Book Antiqua" w:hAnsi="Book Antiqua" w:cs="宋体"/>
            <w:sz w:val="24"/>
            <w:szCs w:val="24"/>
          </w:rPr>
          <w:t>European Organisation For Research And Treatment Of Cancer</w:t>
        </w:r>
      </w:hyperlink>
      <w:r w:rsidRPr="003C3701">
        <w:rPr>
          <w:rFonts w:ascii="Book Antiqua" w:hAnsi="Book Antiqua" w:cs="宋体"/>
          <w:sz w:val="24"/>
          <w:szCs w:val="24"/>
        </w:rPr>
        <w:t>. EASL-EORTC clinical practice guidelines: management of hepatocellular carcinoma. </w:t>
      </w:r>
      <w:r w:rsidRPr="003C3701">
        <w:rPr>
          <w:rFonts w:ascii="Book Antiqua" w:hAnsi="Book Antiqua" w:cs="宋体"/>
          <w:i/>
          <w:iCs/>
          <w:sz w:val="24"/>
          <w:szCs w:val="24"/>
        </w:rPr>
        <w:t>J Hepatol</w:t>
      </w:r>
      <w:r w:rsidRPr="003C3701">
        <w:rPr>
          <w:rFonts w:ascii="Book Antiqua" w:hAnsi="Book Antiqua" w:cs="宋体"/>
          <w:sz w:val="24"/>
          <w:szCs w:val="24"/>
        </w:rPr>
        <w:t> 2012; </w:t>
      </w:r>
      <w:r w:rsidRPr="003C3701">
        <w:rPr>
          <w:rFonts w:ascii="Book Antiqua" w:hAnsi="Book Antiqua" w:cs="宋体"/>
          <w:b/>
          <w:bCs/>
          <w:sz w:val="24"/>
          <w:szCs w:val="24"/>
        </w:rPr>
        <w:t>56</w:t>
      </w:r>
      <w:r w:rsidRPr="003C3701">
        <w:rPr>
          <w:rFonts w:ascii="Book Antiqua" w:hAnsi="Book Antiqua" w:cs="宋体"/>
          <w:sz w:val="24"/>
          <w:szCs w:val="24"/>
        </w:rPr>
        <w:t>: 908-943 [PMID: 22424438 DOI: 10.1016/j.jhep.2011.12.001]</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4 </w:t>
      </w:r>
      <w:r w:rsidRPr="003C3701">
        <w:rPr>
          <w:rFonts w:ascii="Book Antiqua" w:hAnsi="Book Antiqua" w:cs="宋体"/>
          <w:b/>
          <w:bCs/>
          <w:sz w:val="24"/>
          <w:szCs w:val="24"/>
        </w:rPr>
        <w:t>Bruix J</w:t>
      </w:r>
      <w:r w:rsidRPr="003C3701">
        <w:rPr>
          <w:rFonts w:ascii="Book Antiqua" w:hAnsi="Book Antiqua" w:cs="宋体"/>
          <w:sz w:val="24"/>
          <w:szCs w:val="24"/>
        </w:rPr>
        <w:t xml:space="preserve">, Sherman M; </w:t>
      </w:r>
      <w:hyperlink r:id="rId8" w:history="1">
        <w:r w:rsidRPr="003C3701">
          <w:rPr>
            <w:rFonts w:ascii="Book Antiqua" w:hAnsi="Book Antiqua" w:cs="宋体"/>
            <w:sz w:val="24"/>
            <w:szCs w:val="24"/>
          </w:rPr>
          <w:t>Practice Guidelines Committee, American Association for the Study of Liver Diseases</w:t>
        </w:r>
      </w:hyperlink>
      <w:r w:rsidRPr="003C3701">
        <w:rPr>
          <w:rFonts w:ascii="Book Antiqua" w:hAnsi="Book Antiqua" w:cs="宋体"/>
          <w:sz w:val="24"/>
          <w:szCs w:val="24"/>
        </w:rPr>
        <w:t>. Management of hepatocellular carcinoma. </w:t>
      </w:r>
      <w:r w:rsidRPr="003C3701">
        <w:rPr>
          <w:rFonts w:ascii="Book Antiqua" w:hAnsi="Book Antiqua" w:cs="宋体"/>
          <w:i/>
          <w:iCs/>
          <w:sz w:val="24"/>
          <w:szCs w:val="24"/>
        </w:rPr>
        <w:t>Hepatology</w:t>
      </w:r>
      <w:r w:rsidRPr="003C3701">
        <w:rPr>
          <w:rFonts w:ascii="Book Antiqua" w:hAnsi="Book Antiqua" w:cs="宋体"/>
          <w:sz w:val="24"/>
          <w:szCs w:val="24"/>
        </w:rPr>
        <w:t> 2005; </w:t>
      </w:r>
      <w:r w:rsidRPr="003C3701">
        <w:rPr>
          <w:rFonts w:ascii="Book Antiqua" w:hAnsi="Book Antiqua" w:cs="宋体"/>
          <w:b/>
          <w:bCs/>
          <w:sz w:val="24"/>
          <w:szCs w:val="24"/>
        </w:rPr>
        <w:t>42</w:t>
      </w:r>
      <w:r w:rsidRPr="003C3701">
        <w:rPr>
          <w:rFonts w:ascii="Book Antiqua" w:hAnsi="Book Antiqua" w:cs="宋体"/>
          <w:sz w:val="24"/>
          <w:szCs w:val="24"/>
        </w:rPr>
        <w:t>: 1208-1236 [PMID: 16250051]</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5 </w:t>
      </w:r>
      <w:r w:rsidRPr="003C3701">
        <w:rPr>
          <w:rFonts w:ascii="Book Antiqua" w:hAnsi="Book Antiqua" w:cs="宋体"/>
          <w:b/>
          <w:bCs/>
          <w:sz w:val="24"/>
          <w:szCs w:val="24"/>
        </w:rPr>
        <w:t>Wong GL</w:t>
      </w:r>
      <w:r w:rsidRPr="003C3701">
        <w:rPr>
          <w:rFonts w:ascii="Book Antiqua" w:hAnsi="Book Antiqua" w:cs="宋体"/>
          <w:sz w:val="24"/>
          <w:szCs w:val="24"/>
        </w:rPr>
        <w:t>, Wong VW, Tan GM, Ip KI, Lai WK, Li YW, Mak MS, Lai PB, Sung JJ, Chan HL. Surveillance programme for hepatocellular carcinoma improves the survival of patients with chronic viral hepatitis. </w:t>
      </w:r>
      <w:r w:rsidRPr="003C3701">
        <w:rPr>
          <w:rFonts w:ascii="Book Antiqua" w:hAnsi="Book Antiqua" w:cs="宋体"/>
          <w:i/>
          <w:iCs/>
          <w:sz w:val="24"/>
          <w:szCs w:val="24"/>
        </w:rPr>
        <w:t>Liver Int</w:t>
      </w:r>
      <w:r w:rsidRPr="003C3701">
        <w:rPr>
          <w:rFonts w:ascii="Book Antiqua" w:hAnsi="Book Antiqua" w:cs="宋体"/>
          <w:sz w:val="24"/>
          <w:szCs w:val="24"/>
        </w:rPr>
        <w:t> 2008; </w:t>
      </w:r>
      <w:r w:rsidRPr="003C3701">
        <w:rPr>
          <w:rFonts w:ascii="Book Antiqua" w:hAnsi="Book Antiqua" w:cs="宋体"/>
          <w:b/>
          <w:bCs/>
          <w:sz w:val="24"/>
          <w:szCs w:val="24"/>
        </w:rPr>
        <w:t>28</w:t>
      </w:r>
      <w:r w:rsidRPr="003C3701">
        <w:rPr>
          <w:rFonts w:ascii="Book Antiqua" w:hAnsi="Book Antiqua" w:cs="宋体"/>
          <w:sz w:val="24"/>
          <w:szCs w:val="24"/>
        </w:rPr>
        <w:t>: 79-87 [PMID: 17900247 DOI: 10.1111/j.1478-3231.2007.01576.x]</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6 </w:t>
      </w:r>
      <w:r w:rsidRPr="003C3701">
        <w:rPr>
          <w:rFonts w:ascii="Book Antiqua" w:hAnsi="Book Antiqua" w:cs="宋体"/>
          <w:b/>
          <w:bCs/>
          <w:sz w:val="24"/>
          <w:szCs w:val="24"/>
        </w:rPr>
        <w:t>Bruix J</w:t>
      </w:r>
      <w:r w:rsidRPr="003C3701">
        <w:rPr>
          <w:rFonts w:ascii="Book Antiqua" w:hAnsi="Book Antiqua" w:cs="宋体"/>
          <w:sz w:val="24"/>
          <w:szCs w:val="24"/>
        </w:rPr>
        <w:t xml:space="preserve">, Sherman M; </w:t>
      </w:r>
      <w:hyperlink r:id="rId9" w:history="1">
        <w:r w:rsidRPr="003C3701">
          <w:rPr>
            <w:rFonts w:ascii="Book Antiqua" w:hAnsi="Book Antiqua" w:cs="宋体"/>
            <w:sz w:val="24"/>
            <w:szCs w:val="24"/>
          </w:rPr>
          <w:t>American Association for the Study of Liver Diseases</w:t>
        </w:r>
      </w:hyperlink>
      <w:r w:rsidRPr="003C3701">
        <w:rPr>
          <w:rFonts w:ascii="Book Antiqua" w:hAnsi="Book Antiqua" w:cs="宋体"/>
          <w:sz w:val="24"/>
          <w:szCs w:val="24"/>
        </w:rPr>
        <w:t>. Management of hepatocellular carcinoma: an update. </w:t>
      </w:r>
      <w:r w:rsidRPr="003C3701">
        <w:rPr>
          <w:rFonts w:ascii="Book Antiqua" w:hAnsi="Book Antiqua" w:cs="宋体"/>
          <w:i/>
          <w:iCs/>
          <w:sz w:val="24"/>
          <w:szCs w:val="24"/>
        </w:rPr>
        <w:t>Hepatology</w:t>
      </w:r>
      <w:r w:rsidRPr="003C3701">
        <w:rPr>
          <w:rFonts w:ascii="Book Antiqua" w:hAnsi="Book Antiqua" w:cs="宋体"/>
          <w:sz w:val="24"/>
          <w:szCs w:val="24"/>
        </w:rPr>
        <w:t> 2011; </w:t>
      </w:r>
      <w:r w:rsidRPr="003C3701">
        <w:rPr>
          <w:rFonts w:ascii="Book Antiqua" w:hAnsi="Book Antiqua" w:cs="宋体"/>
          <w:b/>
          <w:bCs/>
          <w:sz w:val="24"/>
          <w:szCs w:val="24"/>
        </w:rPr>
        <w:t>53</w:t>
      </w:r>
      <w:r w:rsidRPr="003C3701">
        <w:rPr>
          <w:rFonts w:ascii="Book Antiqua" w:hAnsi="Book Antiqua" w:cs="宋体"/>
          <w:sz w:val="24"/>
          <w:szCs w:val="24"/>
        </w:rPr>
        <w:t>: 1020-1022 [PMID: 21374666 DOI: 10.1002/hep.24199]</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7 </w:t>
      </w:r>
      <w:r w:rsidRPr="003C3701">
        <w:rPr>
          <w:rFonts w:ascii="Book Antiqua" w:hAnsi="Book Antiqua" w:cs="宋体"/>
          <w:b/>
          <w:bCs/>
          <w:sz w:val="24"/>
          <w:szCs w:val="24"/>
        </w:rPr>
        <w:t>Wong GL</w:t>
      </w:r>
      <w:r w:rsidRPr="003C3701">
        <w:rPr>
          <w:rFonts w:ascii="Book Antiqua" w:hAnsi="Book Antiqua" w:cs="宋体"/>
          <w:sz w:val="24"/>
          <w:szCs w:val="24"/>
        </w:rPr>
        <w:t>, Chan HL, Tse YK, Chan HY, Tse CH, Lo AO, Wong VW. On-treatment alpha-fetoprotein is a specific tumor marker for hepatocellular carcinoma in patients with chronic hepatitis B receiving entecavir. </w:t>
      </w:r>
      <w:r w:rsidRPr="003C3701">
        <w:rPr>
          <w:rFonts w:ascii="Book Antiqua" w:hAnsi="Book Antiqua" w:cs="宋体"/>
          <w:i/>
          <w:iCs/>
          <w:sz w:val="24"/>
          <w:szCs w:val="24"/>
        </w:rPr>
        <w:t>Hepatology</w:t>
      </w:r>
      <w:r w:rsidRPr="003C3701">
        <w:rPr>
          <w:rFonts w:ascii="Book Antiqua" w:hAnsi="Book Antiqua" w:cs="宋体"/>
          <w:sz w:val="24"/>
          <w:szCs w:val="24"/>
        </w:rPr>
        <w:t> 2014; </w:t>
      </w:r>
      <w:r w:rsidRPr="003C3701">
        <w:rPr>
          <w:rFonts w:ascii="Book Antiqua" w:hAnsi="Book Antiqua" w:cs="宋体"/>
          <w:b/>
          <w:bCs/>
          <w:sz w:val="24"/>
          <w:szCs w:val="24"/>
        </w:rPr>
        <w:t>59</w:t>
      </w:r>
      <w:r w:rsidRPr="003C3701">
        <w:rPr>
          <w:rFonts w:ascii="Book Antiqua" w:hAnsi="Book Antiqua" w:cs="宋体"/>
          <w:sz w:val="24"/>
          <w:szCs w:val="24"/>
        </w:rPr>
        <w:t>: 986-995 [PMID: 24123097 DOI: 10.1002/hep.26739]</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8 </w:t>
      </w:r>
      <w:r w:rsidRPr="003C3701">
        <w:rPr>
          <w:rFonts w:ascii="Book Antiqua" w:hAnsi="Book Antiqua" w:cs="宋体"/>
          <w:b/>
          <w:bCs/>
          <w:sz w:val="24"/>
          <w:szCs w:val="24"/>
        </w:rPr>
        <w:t>Lok AS</w:t>
      </w:r>
      <w:r w:rsidRPr="003C3701">
        <w:rPr>
          <w:rFonts w:ascii="Book Antiqua" w:hAnsi="Book Antiqua" w:cs="宋体"/>
          <w:sz w:val="24"/>
          <w:szCs w:val="24"/>
        </w:rPr>
        <w:t>, Sterling RK, Everhart JE, Wright EC, Hoefs JC, Di Bisceglie AM, Morgan TR, Kim HY, Lee WM, Bonkovsky HL, Dienstag JL. Des-gamma-carboxy prothrombin and alpha-fetoprotein as biomarkers for the early detection of hepatocellular carcinoma. </w:t>
      </w:r>
      <w:r w:rsidRPr="003C3701">
        <w:rPr>
          <w:rFonts w:ascii="Book Antiqua" w:hAnsi="Book Antiqua" w:cs="宋体"/>
          <w:i/>
          <w:iCs/>
          <w:sz w:val="24"/>
          <w:szCs w:val="24"/>
        </w:rPr>
        <w:t>Gastroenterology</w:t>
      </w:r>
      <w:r w:rsidRPr="003C3701">
        <w:rPr>
          <w:rFonts w:ascii="Book Antiqua" w:hAnsi="Book Antiqua" w:cs="宋体"/>
          <w:sz w:val="24"/>
          <w:szCs w:val="24"/>
        </w:rPr>
        <w:t> 2010; </w:t>
      </w:r>
      <w:r w:rsidRPr="003C3701">
        <w:rPr>
          <w:rFonts w:ascii="Book Antiqua" w:hAnsi="Book Antiqua" w:cs="宋体"/>
          <w:b/>
          <w:bCs/>
          <w:sz w:val="24"/>
          <w:szCs w:val="24"/>
        </w:rPr>
        <w:t>138</w:t>
      </w:r>
      <w:r w:rsidRPr="003C3701">
        <w:rPr>
          <w:rFonts w:ascii="Book Antiqua" w:hAnsi="Book Antiqua" w:cs="宋体"/>
          <w:sz w:val="24"/>
          <w:szCs w:val="24"/>
        </w:rPr>
        <w:t>: 493-502 [PMID: 19852963 DOI: 10.1053/j.gastro.2009.10.031]</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9 </w:t>
      </w:r>
      <w:r w:rsidRPr="003C3701">
        <w:rPr>
          <w:rFonts w:ascii="Book Antiqua" w:hAnsi="Book Antiqua" w:cs="宋体"/>
          <w:b/>
          <w:bCs/>
          <w:sz w:val="24"/>
          <w:szCs w:val="24"/>
        </w:rPr>
        <w:t>Bertino G</w:t>
      </w:r>
      <w:r w:rsidRPr="003C3701">
        <w:rPr>
          <w:rFonts w:ascii="Book Antiqua" w:hAnsi="Book Antiqua" w:cs="宋体"/>
          <w:sz w:val="24"/>
          <w:szCs w:val="24"/>
        </w:rPr>
        <w:t>, Ardiri A, Malaguarnera M, Malaguarnera G, Bertino N, Calvagno GS. Hepatocellualar carcinoma serum markers. </w:t>
      </w:r>
      <w:r w:rsidRPr="003C3701">
        <w:rPr>
          <w:rFonts w:ascii="Book Antiqua" w:hAnsi="Book Antiqua" w:cs="宋体"/>
          <w:i/>
          <w:iCs/>
          <w:sz w:val="24"/>
          <w:szCs w:val="24"/>
        </w:rPr>
        <w:t>Semin Oncol</w:t>
      </w:r>
      <w:r w:rsidRPr="003C3701">
        <w:rPr>
          <w:rFonts w:ascii="Book Antiqua" w:hAnsi="Book Antiqua" w:cs="宋体"/>
          <w:sz w:val="24"/>
          <w:szCs w:val="24"/>
        </w:rPr>
        <w:t> 2012; </w:t>
      </w:r>
      <w:r w:rsidRPr="003C3701">
        <w:rPr>
          <w:rFonts w:ascii="Book Antiqua" w:hAnsi="Book Antiqua" w:cs="宋体"/>
          <w:b/>
          <w:bCs/>
          <w:sz w:val="24"/>
          <w:szCs w:val="24"/>
        </w:rPr>
        <w:t>39</w:t>
      </w:r>
      <w:r w:rsidRPr="003C3701">
        <w:rPr>
          <w:rFonts w:ascii="Book Antiqua" w:hAnsi="Book Antiqua" w:cs="宋体"/>
          <w:sz w:val="24"/>
          <w:szCs w:val="24"/>
        </w:rPr>
        <w:t>: 410-433 [PMID: 22846859 DOI: 10.1053/j.seminoncol.2012.05.001]</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10 </w:t>
      </w:r>
      <w:r w:rsidRPr="003C3701">
        <w:rPr>
          <w:rFonts w:ascii="Book Antiqua" w:hAnsi="Book Antiqua" w:cs="宋体"/>
          <w:b/>
          <w:bCs/>
          <w:sz w:val="24"/>
          <w:szCs w:val="24"/>
        </w:rPr>
        <w:t>Zender L</w:t>
      </w:r>
      <w:r w:rsidRPr="003C3701">
        <w:rPr>
          <w:rFonts w:ascii="Book Antiqua" w:hAnsi="Book Antiqua" w:cs="宋体"/>
          <w:sz w:val="24"/>
          <w:szCs w:val="24"/>
        </w:rPr>
        <w:t>, Villanueva A, Tovar V, Sia D, Chiang DY, Llovet JM. Cancer gene discovery in hepatocellular carcinoma. </w:t>
      </w:r>
      <w:r w:rsidRPr="003C3701">
        <w:rPr>
          <w:rFonts w:ascii="Book Antiqua" w:hAnsi="Book Antiqua" w:cs="宋体"/>
          <w:i/>
          <w:iCs/>
          <w:sz w:val="24"/>
          <w:szCs w:val="24"/>
        </w:rPr>
        <w:t>J Hepatol</w:t>
      </w:r>
      <w:r w:rsidRPr="003C3701">
        <w:rPr>
          <w:rFonts w:ascii="Book Antiqua" w:hAnsi="Book Antiqua" w:cs="宋体"/>
          <w:sz w:val="24"/>
          <w:szCs w:val="24"/>
        </w:rPr>
        <w:t> 2010; </w:t>
      </w:r>
      <w:r w:rsidRPr="003C3701">
        <w:rPr>
          <w:rFonts w:ascii="Book Antiqua" w:hAnsi="Book Antiqua" w:cs="宋体"/>
          <w:b/>
          <w:bCs/>
          <w:sz w:val="24"/>
          <w:szCs w:val="24"/>
        </w:rPr>
        <w:t>52</w:t>
      </w:r>
      <w:r w:rsidRPr="003C3701">
        <w:rPr>
          <w:rFonts w:ascii="Book Antiqua" w:hAnsi="Book Antiqua" w:cs="宋体"/>
          <w:sz w:val="24"/>
          <w:szCs w:val="24"/>
        </w:rPr>
        <w:t>: 921-929 [PMID: 20385424 DOI: 10.1016/j.jhep.2009.12.034]</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11 </w:t>
      </w:r>
      <w:r w:rsidRPr="003C3701">
        <w:rPr>
          <w:rFonts w:ascii="Book Antiqua" w:hAnsi="Book Antiqua" w:cs="宋体"/>
          <w:b/>
          <w:bCs/>
          <w:sz w:val="24"/>
          <w:szCs w:val="24"/>
        </w:rPr>
        <w:t>Chan KC</w:t>
      </w:r>
      <w:r w:rsidRPr="003C3701">
        <w:rPr>
          <w:rFonts w:ascii="Book Antiqua" w:hAnsi="Book Antiqua" w:cs="宋体"/>
          <w:sz w:val="24"/>
          <w:szCs w:val="24"/>
        </w:rPr>
        <w:t>, Jiang P, Chan CW, Sun K, Wong J, Hui EP, Chan SL, Chan WC, Hui DS, Ng SS, Chan HL, Wong CS, Ma BB, Chan AT, Lai PB, Sun H, Chiu RW, Lo YM. Noninvasive detection of cancer-associated genome-wide hypomethylation and copy number aberrations by plasma DNA bisulfite sequencing. </w:t>
      </w:r>
      <w:r w:rsidRPr="003C3701">
        <w:rPr>
          <w:rFonts w:ascii="Book Antiqua" w:hAnsi="Book Antiqua" w:cs="宋体"/>
          <w:i/>
          <w:iCs/>
          <w:sz w:val="24"/>
          <w:szCs w:val="24"/>
        </w:rPr>
        <w:t>Proc Natl Acad Sci USA</w:t>
      </w:r>
      <w:r w:rsidRPr="003C3701">
        <w:rPr>
          <w:rFonts w:ascii="Book Antiqua" w:hAnsi="Book Antiqua" w:cs="宋体"/>
          <w:sz w:val="24"/>
          <w:szCs w:val="24"/>
        </w:rPr>
        <w:t> 2013; </w:t>
      </w:r>
      <w:r w:rsidRPr="003C3701">
        <w:rPr>
          <w:rFonts w:ascii="Book Antiqua" w:hAnsi="Book Antiqua" w:cs="宋体"/>
          <w:b/>
          <w:bCs/>
          <w:sz w:val="24"/>
          <w:szCs w:val="24"/>
        </w:rPr>
        <w:t>110</w:t>
      </w:r>
      <w:r w:rsidRPr="003C3701">
        <w:rPr>
          <w:rFonts w:ascii="Book Antiqua" w:hAnsi="Book Antiqua" w:cs="宋体"/>
          <w:sz w:val="24"/>
          <w:szCs w:val="24"/>
        </w:rPr>
        <w:t>: 18761-18768 [PMID: 24191000 DOI: 10.1073/pnas.1313995110]</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12 </w:t>
      </w:r>
      <w:r w:rsidRPr="003C3701">
        <w:rPr>
          <w:rFonts w:ascii="Book Antiqua" w:hAnsi="Book Antiqua" w:cs="宋体"/>
          <w:b/>
          <w:bCs/>
          <w:sz w:val="24"/>
          <w:szCs w:val="24"/>
        </w:rPr>
        <w:t>Wong VW</w:t>
      </w:r>
      <w:r w:rsidRPr="003C3701">
        <w:rPr>
          <w:rFonts w:ascii="Book Antiqua" w:hAnsi="Book Antiqua" w:cs="宋体"/>
          <w:sz w:val="24"/>
          <w:szCs w:val="24"/>
        </w:rPr>
        <w:t>, Chan SL, Mo F, Chan TC, Loong HH, Wong GL, Lui YY, Chan AT, Sung JJ, Yeo W, Chan HL, Mok TS. Clinical scoring system to predict hepatocellular carcinoma in chronic hepatitis B carriers. </w:t>
      </w:r>
      <w:r w:rsidRPr="003C3701">
        <w:rPr>
          <w:rFonts w:ascii="Book Antiqua" w:hAnsi="Book Antiqua" w:cs="宋体"/>
          <w:i/>
          <w:iCs/>
          <w:sz w:val="24"/>
          <w:szCs w:val="24"/>
        </w:rPr>
        <w:t>J Clin Oncol</w:t>
      </w:r>
      <w:r w:rsidRPr="003C3701">
        <w:rPr>
          <w:rFonts w:ascii="Book Antiqua" w:hAnsi="Book Antiqua" w:cs="宋体"/>
          <w:sz w:val="24"/>
          <w:szCs w:val="24"/>
        </w:rPr>
        <w:t> 2010; </w:t>
      </w:r>
      <w:r w:rsidRPr="003C3701">
        <w:rPr>
          <w:rFonts w:ascii="Book Antiqua" w:hAnsi="Book Antiqua" w:cs="宋体"/>
          <w:b/>
          <w:bCs/>
          <w:sz w:val="24"/>
          <w:szCs w:val="24"/>
        </w:rPr>
        <w:t>28</w:t>
      </w:r>
      <w:r w:rsidRPr="003C3701">
        <w:rPr>
          <w:rFonts w:ascii="Book Antiqua" w:hAnsi="Book Antiqua" w:cs="宋体"/>
          <w:sz w:val="24"/>
          <w:szCs w:val="24"/>
        </w:rPr>
        <w:t>: 1660-1665 [PMID: 20194845 DOI: 10.1200/JCO.2009.26.2675]</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13 </w:t>
      </w:r>
      <w:r w:rsidRPr="003C3701">
        <w:rPr>
          <w:rFonts w:ascii="Book Antiqua" w:hAnsi="Book Antiqua" w:cs="宋体"/>
          <w:b/>
          <w:bCs/>
          <w:sz w:val="24"/>
          <w:szCs w:val="24"/>
        </w:rPr>
        <w:t>Yuen MF</w:t>
      </w:r>
      <w:r w:rsidRPr="003C3701">
        <w:rPr>
          <w:rFonts w:ascii="Book Antiqua" w:hAnsi="Book Antiqua" w:cs="宋体"/>
          <w:sz w:val="24"/>
          <w:szCs w:val="24"/>
        </w:rPr>
        <w:t>, Tanaka Y, Fong DY, Fung J, Wong DK, Yuen JC, But DY, Chan AO, Wong BC, Mizokami M, Lai CL. Independent risk factors and predictive score for the development of hepatocellular carcinoma in chronic hepatitis B. </w:t>
      </w:r>
      <w:r w:rsidRPr="003C3701">
        <w:rPr>
          <w:rFonts w:ascii="Book Antiqua" w:hAnsi="Book Antiqua" w:cs="宋体"/>
          <w:i/>
          <w:iCs/>
          <w:sz w:val="24"/>
          <w:szCs w:val="24"/>
        </w:rPr>
        <w:t>J Hepatol</w:t>
      </w:r>
      <w:r w:rsidRPr="003C3701">
        <w:rPr>
          <w:rFonts w:ascii="Book Antiqua" w:hAnsi="Book Antiqua" w:cs="宋体"/>
          <w:sz w:val="24"/>
          <w:szCs w:val="24"/>
        </w:rPr>
        <w:t> 2009; </w:t>
      </w:r>
      <w:r w:rsidRPr="003C3701">
        <w:rPr>
          <w:rFonts w:ascii="Book Antiqua" w:hAnsi="Book Antiqua" w:cs="宋体"/>
          <w:b/>
          <w:bCs/>
          <w:sz w:val="24"/>
          <w:szCs w:val="24"/>
        </w:rPr>
        <w:t>50</w:t>
      </w:r>
      <w:r w:rsidRPr="003C3701">
        <w:rPr>
          <w:rFonts w:ascii="Book Antiqua" w:hAnsi="Book Antiqua" w:cs="宋体"/>
          <w:sz w:val="24"/>
          <w:szCs w:val="24"/>
        </w:rPr>
        <w:t>: 80-88 [PMID: 18977053 DOI: 10.1016/j.jhep.2008.07.023]</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14 </w:t>
      </w:r>
      <w:r w:rsidRPr="003C3701">
        <w:rPr>
          <w:rFonts w:ascii="Book Antiqua" w:hAnsi="Book Antiqua" w:cs="宋体"/>
          <w:b/>
          <w:bCs/>
          <w:sz w:val="24"/>
          <w:szCs w:val="24"/>
        </w:rPr>
        <w:t>Yang HI</w:t>
      </w:r>
      <w:r w:rsidRPr="003C3701">
        <w:rPr>
          <w:rFonts w:ascii="Book Antiqua" w:hAnsi="Book Antiqua" w:cs="宋体"/>
          <w:sz w:val="24"/>
          <w:szCs w:val="24"/>
        </w:rPr>
        <w:t xml:space="preserve">, Yuen MF, Chan HL, Han KH, Chen PJ, Kim DY, Ahn SH, Chen CJ, Wong VW, Seto WK; </w:t>
      </w:r>
      <w:hyperlink r:id="rId10" w:history="1">
        <w:r w:rsidRPr="003C3701">
          <w:rPr>
            <w:rFonts w:ascii="Book Antiqua" w:hAnsi="Book Antiqua" w:cs="宋体"/>
            <w:sz w:val="24"/>
            <w:szCs w:val="24"/>
          </w:rPr>
          <w:t>REACH-B Working Group</w:t>
        </w:r>
      </w:hyperlink>
      <w:r w:rsidRPr="003C3701">
        <w:rPr>
          <w:rFonts w:ascii="Book Antiqua" w:hAnsi="Book Antiqua" w:cs="宋体"/>
          <w:sz w:val="24"/>
          <w:szCs w:val="24"/>
        </w:rPr>
        <w:t>. Risk estimation for hepatocellular carcinoma in chronic hepatitis B (REACH-B): development and validation of a predictive score. </w:t>
      </w:r>
      <w:r w:rsidRPr="003C3701">
        <w:rPr>
          <w:rFonts w:ascii="Book Antiqua" w:hAnsi="Book Antiqua" w:cs="宋体"/>
          <w:i/>
          <w:iCs/>
          <w:sz w:val="24"/>
          <w:szCs w:val="24"/>
        </w:rPr>
        <w:t>Lancet Oncol</w:t>
      </w:r>
      <w:r w:rsidRPr="003C3701">
        <w:rPr>
          <w:rFonts w:ascii="Book Antiqua" w:hAnsi="Book Antiqua" w:cs="宋体"/>
          <w:sz w:val="24"/>
          <w:szCs w:val="24"/>
        </w:rPr>
        <w:t> 2011; </w:t>
      </w:r>
      <w:r w:rsidRPr="003C3701">
        <w:rPr>
          <w:rFonts w:ascii="Book Antiqua" w:hAnsi="Book Antiqua" w:cs="宋体"/>
          <w:b/>
          <w:bCs/>
          <w:sz w:val="24"/>
          <w:szCs w:val="24"/>
        </w:rPr>
        <w:t>12</w:t>
      </w:r>
      <w:r w:rsidRPr="003C3701">
        <w:rPr>
          <w:rFonts w:ascii="Book Antiqua" w:hAnsi="Book Antiqua" w:cs="宋体"/>
          <w:sz w:val="24"/>
          <w:szCs w:val="24"/>
        </w:rPr>
        <w:t>: 568-574 [PMID: 21497551 DOI: 10.1016/S1470-2045(11)70077-8]</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15 </w:t>
      </w:r>
      <w:r w:rsidRPr="003C3701">
        <w:rPr>
          <w:rFonts w:ascii="Book Antiqua" w:hAnsi="Book Antiqua" w:cs="宋体"/>
          <w:b/>
          <w:bCs/>
          <w:sz w:val="24"/>
          <w:szCs w:val="24"/>
        </w:rPr>
        <w:t>Wong GL</w:t>
      </w:r>
      <w:r w:rsidRPr="003C3701">
        <w:rPr>
          <w:rFonts w:ascii="Book Antiqua" w:hAnsi="Book Antiqua" w:cs="宋体"/>
          <w:sz w:val="24"/>
          <w:szCs w:val="24"/>
        </w:rPr>
        <w:t>, Chan HL, Chan HY, Tse PC, Tse YK, Mak CW, Lee SK, Ip ZM, Lam AT, Iu HW, Leung JM, Wong VW. Accuracy of risk scores for patients with chronic hepatitis B receiving entecavir treatment. </w:t>
      </w:r>
      <w:r w:rsidRPr="003C3701">
        <w:rPr>
          <w:rFonts w:ascii="Book Antiqua" w:hAnsi="Book Antiqua" w:cs="宋体"/>
          <w:i/>
          <w:iCs/>
          <w:sz w:val="24"/>
          <w:szCs w:val="24"/>
        </w:rPr>
        <w:t>Gastroenterology</w:t>
      </w:r>
      <w:r w:rsidRPr="003C3701">
        <w:rPr>
          <w:rFonts w:ascii="Book Antiqua" w:hAnsi="Book Antiqua" w:cs="宋体"/>
          <w:sz w:val="24"/>
          <w:szCs w:val="24"/>
        </w:rPr>
        <w:t> 2013; </w:t>
      </w:r>
      <w:r w:rsidRPr="003C3701">
        <w:rPr>
          <w:rFonts w:ascii="Book Antiqua" w:hAnsi="Book Antiqua" w:cs="宋体"/>
          <w:b/>
          <w:bCs/>
          <w:sz w:val="24"/>
          <w:szCs w:val="24"/>
        </w:rPr>
        <w:t>144</w:t>
      </w:r>
      <w:r w:rsidRPr="003C3701">
        <w:rPr>
          <w:rFonts w:ascii="Book Antiqua" w:hAnsi="Book Antiqua" w:cs="宋体"/>
          <w:sz w:val="24"/>
          <w:szCs w:val="24"/>
        </w:rPr>
        <w:t>: 933-944 [PMID: 23415803 DOI: 10.1053/j.gastro.2013.02.002]</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16 </w:t>
      </w:r>
      <w:r w:rsidRPr="003C3701">
        <w:rPr>
          <w:rFonts w:ascii="Book Antiqua" w:hAnsi="Book Antiqua" w:cs="宋体"/>
          <w:b/>
          <w:bCs/>
          <w:sz w:val="24"/>
          <w:szCs w:val="24"/>
        </w:rPr>
        <w:t>Wong GL</w:t>
      </w:r>
      <w:r w:rsidRPr="003C3701">
        <w:rPr>
          <w:rFonts w:ascii="Book Antiqua" w:hAnsi="Book Antiqua" w:cs="宋体"/>
          <w:sz w:val="24"/>
          <w:szCs w:val="24"/>
        </w:rPr>
        <w:t>, Chan HL, Wong CK, Leung C, Chan CY, Ho PP, Chung VC, Chan ZC, Tse YK, Chim AM, Lau TK, Wong VW. Liver stiffness-based optimization of hepatocellular carcinoma risk score in patients with chronic hepatitis B. </w:t>
      </w:r>
      <w:r w:rsidRPr="003C3701">
        <w:rPr>
          <w:rFonts w:ascii="Book Antiqua" w:hAnsi="Book Antiqua" w:cs="宋体"/>
          <w:i/>
          <w:iCs/>
          <w:sz w:val="24"/>
          <w:szCs w:val="24"/>
        </w:rPr>
        <w:t>J Hepatol</w:t>
      </w:r>
      <w:r w:rsidRPr="003C3701">
        <w:rPr>
          <w:rFonts w:ascii="Book Antiqua" w:hAnsi="Book Antiqua" w:cs="宋体"/>
          <w:sz w:val="24"/>
          <w:szCs w:val="24"/>
        </w:rPr>
        <w:t> 2014; </w:t>
      </w:r>
      <w:r w:rsidRPr="003C3701">
        <w:rPr>
          <w:rFonts w:ascii="Book Antiqua" w:hAnsi="Book Antiqua" w:cs="宋体"/>
          <w:b/>
          <w:bCs/>
          <w:sz w:val="24"/>
          <w:szCs w:val="24"/>
        </w:rPr>
        <w:t>60</w:t>
      </w:r>
      <w:r w:rsidRPr="003C3701">
        <w:rPr>
          <w:rFonts w:ascii="Book Antiqua" w:hAnsi="Book Antiqua" w:cs="宋体"/>
          <w:sz w:val="24"/>
          <w:szCs w:val="24"/>
        </w:rPr>
        <w:t>: 339-345 [PMID: 24128413 DOI: 10.1016/j.jhep.2013.09.029]</w:t>
      </w:r>
    </w:p>
    <w:p w:rsidR="006F2942" w:rsidRPr="003C3701" w:rsidRDefault="006F2942" w:rsidP="00414947">
      <w:pPr>
        <w:spacing w:after="0" w:line="360" w:lineRule="auto"/>
        <w:jc w:val="both"/>
        <w:rPr>
          <w:rFonts w:ascii="Book Antiqua" w:hAnsi="Book Antiqua" w:cs="宋体"/>
          <w:sz w:val="24"/>
          <w:szCs w:val="24"/>
        </w:rPr>
      </w:pPr>
      <w:r w:rsidRPr="003C3701">
        <w:rPr>
          <w:rFonts w:ascii="Book Antiqua" w:hAnsi="Book Antiqua" w:cs="宋体"/>
          <w:sz w:val="24"/>
          <w:szCs w:val="24"/>
        </w:rPr>
        <w:t>17 </w:t>
      </w:r>
      <w:r w:rsidRPr="003C3701">
        <w:rPr>
          <w:rFonts w:ascii="Book Antiqua" w:hAnsi="Book Antiqua" w:cs="宋体"/>
          <w:b/>
          <w:bCs/>
          <w:sz w:val="24"/>
          <w:szCs w:val="24"/>
        </w:rPr>
        <w:t>Wong GL</w:t>
      </w:r>
      <w:r w:rsidRPr="003C3701">
        <w:rPr>
          <w:rFonts w:ascii="Book Antiqua" w:hAnsi="Book Antiqua" w:cs="宋体"/>
          <w:sz w:val="24"/>
          <w:szCs w:val="24"/>
        </w:rPr>
        <w:t>, Wong VW. Risk prediction of hepatitis B virus-related hepatocellular carcinoma in the era of antiviral therapy. </w:t>
      </w:r>
      <w:r w:rsidRPr="003C3701">
        <w:rPr>
          <w:rFonts w:ascii="Book Antiqua" w:hAnsi="Book Antiqua" w:cs="宋体"/>
          <w:i/>
          <w:iCs/>
          <w:sz w:val="24"/>
          <w:szCs w:val="24"/>
        </w:rPr>
        <w:t>World J Gastroenterol</w:t>
      </w:r>
      <w:r w:rsidRPr="003C3701">
        <w:rPr>
          <w:rFonts w:ascii="Book Antiqua" w:hAnsi="Book Antiqua" w:cs="宋体"/>
          <w:sz w:val="24"/>
          <w:szCs w:val="24"/>
        </w:rPr>
        <w:t> 2013; </w:t>
      </w:r>
      <w:r w:rsidRPr="003C3701">
        <w:rPr>
          <w:rFonts w:ascii="Book Antiqua" w:hAnsi="Book Antiqua" w:cs="宋体"/>
          <w:b/>
          <w:bCs/>
          <w:sz w:val="24"/>
          <w:szCs w:val="24"/>
        </w:rPr>
        <w:t>19</w:t>
      </w:r>
      <w:r w:rsidRPr="003C3701">
        <w:rPr>
          <w:rFonts w:ascii="Book Antiqua" w:hAnsi="Book Antiqua" w:cs="宋体"/>
          <w:sz w:val="24"/>
          <w:szCs w:val="24"/>
        </w:rPr>
        <w:t>: 6515-6522 [PMID: 24151375 DOI: 10.3748/wjg.v19.i39.6515]</w:t>
      </w:r>
    </w:p>
    <w:p w:rsidR="006F2942" w:rsidRPr="003C3701" w:rsidRDefault="006F2942" w:rsidP="00414947">
      <w:pPr>
        <w:spacing w:after="0" w:line="360" w:lineRule="auto"/>
        <w:jc w:val="both"/>
        <w:rPr>
          <w:rFonts w:ascii="Book Antiqua" w:hAnsi="Book Antiqua"/>
          <w:sz w:val="24"/>
          <w:szCs w:val="24"/>
        </w:rPr>
      </w:pPr>
    </w:p>
    <w:p w:rsidR="006F2942" w:rsidRPr="003C3701" w:rsidRDefault="006F2942" w:rsidP="00117E5C">
      <w:pPr>
        <w:wordWrap w:val="0"/>
        <w:spacing w:after="0" w:line="360" w:lineRule="auto"/>
        <w:ind w:left="31680" w:hangingChars="200" w:firstLine="31680"/>
        <w:jc w:val="right"/>
        <w:rPr>
          <w:rFonts w:ascii="Book Antiqua" w:hAnsi="Book Antiqua"/>
          <w:sz w:val="24"/>
        </w:rPr>
      </w:pPr>
      <w:r w:rsidRPr="003C3701">
        <w:rPr>
          <w:rFonts w:ascii="Book Antiqua" w:hAnsi="Book Antiqua"/>
          <w:b/>
          <w:sz w:val="24"/>
        </w:rPr>
        <w:t>P- Reviewer:</w:t>
      </w:r>
      <w:r w:rsidRPr="003C3701">
        <w:rPr>
          <w:rFonts w:ascii="Book Antiqua" w:eastAsia="宋体" w:hAnsi="Book Antiqua"/>
          <w:b/>
          <w:sz w:val="24"/>
          <w:lang w:eastAsia="zh-CN"/>
        </w:rPr>
        <w:t xml:space="preserve"> </w:t>
      </w:r>
      <w:r w:rsidRPr="003C3701">
        <w:rPr>
          <w:rFonts w:ascii="Book Antiqua" w:hAnsi="Book Antiqua" w:cs="宋体"/>
          <w:sz w:val="24"/>
          <w:szCs w:val="24"/>
        </w:rPr>
        <w:t xml:space="preserve">Doganay L, He ST </w:t>
      </w:r>
      <w:r w:rsidRPr="003C3701">
        <w:rPr>
          <w:rFonts w:ascii="Book Antiqua" w:hAnsi="Book Antiqua"/>
          <w:sz w:val="24"/>
        </w:rPr>
        <w:t xml:space="preserve">   </w:t>
      </w:r>
      <w:r w:rsidRPr="003C3701">
        <w:rPr>
          <w:rFonts w:ascii="Book Antiqua" w:hAnsi="Book Antiqua"/>
          <w:b/>
          <w:sz w:val="24"/>
        </w:rPr>
        <w:t>S- Editor:</w:t>
      </w:r>
      <w:r w:rsidRPr="003C3701">
        <w:rPr>
          <w:rFonts w:ascii="Book Antiqua" w:hAnsi="Book Antiqua"/>
          <w:sz w:val="24"/>
        </w:rPr>
        <w:t xml:space="preserve"> Gong XM</w:t>
      </w:r>
    </w:p>
    <w:p w:rsidR="006F2942" w:rsidRPr="003C3701" w:rsidRDefault="006F2942" w:rsidP="00117E5C">
      <w:pPr>
        <w:spacing w:after="0" w:line="360" w:lineRule="auto"/>
        <w:ind w:left="31680" w:hangingChars="200" w:firstLine="31680"/>
        <w:jc w:val="right"/>
        <w:rPr>
          <w:rFonts w:ascii="Book Antiqua" w:hAnsi="Book Antiqua"/>
          <w:b/>
          <w:sz w:val="24"/>
        </w:rPr>
      </w:pPr>
      <w:r w:rsidRPr="003C3701">
        <w:rPr>
          <w:rFonts w:ascii="Book Antiqua" w:hAnsi="Book Antiqua"/>
          <w:b/>
          <w:sz w:val="24"/>
        </w:rPr>
        <w:t xml:space="preserve"> L- Editor:</w:t>
      </w:r>
      <w:r w:rsidRPr="003C3701">
        <w:rPr>
          <w:rFonts w:ascii="Book Antiqua" w:hAnsi="Book Antiqua"/>
          <w:sz w:val="24"/>
        </w:rPr>
        <w:t xml:space="preserve"> </w:t>
      </w:r>
      <w:r w:rsidRPr="003C3701">
        <w:rPr>
          <w:rFonts w:ascii="Book Antiqua" w:hAnsi="Book Antiqua"/>
          <w:b/>
          <w:sz w:val="24"/>
        </w:rPr>
        <w:t>E- Editor:</w:t>
      </w:r>
    </w:p>
    <w:p w:rsidR="006F2942" w:rsidRPr="003C3701" w:rsidRDefault="006F2942" w:rsidP="00414947">
      <w:pPr>
        <w:spacing w:after="0" w:line="360" w:lineRule="auto"/>
        <w:jc w:val="both"/>
        <w:rPr>
          <w:rFonts w:ascii="Book Antiqua" w:hAnsi="Book Antiqua" w:cs="宋体"/>
          <w:sz w:val="24"/>
          <w:szCs w:val="24"/>
        </w:rPr>
      </w:pPr>
    </w:p>
    <w:p w:rsidR="006F2942" w:rsidRPr="003C3701" w:rsidRDefault="006F2942" w:rsidP="00414947">
      <w:pPr>
        <w:adjustRightInd w:val="0"/>
        <w:snapToGrid w:val="0"/>
        <w:spacing w:after="0" w:line="360" w:lineRule="auto"/>
        <w:jc w:val="both"/>
        <w:rPr>
          <w:rFonts w:ascii="Book Antiqua" w:hAnsi="Book Antiqua" w:cs="Book Antiqua"/>
          <w:noProof/>
          <w:sz w:val="24"/>
          <w:szCs w:val="24"/>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rPr>
      </w:pP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rPr>
      </w:pPr>
    </w:p>
    <w:p w:rsidR="006F2942" w:rsidRPr="003C3701" w:rsidRDefault="006F2942" w:rsidP="00414947">
      <w:pPr>
        <w:spacing w:after="0" w:line="360" w:lineRule="auto"/>
        <w:jc w:val="both"/>
        <w:rPr>
          <w:rFonts w:ascii="Book Antiqua" w:eastAsia="宋体" w:hAnsi="Book Antiqua" w:cs="Book Antiqua"/>
          <w:sz w:val="24"/>
          <w:szCs w:val="24"/>
          <w:lang w:eastAsia="zh-CN"/>
        </w:rPr>
      </w:pPr>
      <w:r w:rsidRPr="003C3701">
        <w:rPr>
          <w:rFonts w:ascii="Book Antiqua" w:hAnsi="Book Antiqua" w:cs="Book Antiqua"/>
          <w:sz w:val="24"/>
          <w:szCs w:val="24"/>
        </w:rPr>
        <w:br w:type="page"/>
      </w:r>
      <w:r w:rsidRPr="003C3701">
        <w:rPr>
          <w:rFonts w:ascii="Book Antiqua" w:hAnsi="Book Antiqua" w:cs="Book Antiqua"/>
          <w:b/>
          <w:sz w:val="24"/>
          <w:szCs w:val="24"/>
        </w:rPr>
        <w:t>Table 1 Major cancer genes involved in the pathogenesis of hepatocellular carcinoma</w:t>
      </w:r>
      <w:r w:rsidRPr="003C3701">
        <w:rPr>
          <w:rFonts w:ascii="Book Antiqua" w:hAnsi="Book Antiqua" w:cs="Book Antiqua"/>
          <w:sz w:val="24"/>
          <w:szCs w:val="24"/>
        </w:rPr>
        <w:t xml:space="preserve"> </w:t>
      </w:r>
    </w:p>
    <w:p w:rsidR="006F2942" w:rsidRPr="003C3701" w:rsidRDefault="006F2942" w:rsidP="00414947">
      <w:pPr>
        <w:autoSpaceDE w:val="0"/>
        <w:autoSpaceDN w:val="0"/>
        <w:adjustRightInd w:val="0"/>
        <w:snapToGrid w:val="0"/>
        <w:spacing w:after="0" w:line="360" w:lineRule="auto"/>
        <w:jc w:val="both"/>
        <w:rPr>
          <w:rFonts w:ascii="Book Antiqua" w:hAnsi="Book Antiqua" w:cs="Book Antiqua"/>
          <w:sz w:val="24"/>
          <w:szCs w:val="24"/>
        </w:rPr>
      </w:pPr>
    </w:p>
    <w:tbl>
      <w:tblPr>
        <w:tblW w:w="9918" w:type="dxa"/>
        <w:tblInd w:w="-106" w:type="dxa"/>
        <w:tblLook w:val="00A0"/>
      </w:tblPr>
      <w:tblGrid>
        <w:gridCol w:w="2394"/>
        <w:gridCol w:w="3024"/>
        <w:gridCol w:w="4500"/>
      </w:tblGrid>
      <w:tr w:rsidR="006F2942" w:rsidRPr="003C3701" w:rsidTr="00964AC4">
        <w:tc>
          <w:tcPr>
            <w:tcW w:w="2394" w:type="dxa"/>
            <w:tcBorders>
              <w:top w:val="single" w:sz="4" w:space="0" w:color="auto"/>
              <w:bottom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b/>
                <w:bCs/>
                <w:kern w:val="24"/>
              </w:rPr>
              <w:t>Gene</w:t>
            </w:r>
          </w:p>
        </w:tc>
        <w:tc>
          <w:tcPr>
            <w:tcW w:w="3024" w:type="dxa"/>
            <w:tcBorders>
              <w:top w:val="single" w:sz="4" w:space="0" w:color="auto"/>
              <w:bottom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b/>
                <w:bCs/>
                <w:kern w:val="24"/>
              </w:rPr>
              <w:t>Type</w:t>
            </w:r>
          </w:p>
        </w:tc>
        <w:tc>
          <w:tcPr>
            <w:tcW w:w="4500" w:type="dxa"/>
            <w:tcBorders>
              <w:top w:val="single" w:sz="4" w:space="0" w:color="auto"/>
              <w:bottom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b/>
                <w:bCs/>
                <w:kern w:val="24"/>
              </w:rPr>
              <w:t>Pathways</w:t>
            </w:r>
          </w:p>
        </w:tc>
      </w:tr>
      <w:tr w:rsidR="006F2942" w:rsidRPr="003C3701" w:rsidTr="00964AC4">
        <w:tc>
          <w:tcPr>
            <w:tcW w:w="2394" w:type="dxa"/>
            <w:tcBorders>
              <w:top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MYC</w:t>
            </w:r>
          </w:p>
        </w:tc>
        <w:tc>
          <w:tcPr>
            <w:tcW w:w="3024" w:type="dxa"/>
            <w:tcBorders>
              <w:top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Borders>
              <w:top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Proliferation control</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EGF</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EGFR signaling (mitogenic signaling)</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TGFA</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EGFR signaling (mitogenic signaling)</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APC</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Tumor suppressor 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Wnt-signaling</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PTEN</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Tumor suppressor 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PI3K/Akt/mTOR signaling</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AKT</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PI3K/Akt/mTOR signaling</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HGF</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Growth factor</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MET</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Growth factor receptor</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PDGFR</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Growth factor receptor</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RAS</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Ras/MAPK signaling</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P53</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Tumor suppressor 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Stress response, cell cycle inhibition</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E2F1</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Cell cycle</w:t>
            </w:r>
          </w:p>
        </w:tc>
      </w:tr>
      <w:tr w:rsidR="006F2942" w:rsidRPr="003C3701" w:rsidTr="00964AC4">
        <w:tc>
          <w:tcPr>
            <w:tcW w:w="239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CCND1</w:t>
            </w:r>
          </w:p>
        </w:tc>
        <w:tc>
          <w:tcPr>
            <w:tcW w:w="3024"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Cell cycle</w:t>
            </w:r>
          </w:p>
        </w:tc>
      </w:tr>
      <w:tr w:rsidR="006F2942" w:rsidRPr="003C3701" w:rsidTr="00964AC4">
        <w:tc>
          <w:tcPr>
            <w:tcW w:w="2394" w:type="dxa"/>
            <w:tcBorders>
              <w:bottom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i/>
              </w:rPr>
            </w:pPr>
            <w:r w:rsidRPr="003C3701">
              <w:rPr>
                <w:rFonts w:ascii="Book Antiqua" w:hAnsi="Book Antiqua" w:cs="Book Antiqua"/>
                <w:i/>
                <w:kern w:val="24"/>
              </w:rPr>
              <w:t>Telomerase</w:t>
            </w:r>
          </w:p>
        </w:tc>
        <w:tc>
          <w:tcPr>
            <w:tcW w:w="3024" w:type="dxa"/>
            <w:tcBorders>
              <w:bottom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Oncogene</w:t>
            </w:r>
          </w:p>
        </w:tc>
        <w:tc>
          <w:tcPr>
            <w:tcW w:w="4500" w:type="dxa"/>
            <w:tcBorders>
              <w:bottom w:val="single" w:sz="4" w:space="0" w:color="auto"/>
            </w:tcBorders>
          </w:tcPr>
          <w:p w:rsidR="006F2942" w:rsidRPr="003C3701" w:rsidRDefault="006F2942" w:rsidP="00414947">
            <w:pPr>
              <w:pStyle w:val="NormalWeb"/>
              <w:spacing w:before="0" w:beforeAutospacing="0" w:after="0" w:afterAutospacing="0" w:line="360" w:lineRule="auto"/>
              <w:jc w:val="both"/>
              <w:rPr>
                <w:rFonts w:ascii="Book Antiqua" w:hAnsi="Book Antiqua" w:cs="Book Antiqua"/>
              </w:rPr>
            </w:pPr>
            <w:r w:rsidRPr="003C3701">
              <w:rPr>
                <w:rFonts w:ascii="Book Antiqua" w:hAnsi="Book Antiqua" w:cs="Book Antiqua"/>
                <w:kern w:val="24"/>
              </w:rPr>
              <w:t>Cell senescence</w:t>
            </w:r>
          </w:p>
        </w:tc>
      </w:tr>
    </w:tbl>
    <w:p w:rsidR="006F2942" w:rsidRPr="003C3701" w:rsidRDefault="006F2942" w:rsidP="008A2506">
      <w:pPr>
        <w:spacing w:after="0" w:line="360" w:lineRule="auto"/>
        <w:jc w:val="both"/>
        <w:rPr>
          <w:rFonts w:ascii="Book Antiqua" w:eastAsia="宋体" w:hAnsi="Book Antiqua" w:cs="Book Antiqua"/>
          <w:sz w:val="24"/>
          <w:szCs w:val="24"/>
          <w:lang w:eastAsia="zh-CN"/>
        </w:rPr>
      </w:pPr>
      <w:r w:rsidRPr="003C3701">
        <w:rPr>
          <w:rFonts w:ascii="Book Antiqua" w:hAnsi="Book Antiqua" w:cs="Book Antiqua"/>
          <w:sz w:val="24"/>
          <w:szCs w:val="24"/>
        </w:rPr>
        <w:t xml:space="preserve">Modified from Zender </w:t>
      </w:r>
      <w:r w:rsidRPr="003C3701">
        <w:rPr>
          <w:rFonts w:ascii="Book Antiqua" w:hAnsi="Book Antiqua" w:cs="Book Antiqua"/>
          <w:i/>
          <w:sz w:val="24"/>
          <w:szCs w:val="24"/>
        </w:rPr>
        <w:t>et al</w:t>
      </w:r>
      <w:r w:rsidRPr="003C3701">
        <w:rPr>
          <w:rFonts w:ascii="Book Antiqua" w:hAnsi="Book Antiqua" w:cs="Book Antiqua"/>
          <w:sz w:val="24"/>
          <w:szCs w:val="24"/>
          <w:vertAlign w:val="superscript"/>
        </w:rPr>
        <w:t>[10]</w:t>
      </w:r>
      <w:r w:rsidRPr="003C3701">
        <w:rPr>
          <w:rFonts w:ascii="Book Antiqua" w:eastAsia="宋体" w:hAnsi="Book Antiqua" w:cs="Book Antiqua"/>
          <w:kern w:val="24"/>
          <w:sz w:val="24"/>
          <w:szCs w:val="24"/>
          <w:lang w:eastAsia="zh-CN"/>
        </w:rPr>
        <w:t xml:space="preserve">. </w:t>
      </w:r>
      <w:r w:rsidRPr="003C3701">
        <w:rPr>
          <w:rFonts w:ascii="Book Antiqua" w:hAnsi="Book Antiqua" w:cs="Book Antiqua"/>
          <w:kern w:val="24"/>
          <w:sz w:val="24"/>
          <w:szCs w:val="24"/>
        </w:rPr>
        <w:t>EGFR</w:t>
      </w:r>
      <w:r w:rsidRPr="003C3701">
        <w:rPr>
          <w:rFonts w:ascii="Book Antiqua" w:eastAsia="宋体" w:hAnsi="Book Antiqua" w:cs="Book Antiqua"/>
          <w:kern w:val="24"/>
          <w:sz w:val="24"/>
          <w:szCs w:val="24"/>
          <w:lang w:eastAsia="zh-CN"/>
        </w:rPr>
        <w:t>:</w:t>
      </w:r>
      <w:r w:rsidRPr="003C3701">
        <w:rPr>
          <w:rFonts w:ascii="Book Antiqua" w:hAnsi="Book Antiqua" w:cs="Book Antiqua"/>
          <w:kern w:val="24"/>
          <w:sz w:val="24"/>
          <w:szCs w:val="24"/>
        </w:rPr>
        <w:t xml:space="preserve"> Epidermal growth factor receptor; MAPK</w:t>
      </w:r>
      <w:r w:rsidRPr="003C3701">
        <w:rPr>
          <w:rFonts w:ascii="Book Antiqua" w:eastAsia="宋体" w:hAnsi="Book Antiqua" w:cs="Book Antiqua"/>
          <w:kern w:val="24"/>
          <w:sz w:val="24"/>
          <w:szCs w:val="24"/>
          <w:lang w:eastAsia="zh-CN"/>
        </w:rPr>
        <w:t>:</w:t>
      </w:r>
      <w:r w:rsidRPr="003C3701">
        <w:rPr>
          <w:rFonts w:ascii="Book Antiqua" w:hAnsi="Book Antiqua" w:cs="Book Antiqua"/>
          <w:kern w:val="24"/>
          <w:sz w:val="24"/>
          <w:szCs w:val="24"/>
        </w:rPr>
        <w:t xml:space="preserve"> Mitogen-activated protein kinases; PI3K/AKT/mTOR</w:t>
      </w:r>
      <w:r w:rsidRPr="003C3701">
        <w:rPr>
          <w:rFonts w:ascii="Book Antiqua" w:eastAsia="宋体" w:hAnsi="Book Antiqua" w:cs="Book Antiqua"/>
          <w:kern w:val="24"/>
          <w:sz w:val="24"/>
          <w:szCs w:val="24"/>
          <w:lang w:eastAsia="zh-CN"/>
        </w:rPr>
        <w:t>:</w:t>
      </w:r>
      <w:r w:rsidRPr="003C3701">
        <w:rPr>
          <w:rFonts w:ascii="Book Antiqua" w:hAnsi="Book Antiqua" w:cs="Book Antiqua"/>
          <w:kern w:val="24"/>
          <w:sz w:val="24"/>
          <w:szCs w:val="24"/>
        </w:rPr>
        <w:t xml:space="preserve"> Phosphatidylinositol 3-kinase/protein kinase-B/mammalian target of rapamycin.</w:t>
      </w:r>
    </w:p>
    <w:sectPr w:rsidR="006F2942" w:rsidRPr="003C3701" w:rsidSect="0013002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42" w:rsidRDefault="006F2942">
      <w:r>
        <w:separator/>
      </w:r>
    </w:p>
  </w:endnote>
  <w:endnote w:type="continuationSeparator" w:id="0">
    <w:p w:rsidR="006F2942" w:rsidRDefault="006F2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朢痽"/>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42" w:rsidRDefault="006F2942" w:rsidP="006B71AE">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F2942" w:rsidRDefault="006F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42" w:rsidRDefault="006F2942" w:rsidP="006B71AE">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6F2942" w:rsidRDefault="006F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42" w:rsidRDefault="006F2942">
      <w:r>
        <w:separator/>
      </w:r>
    </w:p>
  </w:footnote>
  <w:footnote w:type="continuationSeparator" w:id="0">
    <w:p w:rsidR="006F2942" w:rsidRDefault="006F2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B74"/>
    <w:rsid w:val="00000ECA"/>
    <w:rsid w:val="00044D68"/>
    <w:rsid w:val="00073608"/>
    <w:rsid w:val="000F0E4A"/>
    <w:rsid w:val="00117E5C"/>
    <w:rsid w:val="00130021"/>
    <w:rsid w:val="00195EDA"/>
    <w:rsid w:val="001E1F52"/>
    <w:rsid w:val="001F760D"/>
    <w:rsid w:val="00205893"/>
    <w:rsid w:val="002100CF"/>
    <w:rsid w:val="00210534"/>
    <w:rsid w:val="00214B74"/>
    <w:rsid w:val="00217AE0"/>
    <w:rsid w:val="002946EB"/>
    <w:rsid w:val="002A38B2"/>
    <w:rsid w:val="002B2C8C"/>
    <w:rsid w:val="002C4C36"/>
    <w:rsid w:val="002E6D47"/>
    <w:rsid w:val="00320010"/>
    <w:rsid w:val="00342658"/>
    <w:rsid w:val="003604A2"/>
    <w:rsid w:val="00362F41"/>
    <w:rsid w:val="0038469F"/>
    <w:rsid w:val="003B3471"/>
    <w:rsid w:val="003B6CED"/>
    <w:rsid w:val="003B74F8"/>
    <w:rsid w:val="003C3701"/>
    <w:rsid w:val="003D2B1E"/>
    <w:rsid w:val="003D3014"/>
    <w:rsid w:val="003D4F0F"/>
    <w:rsid w:val="003F05F6"/>
    <w:rsid w:val="00414947"/>
    <w:rsid w:val="00416B61"/>
    <w:rsid w:val="00431483"/>
    <w:rsid w:val="00454334"/>
    <w:rsid w:val="004902BC"/>
    <w:rsid w:val="004916C4"/>
    <w:rsid w:val="004C7F97"/>
    <w:rsid w:val="004E1EAF"/>
    <w:rsid w:val="00512DDD"/>
    <w:rsid w:val="005533D7"/>
    <w:rsid w:val="005A69F6"/>
    <w:rsid w:val="005B23F5"/>
    <w:rsid w:val="005D1309"/>
    <w:rsid w:val="005E5F3D"/>
    <w:rsid w:val="006050F5"/>
    <w:rsid w:val="0064709F"/>
    <w:rsid w:val="006643C2"/>
    <w:rsid w:val="0066464A"/>
    <w:rsid w:val="00664E00"/>
    <w:rsid w:val="006B71AE"/>
    <w:rsid w:val="006C32EE"/>
    <w:rsid w:val="006F2942"/>
    <w:rsid w:val="0072774B"/>
    <w:rsid w:val="00742A1D"/>
    <w:rsid w:val="00761D0C"/>
    <w:rsid w:val="00766E9F"/>
    <w:rsid w:val="00793E7A"/>
    <w:rsid w:val="007C3881"/>
    <w:rsid w:val="007D1EC1"/>
    <w:rsid w:val="007D786B"/>
    <w:rsid w:val="007E1342"/>
    <w:rsid w:val="007F2F75"/>
    <w:rsid w:val="00800F28"/>
    <w:rsid w:val="00830895"/>
    <w:rsid w:val="00844B7B"/>
    <w:rsid w:val="008A1AFC"/>
    <w:rsid w:val="008A2506"/>
    <w:rsid w:val="008A2FD2"/>
    <w:rsid w:val="00927B2E"/>
    <w:rsid w:val="00964AC4"/>
    <w:rsid w:val="00987831"/>
    <w:rsid w:val="009B4AF9"/>
    <w:rsid w:val="009B5E2D"/>
    <w:rsid w:val="009D173A"/>
    <w:rsid w:val="009D19A6"/>
    <w:rsid w:val="00A10FA2"/>
    <w:rsid w:val="00A116AC"/>
    <w:rsid w:val="00A57152"/>
    <w:rsid w:val="00AD3047"/>
    <w:rsid w:val="00AD63AA"/>
    <w:rsid w:val="00AF30D4"/>
    <w:rsid w:val="00B16E5C"/>
    <w:rsid w:val="00BA53B0"/>
    <w:rsid w:val="00BE0EE1"/>
    <w:rsid w:val="00C22970"/>
    <w:rsid w:val="00C5081D"/>
    <w:rsid w:val="00C60485"/>
    <w:rsid w:val="00C72B8C"/>
    <w:rsid w:val="00C92BAE"/>
    <w:rsid w:val="00CB2B68"/>
    <w:rsid w:val="00CD2FAC"/>
    <w:rsid w:val="00D03DE1"/>
    <w:rsid w:val="00D16C09"/>
    <w:rsid w:val="00D253DF"/>
    <w:rsid w:val="00D41543"/>
    <w:rsid w:val="00D43FCA"/>
    <w:rsid w:val="00D74D41"/>
    <w:rsid w:val="00D80161"/>
    <w:rsid w:val="00DF7D77"/>
    <w:rsid w:val="00E07439"/>
    <w:rsid w:val="00E56D50"/>
    <w:rsid w:val="00E6570F"/>
    <w:rsid w:val="00ED64E4"/>
    <w:rsid w:val="00EF6471"/>
    <w:rsid w:val="00F1586B"/>
    <w:rsid w:val="00F23E8D"/>
    <w:rsid w:val="00F46DEF"/>
    <w:rsid w:val="00F64686"/>
    <w:rsid w:val="00FB77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21"/>
    <w:pPr>
      <w:spacing w:after="200" w:line="276" w:lineRule="auto"/>
    </w:pPr>
    <w:rPr>
      <w:rFonts w:cs="Calibri"/>
      <w:kern w:val="0"/>
      <w:sz w:val="22"/>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C3881"/>
    <w:pPr>
      <w:widowControl w:val="0"/>
      <w:spacing w:after="120" w:line="480" w:lineRule="auto"/>
    </w:pPr>
    <w:rPr>
      <w:rFonts w:ascii="Times New Roman" w:hAnsi="Times New Roman" w:cs="Times New Roman"/>
      <w:kern w:val="2"/>
      <w:sz w:val="24"/>
      <w:szCs w:val="24"/>
      <w:lang w:eastAsia="zh-CN"/>
    </w:rPr>
  </w:style>
  <w:style w:type="character" w:customStyle="1" w:styleId="BodyText2Char">
    <w:name w:val="Body Text 2 Char"/>
    <w:basedOn w:val="DefaultParagraphFont"/>
    <w:link w:val="BodyText2"/>
    <w:uiPriority w:val="99"/>
    <w:locked/>
    <w:rsid w:val="007C3881"/>
    <w:rPr>
      <w:rFonts w:ascii="Times New Roman" w:eastAsia="PMingLiU" w:hAnsi="Times New Roman"/>
      <w:kern w:val="2"/>
      <w:sz w:val="24"/>
    </w:rPr>
  </w:style>
  <w:style w:type="character" w:styleId="Hyperlink">
    <w:name w:val="Hyperlink"/>
    <w:basedOn w:val="DefaultParagraphFont"/>
    <w:uiPriority w:val="99"/>
    <w:rsid w:val="007C3881"/>
    <w:rPr>
      <w:rFonts w:cs="Times New Roman"/>
      <w:color w:val="0033CC"/>
      <w:u w:val="single"/>
    </w:rPr>
  </w:style>
  <w:style w:type="character" w:customStyle="1" w:styleId="pagecontents">
    <w:name w:val="pagecontents"/>
    <w:uiPriority w:val="99"/>
    <w:rsid w:val="007C3881"/>
  </w:style>
  <w:style w:type="table" w:styleId="TableGrid">
    <w:name w:val="Table Grid"/>
    <w:basedOn w:val="TableNormal"/>
    <w:uiPriority w:val="99"/>
    <w:rsid w:val="00800F28"/>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0F28"/>
    <w:pPr>
      <w:spacing w:before="100" w:beforeAutospacing="1" w:after="100" w:afterAutospacing="1" w:line="240" w:lineRule="auto"/>
    </w:pPr>
    <w:rPr>
      <w:rFonts w:ascii="Times New Roman" w:hAnsi="Times New Roman" w:cs="Times New Roman"/>
      <w:sz w:val="24"/>
      <w:szCs w:val="24"/>
    </w:rPr>
  </w:style>
  <w:style w:type="paragraph" w:customStyle="1" w:styleId="CharChar2">
    <w:name w:val="Char Char2"/>
    <w:basedOn w:val="Normal"/>
    <w:autoRedefine/>
    <w:uiPriority w:val="99"/>
    <w:rsid w:val="00F1586B"/>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F1586B"/>
    <w:pPr>
      <w:suppressAutoHyphens/>
      <w:spacing w:before="120" w:after="120" w:line="240" w:lineRule="auto"/>
    </w:pPr>
    <w:rPr>
      <w:rFonts w:cs="Times New Roman"/>
      <w:szCs w:val="20"/>
      <w:lang w:eastAsia="ar-SA"/>
    </w:rPr>
  </w:style>
  <w:style w:type="character" w:customStyle="1" w:styleId="CommentTextChar">
    <w:name w:val="Comment Text Char"/>
    <w:basedOn w:val="DefaultParagraphFont"/>
    <w:link w:val="CommentText"/>
    <w:uiPriority w:val="99"/>
    <w:semiHidden/>
    <w:locked/>
    <w:rsid w:val="007E1342"/>
    <w:rPr>
      <w:kern w:val="0"/>
      <w:sz w:val="22"/>
      <w:lang w:eastAsia="zh-TW"/>
    </w:rPr>
  </w:style>
  <w:style w:type="character" w:customStyle="1" w:styleId="CommentTextChar1">
    <w:name w:val="Comment Text Char1"/>
    <w:link w:val="CommentText"/>
    <w:uiPriority w:val="99"/>
    <w:semiHidden/>
    <w:locked/>
    <w:rsid w:val="00F1586B"/>
    <w:rPr>
      <w:rFonts w:ascii="Calibri" w:hAnsi="Calibri"/>
      <w:sz w:val="22"/>
      <w:lang w:val="en-US" w:eastAsia="ar-SA" w:bidi="ar-SA"/>
    </w:rPr>
  </w:style>
  <w:style w:type="character" w:styleId="CommentReference">
    <w:name w:val="annotation reference"/>
    <w:basedOn w:val="DefaultParagraphFont"/>
    <w:uiPriority w:val="99"/>
    <w:semiHidden/>
    <w:rsid w:val="00F1586B"/>
    <w:rPr>
      <w:rFonts w:cs="Times New Roman"/>
      <w:sz w:val="21"/>
    </w:rPr>
  </w:style>
  <w:style w:type="paragraph" w:styleId="CommentSubject">
    <w:name w:val="annotation subject"/>
    <w:basedOn w:val="CommentText"/>
    <w:next w:val="CommentText"/>
    <w:link w:val="CommentSubjectChar"/>
    <w:uiPriority w:val="99"/>
    <w:semiHidden/>
    <w:rsid w:val="00F1586B"/>
    <w:pPr>
      <w:suppressAutoHyphens w:val="0"/>
      <w:spacing w:before="0" w:after="200" w:line="276" w:lineRule="auto"/>
    </w:pPr>
    <w:rPr>
      <w:rFonts w:cs="Calibri"/>
      <w:b/>
      <w:bCs/>
      <w:szCs w:val="22"/>
      <w:lang w:eastAsia="zh-TW"/>
    </w:rPr>
  </w:style>
  <w:style w:type="character" w:customStyle="1" w:styleId="CommentSubjectChar">
    <w:name w:val="Comment Subject Char"/>
    <w:basedOn w:val="CommentTextChar1"/>
    <w:link w:val="CommentSubject"/>
    <w:uiPriority w:val="99"/>
    <w:semiHidden/>
    <w:locked/>
    <w:rsid w:val="007E1342"/>
    <w:rPr>
      <w:b/>
      <w:kern w:val="0"/>
      <w:lang w:eastAsia="zh-TW"/>
    </w:rPr>
  </w:style>
  <w:style w:type="paragraph" w:styleId="BalloonText">
    <w:name w:val="Balloon Text"/>
    <w:basedOn w:val="Normal"/>
    <w:link w:val="BalloonTextChar"/>
    <w:uiPriority w:val="99"/>
    <w:semiHidden/>
    <w:rsid w:val="00F1586B"/>
    <w:rPr>
      <w:rFonts w:cs="Times New Roman"/>
      <w:sz w:val="2"/>
      <w:szCs w:val="20"/>
    </w:rPr>
  </w:style>
  <w:style w:type="character" w:customStyle="1" w:styleId="BalloonTextChar">
    <w:name w:val="Balloon Text Char"/>
    <w:basedOn w:val="DefaultParagraphFont"/>
    <w:link w:val="BalloonText"/>
    <w:uiPriority w:val="99"/>
    <w:semiHidden/>
    <w:locked/>
    <w:rsid w:val="007E1342"/>
    <w:rPr>
      <w:kern w:val="0"/>
      <w:sz w:val="2"/>
      <w:lang w:eastAsia="zh-TW"/>
    </w:rPr>
  </w:style>
  <w:style w:type="paragraph" w:styleId="Footer">
    <w:name w:val="footer"/>
    <w:basedOn w:val="Normal"/>
    <w:link w:val="FooterChar"/>
    <w:uiPriority w:val="99"/>
    <w:rsid w:val="00964AC4"/>
    <w:pPr>
      <w:tabs>
        <w:tab w:val="center" w:pos="4153"/>
        <w:tab w:val="right" w:pos="8306"/>
      </w:tabs>
      <w:snapToGrid w:val="0"/>
      <w:spacing w:line="240" w:lineRule="auto"/>
    </w:pPr>
    <w:rPr>
      <w:rFonts w:cs="Times New Roman"/>
      <w:sz w:val="18"/>
      <w:szCs w:val="18"/>
    </w:rPr>
  </w:style>
  <w:style w:type="character" w:customStyle="1" w:styleId="FooterChar">
    <w:name w:val="Footer Char"/>
    <w:basedOn w:val="DefaultParagraphFont"/>
    <w:link w:val="Footer"/>
    <w:uiPriority w:val="99"/>
    <w:semiHidden/>
    <w:locked/>
    <w:rsid w:val="00044D68"/>
    <w:rPr>
      <w:kern w:val="0"/>
      <w:sz w:val="18"/>
      <w:lang w:eastAsia="zh-TW"/>
    </w:rPr>
  </w:style>
  <w:style w:type="character" w:styleId="PageNumber">
    <w:name w:val="page number"/>
    <w:basedOn w:val="DefaultParagraphFont"/>
    <w:uiPriority w:val="99"/>
    <w:rsid w:val="00964AC4"/>
    <w:rPr>
      <w:rFonts w:cs="Times New Roman"/>
    </w:rPr>
  </w:style>
  <w:style w:type="paragraph" w:styleId="Header">
    <w:name w:val="header"/>
    <w:basedOn w:val="Normal"/>
    <w:link w:val="HeaderChar"/>
    <w:uiPriority w:val="99"/>
    <w:rsid w:val="00217AE0"/>
    <w:pPr>
      <w:pBdr>
        <w:bottom w:val="single" w:sz="6" w:space="1" w:color="auto"/>
      </w:pBdr>
      <w:tabs>
        <w:tab w:val="center" w:pos="4153"/>
        <w:tab w:val="right" w:pos="8306"/>
      </w:tabs>
      <w:snapToGrid w:val="0"/>
      <w:spacing w:line="240" w:lineRule="auto"/>
      <w:jc w:val="center"/>
    </w:pPr>
    <w:rPr>
      <w:rFonts w:cs="Times New Roman"/>
      <w:sz w:val="18"/>
      <w:szCs w:val="18"/>
    </w:rPr>
  </w:style>
  <w:style w:type="character" w:customStyle="1" w:styleId="HeaderChar">
    <w:name w:val="Header Char"/>
    <w:basedOn w:val="DefaultParagraphFont"/>
    <w:link w:val="Header"/>
    <w:uiPriority w:val="99"/>
    <w:locked/>
    <w:rsid w:val="00217AE0"/>
    <w:rPr>
      <w:kern w:val="0"/>
      <w:sz w:val="18"/>
      <w:lang w:eastAsia="zh-TW"/>
    </w:rPr>
  </w:style>
</w:styles>
</file>

<file path=word/webSettings.xml><?xml version="1.0" encoding="utf-8"?>
<w:webSettings xmlns:r="http://schemas.openxmlformats.org/officeDocument/2006/relationships" xmlns:w="http://schemas.openxmlformats.org/wordprocessingml/2006/main">
  <w:divs>
    <w:div w:id="18193002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ractice%20Guidelines%20Committee%2C%20American%20Association%20for%20the%20Study%20of%20Liver%20Diseases%5BCorporate%20Author%5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term=European%20Organisation%20For%20Research%20And%20Treatment%20Of%20Cancer%5BCorporate%20Author%5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European%20Association%20For%20The%20Study%20Of%20The%20Liver%5BCorporate%20Author%5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bi.nlm.nih.gov/pubmed/?term=REACH-B%20Working%20Group%5BCorporate%20Author%5D" TargetMode="External"/><Relationship Id="rId4" Type="http://schemas.openxmlformats.org/officeDocument/2006/relationships/footnotes" Target="footnotes.xml"/><Relationship Id="rId9" Type="http://schemas.openxmlformats.org/officeDocument/2006/relationships/hyperlink" Target="http://www.ncbi.nlm.nih.gov/pubmed/?term=American%20Association%20for%20the%20Study%20of%20Liver%20Diseases%5BCorporate%20Author%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2287</Words>
  <Characters>13037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Xue-Mei Gong</cp:lastModifiedBy>
  <cp:revision>3</cp:revision>
  <dcterms:created xsi:type="dcterms:W3CDTF">2015-08-10T23:18:00Z</dcterms:created>
  <dcterms:modified xsi:type="dcterms:W3CDTF">2015-08-11T05:41:00Z</dcterms:modified>
</cp:coreProperties>
</file>