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1C6F2C" w14:textId="77777777" w:rsidR="00CD4266" w:rsidRPr="000400A2" w:rsidRDefault="00CD4266" w:rsidP="00051E6C">
      <w:pPr>
        <w:spacing w:after="0" w:line="360" w:lineRule="auto"/>
        <w:jc w:val="both"/>
        <w:rPr>
          <w:rFonts w:ascii="Book Antiqua" w:hAnsi="Book Antiqua"/>
          <w:b/>
          <w:sz w:val="24"/>
          <w:szCs w:val="24"/>
        </w:rPr>
      </w:pPr>
      <w:bookmarkStart w:id="0" w:name="OLE_LINK8"/>
      <w:bookmarkStart w:id="1" w:name="OLE_LINK9"/>
      <w:r w:rsidRPr="000400A2">
        <w:rPr>
          <w:rFonts w:ascii="Book Antiqua" w:hAnsi="Book Antiqua"/>
          <w:b/>
          <w:sz w:val="24"/>
          <w:szCs w:val="24"/>
        </w:rPr>
        <w:t xml:space="preserve">Name of journal: </w:t>
      </w:r>
      <w:r w:rsidRPr="000400A2">
        <w:rPr>
          <w:rFonts w:ascii="Book Antiqua" w:hAnsi="Book Antiqua"/>
          <w:b/>
          <w:i/>
          <w:sz w:val="24"/>
          <w:szCs w:val="24"/>
        </w:rPr>
        <w:t>World Journal of Experimental Medicine</w:t>
      </w:r>
    </w:p>
    <w:p w14:paraId="2BE1B610" w14:textId="77777777" w:rsidR="00CD4266" w:rsidRPr="000400A2" w:rsidRDefault="00CD4266" w:rsidP="00051E6C">
      <w:pPr>
        <w:spacing w:after="0" w:line="360" w:lineRule="auto"/>
        <w:jc w:val="both"/>
        <w:rPr>
          <w:rFonts w:ascii="Book Antiqua" w:hAnsi="Book Antiqua"/>
          <w:b/>
          <w:sz w:val="24"/>
          <w:szCs w:val="24"/>
          <w:lang w:eastAsia="zh-CN"/>
        </w:rPr>
      </w:pPr>
      <w:r w:rsidRPr="000400A2">
        <w:rPr>
          <w:rFonts w:ascii="Book Antiqua" w:hAnsi="Book Antiqua"/>
          <w:b/>
          <w:sz w:val="24"/>
          <w:szCs w:val="24"/>
        </w:rPr>
        <w:t xml:space="preserve">ESPS Manuscript NO: </w:t>
      </w:r>
      <w:r w:rsidRPr="000400A2">
        <w:rPr>
          <w:rFonts w:ascii="Book Antiqua" w:hAnsi="Book Antiqua"/>
          <w:b/>
          <w:sz w:val="24"/>
          <w:szCs w:val="24"/>
          <w:lang w:eastAsia="zh-CN"/>
        </w:rPr>
        <w:t>17255</w:t>
      </w:r>
    </w:p>
    <w:p w14:paraId="0D125DCE" w14:textId="77777777" w:rsidR="00CD4266" w:rsidRPr="000400A2" w:rsidRDefault="00CD4266" w:rsidP="00051E6C">
      <w:pPr>
        <w:spacing w:after="0" w:line="360" w:lineRule="auto"/>
        <w:jc w:val="both"/>
        <w:rPr>
          <w:rFonts w:ascii="Book Antiqua" w:hAnsi="Book Antiqua"/>
          <w:b/>
          <w:sz w:val="24"/>
          <w:szCs w:val="24"/>
          <w:lang w:eastAsia="zh-CN"/>
        </w:rPr>
      </w:pPr>
      <w:r w:rsidRPr="000400A2">
        <w:rPr>
          <w:rFonts w:ascii="Book Antiqua" w:hAnsi="Book Antiqua"/>
          <w:b/>
          <w:sz w:val="24"/>
          <w:szCs w:val="24"/>
        </w:rPr>
        <w:t>Columns:</w:t>
      </w:r>
      <w:r w:rsidRPr="000400A2">
        <w:rPr>
          <w:rFonts w:ascii="Book Antiqua" w:hAnsi="Book Antiqua"/>
          <w:b/>
          <w:sz w:val="24"/>
          <w:szCs w:val="24"/>
          <w:lang w:eastAsia="zh-CN"/>
        </w:rPr>
        <w:t xml:space="preserve"> REVIEW</w:t>
      </w:r>
    </w:p>
    <w:p w14:paraId="14A56116" w14:textId="77777777" w:rsidR="00CD4266" w:rsidRPr="00051E6C" w:rsidRDefault="00CD4266" w:rsidP="00051E6C">
      <w:pPr>
        <w:spacing w:after="0" w:line="360" w:lineRule="auto"/>
        <w:jc w:val="both"/>
        <w:rPr>
          <w:rFonts w:ascii="Book Antiqua" w:hAnsi="Book Antiqua"/>
          <w:b/>
          <w:sz w:val="24"/>
          <w:szCs w:val="24"/>
          <w:lang w:eastAsia="zh-CN"/>
        </w:rPr>
      </w:pPr>
    </w:p>
    <w:p w14:paraId="278A33C7"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Use of siRNA molecular beacons to detect and attenuate mycobacterial infection in macrophages</w:t>
      </w:r>
    </w:p>
    <w:bookmarkEnd w:id="0"/>
    <w:bookmarkEnd w:id="1"/>
    <w:p w14:paraId="7BF12844" w14:textId="77777777" w:rsidR="00CD4266" w:rsidRPr="00051E6C" w:rsidRDefault="00CD4266" w:rsidP="00051E6C">
      <w:pPr>
        <w:spacing w:after="0" w:line="360" w:lineRule="auto"/>
        <w:jc w:val="both"/>
        <w:rPr>
          <w:rFonts w:ascii="Book Antiqua" w:hAnsi="Book Antiqua" w:cs="Times New Roman"/>
          <w:b/>
          <w:sz w:val="24"/>
          <w:szCs w:val="24"/>
        </w:rPr>
      </w:pPr>
    </w:p>
    <w:p w14:paraId="6DA2A3C6" w14:textId="77777777" w:rsidR="00CD4266" w:rsidRPr="00051E6C"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cs="Times New Roman"/>
          <w:sz w:val="24"/>
          <w:szCs w:val="24"/>
        </w:rPr>
        <w:t>George</w:t>
      </w:r>
      <w:r w:rsidRPr="00051E6C">
        <w:rPr>
          <w:rFonts w:ascii="Book Antiqua" w:hAnsi="Book Antiqua" w:cs="Times New Roman"/>
          <w:sz w:val="24"/>
          <w:szCs w:val="24"/>
          <w:lang w:eastAsia="zh-CN"/>
        </w:rPr>
        <w:t xml:space="preserve"> R </w:t>
      </w:r>
      <w:r w:rsidRPr="00051E6C">
        <w:rPr>
          <w:rFonts w:ascii="Book Antiqua" w:hAnsi="Book Antiqua" w:cs="Times New Roman"/>
          <w:i/>
          <w:sz w:val="24"/>
          <w:szCs w:val="24"/>
          <w:lang w:eastAsia="zh-CN"/>
        </w:rPr>
        <w:t>et al.</w:t>
      </w:r>
      <w:r w:rsidR="001F34BE" w:rsidRPr="00051E6C">
        <w:rPr>
          <w:rFonts w:ascii="Book Antiqua" w:hAnsi="Book Antiqua" w:cs="Times New Roman"/>
          <w:sz w:val="24"/>
          <w:szCs w:val="24"/>
        </w:rPr>
        <w:t xml:space="preserve"> s</w:t>
      </w:r>
      <w:r w:rsidRPr="00051E6C">
        <w:rPr>
          <w:rFonts w:ascii="Book Antiqua" w:hAnsi="Book Antiqua" w:cs="Times New Roman"/>
          <w:sz w:val="24"/>
          <w:szCs w:val="24"/>
        </w:rPr>
        <w:t>iRNA molecular beacons for mycobacterial infections</w:t>
      </w:r>
    </w:p>
    <w:p w14:paraId="1371D280" w14:textId="77777777" w:rsidR="00CD4266" w:rsidRPr="00051E6C" w:rsidRDefault="00CD4266" w:rsidP="00051E6C">
      <w:pPr>
        <w:spacing w:after="0" w:line="360" w:lineRule="auto"/>
        <w:jc w:val="both"/>
        <w:rPr>
          <w:rFonts w:ascii="Book Antiqua" w:hAnsi="Book Antiqua" w:cs="Times New Roman"/>
          <w:sz w:val="24"/>
          <w:szCs w:val="24"/>
          <w:lang w:eastAsia="zh-CN"/>
        </w:rPr>
      </w:pPr>
    </w:p>
    <w:p w14:paraId="10A53DD0"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Remo George, </w:t>
      </w:r>
      <w:r w:rsidRPr="00051E6C">
        <w:rPr>
          <w:rFonts w:ascii="Book Antiqua" w:hAnsi="Book Antiqua"/>
          <w:sz w:val="24"/>
          <w:szCs w:val="24"/>
        </w:rPr>
        <w:t xml:space="preserve">Renata Cavalcante, Celso Caravalho Jr, Elyana Marques, </w:t>
      </w:r>
      <w:r w:rsidRPr="00051E6C">
        <w:rPr>
          <w:rFonts w:ascii="Book Antiqua" w:hAnsi="Book Antiqua" w:cs="Times New Roman"/>
          <w:sz w:val="24"/>
          <w:szCs w:val="24"/>
        </w:rPr>
        <w:t>Jonathan B Waugh, M Tino Unlap</w:t>
      </w:r>
    </w:p>
    <w:p w14:paraId="2E4108B7" w14:textId="77777777" w:rsidR="00CD4266" w:rsidRPr="00051E6C" w:rsidRDefault="00CD4266" w:rsidP="00051E6C">
      <w:pPr>
        <w:spacing w:after="0" w:line="360" w:lineRule="auto"/>
        <w:jc w:val="both"/>
        <w:rPr>
          <w:rFonts w:ascii="Book Antiqua" w:hAnsi="Book Antiqua" w:cs="Times New Roman"/>
          <w:b/>
          <w:sz w:val="24"/>
          <w:szCs w:val="24"/>
        </w:rPr>
      </w:pPr>
    </w:p>
    <w:p w14:paraId="0FF81825" w14:textId="77777777" w:rsidR="00CD4266" w:rsidRPr="00051E6C" w:rsidRDefault="00CD4266" w:rsidP="00051E6C">
      <w:pPr>
        <w:spacing w:after="0" w:line="360" w:lineRule="auto"/>
        <w:jc w:val="both"/>
        <w:rPr>
          <w:rFonts w:ascii="Book Antiqua" w:hAnsi="Book Antiqua" w:cs="Times New Roman"/>
          <w:sz w:val="24"/>
          <w:szCs w:val="24"/>
          <w:lang w:eastAsia="zh-CN"/>
        </w:rPr>
      </w:pPr>
      <w:bookmarkStart w:id="2" w:name="OLE_LINK4"/>
      <w:bookmarkStart w:id="3" w:name="OLE_LINK3"/>
      <w:bookmarkStart w:id="4" w:name="OLE_LINK5"/>
      <w:bookmarkStart w:id="5" w:name="OLE_LINK2"/>
      <w:bookmarkStart w:id="6" w:name="OLE_LINK1"/>
      <w:r w:rsidRPr="00051E6C">
        <w:rPr>
          <w:rFonts w:ascii="Book Antiqua" w:hAnsi="Book Antiqua" w:cs="Times New Roman"/>
          <w:b/>
          <w:sz w:val="24"/>
          <w:szCs w:val="24"/>
        </w:rPr>
        <w:t xml:space="preserve">Remo George, </w:t>
      </w:r>
      <w:r w:rsidRPr="00051E6C">
        <w:rPr>
          <w:rFonts w:ascii="Book Antiqua" w:hAnsi="Book Antiqua"/>
          <w:b/>
          <w:sz w:val="24"/>
          <w:szCs w:val="24"/>
        </w:rPr>
        <w:t xml:space="preserve">Renata Cavalcante, Celso Caravalho Jr, Elyana Marques, </w:t>
      </w:r>
      <w:r w:rsidRPr="00051E6C">
        <w:rPr>
          <w:rFonts w:ascii="Book Antiqua" w:hAnsi="Book Antiqua" w:cs="Times New Roman"/>
          <w:b/>
          <w:sz w:val="24"/>
          <w:szCs w:val="24"/>
        </w:rPr>
        <w:t>Jonathan B Waugh, M Tino Unlap</w:t>
      </w:r>
      <w:bookmarkEnd w:id="2"/>
      <w:bookmarkEnd w:id="3"/>
      <w:bookmarkEnd w:id="4"/>
      <w:bookmarkEnd w:id="5"/>
      <w:bookmarkEnd w:id="6"/>
      <w:r w:rsidRPr="00051E6C">
        <w:rPr>
          <w:rFonts w:ascii="Book Antiqua" w:hAnsi="Book Antiqua" w:cs="Times New Roman"/>
          <w:b/>
          <w:sz w:val="24"/>
          <w:szCs w:val="24"/>
          <w:lang w:eastAsia="zh-CN"/>
        </w:rPr>
        <w:t>,</w:t>
      </w:r>
      <w:r w:rsidRPr="00051E6C">
        <w:rPr>
          <w:rFonts w:ascii="Book Antiqua" w:hAnsi="Book Antiqua" w:cs="Times New Roman"/>
          <w:sz w:val="24"/>
          <w:szCs w:val="24"/>
          <w:lang w:eastAsia="zh-CN"/>
        </w:rPr>
        <w:t xml:space="preserve"> </w:t>
      </w:r>
      <w:r w:rsidRPr="00051E6C">
        <w:rPr>
          <w:rFonts w:ascii="Book Antiqua" w:hAnsi="Book Antiqua" w:cs="Times New Roman"/>
          <w:sz w:val="24"/>
          <w:szCs w:val="24"/>
        </w:rPr>
        <w:t>Department of Clinical and Diagnostic Sciences, University of Alabama at Birmingham, Birmingham, AL 35294</w:t>
      </w:r>
      <w:r w:rsidRPr="00051E6C">
        <w:rPr>
          <w:rFonts w:ascii="Book Antiqua" w:hAnsi="Book Antiqua" w:cs="Times New Roman"/>
          <w:sz w:val="24"/>
          <w:szCs w:val="24"/>
          <w:lang w:eastAsia="zh-CN"/>
        </w:rPr>
        <w:t>-1250, United States</w:t>
      </w:r>
    </w:p>
    <w:p w14:paraId="3BC2F7BE" w14:textId="77777777" w:rsidR="00CD4266" w:rsidRPr="00051E6C" w:rsidRDefault="00CD4266" w:rsidP="00051E6C">
      <w:pPr>
        <w:spacing w:after="0" w:line="360" w:lineRule="auto"/>
        <w:jc w:val="both"/>
        <w:rPr>
          <w:rFonts w:ascii="Book Antiqua" w:hAnsi="Book Antiqua" w:cs="Times New Roman"/>
          <w:sz w:val="24"/>
          <w:szCs w:val="24"/>
        </w:rPr>
      </w:pPr>
    </w:p>
    <w:p w14:paraId="41A7059F" w14:textId="77777777" w:rsidR="00CD4266" w:rsidRPr="00051E6C"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b/>
          <w:sz w:val="24"/>
          <w:szCs w:val="24"/>
        </w:rPr>
        <w:t>Author contributions:</w:t>
      </w:r>
      <w:r w:rsidRPr="00051E6C">
        <w:rPr>
          <w:rFonts w:ascii="Book Antiqua" w:hAnsi="Book Antiqua" w:cs="Times New Roman"/>
          <w:sz w:val="24"/>
          <w:szCs w:val="24"/>
        </w:rPr>
        <w:t xml:space="preserve"> George</w:t>
      </w:r>
      <w:r w:rsidRPr="00051E6C">
        <w:rPr>
          <w:rFonts w:ascii="Book Antiqua" w:hAnsi="Book Antiqua" w:cs="Times New Roman"/>
          <w:sz w:val="24"/>
          <w:szCs w:val="24"/>
          <w:lang w:eastAsia="zh-CN"/>
        </w:rPr>
        <w:t xml:space="preserve"> R</w:t>
      </w:r>
      <w:r w:rsidRPr="00051E6C">
        <w:rPr>
          <w:rFonts w:ascii="Book Antiqua" w:hAnsi="Book Antiqua" w:cs="Times New Roman"/>
          <w:sz w:val="24"/>
          <w:szCs w:val="24"/>
        </w:rPr>
        <w:t>, Cavalcante</w:t>
      </w:r>
      <w:r w:rsidRPr="00051E6C">
        <w:rPr>
          <w:rFonts w:ascii="Book Antiqua" w:hAnsi="Book Antiqua" w:cs="Times New Roman"/>
          <w:sz w:val="24"/>
          <w:szCs w:val="24"/>
          <w:lang w:eastAsia="zh-CN"/>
        </w:rPr>
        <w:t xml:space="preserve"> R</w:t>
      </w:r>
      <w:r w:rsidRPr="00051E6C">
        <w:rPr>
          <w:rFonts w:ascii="Book Antiqua" w:hAnsi="Book Antiqua" w:cs="Times New Roman"/>
          <w:sz w:val="24"/>
          <w:szCs w:val="24"/>
        </w:rPr>
        <w:t>, Caravalho Jr</w:t>
      </w:r>
      <w:r w:rsidRPr="00051E6C">
        <w:rPr>
          <w:rFonts w:ascii="Book Antiqua" w:hAnsi="Book Antiqua" w:cs="Times New Roman"/>
          <w:sz w:val="24"/>
          <w:szCs w:val="24"/>
          <w:lang w:eastAsia="zh-CN"/>
        </w:rPr>
        <w:t xml:space="preserve"> C</w:t>
      </w:r>
      <w:r w:rsidRPr="00051E6C">
        <w:rPr>
          <w:rFonts w:ascii="Book Antiqua" w:hAnsi="Book Antiqua" w:cs="Times New Roman"/>
          <w:sz w:val="24"/>
          <w:szCs w:val="24"/>
        </w:rPr>
        <w:t>, Marques</w:t>
      </w:r>
      <w:r w:rsidRPr="00051E6C">
        <w:rPr>
          <w:rFonts w:ascii="Book Antiqua" w:hAnsi="Book Antiqua" w:cs="Times New Roman"/>
          <w:sz w:val="24"/>
          <w:szCs w:val="24"/>
          <w:lang w:eastAsia="zh-CN"/>
        </w:rPr>
        <w:t xml:space="preserve"> E</w:t>
      </w:r>
      <w:r w:rsidRPr="00051E6C">
        <w:rPr>
          <w:rFonts w:ascii="Book Antiqua" w:hAnsi="Book Antiqua" w:cs="Times New Roman"/>
          <w:sz w:val="24"/>
          <w:szCs w:val="24"/>
        </w:rPr>
        <w:t>, Waugh</w:t>
      </w:r>
      <w:r w:rsidRPr="00051E6C">
        <w:rPr>
          <w:rFonts w:ascii="Book Antiqua" w:hAnsi="Book Antiqua" w:cs="Times New Roman"/>
          <w:sz w:val="24"/>
          <w:szCs w:val="24"/>
          <w:lang w:eastAsia="zh-CN"/>
        </w:rPr>
        <w:t xml:space="preserve"> JB</w:t>
      </w:r>
      <w:r w:rsidRPr="00051E6C">
        <w:rPr>
          <w:rFonts w:ascii="Book Antiqua" w:hAnsi="Book Antiqua" w:cs="Times New Roman"/>
          <w:sz w:val="24"/>
          <w:szCs w:val="24"/>
        </w:rPr>
        <w:t xml:space="preserve"> and Unlap</w:t>
      </w:r>
      <w:r w:rsidRPr="00051E6C">
        <w:rPr>
          <w:rFonts w:ascii="Book Antiqua" w:hAnsi="Book Antiqua" w:cs="Times New Roman"/>
          <w:sz w:val="24"/>
          <w:szCs w:val="24"/>
          <w:lang w:eastAsia="zh-CN"/>
        </w:rPr>
        <w:t xml:space="preserve"> MT</w:t>
      </w:r>
      <w:r w:rsidRPr="00051E6C">
        <w:rPr>
          <w:rFonts w:ascii="Book Antiqua" w:hAnsi="Book Antiqua" w:cs="Times New Roman"/>
          <w:sz w:val="24"/>
          <w:szCs w:val="24"/>
        </w:rPr>
        <w:t xml:space="preserve"> equally contributed to this work; George</w:t>
      </w:r>
      <w:r w:rsidRPr="00051E6C">
        <w:rPr>
          <w:rFonts w:ascii="Book Antiqua" w:hAnsi="Book Antiqua" w:cs="Times New Roman"/>
          <w:sz w:val="24"/>
          <w:szCs w:val="24"/>
          <w:lang w:eastAsia="zh-CN"/>
        </w:rPr>
        <w:t xml:space="preserve"> R</w:t>
      </w:r>
      <w:r w:rsidRPr="00051E6C">
        <w:rPr>
          <w:rFonts w:ascii="Book Antiqua" w:hAnsi="Book Antiqua" w:cs="Times New Roman"/>
          <w:sz w:val="24"/>
          <w:szCs w:val="24"/>
        </w:rPr>
        <w:t>, Waugh</w:t>
      </w:r>
      <w:r w:rsidRPr="00051E6C">
        <w:rPr>
          <w:rFonts w:ascii="Book Antiqua" w:hAnsi="Book Antiqua" w:cs="Times New Roman"/>
          <w:sz w:val="24"/>
          <w:szCs w:val="24"/>
          <w:lang w:eastAsia="zh-CN"/>
        </w:rPr>
        <w:t xml:space="preserve"> JB</w:t>
      </w:r>
      <w:r w:rsidRPr="00051E6C">
        <w:rPr>
          <w:rFonts w:ascii="Book Antiqua" w:hAnsi="Book Antiqua" w:cs="Times New Roman"/>
          <w:sz w:val="24"/>
          <w:szCs w:val="24"/>
        </w:rPr>
        <w:t xml:space="preserve"> </w:t>
      </w:r>
      <w:bookmarkStart w:id="7" w:name="OLE_LINK10"/>
      <w:bookmarkStart w:id="8" w:name="OLE_LINK11"/>
      <w:r w:rsidRPr="00051E6C">
        <w:rPr>
          <w:rFonts w:ascii="Book Antiqua" w:hAnsi="Book Antiqua" w:cs="Times New Roman"/>
          <w:sz w:val="24"/>
          <w:szCs w:val="24"/>
        </w:rPr>
        <w:t xml:space="preserve">and Unlap </w:t>
      </w:r>
      <w:bookmarkEnd w:id="7"/>
      <w:bookmarkEnd w:id="8"/>
      <w:r w:rsidRPr="00051E6C">
        <w:rPr>
          <w:rFonts w:ascii="Book Antiqua" w:hAnsi="Book Antiqua" w:cs="Times New Roman"/>
          <w:sz w:val="24"/>
          <w:szCs w:val="24"/>
          <w:lang w:eastAsia="zh-CN"/>
        </w:rPr>
        <w:t xml:space="preserve">MT </w:t>
      </w:r>
      <w:r w:rsidRPr="00051E6C">
        <w:rPr>
          <w:rFonts w:ascii="Book Antiqua" w:hAnsi="Book Antiqua" w:cs="Times New Roman"/>
          <w:sz w:val="24"/>
          <w:szCs w:val="24"/>
        </w:rPr>
        <w:t>designed the research; George</w:t>
      </w:r>
      <w:r w:rsidRPr="00051E6C">
        <w:rPr>
          <w:rFonts w:ascii="Book Antiqua" w:hAnsi="Book Antiqua" w:cs="Times New Roman"/>
          <w:sz w:val="24"/>
          <w:szCs w:val="24"/>
          <w:lang w:eastAsia="zh-CN"/>
        </w:rPr>
        <w:t xml:space="preserve"> R</w:t>
      </w:r>
      <w:r w:rsidRPr="00051E6C">
        <w:rPr>
          <w:rFonts w:ascii="Book Antiqua" w:hAnsi="Book Antiqua" w:cs="Times New Roman"/>
          <w:sz w:val="24"/>
          <w:szCs w:val="24"/>
        </w:rPr>
        <w:t>, Cavalcante</w:t>
      </w:r>
      <w:r w:rsidRPr="00051E6C">
        <w:rPr>
          <w:rFonts w:ascii="Book Antiqua" w:hAnsi="Book Antiqua" w:cs="Times New Roman"/>
          <w:sz w:val="24"/>
          <w:szCs w:val="24"/>
          <w:lang w:eastAsia="zh-CN"/>
        </w:rPr>
        <w:t xml:space="preserve"> R</w:t>
      </w:r>
      <w:r w:rsidRPr="00051E6C">
        <w:rPr>
          <w:rFonts w:ascii="Book Antiqua" w:hAnsi="Book Antiqua" w:cs="Times New Roman"/>
          <w:sz w:val="24"/>
          <w:szCs w:val="24"/>
        </w:rPr>
        <w:t>, Caravalho Jr</w:t>
      </w:r>
      <w:r w:rsidRPr="00051E6C">
        <w:rPr>
          <w:rFonts w:ascii="Book Antiqua" w:hAnsi="Book Antiqua" w:cs="Times New Roman"/>
          <w:sz w:val="24"/>
          <w:szCs w:val="24"/>
          <w:lang w:eastAsia="zh-CN"/>
        </w:rPr>
        <w:t xml:space="preserve"> C</w:t>
      </w:r>
      <w:r w:rsidRPr="00051E6C">
        <w:rPr>
          <w:rFonts w:ascii="Book Antiqua" w:hAnsi="Book Antiqua" w:cs="Times New Roman"/>
          <w:sz w:val="24"/>
          <w:szCs w:val="24"/>
        </w:rPr>
        <w:t>, Marques</w:t>
      </w:r>
      <w:r w:rsidRPr="00051E6C">
        <w:rPr>
          <w:rFonts w:ascii="Book Antiqua" w:hAnsi="Book Antiqua" w:cs="Times New Roman"/>
          <w:sz w:val="24"/>
          <w:szCs w:val="24"/>
          <w:lang w:eastAsia="zh-CN"/>
        </w:rPr>
        <w:t xml:space="preserve"> E</w:t>
      </w:r>
      <w:r w:rsidRPr="00051E6C">
        <w:rPr>
          <w:rFonts w:ascii="Book Antiqua" w:hAnsi="Book Antiqua" w:cs="Times New Roman"/>
          <w:sz w:val="24"/>
          <w:szCs w:val="24"/>
        </w:rPr>
        <w:t xml:space="preserve"> and Unlap </w:t>
      </w:r>
      <w:r w:rsidRPr="00051E6C">
        <w:rPr>
          <w:rFonts w:ascii="Book Antiqua" w:hAnsi="Book Antiqua" w:cs="Times New Roman"/>
          <w:sz w:val="24"/>
          <w:szCs w:val="24"/>
          <w:lang w:eastAsia="zh-CN"/>
        </w:rPr>
        <w:t xml:space="preserve">MT </w:t>
      </w:r>
      <w:r w:rsidRPr="00051E6C">
        <w:rPr>
          <w:rFonts w:ascii="Book Antiqua" w:hAnsi="Book Antiqua" w:cs="Times New Roman"/>
          <w:sz w:val="24"/>
          <w:szCs w:val="24"/>
        </w:rPr>
        <w:t xml:space="preserve">performed the research; Waugh </w:t>
      </w:r>
      <w:r w:rsidRPr="00051E6C">
        <w:rPr>
          <w:rFonts w:ascii="Book Antiqua" w:hAnsi="Book Antiqua" w:cs="Times New Roman"/>
          <w:sz w:val="24"/>
          <w:szCs w:val="24"/>
          <w:lang w:eastAsia="zh-CN"/>
        </w:rPr>
        <w:t xml:space="preserve">JB </w:t>
      </w:r>
      <w:r w:rsidRPr="00051E6C">
        <w:rPr>
          <w:rFonts w:ascii="Book Antiqua" w:hAnsi="Book Antiqua" w:cs="Times New Roman"/>
          <w:sz w:val="24"/>
          <w:szCs w:val="24"/>
        </w:rPr>
        <w:t xml:space="preserve">and Unlap </w:t>
      </w:r>
      <w:r w:rsidRPr="00051E6C">
        <w:rPr>
          <w:rFonts w:ascii="Book Antiqua" w:hAnsi="Book Antiqua" w:cs="Times New Roman"/>
          <w:sz w:val="24"/>
          <w:szCs w:val="24"/>
          <w:lang w:eastAsia="zh-CN"/>
        </w:rPr>
        <w:t xml:space="preserve">MT </w:t>
      </w:r>
      <w:r w:rsidRPr="00051E6C">
        <w:rPr>
          <w:rFonts w:ascii="Book Antiqua" w:hAnsi="Book Antiqua" w:cs="Times New Roman"/>
          <w:sz w:val="24"/>
          <w:szCs w:val="24"/>
        </w:rPr>
        <w:t>analyzed the data; George</w:t>
      </w:r>
      <w:r w:rsidRPr="00051E6C">
        <w:rPr>
          <w:rFonts w:ascii="Book Antiqua" w:hAnsi="Book Antiqua" w:cs="Times New Roman"/>
          <w:sz w:val="24"/>
          <w:szCs w:val="24"/>
          <w:lang w:eastAsia="zh-CN"/>
        </w:rPr>
        <w:t xml:space="preserve"> R</w:t>
      </w:r>
      <w:r w:rsidRPr="00051E6C">
        <w:rPr>
          <w:rFonts w:ascii="Book Antiqua" w:hAnsi="Book Antiqua" w:cs="Times New Roman"/>
          <w:sz w:val="24"/>
          <w:szCs w:val="24"/>
        </w:rPr>
        <w:t>, Waugh</w:t>
      </w:r>
      <w:r w:rsidRPr="00051E6C">
        <w:rPr>
          <w:rFonts w:ascii="Book Antiqua" w:hAnsi="Book Antiqua" w:cs="Times New Roman"/>
          <w:sz w:val="24"/>
          <w:szCs w:val="24"/>
          <w:lang w:eastAsia="zh-CN"/>
        </w:rPr>
        <w:t xml:space="preserve"> JB</w:t>
      </w:r>
      <w:r w:rsidRPr="00051E6C">
        <w:rPr>
          <w:rFonts w:ascii="Book Antiqua" w:hAnsi="Book Antiqua" w:cs="Times New Roman"/>
          <w:sz w:val="24"/>
          <w:szCs w:val="24"/>
        </w:rPr>
        <w:t xml:space="preserve"> and Unlap </w:t>
      </w:r>
      <w:r w:rsidRPr="00051E6C">
        <w:rPr>
          <w:rFonts w:ascii="Book Antiqua" w:hAnsi="Book Antiqua" w:cs="Times New Roman"/>
          <w:sz w:val="24"/>
          <w:szCs w:val="24"/>
          <w:lang w:eastAsia="zh-CN"/>
        </w:rPr>
        <w:t xml:space="preserve">MT </w:t>
      </w:r>
      <w:r w:rsidRPr="00051E6C">
        <w:rPr>
          <w:rFonts w:ascii="Book Antiqua" w:hAnsi="Book Antiqua" w:cs="Times New Roman"/>
          <w:sz w:val="24"/>
          <w:szCs w:val="24"/>
        </w:rPr>
        <w:t>wrote the paper.</w:t>
      </w:r>
    </w:p>
    <w:p w14:paraId="3F8F772F" w14:textId="77777777" w:rsidR="00CD4266" w:rsidRPr="00051E6C" w:rsidRDefault="00CD4266" w:rsidP="00051E6C">
      <w:pPr>
        <w:spacing w:after="0" w:line="360" w:lineRule="auto"/>
        <w:jc w:val="both"/>
        <w:rPr>
          <w:rFonts w:ascii="Book Antiqua" w:hAnsi="Book Antiqua" w:cs="Times New Roman"/>
          <w:sz w:val="24"/>
          <w:szCs w:val="24"/>
          <w:lang w:eastAsia="zh-CN"/>
        </w:rPr>
      </w:pPr>
    </w:p>
    <w:p w14:paraId="7DDC186B"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NewRomanPS-BoldItalicMT"/>
          <w:b/>
          <w:bCs/>
          <w:iCs/>
          <w:sz w:val="24"/>
          <w:szCs w:val="24"/>
        </w:rPr>
        <w:t xml:space="preserve">Conflict-of-interest: </w:t>
      </w:r>
      <w:r w:rsidRPr="00051E6C">
        <w:rPr>
          <w:rFonts w:ascii="Book Antiqua" w:hAnsi="Book Antiqua" w:cs="Times New Roman"/>
          <w:sz w:val="24"/>
          <w:szCs w:val="24"/>
        </w:rPr>
        <w:t>The authors have no conflict of interest to report.</w:t>
      </w:r>
    </w:p>
    <w:p w14:paraId="7FA1B29C" w14:textId="77777777" w:rsidR="00CD4266" w:rsidRPr="00051E6C" w:rsidRDefault="00CD4266" w:rsidP="00051E6C">
      <w:pPr>
        <w:spacing w:after="0" w:line="360" w:lineRule="auto"/>
        <w:jc w:val="both"/>
        <w:rPr>
          <w:rFonts w:ascii="Book Antiqua" w:hAnsi="Book Antiqua" w:cs="Garamond"/>
          <w:sz w:val="24"/>
          <w:szCs w:val="24"/>
          <w:lang w:eastAsia="zh-CN"/>
        </w:rPr>
      </w:pPr>
    </w:p>
    <w:p w14:paraId="794E00AE" w14:textId="77777777" w:rsidR="00CD4266" w:rsidRPr="00051E6C" w:rsidRDefault="00CD4266" w:rsidP="00051E6C">
      <w:pPr>
        <w:spacing w:after="0" w:line="360" w:lineRule="auto"/>
        <w:jc w:val="both"/>
        <w:rPr>
          <w:rFonts w:ascii="Book Antiqua" w:hAnsi="Book Antiqua"/>
          <w:sz w:val="24"/>
          <w:szCs w:val="24"/>
        </w:rPr>
      </w:pPr>
      <w:bookmarkStart w:id="9" w:name="OLE_LINK507"/>
      <w:bookmarkStart w:id="10" w:name="OLE_LINK506"/>
      <w:bookmarkStart w:id="11" w:name="OLE_LINK496"/>
      <w:bookmarkStart w:id="12" w:name="OLE_LINK479"/>
      <w:r w:rsidRPr="00051E6C">
        <w:rPr>
          <w:rFonts w:ascii="Book Antiqua" w:hAnsi="Book Antiqua"/>
          <w:b/>
          <w:sz w:val="24"/>
          <w:szCs w:val="24"/>
        </w:rPr>
        <w:t xml:space="preserve">Open-Access: </w:t>
      </w:r>
      <w:r w:rsidRPr="00051E6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051E6C">
        <w:rPr>
          <w:rFonts w:ascii="Book Antiqua" w:hAnsi="Book Antiqua"/>
          <w:sz w:val="24"/>
          <w:szCs w:val="24"/>
        </w:rPr>
        <w:lastRenderedPageBreak/>
        <w:t xml:space="preserve">provided the original work is properly cited and the use is non-commercial. See: </w:t>
      </w:r>
      <w:hyperlink r:id="rId8" w:history="1">
        <w:r w:rsidRPr="00051E6C">
          <w:rPr>
            <w:rStyle w:val="Hyperlink"/>
            <w:rFonts w:ascii="Book Antiqua" w:hAnsi="Book Antiqua"/>
            <w:color w:val="auto"/>
            <w:sz w:val="24"/>
            <w:szCs w:val="24"/>
          </w:rPr>
          <w:t>http://creativecommons.org/licenses/by-nc/4.0/</w:t>
        </w:r>
      </w:hyperlink>
      <w:bookmarkEnd w:id="9"/>
      <w:bookmarkEnd w:id="10"/>
      <w:bookmarkEnd w:id="11"/>
      <w:bookmarkEnd w:id="12"/>
    </w:p>
    <w:p w14:paraId="407D16B6" w14:textId="77777777" w:rsidR="00CD4266" w:rsidRPr="00051E6C" w:rsidRDefault="00CD4266" w:rsidP="00051E6C">
      <w:pPr>
        <w:spacing w:after="0" w:line="360" w:lineRule="auto"/>
        <w:jc w:val="both"/>
        <w:rPr>
          <w:rFonts w:ascii="Book Antiqua" w:hAnsi="Book Antiqua" w:cs="Times New Roman"/>
          <w:sz w:val="24"/>
          <w:szCs w:val="24"/>
        </w:rPr>
      </w:pPr>
    </w:p>
    <w:p w14:paraId="51912029" w14:textId="5B931113" w:rsidR="00CD4266" w:rsidRPr="002B1598"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b/>
          <w:sz w:val="24"/>
          <w:szCs w:val="24"/>
        </w:rPr>
        <w:t>Correspondence to:</w:t>
      </w:r>
      <w:r w:rsidRPr="00051E6C">
        <w:rPr>
          <w:rFonts w:ascii="Book Antiqua" w:hAnsi="Book Antiqua" w:cs="Times New Roman"/>
          <w:b/>
          <w:sz w:val="24"/>
          <w:szCs w:val="24"/>
        </w:rPr>
        <w:t xml:space="preserve"> </w:t>
      </w:r>
      <w:bookmarkStart w:id="13" w:name="OLE_LINK14"/>
      <w:bookmarkStart w:id="14" w:name="OLE_LINK13"/>
      <w:r w:rsidRPr="00051E6C">
        <w:rPr>
          <w:rFonts w:ascii="Book Antiqua" w:hAnsi="Book Antiqua" w:cs="Times New Roman"/>
          <w:b/>
          <w:sz w:val="24"/>
          <w:szCs w:val="24"/>
        </w:rPr>
        <w:t xml:space="preserve">Jonathan B Waugh, PhD, Professor </w:t>
      </w:r>
      <w:r w:rsidRPr="00051E6C">
        <w:rPr>
          <w:rFonts w:ascii="Book Antiqua" w:hAnsi="Book Antiqua" w:cs="Times New Roman"/>
          <w:b/>
          <w:sz w:val="24"/>
          <w:szCs w:val="24"/>
          <w:lang w:eastAsia="zh-CN"/>
        </w:rPr>
        <w:t>and</w:t>
      </w:r>
      <w:r w:rsidRPr="00051E6C">
        <w:rPr>
          <w:rFonts w:ascii="Book Antiqua" w:hAnsi="Book Antiqua" w:cs="Times New Roman"/>
          <w:b/>
          <w:sz w:val="24"/>
          <w:szCs w:val="24"/>
        </w:rPr>
        <w:t xml:space="preserve"> Director,</w:t>
      </w:r>
      <w:r w:rsidRPr="00051E6C">
        <w:rPr>
          <w:rFonts w:ascii="Book Antiqua" w:hAnsi="Book Antiqua" w:cs="Times New Roman"/>
          <w:sz w:val="24"/>
          <w:szCs w:val="24"/>
        </w:rPr>
        <w:t xml:space="preserve"> Center for Teaching </w:t>
      </w:r>
      <w:r w:rsidRPr="00051E6C">
        <w:rPr>
          <w:rFonts w:ascii="Book Antiqua" w:hAnsi="Book Antiqua" w:cs="Times New Roman"/>
          <w:sz w:val="24"/>
          <w:szCs w:val="24"/>
          <w:lang w:eastAsia="zh-CN"/>
        </w:rPr>
        <w:t>and</w:t>
      </w:r>
      <w:r w:rsidRPr="00051E6C">
        <w:rPr>
          <w:rFonts w:ascii="Book Antiqua" w:hAnsi="Book Antiqua" w:cs="Times New Roman"/>
          <w:sz w:val="24"/>
          <w:szCs w:val="24"/>
        </w:rPr>
        <w:t xml:space="preserve"> Learning and the Department of Clinical and Diagnostic Sciences, School of Health Professions, University of Alabama at Birmingham, 901 13</w:t>
      </w:r>
      <w:r w:rsidRPr="00051E6C">
        <w:rPr>
          <w:rFonts w:ascii="Book Antiqua" w:hAnsi="Book Antiqua" w:cs="Times New Roman"/>
          <w:sz w:val="24"/>
          <w:szCs w:val="24"/>
          <w:vertAlign w:val="superscript"/>
        </w:rPr>
        <w:t>th</w:t>
      </w:r>
      <w:r w:rsidRPr="00051E6C">
        <w:rPr>
          <w:rFonts w:ascii="Book Antiqua" w:hAnsi="Book Antiqua" w:cs="Times New Roman"/>
          <w:sz w:val="24"/>
          <w:szCs w:val="24"/>
        </w:rPr>
        <w:t xml:space="preserve"> Street South, EB 240J, Birmingham, AL 35294-1250, U</w:t>
      </w:r>
      <w:r w:rsidRPr="00051E6C">
        <w:rPr>
          <w:rFonts w:ascii="Book Antiqua" w:hAnsi="Book Antiqua" w:cs="Times New Roman"/>
          <w:sz w:val="24"/>
          <w:szCs w:val="24"/>
          <w:lang w:eastAsia="zh-CN"/>
        </w:rPr>
        <w:t xml:space="preserve">nited </w:t>
      </w:r>
      <w:r w:rsidRPr="00051E6C">
        <w:rPr>
          <w:rFonts w:ascii="Book Antiqua" w:hAnsi="Book Antiqua" w:cs="Times New Roman"/>
          <w:sz w:val="24"/>
          <w:szCs w:val="24"/>
        </w:rPr>
        <w:t>S</w:t>
      </w:r>
      <w:r w:rsidRPr="00051E6C">
        <w:rPr>
          <w:rFonts w:ascii="Book Antiqua" w:hAnsi="Book Antiqua" w:cs="Times New Roman"/>
          <w:sz w:val="24"/>
          <w:szCs w:val="24"/>
          <w:lang w:eastAsia="zh-CN"/>
        </w:rPr>
        <w:t>tates</w:t>
      </w:r>
      <w:r w:rsidRPr="00051E6C">
        <w:rPr>
          <w:rFonts w:ascii="Book Antiqua" w:hAnsi="Book Antiqua" w:cs="Times New Roman"/>
          <w:sz w:val="24"/>
          <w:szCs w:val="24"/>
        </w:rPr>
        <w:t>. waughj@uab.edu</w:t>
      </w:r>
      <w:bookmarkEnd w:id="13"/>
      <w:bookmarkEnd w:id="14"/>
    </w:p>
    <w:p w14:paraId="478B9F7C" w14:textId="77777777" w:rsidR="00CD4266" w:rsidRPr="00051E6C" w:rsidRDefault="00CD4266" w:rsidP="00051E6C">
      <w:pPr>
        <w:spacing w:after="0" w:line="360" w:lineRule="auto"/>
        <w:jc w:val="both"/>
        <w:rPr>
          <w:rFonts w:ascii="Book Antiqua" w:hAnsi="Book Antiqua"/>
          <w:b/>
          <w:sz w:val="24"/>
          <w:szCs w:val="24"/>
        </w:rPr>
      </w:pPr>
      <w:r w:rsidRPr="00051E6C">
        <w:rPr>
          <w:rFonts w:ascii="Book Antiqua" w:hAnsi="Book Antiqua"/>
          <w:b/>
          <w:sz w:val="24"/>
          <w:szCs w:val="24"/>
        </w:rPr>
        <w:t xml:space="preserve">Telephone: </w:t>
      </w:r>
      <w:r w:rsidRPr="00051E6C">
        <w:rPr>
          <w:rFonts w:ascii="Book Antiqua" w:hAnsi="Book Antiqua" w:cs="Times New Roman"/>
          <w:sz w:val="24"/>
          <w:szCs w:val="24"/>
        </w:rPr>
        <w:t>+1-</w:t>
      </w:r>
      <w:r w:rsidRPr="00051E6C">
        <w:rPr>
          <w:rFonts w:ascii="Book Antiqua" w:hAnsi="Book Antiqua" w:cs="Times New Roman"/>
          <w:bCs/>
          <w:sz w:val="24"/>
          <w:szCs w:val="24"/>
        </w:rPr>
        <w:t>205-9758344</w:t>
      </w:r>
    </w:p>
    <w:p w14:paraId="527222AD" w14:textId="77777777" w:rsidR="00CD4266" w:rsidRPr="00051E6C" w:rsidRDefault="00CD4266" w:rsidP="00051E6C">
      <w:pPr>
        <w:spacing w:after="0" w:line="360" w:lineRule="auto"/>
        <w:jc w:val="both"/>
        <w:rPr>
          <w:rFonts w:ascii="Book Antiqua" w:hAnsi="Book Antiqua"/>
          <w:b/>
          <w:sz w:val="24"/>
          <w:szCs w:val="24"/>
        </w:rPr>
      </w:pPr>
      <w:r w:rsidRPr="00051E6C">
        <w:rPr>
          <w:rFonts w:ascii="Book Antiqua" w:hAnsi="Book Antiqua"/>
          <w:b/>
          <w:sz w:val="24"/>
          <w:szCs w:val="24"/>
        </w:rPr>
        <w:t>Fax:</w:t>
      </w:r>
      <w:r w:rsidRPr="00051E6C">
        <w:rPr>
          <w:rFonts w:ascii="Book Antiqua" w:hAnsi="Book Antiqua" w:cs="Times New Roman"/>
          <w:sz w:val="24"/>
          <w:szCs w:val="24"/>
        </w:rPr>
        <w:t xml:space="preserve"> +1-205-9757302</w:t>
      </w:r>
    </w:p>
    <w:p w14:paraId="7FA91D63"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15D9574D" w14:textId="77777777" w:rsidR="00CD4266" w:rsidRPr="00051E6C" w:rsidRDefault="00CD4266" w:rsidP="00051E6C">
      <w:pPr>
        <w:spacing w:after="0" w:line="360" w:lineRule="auto"/>
        <w:jc w:val="both"/>
        <w:rPr>
          <w:rFonts w:ascii="Book Antiqua" w:hAnsi="Book Antiqua"/>
          <w:b/>
          <w:sz w:val="24"/>
          <w:szCs w:val="24"/>
        </w:rPr>
      </w:pPr>
      <w:r w:rsidRPr="00051E6C">
        <w:rPr>
          <w:rFonts w:ascii="Book Antiqua" w:hAnsi="Book Antiqua"/>
          <w:b/>
          <w:sz w:val="24"/>
          <w:szCs w:val="24"/>
        </w:rPr>
        <w:t>Received:</w:t>
      </w:r>
      <w:r w:rsidRPr="00051E6C">
        <w:rPr>
          <w:rFonts w:ascii="Book Antiqua" w:hAnsi="Book Antiqua"/>
          <w:sz w:val="24"/>
          <w:szCs w:val="24"/>
          <w:lang w:eastAsia="zh-CN"/>
        </w:rPr>
        <w:t xml:space="preserve"> February 26, 2015</w:t>
      </w:r>
      <w:r w:rsidRPr="00051E6C">
        <w:rPr>
          <w:rFonts w:ascii="Book Antiqua" w:hAnsi="Book Antiqua"/>
          <w:sz w:val="24"/>
          <w:szCs w:val="24"/>
        </w:rPr>
        <w:t xml:space="preserve">   </w:t>
      </w:r>
    </w:p>
    <w:p w14:paraId="4DF6F405" w14:textId="77777777" w:rsidR="00CD4266" w:rsidRPr="00051E6C" w:rsidRDefault="00CD4266" w:rsidP="00051E6C">
      <w:pPr>
        <w:spacing w:after="0" w:line="360" w:lineRule="auto"/>
        <w:jc w:val="both"/>
        <w:rPr>
          <w:rFonts w:ascii="Book Antiqua" w:hAnsi="Book Antiqua"/>
          <w:sz w:val="24"/>
          <w:szCs w:val="24"/>
        </w:rPr>
      </w:pPr>
      <w:r w:rsidRPr="00051E6C">
        <w:rPr>
          <w:rFonts w:ascii="Book Antiqua" w:hAnsi="Book Antiqua"/>
          <w:b/>
          <w:sz w:val="24"/>
          <w:szCs w:val="24"/>
        </w:rPr>
        <w:t>Peer-review started:</w:t>
      </w:r>
      <w:r w:rsidRPr="00051E6C">
        <w:rPr>
          <w:rFonts w:ascii="Book Antiqua" w:hAnsi="Book Antiqua"/>
          <w:sz w:val="24"/>
          <w:szCs w:val="24"/>
          <w:lang w:eastAsia="zh-CN"/>
        </w:rPr>
        <w:t xml:space="preserve"> February 26, 2015</w:t>
      </w:r>
      <w:r w:rsidRPr="00051E6C">
        <w:rPr>
          <w:rFonts w:ascii="Book Antiqua" w:hAnsi="Book Antiqua"/>
          <w:sz w:val="24"/>
          <w:szCs w:val="24"/>
        </w:rPr>
        <w:t xml:space="preserve">   </w:t>
      </w:r>
    </w:p>
    <w:p w14:paraId="15FC55DC" w14:textId="77777777" w:rsidR="00CD4266" w:rsidRPr="00051E6C" w:rsidRDefault="00CD4266" w:rsidP="00051E6C">
      <w:pPr>
        <w:spacing w:after="0" w:line="360" w:lineRule="auto"/>
        <w:jc w:val="both"/>
        <w:rPr>
          <w:rFonts w:ascii="Book Antiqua" w:hAnsi="Book Antiqua"/>
          <w:b/>
          <w:sz w:val="24"/>
          <w:szCs w:val="24"/>
          <w:lang w:eastAsia="zh-CN"/>
        </w:rPr>
      </w:pPr>
      <w:r w:rsidRPr="00051E6C">
        <w:rPr>
          <w:rFonts w:ascii="Book Antiqua" w:hAnsi="Book Antiqua"/>
          <w:b/>
          <w:sz w:val="24"/>
          <w:szCs w:val="24"/>
        </w:rPr>
        <w:t>First decision:</w:t>
      </w:r>
      <w:r w:rsidRPr="00051E6C">
        <w:rPr>
          <w:rFonts w:ascii="Book Antiqua" w:hAnsi="Book Antiqua"/>
          <w:sz w:val="24"/>
          <w:szCs w:val="24"/>
          <w:lang w:eastAsia="zh-CN"/>
        </w:rPr>
        <w:t xml:space="preserve"> April 27, 2015</w:t>
      </w:r>
    </w:p>
    <w:p w14:paraId="0C769DEF" w14:textId="7C8F6652" w:rsidR="00CD4266" w:rsidRPr="00051E6C" w:rsidRDefault="00CD4266" w:rsidP="00051E6C">
      <w:pPr>
        <w:spacing w:after="0" w:line="360" w:lineRule="auto"/>
        <w:jc w:val="both"/>
        <w:rPr>
          <w:rFonts w:ascii="Book Antiqua" w:hAnsi="Book Antiqua"/>
          <w:b/>
          <w:sz w:val="24"/>
          <w:szCs w:val="24"/>
        </w:rPr>
      </w:pPr>
      <w:r w:rsidRPr="00051E6C">
        <w:rPr>
          <w:rFonts w:ascii="Book Antiqua" w:hAnsi="Book Antiqua"/>
          <w:b/>
          <w:sz w:val="24"/>
          <w:szCs w:val="24"/>
        </w:rPr>
        <w:t>Revised:</w:t>
      </w:r>
      <w:r w:rsidRPr="00051E6C">
        <w:rPr>
          <w:rFonts w:ascii="Book Antiqua" w:hAnsi="Book Antiqua"/>
          <w:b/>
          <w:sz w:val="24"/>
          <w:szCs w:val="24"/>
          <w:lang w:eastAsia="zh-CN"/>
        </w:rPr>
        <w:t xml:space="preserve"> </w:t>
      </w:r>
      <w:r w:rsidRPr="00051E6C">
        <w:rPr>
          <w:rFonts w:ascii="Book Antiqua" w:hAnsi="Book Antiqua"/>
          <w:sz w:val="24"/>
          <w:szCs w:val="24"/>
          <w:lang w:eastAsia="zh-CN"/>
        </w:rPr>
        <w:t xml:space="preserve">May </w:t>
      </w:r>
      <w:r w:rsidR="00051E6C" w:rsidRPr="00051E6C">
        <w:rPr>
          <w:rFonts w:ascii="Book Antiqua" w:hAnsi="Book Antiqua"/>
          <w:sz w:val="24"/>
          <w:szCs w:val="24"/>
          <w:lang w:eastAsia="zh-CN"/>
        </w:rPr>
        <w:t>21</w:t>
      </w:r>
      <w:r w:rsidRPr="00051E6C">
        <w:rPr>
          <w:rFonts w:ascii="Book Antiqua" w:hAnsi="Book Antiqua"/>
          <w:sz w:val="24"/>
          <w:szCs w:val="24"/>
          <w:lang w:eastAsia="zh-CN"/>
        </w:rPr>
        <w:t>, 2015</w:t>
      </w:r>
      <w:r w:rsidRPr="00051E6C">
        <w:rPr>
          <w:rFonts w:ascii="Book Antiqua" w:hAnsi="Book Antiqua"/>
          <w:sz w:val="24"/>
          <w:szCs w:val="24"/>
        </w:rPr>
        <w:t xml:space="preserve">  </w:t>
      </w:r>
    </w:p>
    <w:p w14:paraId="3D959877" w14:textId="72716B25" w:rsidR="00CD4266" w:rsidRPr="00392EB6" w:rsidRDefault="00CD4266" w:rsidP="00392EB6">
      <w:pPr>
        <w:rPr>
          <w:rFonts w:ascii="Book Antiqua" w:hAnsi="Book Antiqua"/>
        </w:rPr>
      </w:pPr>
      <w:r w:rsidRPr="00051E6C">
        <w:rPr>
          <w:rFonts w:ascii="Book Antiqua" w:hAnsi="Book Antiqua"/>
          <w:b/>
          <w:sz w:val="24"/>
          <w:szCs w:val="24"/>
        </w:rPr>
        <w:t xml:space="preserve">Accepted: </w:t>
      </w:r>
      <w:r w:rsidR="00392EB6" w:rsidRPr="00872C35">
        <w:rPr>
          <w:rFonts w:ascii="Book Antiqua" w:hAnsi="Book Antiqua"/>
        </w:rPr>
        <w:t>June 9, 2015</w:t>
      </w:r>
    </w:p>
    <w:p w14:paraId="2F06E160" w14:textId="77777777" w:rsidR="00CD4266" w:rsidRPr="00051E6C" w:rsidRDefault="00CD4266" w:rsidP="00051E6C">
      <w:pPr>
        <w:spacing w:after="0" w:line="360" w:lineRule="auto"/>
        <w:jc w:val="both"/>
        <w:rPr>
          <w:rFonts w:ascii="Book Antiqua" w:hAnsi="Book Antiqua"/>
          <w:b/>
          <w:sz w:val="24"/>
          <w:szCs w:val="24"/>
        </w:rPr>
      </w:pPr>
      <w:r w:rsidRPr="00051E6C">
        <w:rPr>
          <w:rFonts w:ascii="Book Antiqua" w:hAnsi="Book Antiqua"/>
          <w:b/>
          <w:sz w:val="24"/>
          <w:szCs w:val="24"/>
        </w:rPr>
        <w:t>Article in press:</w:t>
      </w:r>
    </w:p>
    <w:p w14:paraId="3600F90A" w14:textId="77777777" w:rsidR="00CD4266" w:rsidRPr="00051E6C" w:rsidRDefault="00CD4266" w:rsidP="00051E6C">
      <w:pPr>
        <w:spacing w:after="0" w:line="360" w:lineRule="auto"/>
        <w:jc w:val="both"/>
        <w:rPr>
          <w:rFonts w:ascii="Book Antiqua" w:hAnsi="Book Antiqua"/>
          <w:b/>
          <w:sz w:val="24"/>
          <w:szCs w:val="24"/>
        </w:rPr>
      </w:pPr>
      <w:r w:rsidRPr="00051E6C">
        <w:rPr>
          <w:rFonts w:ascii="Book Antiqua" w:hAnsi="Book Antiqua"/>
          <w:b/>
          <w:sz w:val="24"/>
          <w:szCs w:val="24"/>
        </w:rPr>
        <w:t xml:space="preserve">Published online: </w:t>
      </w:r>
    </w:p>
    <w:p w14:paraId="5E5ED451"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7703FF8A"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b/>
          <w:sz w:val="24"/>
          <w:szCs w:val="24"/>
        </w:rPr>
        <w:t>Abstract</w:t>
      </w:r>
    </w:p>
    <w:p w14:paraId="6F6F4259" w14:textId="78F18C15" w:rsidR="00CD4266" w:rsidRPr="00051E6C" w:rsidRDefault="00CD4266" w:rsidP="00051E6C">
      <w:pPr>
        <w:spacing w:after="0" w:line="360" w:lineRule="auto"/>
        <w:jc w:val="both"/>
        <w:rPr>
          <w:rFonts w:ascii="Book Antiqua" w:hAnsi="Book Antiqua" w:cs="Times New Roman"/>
          <w:bCs/>
          <w:sz w:val="24"/>
          <w:szCs w:val="24"/>
        </w:rPr>
      </w:pPr>
      <w:r w:rsidRPr="00051E6C">
        <w:rPr>
          <w:rFonts w:ascii="Book Antiqua" w:hAnsi="Book Antiqua" w:cs="Times New Roman"/>
          <w:sz w:val="24"/>
          <w:szCs w:val="24"/>
        </w:rPr>
        <w:t xml:space="preserve">Tuberculosis is one of the leading infectious diseases plaguing mankind and is mediated by the facultative pathogen, </w:t>
      </w:r>
      <w:r w:rsidRPr="00051E6C">
        <w:rPr>
          <w:rFonts w:ascii="Book Antiqua" w:hAnsi="Book Antiqua" w:cs="Times New Roman"/>
          <w:i/>
          <w:sz w:val="24"/>
          <w:szCs w:val="24"/>
        </w:rPr>
        <w:t xml:space="preserve">Mycobacterium tuberculosis </w:t>
      </w:r>
      <w:r w:rsidRPr="00051E6C">
        <w:rPr>
          <w:rFonts w:ascii="Book Antiqua" w:hAnsi="Book Antiqua" w:cs="Times New Roman"/>
          <w:sz w:val="24"/>
          <w:szCs w:val="24"/>
        </w:rPr>
        <w:t xml:space="preserve">(MTB). Once the pathogen enters the body, it subverts the host immune defenses and thrives for extended periods of time within the host macrophages in the lung granulomas, a condition called latent tuberculosis (LTB). Persons with LTB are prone to reactivation of the disease when the body’s immunity is compromised. Currently there are no reliable and effective diagnosis and treatment options for LTB, which necessitates new research in this area. The mycobacterial proteins and genes mediating the adaptive responses inside the macrophage is largely yet to be determined. Recently, it has been shown that the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 genes are </w:t>
      </w:r>
      <w:r w:rsidR="00CA07A1" w:rsidRPr="00051E6C">
        <w:rPr>
          <w:rFonts w:ascii="Book Antiqua" w:hAnsi="Book Antiqua" w:cs="Times New Roman"/>
          <w:sz w:val="24"/>
          <w:szCs w:val="24"/>
        </w:rPr>
        <w:t>critical for host cell invasion</w:t>
      </w:r>
      <w:r w:rsidRPr="00051E6C">
        <w:rPr>
          <w:rFonts w:ascii="Book Antiqua" w:hAnsi="Book Antiqua" w:cs="Times New Roman"/>
          <w:sz w:val="24"/>
          <w:szCs w:val="24"/>
        </w:rPr>
        <w:t xml:space="preserve"> by the mycobacterium and for establishing a persistent infection in both </w:t>
      </w:r>
      <w:r w:rsidRPr="00051E6C">
        <w:rPr>
          <w:rFonts w:ascii="Book Antiqua" w:hAnsi="Book Antiqua" w:cs="Times New Roman"/>
          <w:i/>
          <w:sz w:val="24"/>
          <w:szCs w:val="24"/>
        </w:rPr>
        <w:t>in vitro</w:t>
      </w:r>
      <w:r w:rsidRPr="00051E6C">
        <w:rPr>
          <w:rFonts w:ascii="Book Antiqua" w:hAnsi="Book Antiqua" w:cs="Times New Roman"/>
          <w:sz w:val="24"/>
          <w:szCs w:val="24"/>
        </w:rPr>
        <w:t xml:space="preserve"> and in mouse models of tuberculosis. The YrbE and Mce proteins </w:t>
      </w:r>
      <w:r w:rsidR="00CA07A1" w:rsidRPr="00051E6C">
        <w:rPr>
          <w:rFonts w:ascii="Book Antiqua" w:hAnsi="Book Antiqua" w:cs="Times New Roman"/>
          <w:sz w:val="24"/>
          <w:szCs w:val="24"/>
        </w:rPr>
        <w:t xml:space="preserve">which are </w:t>
      </w:r>
      <w:r w:rsidRPr="00051E6C">
        <w:rPr>
          <w:rFonts w:ascii="Book Antiqua" w:hAnsi="Book Antiqua" w:cs="Times New Roman"/>
          <w:sz w:val="24"/>
          <w:szCs w:val="24"/>
        </w:rPr>
        <w:t xml:space="preserve">encoded by the MTB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w:t>
      </w:r>
      <w:r w:rsidR="00CA07A1" w:rsidRPr="00051E6C">
        <w:rPr>
          <w:rFonts w:ascii="Book Antiqua" w:hAnsi="Book Antiqua" w:cs="Times New Roman"/>
          <w:sz w:val="24"/>
          <w:szCs w:val="24"/>
        </w:rPr>
        <w:t>display</w:t>
      </w:r>
      <w:r w:rsidRPr="00051E6C">
        <w:rPr>
          <w:rFonts w:ascii="Book Antiqua" w:hAnsi="Book Antiqua" w:cs="Times New Roman"/>
          <w:sz w:val="24"/>
          <w:szCs w:val="24"/>
        </w:rPr>
        <w:t xml:space="preserve"> </w:t>
      </w:r>
      <w:r w:rsidR="00CA07A1" w:rsidRPr="00051E6C">
        <w:rPr>
          <w:rFonts w:ascii="Book Antiqua" w:hAnsi="Book Antiqua" w:cs="Times New Roman"/>
          <w:sz w:val="24"/>
          <w:szCs w:val="24"/>
        </w:rPr>
        <w:t xml:space="preserve">high degrees of </w:t>
      </w:r>
      <w:r w:rsidRPr="00051E6C">
        <w:rPr>
          <w:rFonts w:ascii="Book Antiqua" w:hAnsi="Book Antiqua" w:cs="Times New Roman"/>
          <w:sz w:val="24"/>
          <w:szCs w:val="24"/>
        </w:rPr>
        <w:t>homology to the permeases and the surface binding prot</w:t>
      </w:r>
      <w:r w:rsidR="00CA07A1" w:rsidRPr="00051E6C">
        <w:rPr>
          <w:rFonts w:ascii="Book Antiqua" w:hAnsi="Book Antiqua" w:cs="Times New Roman"/>
          <w:sz w:val="24"/>
          <w:szCs w:val="24"/>
        </w:rPr>
        <w:t xml:space="preserve">ein of the ABC transports, </w:t>
      </w:r>
      <w:r w:rsidRPr="00051E6C">
        <w:rPr>
          <w:rFonts w:ascii="Book Antiqua" w:hAnsi="Book Antiqua" w:cs="Times New Roman"/>
          <w:sz w:val="24"/>
          <w:szCs w:val="24"/>
        </w:rPr>
        <w:t>respectively</w:t>
      </w:r>
      <w:r w:rsidR="00CA07A1" w:rsidRPr="00051E6C">
        <w:rPr>
          <w:rFonts w:ascii="Book Antiqua" w:hAnsi="Book Antiqua" w:cs="Times New Roman"/>
          <w:sz w:val="24"/>
          <w:szCs w:val="24"/>
        </w:rPr>
        <w:t>.  Similarities in structure</w:t>
      </w:r>
      <w:r w:rsidRPr="00051E6C">
        <w:rPr>
          <w:rFonts w:ascii="Book Antiqua" w:hAnsi="Book Antiqua" w:cs="Times New Roman"/>
          <w:sz w:val="24"/>
          <w:szCs w:val="24"/>
        </w:rPr>
        <w:t xml:space="preserve"> </w:t>
      </w:r>
      <w:r w:rsidR="00476737" w:rsidRPr="00051E6C">
        <w:rPr>
          <w:rFonts w:ascii="Book Antiqua" w:hAnsi="Book Antiqua" w:cs="Times New Roman"/>
          <w:sz w:val="24"/>
          <w:szCs w:val="24"/>
        </w:rPr>
        <w:t xml:space="preserve">and </w:t>
      </w:r>
      <w:r w:rsidRPr="00051E6C">
        <w:rPr>
          <w:rFonts w:ascii="Book Antiqua" w:hAnsi="Book Antiqua" w:cs="Times New Roman"/>
          <w:sz w:val="24"/>
          <w:szCs w:val="24"/>
        </w:rPr>
        <w:t>cell surface location</w:t>
      </w:r>
      <w:r w:rsidR="00CA07A1" w:rsidRPr="00051E6C">
        <w:rPr>
          <w:rFonts w:ascii="Book Antiqua" w:hAnsi="Book Antiqua" w:cs="Times New Roman"/>
          <w:sz w:val="24"/>
          <w:szCs w:val="24"/>
        </w:rPr>
        <w:t xml:space="preserve"> impute a</w:t>
      </w:r>
      <w:r w:rsidRPr="00051E6C">
        <w:rPr>
          <w:rFonts w:ascii="Book Antiqua" w:hAnsi="Book Antiqua" w:cs="Times New Roman"/>
          <w:sz w:val="24"/>
          <w:szCs w:val="24"/>
        </w:rPr>
        <w:t xml:space="preserve"> role in cell invasion at cholesterol rich regions and immunomodulation.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 is also thought to encode a cholesterol transport system that enables the mycobacterium to derive both energy and carbon from the host membrane lipids and possibly generating virulence mediating metabolites, thus enabling the bacteria in its long term survival within the granuloma. Various deletion mutation studies involving individual or whole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 genes have shown to be conferring varying degrees of attenuation of infectivity or at times hypervirulence to the host MTB, with the deletion of </w:t>
      </w:r>
      <w:r w:rsidRPr="00051E6C">
        <w:rPr>
          <w:rFonts w:ascii="Book Antiqua" w:hAnsi="Book Antiqua" w:cs="Times New Roman"/>
          <w:i/>
          <w:sz w:val="24"/>
          <w:szCs w:val="24"/>
        </w:rPr>
        <w:t>mce4A</w:t>
      </w:r>
      <w:r w:rsidR="00CA07A1" w:rsidRPr="00051E6C">
        <w:rPr>
          <w:rFonts w:ascii="Book Antiqua" w:hAnsi="Book Antiqua" w:cs="Times New Roman"/>
          <w:sz w:val="24"/>
          <w:szCs w:val="24"/>
        </w:rPr>
        <w:t xml:space="preserve"> operon gene </w:t>
      </w:r>
      <w:r w:rsidRPr="00051E6C">
        <w:rPr>
          <w:rFonts w:ascii="Book Antiqua" w:hAnsi="Book Antiqua" w:cs="Times New Roman"/>
          <w:sz w:val="24"/>
          <w:szCs w:val="24"/>
        </w:rPr>
        <w:t xml:space="preserve">conferring the greatest degree of attenuation of virulence. Antisense technology using synthetic siRNAs has been used in knocking down genes in bacteria and over the years this has evolved into a powerful tool for elucidating the roles of various genes mediating infectivity and survival in mycobacteria. </w:t>
      </w:r>
      <w:r w:rsidRPr="00051E6C">
        <w:rPr>
          <w:rFonts w:ascii="Book Antiqua" w:hAnsi="Book Antiqua" w:cs="Times New Roman"/>
          <w:bCs/>
          <w:sz w:val="24"/>
          <w:szCs w:val="24"/>
        </w:rPr>
        <w:t xml:space="preserve">Molecular beacons are a newer class of antisense RNA tagged with a fluorophore/quencher pair and their use for </w:t>
      </w:r>
      <w:r w:rsidRPr="00051E6C">
        <w:rPr>
          <w:rFonts w:ascii="Book Antiqua" w:hAnsi="Book Antiqua" w:cs="Times New Roman"/>
          <w:bCs/>
          <w:i/>
          <w:sz w:val="24"/>
          <w:szCs w:val="24"/>
        </w:rPr>
        <w:t>in vivo</w:t>
      </w:r>
      <w:r w:rsidRPr="00051E6C">
        <w:rPr>
          <w:rFonts w:ascii="Book Antiqua" w:hAnsi="Book Antiqua" w:cs="Times New Roman"/>
          <w:bCs/>
          <w:sz w:val="24"/>
          <w:szCs w:val="24"/>
        </w:rPr>
        <w:t xml:space="preserve"> detection and knockdown of mRNA is rapidly gaining popularity.</w:t>
      </w:r>
    </w:p>
    <w:p w14:paraId="1A513BDB" w14:textId="77777777" w:rsidR="00CD4266" w:rsidRPr="00051E6C" w:rsidRDefault="00CD4266" w:rsidP="00051E6C">
      <w:pPr>
        <w:spacing w:after="0" w:line="360" w:lineRule="auto"/>
        <w:jc w:val="both"/>
        <w:rPr>
          <w:rFonts w:ascii="Book Antiqua" w:hAnsi="Book Antiqua" w:cs="Times New Roman"/>
          <w:b/>
          <w:sz w:val="24"/>
          <w:szCs w:val="24"/>
        </w:rPr>
      </w:pPr>
    </w:p>
    <w:p w14:paraId="39720D36" w14:textId="77777777" w:rsidR="00CD4266" w:rsidRPr="00051E6C" w:rsidRDefault="00CD4266" w:rsidP="00051E6C">
      <w:pPr>
        <w:spacing w:after="0" w:line="360" w:lineRule="auto"/>
        <w:jc w:val="both"/>
        <w:rPr>
          <w:rFonts w:ascii="Book Antiqua" w:hAnsi="Book Antiqua" w:cs="Times New Roman"/>
          <w:b/>
          <w:sz w:val="24"/>
          <w:szCs w:val="24"/>
          <w:lang w:eastAsia="zh-CN"/>
        </w:rPr>
      </w:pPr>
      <w:r w:rsidRPr="00051E6C">
        <w:rPr>
          <w:rFonts w:ascii="Book Antiqua" w:hAnsi="Book Antiqua" w:cs="Times New Roman"/>
          <w:b/>
          <w:sz w:val="24"/>
          <w:szCs w:val="24"/>
        </w:rPr>
        <w:t xml:space="preserve">Key words: </w:t>
      </w:r>
      <w:r w:rsidRPr="00051E6C">
        <w:rPr>
          <w:rFonts w:ascii="Book Antiqua" w:hAnsi="Book Antiqua" w:cs="Times New Roman"/>
          <w:sz w:val="24"/>
          <w:szCs w:val="24"/>
        </w:rPr>
        <w:t>Mammalian cell entry</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Molecular beacons</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SiRNA</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Mycobacterium tuberculosis</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Macrophages</w:t>
      </w:r>
    </w:p>
    <w:p w14:paraId="6771A37C"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0D99C835" w14:textId="77777777" w:rsidR="00CD4266" w:rsidRPr="00051E6C" w:rsidRDefault="00CD4266" w:rsidP="00051E6C">
      <w:pPr>
        <w:spacing w:after="0" w:line="360" w:lineRule="auto"/>
        <w:jc w:val="both"/>
        <w:rPr>
          <w:rFonts w:ascii="Book Antiqua" w:hAnsi="Book Antiqua" w:cs="Arial"/>
          <w:sz w:val="24"/>
          <w:szCs w:val="24"/>
        </w:rPr>
      </w:pPr>
      <w:proofErr w:type="gramStart"/>
      <w:r w:rsidRPr="00051E6C">
        <w:rPr>
          <w:rFonts w:ascii="Book Antiqua" w:hAnsi="Book Antiqua"/>
          <w:b/>
          <w:sz w:val="24"/>
          <w:szCs w:val="24"/>
        </w:rPr>
        <w:t xml:space="preserve">© </w:t>
      </w:r>
      <w:r w:rsidRPr="00051E6C">
        <w:rPr>
          <w:rFonts w:ascii="Book Antiqua" w:hAnsi="Book Antiqua" w:cs="Arial"/>
          <w:b/>
          <w:sz w:val="24"/>
          <w:szCs w:val="24"/>
        </w:rPr>
        <w:t>The Author(s) 2015.</w:t>
      </w:r>
      <w:proofErr w:type="gramEnd"/>
      <w:r w:rsidRPr="00051E6C">
        <w:rPr>
          <w:rFonts w:ascii="Book Antiqua" w:hAnsi="Book Antiqua" w:cs="Arial"/>
          <w:sz w:val="24"/>
          <w:szCs w:val="24"/>
        </w:rPr>
        <w:t xml:space="preserve"> Published by Baishideng Publishing Group Inc. All rights reserved.</w:t>
      </w:r>
    </w:p>
    <w:p w14:paraId="5FA24BE7"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7046D507" w14:textId="77777777" w:rsidR="00CD4266" w:rsidRPr="00051E6C" w:rsidRDefault="00CD4266" w:rsidP="00051E6C">
      <w:pPr>
        <w:spacing w:after="0" w:line="360" w:lineRule="auto"/>
        <w:jc w:val="both"/>
        <w:rPr>
          <w:rFonts w:ascii="Book Antiqua" w:hAnsi="Book Antiqua" w:cs="Times New Roman"/>
          <w:b/>
          <w:sz w:val="24"/>
          <w:szCs w:val="24"/>
          <w:lang w:eastAsia="zh-CN"/>
        </w:rPr>
      </w:pPr>
      <w:r w:rsidRPr="00051E6C">
        <w:rPr>
          <w:rFonts w:ascii="Book Antiqua" w:hAnsi="Book Antiqua" w:cs="Times New Roman"/>
          <w:b/>
          <w:sz w:val="24"/>
          <w:szCs w:val="24"/>
        </w:rPr>
        <w:t>Core tip:</w:t>
      </w:r>
      <w:r w:rsidRPr="00051E6C">
        <w:rPr>
          <w:rFonts w:ascii="Book Antiqua" w:hAnsi="Book Antiqua" w:cs="Times New Roman"/>
          <w:b/>
          <w:sz w:val="24"/>
          <w:szCs w:val="24"/>
          <w:lang w:eastAsia="zh-CN"/>
        </w:rPr>
        <w:t xml:space="preserve"> </w:t>
      </w:r>
      <w:r w:rsidRPr="00051E6C">
        <w:rPr>
          <w:rFonts w:ascii="Book Antiqua" w:hAnsi="Book Antiqua" w:cs="Times New Roman"/>
          <w:sz w:val="24"/>
          <w:szCs w:val="24"/>
        </w:rPr>
        <w:t xml:space="preserve">This review paper looks at the current status of research of the role of mammalian cell entry gene products in mediating cholesterol mediated latency of mycobacteria and the potential use of short-interfering RNA molecular beacons in detecting and attenuating mycobacterial infections.  </w:t>
      </w:r>
    </w:p>
    <w:p w14:paraId="68674DE6" w14:textId="77777777" w:rsidR="00CD4266" w:rsidRPr="00051E6C" w:rsidRDefault="00CD4266" w:rsidP="00051E6C">
      <w:pPr>
        <w:spacing w:after="0" w:line="360" w:lineRule="auto"/>
        <w:jc w:val="both"/>
        <w:rPr>
          <w:rFonts w:ascii="Book Antiqua" w:hAnsi="Book Antiqua" w:cs="Times New Roman"/>
          <w:sz w:val="24"/>
          <w:szCs w:val="24"/>
          <w:lang w:eastAsia="zh-CN"/>
        </w:rPr>
      </w:pPr>
    </w:p>
    <w:p w14:paraId="5E24612C" w14:textId="77777777" w:rsidR="00CD4266" w:rsidRPr="00051E6C"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cs="Times New Roman"/>
          <w:sz w:val="24"/>
          <w:szCs w:val="24"/>
        </w:rPr>
        <w:t>George</w:t>
      </w:r>
      <w:r w:rsidRPr="00051E6C">
        <w:rPr>
          <w:rFonts w:ascii="Book Antiqua" w:hAnsi="Book Antiqua" w:cs="Times New Roman"/>
          <w:sz w:val="24"/>
          <w:szCs w:val="24"/>
          <w:lang w:eastAsia="zh-CN"/>
        </w:rPr>
        <w:t xml:space="preserve"> R</w:t>
      </w:r>
      <w:r w:rsidRPr="00051E6C">
        <w:rPr>
          <w:rFonts w:ascii="Book Antiqua" w:hAnsi="Book Antiqua" w:cs="Times New Roman"/>
          <w:sz w:val="24"/>
          <w:szCs w:val="24"/>
        </w:rPr>
        <w:t xml:space="preserve">, </w:t>
      </w:r>
      <w:r w:rsidRPr="00051E6C">
        <w:rPr>
          <w:rFonts w:ascii="Book Antiqua" w:hAnsi="Book Antiqua"/>
          <w:sz w:val="24"/>
          <w:szCs w:val="24"/>
        </w:rPr>
        <w:t>Cavalcante</w:t>
      </w:r>
      <w:r w:rsidRPr="00051E6C">
        <w:rPr>
          <w:rFonts w:ascii="Book Antiqua" w:hAnsi="Book Antiqua"/>
          <w:sz w:val="24"/>
          <w:szCs w:val="24"/>
          <w:lang w:eastAsia="zh-CN"/>
        </w:rPr>
        <w:t xml:space="preserve"> R</w:t>
      </w:r>
      <w:r w:rsidRPr="00051E6C">
        <w:rPr>
          <w:rFonts w:ascii="Book Antiqua" w:hAnsi="Book Antiqua"/>
          <w:sz w:val="24"/>
          <w:szCs w:val="24"/>
        </w:rPr>
        <w:t>, Caravalho Jr</w:t>
      </w:r>
      <w:r w:rsidRPr="00051E6C">
        <w:rPr>
          <w:rFonts w:ascii="Book Antiqua" w:hAnsi="Book Antiqua"/>
          <w:sz w:val="24"/>
          <w:szCs w:val="24"/>
          <w:lang w:eastAsia="zh-CN"/>
        </w:rPr>
        <w:t xml:space="preserve"> C</w:t>
      </w:r>
      <w:r w:rsidRPr="00051E6C">
        <w:rPr>
          <w:rFonts w:ascii="Book Antiqua" w:hAnsi="Book Antiqua"/>
          <w:sz w:val="24"/>
          <w:szCs w:val="24"/>
        </w:rPr>
        <w:t>, Marques</w:t>
      </w:r>
      <w:r w:rsidRPr="00051E6C">
        <w:rPr>
          <w:rFonts w:ascii="Book Antiqua" w:hAnsi="Book Antiqua"/>
          <w:sz w:val="24"/>
          <w:szCs w:val="24"/>
          <w:lang w:eastAsia="zh-CN"/>
        </w:rPr>
        <w:t xml:space="preserve"> E</w:t>
      </w:r>
      <w:r w:rsidRPr="00051E6C">
        <w:rPr>
          <w:rFonts w:ascii="Book Antiqua" w:hAnsi="Book Antiqua"/>
          <w:sz w:val="24"/>
          <w:szCs w:val="24"/>
        </w:rPr>
        <w:t xml:space="preserve">, </w:t>
      </w:r>
      <w:r w:rsidRPr="00051E6C">
        <w:rPr>
          <w:rFonts w:ascii="Book Antiqua" w:hAnsi="Book Antiqua" w:cs="Times New Roman"/>
          <w:sz w:val="24"/>
          <w:szCs w:val="24"/>
        </w:rPr>
        <w:t>Waugh</w:t>
      </w:r>
      <w:r w:rsidRPr="00051E6C">
        <w:rPr>
          <w:rFonts w:ascii="Book Antiqua" w:hAnsi="Book Antiqua" w:cs="Times New Roman"/>
          <w:sz w:val="24"/>
          <w:szCs w:val="24"/>
          <w:lang w:eastAsia="zh-CN"/>
        </w:rPr>
        <w:t xml:space="preserve"> JB</w:t>
      </w:r>
      <w:r w:rsidRPr="00051E6C">
        <w:rPr>
          <w:rFonts w:ascii="Book Antiqua" w:hAnsi="Book Antiqua" w:cs="Times New Roman"/>
          <w:sz w:val="24"/>
          <w:szCs w:val="24"/>
        </w:rPr>
        <w:t>, Unlap</w:t>
      </w:r>
      <w:r w:rsidRPr="00051E6C">
        <w:rPr>
          <w:rFonts w:ascii="Book Antiqua" w:hAnsi="Book Antiqua" w:cs="Times New Roman"/>
          <w:sz w:val="24"/>
          <w:szCs w:val="24"/>
          <w:lang w:eastAsia="zh-CN"/>
        </w:rPr>
        <w:t xml:space="preserve"> MT.</w:t>
      </w:r>
      <w:r w:rsidRPr="00051E6C">
        <w:rPr>
          <w:rFonts w:ascii="Book Antiqua" w:hAnsi="Book Antiqua" w:cs="Times New Roman"/>
          <w:sz w:val="24"/>
          <w:szCs w:val="24"/>
        </w:rPr>
        <w:t xml:space="preserve"> Use of siRNA molecular beacons to detect and attenuate mycobacterial infection in macrophages</w:t>
      </w:r>
      <w:r w:rsidRPr="00051E6C">
        <w:rPr>
          <w:rFonts w:ascii="Book Antiqua" w:hAnsi="Book Antiqua" w:cs="Times New Roman"/>
          <w:sz w:val="24"/>
          <w:szCs w:val="24"/>
          <w:lang w:eastAsia="zh-CN"/>
        </w:rPr>
        <w:t xml:space="preserve">. </w:t>
      </w:r>
      <w:r w:rsidRPr="00051E6C">
        <w:rPr>
          <w:rFonts w:ascii="Book Antiqua" w:hAnsi="Book Antiqua"/>
          <w:i/>
          <w:iCs/>
          <w:sz w:val="24"/>
          <w:szCs w:val="24"/>
        </w:rPr>
        <w:t>World J Exp Med</w:t>
      </w:r>
      <w:r w:rsidRPr="00051E6C">
        <w:rPr>
          <w:rFonts w:ascii="Book Antiqua" w:hAnsi="Book Antiqua"/>
          <w:i/>
          <w:iCs/>
          <w:sz w:val="24"/>
          <w:szCs w:val="24"/>
          <w:lang w:eastAsia="zh-CN"/>
        </w:rPr>
        <w:t xml:space="preserve"> </w:t>
      </w:r>
      <w:r w:rsidRPr="00051E6C">
        <w:rPr>
          <w:rFonts w:ascii="Book Antiqua" w:hAnsi="Book Antiqua"/>
          <w:iCs/>
          <w:sz w:val="24"/>
          <w:szCs w:val="24"/>
          <w:lang w:eastAsia="zh-CN"/>
        </w:rPr>
        <w:t xml:space="preserve">2015; </w:t>
      </w:r>
      <w:proofErr w:type="gramStart"/>
      <w:r w:rsidRPr="00051E6C">
        <w:rPr>
          <w:rFonts w:ascii="Book Antiqua" w:hAnsi="Book Antiqua"/>
          <w:iCs/>
          <w:sz w:val="24"/>
          <w:szCs w:val="24"/>
          <w:lang w:eastAsia="zh-CN"/>
        </w:rPr>
        <w:t>In</w:t>
      </w:r>
      <w:proofErr w:type="gramEnd"/>
      <w:r w:rsidRPr="00051E6C">
        <w:rPr>
          <w:rFonts w:ascii="Book Antiqua" w:hAnsi="Book Antiqua"/>
          <w:iCs/>
          <w:sz w:val="24"/>
          <w:szCs w:val="24"/>
          <w:lang w:eastAsia="zh-CN"/>
        </w:rPr>
        <w:t xml:space="preserve"> press</w:t>
      </w:r>
    </w:p>
    <w:p w14:paraId="34B0AF0D" w14:textId="77777777" w:rsidR="00CD4266" w:rsidRPr="00051E6C" w:rsidRDefault="00CD4266" w:rsidP="00051E6C">
      <w:pPr>
        <w:spacing w:after="0" w:line="360" w:lineRule="auto"/>
        <w:jc w:val="both"/>
        <w:rPr>
          <w:rFonts w:ascii="Book Antiqua" w:hAnsi="Book Antiqua"/>
          <w:b/>
          <w:sz w:val="24"/>
          <w:szCs w:val="24"/>
          <w:lang w:eastAsia="zh-CN"/>
        </w:rPr>
      </w:pPr>
    </w:p>
    <w:p w14:paraId="793845EF"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 xml:space="preserve">EPIDEMIOLOGY OF </w:t>
      </w:r>
      <w:r w:rsidRPr="000400A2">
        <w:rPr>
          <w:rFonts w:ascii="Book Antiqua" w:hAnsi="Book Antiqua" w:cs="Times New Roman"/>
          <w:b/>
          <w:sz w:val="24"/>
          <w:szCs w:val="24"/>
        </w:rPr>
        <w:t>LTB</w:t>
      </w:r>
    </w:p>
    <w:p w14:paraId="7EDFD536" w14:textId="5A742E99"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The year 2005 marked the 100</w:t>
      </w:r>
      <w:r w:rsidRPr="00051E6C">
        <w:rPr>
          <w:rFonts w:ascii="Book Antiqua" w:hAnsi="Book Antiqua" w:cs="Times New Roman"/>
          <w:sz w:val="24"/>
          <w:szCs w:val="24"/>
          <w:vertAlign w:val="superscript"/>
        </w:rPr>
        <w:t>th</w:t>
      </w:r>
      <w:r w:rsidRPr="00051E6C">
        <w:rPr>
          <w:rFonts w:ascii="Book Antiqua" w:hAnsi="Book Antiqua" w:cs="Times New Roman"/>
          <w:sz w:val="24"/>
          <w:szCs w:val="24"/>
        </w:rPr>
        <w:t xml:space="preserve"> anniversary since Robert Koch received the Nobel prize for his work on tuberculosis (TB) and yet more than one hundred years later the World Health Organization (WHO) has reaffirmed its designation of tuberculosis as a global </w:t>
      </w:r>
      <w:proofErr w:type="gramStart"/>
      <w:r w:rsidRPr="00051E6C">
        <w:rPr>
          <w:rFonts w:ascii="Book Antiqua" w:hAnsi="Book Antiqua" w:cs="Times New Roman"/>
          <w:sz w:val="24"/>
          <w:szCs w:val="24"/>
        </w:rPr>
        <w:t>emergency</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w:t>
      </w:r>
      <w:r w:rsidRPr="00051E6C">
        <w:rPr>
          <w:rFonts w:ascii="Book Antiqua" w:hAnsi="Book Antiqua" w:cs="Times New Roman"/>
          <w:sz w:val="24"/>
          <w:szCs w:val="24"/>
        </w:rPr>
        <w:t xml:space="preserve">. Tuberculosis still remains a pandemic, infecting one-third of the world’s population and killing millions of people each year. Estimates are that a tuberculosis death occurs every minute. According to recent estimates of WHO, nearly 9 million people were infected with TB in 2012, including 1.3 million TB-related deaths </w:t>
      </w:r>
      <w:proofErr w:type="gramStart"/>
      <w:r w:rsidRPr="00051E6C">
        <w:rPr>
          <w:rFonts w:ascii="Book Antiqua" w:hAnsi="Book Antiqua" w:cs="Times New Roman"/>
          <w:sz w:val="24"/>
          <w:szCs w:val="24"/>
        </w:rPr>
        <w:t>worldwide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2]</w:t>
      </w:r>
      <w:r w:rsidRPr="00051E6C">
        <w:rPr>
          <w:rFonts w:ascii="Book Antiqua" w:hAnsi="Book Antiqua" w:cs="Times New Roman"/>
          <w:sz w:val="24"/>
          <w:szCs w:val="24"/>
        </w:rPr>
        <w:t xml:space="preserve">. Incidentally, TB and reactivation of latent TB have turned out to be the leading causes of death for people who are infected with HIV. At the same time, according to the Centers for Disease Control (CDC), </w:t>
      </w:r>
      <w:r w:rsidR="00CA07A1" w:rsidRPr="00051E6C">
        <w:rPr>
          <w:rFonts w:ascii="Book Antiqua" w:hAnsi="Book Antiqua" w:cs="Times New Roman"/>
          <w:sz w:val="24"/>
          <w:szCs w:val="24"/>
        </w:rPr>
        <w:t xml:space="preserve">there were </w:t>
      </w:r>
      <w:r w:rsidRPr="00051E6C">
        <w:rPr>
          <w:rFonts w:ascii="Book Antiqua" w:hAnsi="Book Antiqua" w:cs="Times New Roman"/>
          <w:sz w:val="24"/>
          <w:szCs w:val="24"/>
        </w:rPr>
        <w:t>9945 TB cases reported in the United States in 2012</w:t>
      </w:r>
      <w:r w:rsidRPr="00051E6C">
        <w:rPr>
          <w:rFonts w:ascii="Book Antiqua" w:hAnsi="Book Antiqua" w:cs="Times New Roman"/>
          <w:noProof/>
          <w:sz w:val="24"/>
          <w:szCs w:val="24"/>
          <w:vertAlign w:val="superscript"/>
        </w:rPr>
        <w:t>[3]</w:t>
      </w:r>
      <w:r w:rsidRPr="00051E6C">
        <w:rPr>
          <w:rFonts w:ascii="Book Antiqua" w:hAnsi="Book Antiqua" w:cs="Times New Roman"/>
          <w:sz w:val="24"/>
          <w:szCs w:val="24"/>
        </w:rPr>
        <w:t xml:space="preserve">.  </w:t>
      </w:r>
      <w:r w:rsidR="00CA07A1" w:rsidRPr="00051E6C">
        <w:rPr>
          <w:rFonts w:ascii="Book Antiqua" w:hAnsi="Book Antiqua" w:cs="Times New Roman"/>
          <w:sz w:val="24"/>
          <w:szCs w:val="24"/>
        </w:rPr>
        <w:t>M</w:t>
      </w:r>
      <w:r w:rsidRPr="00051E6C">
        <w:rPr>
          <w:rFonts w:ascii="Book Antiqua" w:hAnsi="Book Antiqua" w:cs="Times New Roman"/>
          <w:sz w:val="24"/>
          <w:szCs w:val="24"/>
        </w:rPr>
        <w:t>ore than 80% of tuberculosis (T</w:t>
      </w:r>
      <w:r w:rsidR="00CA07A1" w:rsidRPr="00051E6C">
        <w:rPr>
          <w:rFonts w:ascii="Book Antiqua" w:hAnsi="Book Antiqua" w:cs="Times New Roman"/>
          <w:sz w:val="24"/>
          <w:szCs w:val="24"/>
        </w:rPr>
        <w:t>B) cases in the United States are</w:t>
      </w:r>
      <w:r w:rsidRPr="00051E6C">
        <w:rPr>
          <w:rFonts w:ascii="Book Antiqua" w:hAnsi="Book Antiqua" w:cs="Times New Roman"/>
          <w:sz w:val="24"/>
          <w:szCs w:val="24"/>
        </w:rPr>
        <w:t xml:space="preserve"> from reactivation of latent TB </w:t>
      </w:r>
      <w:proofErr w:type="gramStart"/>
      <w:r w:rsidRPr="00051E6C">
        <w:rPr>
          <w:rFonts w:ascii="Book Antiqua" w:hAnsi="Book Antiqua" w:cs="Times New Roman"/>
          <w:sz w:val="24"/>
          <w:szCs w:val="24"/>
        </w:rPr>
        <w:t>infection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w:t>
      </w:r>
      <w:r w:rsidRPr="00051E6C">
        <w:rPr>
          <w:rFonts w:ascii="Book Antiqua" w:hAnsi="Book Antiqua" w:cs="Times New Roman"/>
          <w:sz w:val="24"/>
          <w:szCs w:val="24"/>
        </w:rPr>
        <w:t xml:space="preserve">. </w:t>
      </w:r>
    </w:p>
    <w:p w14:paraId="6C036E54" w14:textId="5F9A435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Tuberculosis is a disease that spreads from person to person through the air and is mediated by the pathogen </w:t>
      </w:r>
      <w:r w:rsidRPr="00051E6C">
        <w:rPr>
          <w:rFonts w:ascii="Book Antiqua" w:hAnsi="Book Antiqua" w:cs="Times New Roman"/>
          <w:i/>
          <w:sz w:val="24"/>
          <w:szCs w:val="24"/>
        </w:rPr>
        <w:t>Mycobacterium tuberculosis</w:t>
      </w:r>
      <w:r w:rsidRPr="00051E6C">
        <w:rPr>
          <w:rFonts w:ascii="Book Antiqua" w:hAnsi="Book Antiqua" w:cs="Times New Roman"/>
          <w:i/>
          <w:sz w:val="24"/>
          <w:szCs w:val="24"/>
          <w:lang w:eastAsia="zh-CN"/>
        </w:rPr>
        <w:t xml:space="preserve"> </w:t>
      </w:r>
      <w:r w:rsidRPr="00051E6C">
        <w:rPr>
          <w:rFonts w:ascii="Book Antiqua" w:hAnsi="Book Antiqua" w:cs="Times New Roman"/>
          <w:sz w:val="24"/>
          <w:szCs w:val="24"/>
        </w:rPr>
        <w:t xml:space="preserve">(MTB). The tuberculosis bacillus was discovered in 1882 and has been the subject of extensive research since then. There is still much to be learned about the nature of this organism, its virulent properties, and its response to host defenses. TB affects the lungs mainly, but can also have other target organs such as brain, spine and the kidneys. When a person with </w:t>
      </w:r>
      <w:r w:rsidR="00CA07A1" w:rsidRPr="00051E6C">
        <w:rPr>
          <w:rFonts w:ascii="Book Antiqua" w:hAnsi="Book Antiqua" w:cs="Times New Roman"/>
          <w:sz w:val="24"/>
          <w:szCs w:val="24"/>
        </w:rPr>
        <w:t>TB infection</w:t>
      </w:r>
      <w:r w:rsidRPr="00051E6C">
        <w:rPr>
          <w:rFonts w:ascii="Book Antiqua" w:hAnsi="Book Antiqua" w:cs="Times New Roman"/>
          <w:sz w:val="24"/>
          <w:szCs w:val="24"/>
        </w:rPr>
        <w:t xml:space="preserve"> coughs or sneezes, droplets containing </w:t>
      </w:r>
      <w:r w:rsidR="00051E6C" w:rsidRPr="00051E6C">
        <w:rPr>
          <w:rFonts w:ascii="Book Antiqua" w:hAnsi="Book Antiqua" w:cs="Times New Roman"/>
          <w:sz w:val="24"/>
          <w:szCs w:val="24"/>
        </w:rPr>
        <w:t>MTB</w:t>
      </w:r>
      <w:r w:rsidRPr="00051E6C">
        <w:rPr>
          <w:rFonts w:ascii="Book Antiqua" w:hAnsi="Book Antiqua" w:cs="Times New Roman"/>
          <w:sz w:val="24"/>
          <w:szCs w:val="24"/>
        </w:rPr>
        <w:t xml:space="preserve"> are released into the air and when</w:t>
      </w:r>
      <w:r w:rsidR="00CA07A1" w:rsidRPr="00051E6C">
        <w:rPr>
          <w:rFonts w:ascii="Book Antiqua" w:hAnsi="Book Antiqua" w:cs="Times New Roman"/>
          <w:sz w:val="24"/>
          <w:szCs w:val="24"/>
        </w:rPr>
        <w:t xml:space="preserve"> another person breathes in the</w:t>
      </w:r>
      <w:r w:rsidRPr="00051E6C">
        <w:rPr>
          <w:rFonts w:ascii="Book Antiqua" w:hAnsi="Book Antiqua" w:cs="Times New Roman"/>
          <w:sz w:val="24"/>
          <w:szCs w:val="24"/>
        </w:rPr>
        <w:t xml:space="preserve"> infected droplet</w:t>
      </w:r>
      <w:r w:rsidR="00CA07A1" w:rsidRPr="00051E6C">
        <w:rPr>
          <w:rFonts w:ascii="Book Antiqua" w:hAnsi="Book Antiqua" w:cs="Times New Roman"/>
          <w:sz w:val="24"/>
          <w:szCs w:val="24"/>
        </w:rPr>
        <w:t>s</w:t>
      </w:r>
      <w:r w:rsidRPr="00051E6C">
        <w:rPr>
          <w:rFonts w:ascii="Book Antiqua" w:hAnsi="Book Antiqua" w:cs="Times New Roman"/>
          <w:sz w:val="24"/>
          <w:szCs w:val="24"/>
        </w:rPr>
        <w:t xml:space="preserve">, </w:t>
      </w:r>
      <w:r w:rsidR="00CA07A1" w:rsidRPr="00051E6C">
        <w:rPr>
          <w:rFonts w:ascii="Book Antiqua" w:hAnsi="Book Antiqua" w:cs="Times New Roman"/>
          <w:sz w:val="24"/>
          <w:szCs w:val="24"/>
        </w:rPr>
        <w:t>they</w:t>
      </w:r>
      <w:r w:rsidRPr="00051E6C">
        <w:rPr>
          <w:rFonts w:ascii="Book Antiqua" w:hAnsi="Book Antiqua" w:cs="Times New Roman"/>
          <w:sz w:val="24"/>
          <w:szCs w:val="24"/>
        </w:rPr>
        <w:t xml:space="preserve"> </w:t>
      </w:r>
      <w:r w:rsidR="00476737" w:rsidRPr="00051E6C">
        <w:rPr>
          <w:rFonts w:ascii="Book Antiqua" w:hAnsi="Book Antiqua" w:cs="Times New Roman"/>
          <w:sz w:val="24"/>
          <w:szCs w:val="24"/>
        </w:rPr>
        <w:t>can</w:t>
      </w:r>
      <w:r w:rsidRPr="00051E6C">
        <w:rPr>
          <w:rFonts w:ascii="Book Antiqua" w:hAnsi="Book Antiqua" w:cs="Times New Roman"/>
          <w:sz w:val="24"/>
          <w:szCs w:val="24"/>
        </w:rPr>
        <w:t xml:space="preserve"> </w:t>
      </w:r>
      <w:r w:rsidR="00476737" w:rsidRPr="00051E6C">
        <w:rPr>
          <w:rFonts w:ascii="Book Antiqua" w:hAnsi="Book Antiqua" w:cs="Times New Roman"/>
          <w:sz w:val="24"/>
          <w:szCs w:val="24"/>
        </w:rPr>
        <w:t>be</w:t>
      </w:r>
      <w:r w:rsidRPr="00051E6C">
        <w:rPr>
          <w:rFonts w:ascii="Book Antiqua" w:hAnsi="Book Antiqua" w:cs="Times New Roman"/>
          <w:sz w:val="24"/>
          <w:szCs w:val="24"/>
        </w:rPr>
        <w:t xml:space="preserve"> infected. However, not everyone infected with TB bacteria becomes sick. There are two TB-related conditions that exist: latent TB (LTB) infection and active TB disease. </w:t>
      </w:r>
      <w:r w:rsidR="00CA07A1" w:rsidRPr="00051E6C">
        <w:rPr>
          <w:rFonts w:ascii="Book Antiqua" w:hAnsi="Book Antiqua" w:cs="Times New Roman"/>
          <w:sz w:val="24"/>
          <w:szCs w:val="24"/>
        </w:rPr>
        <w:t>Those that have</w:t>
      </w:r>
      <w:r w:rsidRPr="00051E6C">
        <w:rPr>
          <w:rFonts w:ascii="Book Antiqua" w:hAnsi="Book Antiqua" w:cs="Times New Roman"/>
          <w:sz w:val="24"/>
          <w:szCs w:val="24"/>
        </w:rPr>
        <w:t xml:space="preserve"> latent TB infection do not feel sick or do not present with any symptoms. In LTB cases, even though they are infected with the mycobacterial pathogen, they do not have active TB disease. Overall, it has been shown that</w:t>
      </w:r>
      <w:r w:rsidRPr="00051E6C">
        <w:rPr>
          <w:rFonts w:ascii="Book Antiqua" w:hAnsi="Book Antiqua" w:cs="Times New Roman"/>
          <w:b/>
          <w:sz w:val="24"/>
          <w:szCs w:val="24"/>
        </w:rPr>
        <w:t xml:space="preserve"> </w:t>
      </w:r>
      <w:r w:rsidRPr="00051E6C">
        <w:rPr>
          <w:rFonts w:ascii="Book Antiqua" w:hAnsi="Book Antiqua" w:cs="Times New Roman"/>
          <w:sz w:val="24"/>
          <w:szCs w:val="24"/>
        </w:rPr>
        <w:t>about</w:t>
      </w:r>
      <w:r w:rsidRPr="00051E6C">
        <w:rPr>
          <w:rFonts w:ascii="Book Antiqua" w:hAnsi="Book Antiqua" w:cs="Times New Roman"/>
          <w:b/>
          <w:sz w:val="24"/>
          <w:szCs w:val="24"/>
        </w:rPr>
        <w:t xml:space="preserve"> </w:t>
      </w:r>
      <w:r w:rsidRPr="00051E6C">
        <w:rPr>
          <w:rFonts w:ascii="Book Antiqua" w:hAnsi="Book Antiqua" w:cs="Times New Roman"/>
          <w:sz w:val="24"/>
          <w:szCs w:val="24"/>
        </w:rPr>
        <w:t>90%</w:t>
      </w:r>
      <w:r w:rsidRPr="00051E6C">
        <w:rPr>
          <w:rFonts w:ascii="Book Antiqua" w:hAnsi="Book Antiqua" w:cs="Times New Roman"/>
          <w:b/>
          <w:sz w:val="24"/>
          <w:szCs w:val="24"/>
        </w:rPr>
        <w:t xml:space="preserve"> </w:t>
      </w:r>
      <w:r w:rsidRPr="00051E6C">
        <w:rPr>
          <w:rFonts w:ascii="Book Antiqua" w:hAnsi="Book Antiqua" w:cs="Times New Roman"/>
          <w:sz w:val="24"/>
          <w:szCs w:val="24"/>
        </w:rPr>
        <w:t>of the people infected with MTB will have LTB infection and 10% will eventually go on to have full-blown active TB at a later stage in their life</w:t>
      </w:r>
      <w:r w:rsidRPr="00051E6C">
        <w:rPr>
          <w:rFonts w:ascii="Book Antiqua" w:hAnsi="Book Antiqua" w:cs="Times New Roman"/>
          <w:noProof/>
          <w:sz w:val="24"/>
          <w:szCs w:val="24"/>
          <w:vertAlign w:val="superscript"/>
        </w:rPr>
        <w:t>[5]</w:t>
      </w:r>
      <w:r w:rsidRPr="00051E6C">
        <w:rPr>
          <w:rFonts w:ascii="Book Antiqua" w:hAnsi="Book Antiqua" w:cs="Times New Roman"/>
          <w:sz w:val="24"/>
          <w:szCs w:val="24"/>
        </w:rPr>
        <w:t xml:space="preserve">. </w:t>
      </w:r>
      <w:r w:rsidR="00CA07A1" w:rsidRPr="00051E6C">
        <w:rPr>
          <w:rFonts w:ascii="Book Antiqua" w:hAnsi="Book Antiqua" w:cs="Times New Roman"/>
          <w:sz w:val="24"/>
          <w:szCs w:val="24"/>
        </w:rPr>
        <w:t>Nearly 50%</w:t>
      </w:r>
      <w:r w:rsidRPr="00051E6C">
        <w:rPr>
          <w:rFonts w:ascii="Book Antiqua" w:hAnsi="Book Antiqua" w:cs="Times New Roman"/>
          <w:sz w:val="24"/>
          <w:szCs w:val="24"/>
        </w:rPr>
        <w:t xml:space="preserve"> of those who develop TB do so within the first two years of infection. </w:t>
      </w:r>
      <w:r w:rsidR="00CA07A1" w:rsidRPr="00051E6C">
        <w:rPr>
          <w:rFonts w:ascii="Book Antiqua" w:hAnsi="Book Antiqua" w:cs="Times New Roman"/>
          <w:sz w:val="24"/>
          <w:szCs w:val="24"/>
        </w:rPr>
        <w:t>This rate is even higher in immunocompromised individuals</w:t>
      </w:r>
      <w:r w:rsidR="00476737" w:rsidRPr="00051E6C">
        <w:rPr>
          <w:rFonts w:ascii="Book Antiqua" w:hAnsi="Book Antiqua" w:cs="Times New Roman"/>
          <w:sz w:val="24"/>
          <w:szCs w:val="24"/>
        </w:rPr>
        <w:t xml:space="preserve">, </w:t>
      </w:r>
      <w:r w:rsidR="00CA07A1" w:rsidRPr="00051E6C">
        <w:rPr>
          <w:rFonts w:ascii="Book Antiqua" w:hAnsi="Book Antiqua" w:cs="Times New Roman"/>
          <w:sz w:val="24"/>
          <w:szCs w:val="24"/>
        </w:rPr>
        <w:t xml:space="preserve">such as </w:t>
      </w:r>
      <w:r w:rsidRPr="00051E6C">
        <w:rPr>
          <w:rFonts w:ascii="Book Antiqua" w:hAnsi="Book Antiqua" w:cs="Times New Roman"/>
          <w:sz w:val="24"/>
          <w:szCs w:val="24"/>
        </w:rPr>
        <w:t xml:space="preserve">those with HIV infection, </w:t>
      </w:r>
      <w:r w:rsidR="00CA07A1" w:rsidRPr="00051E6C">
        <w:rPr>
          <w:rFonts w:ascii="Book Antiqua" w:hAnsi="Book Antiqua" w:cs="Times New Roman"/>
          <w:sz w:val="24"/>
          <w:szCs w:val="24"/>
        </w:rPr>
        <w:t xml:space="preserve">where </w:t>
      </w:r>
      <w:r w:rsidRPr="00051E6C">
        <w:rPr>
          <w:rFonts w:ascii="Book Antiqua" w:hAnsi="Book Antiqua" w:cs="Times New Roman"/>
          <w:sz w:val="24"/>
          <w:szCs w:val="24"/>
        </w:rPr>
        <w:t xml:space="preserve">the risk of developing TB </w:t>
      </w:r>
      <w:r w:rsidR="00CA07A1" w:rsidRPr="00051E6C">
        <w:rPr>
          <w:rFonts w:ascii="Book Antiqua" w:hAnsi="Book Antiqua" w:cs="Times New Roman"/>
          <w:sz w:val="24"/>
          <w:szCs w:val="24"/>
        </w:rPr>
        <w:t xml:space="preserve">from </w:t>
      </w:r>
      <w:r w:rsidRPr="00051E6C">
        <w:rPr>
          <w:rFonts w:ascii="Book Antiqua" w:hAnsi="Book Antiqua" w:cs="Times New Roman"/>
          <w:sz w:val="24"/>
          <w:szCs w:val="24"/>
        </w:rPr>
        <w:t xml:space="preserve">LTB activation is </w:t>
      </w:r>
      <w:r w:rsidR="00CA07A1" w:rsidRPr="00051E6C">
        <w:rPr>
          <w:rFonts w:ascii="Book Antiqua" w:hAnsi="Book Antiqua" w:cs="Times New Roman"/>
          <w:sz w:val="24"/>
          <w:szCs w:val="24"/>
        </w:rPr>
        <w:t xml:space="preserve">significantly </w:t>
      </w:r>
      <w:r w:rsidRPr="00051E6C">
        <w:rPr>
          <w:rFonts w:ascii="Book Antiqua" w:hAnsi="Book Antiqua" w:cs="Times New Roman"/>
          <w:sz w:val="24"/>
          <w:szCs w:val="24"/>
        </w:rPr>
        <w:t xml:space="preserve">higher. Also of </w:t>
      </w:r>
      <w:r w:rsidR="00CA07A1" w:rsidRPr="00051E6C">
        <w:rPr>
          <w:rFonts w:ascii="Book Antiqua" w:hAnsi="Book Antiqua" w:cs="Times New Roman"/>
          <w:sz w:val="24"/>
          <w:szCs w:val="24"/>
        </w:rPr>
        <w:t>particular</w:t>
      </w:r>
      <w:r w:rsidRPr="00051E6C">
        <w:rPr>
          <w:rFonts w:ascii="Book Antiqua" w:hAnsi="Book Antiqua" w:cs="Times New Roman"/>
          <w:sz w:val="24"/>
          <w:szCs w:val="24"/>
        </w:rPr>
        <w:t xml:space="preserve"> concern are those infected </w:t>
      </w:r>
      <w:r w:rsidR="00CA07A1" w:rsidRPr="00051E6C">
        <w:rPr>
          <w:rFonts w:ascii="Book Antiqua" w:hAnsi="Book Antiqua" w:cs="Times New Roman"/>
          <w:sz w:val="24"/>
          <w:szCs w:val="24"/>
        </w:rPr>
        <w:t>with</w:t>
      </w:r>
      <w:r w:rsidRPr="00051E6C">
        <w:rPr>
          <w:rFonts w:ascii="Book Antiqua" w:hAnsi="Book Antiqua" w:cs="Times New Roman"/>
          <w:sz w:val="24"/>
          <w:szCs w:val="24"/>
        </w:rPr>
        <w:t xml:space="preserve"> drug-resistant TB (XDR TB)</w:t>
      </w:r>
      <w:r w:rsidRPr="00051E6C">
        <w:rPr>
          <w:rFonts w:ascii="Book Antiqua" w:hAnsi="Book Antiqua" w:cs="Times New Roman"/>
          <w:noProof/>
          <w:sz w:val="24"/>
          <w:szCs w:val="24"/>
          <w:vertAlign w:val="superscript"/>
        </w:rPr>
        <w:t>[3]</w:t>
      </w:r>
      <w:proofErr w:type="gramStart"/>
      <w:r w:rsidRPr="00051E6C">
        <w:rPr>
          <w:rFonts w:ascii="Book Antiqua" w:hAnsi="Book Antiqua" w:cs="Times New Roman"/>
          <w:sz w:val="24"/>
          <w:szCs w:val="24"/>
        </w:rPr>
        <w:t>.</w:t>
      </w:r>
      <w:proofErr w:type="gramEnd"/>
    </w:p>
    <w:p w14:paraId="5AAC7424" w14:textId="7777777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Thus, this ancient human adversary continues to be a challenge in all aspects of medical care, from prevention to diagnosis and therapy. </w:t>
      </w:r>
    </w:p>
    <w:p w14:paraId="24F06B03" w14:textId="77777777" w:rsidR="00CD4266" w:rsidRPr="00051E6C" w:rsidRDefault="00CD4266" w:rsidP="00051E6C">
      <w:pPr>
        <w:spacing w:after="0" w:line="360" w:lineRule="auto"/>
        <w:jc w:val="both"/>
        <w:rPr>
          <w:rFonts w:ascii="Book Antiqua" w:hAnsi="Book Antiqua" w:cs="Times New Roman"/>
          <w:b/>
          <w:sz w:val="24"/>
          <w:szCs w:val="24"/>
        </w:rPr>
      </w:pPr>
    </w:p>
    <w:p w14:paraId="36461514" w14:textId="77777777" w:rsidR="00CD4266" w:rsidRPr="00051E6C" w:rsidRDefault="00CD4266" w:rsidP="00051E6C">
      <w:pPr>
        <w:spacing w:after="0" w:line="360" w:lineRule="auto"/>
        <w:jc w:val="both"/>
        <w:rPr>
          <w:rFonts w:ascii="Book Antiqua" w:hAnsi="Book Antiqua" w:cs="Times New Roman"/>
          <w:b/>
          <w:sz w:val="24"/>
          <w:szCs w:val="24"/>
          <w:lang w:eastAsia="zh-CN"/>
        </w:rPr>
      </w:pPr>
      <w:r w:rsidRPr="00051E6C">
        <w:rPr>
          <w:rFonts w:ascii="Book Antiqua" w:hAnsi="Book Antiqua" w:cs="Times New Roman"/>
          <w:b/>
          <w:sz w:val="24"/>
          <w:szCs w:val="24"/>
        </w:rPr>
        <w:t>NEED FOR IMPROVED DIAGNOSTIC AND THERAPEUTIC METHODS FOR LTB</w:t>
      </w:r>
    </w:p>
    <w:p w14:paraId="39A36294" w14:textId="6D507BB1"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Currently, there are no tests available to directly detect </w:t>
      </w:r>
      <w:r w:rsidRPr="00051E6C">
        <w:rPr>
          <w:rFonts w:ascii="Book Antiqua" w:hAnsi="Book Antiqua" w:cs="Times New Roman"/>
          <w:i/>
          <w:sz w:val="24"/>
          <w:szCs w:val="24"/>
        </w:rPr>
        <w:t>in vivo</w:t>
      </w:r>
      <w:r w:rsidRPr="00051E6C">
        <w:rPr>
          <w:rFonts w:ascii="Book Antiqua" w:hAnsi="Book Antiqua" w:cs="Times New Roman"/>
          <w:sz w:val="24"/>
          <w:szCs w:val="24"/>
        </w:rPr>
        <w:t xml:space="preserve"> the presence of latent MTB in an affected individual and assessment of latent infection involves an imperfect approach of measuring the host immune response to mycobacterial </w:t>
      </w:r>
      <w:proofErr w:type="gramStart"/>
      <w:r w:rsidRPr="00051E6C">
        <w:rPr>
          <w:rFonts w:ascii="Book Antiqua" w:hAnsi="Book Antiqua" w:cs="Times New Roman"/>
          <w:sz w:val="24"/>
          <w:szCs w:val="24"/>
        </w:rPr>
        <w:t>infection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w:t>
      </w:r>
      <w:r w:rsidRPr="00051E6C">
        <w:rPr>
          <w:rFonts w:ascii="Book Antiqua" w:hAnsi="Book Antiqua" w:cs="Times New Roman"/>
          <w:sz w:val="24"/>
          <w:szCs w:val="24"/>
        </w:rPr>
        <w:t xml:space="preserve">. On the contrary, active </w:t>
      </w:r>
      <w:r w:rsidR="00476737" w:rsidRPr="00051E6C">
        <w:rPr>
          <w:rFonts w:ascii="Book Antiqua" w:hAnsi="Book Antiqua" w:cs="Times New Roman"/>
          <w:sz w:val="24"/>
          <w:szCs w:val="24"/>
        </w:rPr>
        <w:t>TB</w:t>
      </w:r>
      <w:r w:rsidRPr="00051E6C">
        <w:rPr>
          <w:rFonts w:ascii="Book Antiqua" w:hAnsi="Book Antiqua" w:cs="Times New Roman"/>
          <w:sz w:val="24"/>
          <w:szCs w:val="24"/>
        </w:rPr>
        <w:t xml:space="preserve"> infection is diagnosed by </w:t>
      </w:r>
      <w:r w:rsidR="00CA07A1" w:rsidRPr="00051E6C">
        <w:rPr>
          <w:rFonts w:ascii="Book Antiqua" w:hAnsi="Book Antiqua" w:cs="Times New Roman"/>
          <w:sz w:val="24"/>
          <w:szCs w:val="24"/>
        </w:rPr>
        <w:t>detecting</w:t>
      </w:r>
      <w:r w:rsidRPr="00051E6C">
        <w:rPr>
          <w:rFonts w:ascii="Book Antiqua" w:hAnsi="Book Antiqua" w:cs="Times New Roman"/>
          <w:sz w:val="24"/>
          <w:szCs w:val="24"/>
        </w:rPr>
        <w:t xml:space="preserve"> MTB bacteria in clinical </w:t>
      </w:r>
      <w:r w:rsidR="00CA07A1" w:rsidRPr="00051E6C">
        <w:rPr>
          <w:rFonts w:ascii="Book Antiqua" w:hAnsi="Book Antiqua" w:cs="Times New Roman"/>
          <w:sz w:val="24"/>
          <w:szCs w:val="24"/>
        </w:rPr>
        <w:t>samples</w:t>
      </w:r>
      <w:r w:rsidRPr="00051E6C">
        <w:rPr>
          <w:rFonts w:ascii="Book Antiqua" w:hAnsi="Book Antiqua" w:cs="Times New Roman"/>
          <w:sz w:val="24"/>
          <w:szCs w:val="24"/>
        </w:rPr>
        <w:t xml:space="preserve"> taken from patient</w:t>
      </w:r>
      <w:r w:rsidR="00CA07A1" w:rsidRPr="00051E6C">
        <w:rPr>
          <w:rFonts w:ascii="Book Antiqua" w:hAnsi="Book Antiqua" w:cs="Times New Roman"/>
          <w:sz w:val="24"/>
          <w:szCs w:val="24"/>
        </w:rPr>
        <w:t>s</w:t>
      </w:r>
      <w:r w:rsidRPr="00051E6C">
        <w:rPr>
          <w:rFonts w:ascii="Book Antiqua" w:hAnsi="Book Antiqua" w:cs="Times New Roman"/>
          <w:sz w:val="24"/>
          <w:szCs w:val="24"/>
        </w:rPr>
        <w:t xml:space="preserve">. A </w:t>
      </w:r>
      <w:r w:rsidR="00CA07A1" w:rsidRPr="00051E6C">
        <w:rPr>
          <w:rFonts w:ascii="Book Antiqua" w:hAnsi="Book Antiqua" w:cs="Times New Roman"/>
          <w:sz w:val="24"/>
          <w:szCs w:val="24"/>
        </w:rPr>
        <w:t>positive</w:t>
      </w:r>
      <w:r w:rsidRPr="00051E6C">
        <w:rPr>
          <w:rFonts w:ascii="Book Antiqua" w:hAnsi="Book Antiqua" w:cs="Times New Roman"/>
          <w:sz w:val="24"/>
          <w:szCs w:val="24"/>
        </w:rPr>
        <w:t xml:space="preserve"> </w:t>
      </w:r>
      <w:r w:rsidR="00CA07A1" w:rsidRPr="00051E6C">
        <w:rPr>
          <w:rFonts w:ascii="Book Antiqua" w:hAnsi="Book Antiqua" w:cs="Times New Roman"/>
          <w:sz w:val="24"/>
          <w:szCs w:val="24"/>
        </w:rPr>
        <w:t xml:space="preserve">diagnosis </w:t>
      </w:r>
      <w:r w:rsidRPr="00051E6C">
        <w:rPr>
          <w:rFonts w:ascii="Book Antiqua" w:hAnsi="Book Antiqua" w:cs="Times New Roman"/>
          <w:sz w:val="24"/>
          <w:szCs w:val="24"/>
        </w:rPr>
        <w:t>can be made only by culturing MTB from the specimen, even though the results from this may take four to eight weeks for conclusive answer</w:t>
      </w:r>
      <w:r w:rsidR="00476737" w:rsidRPr="00051E6C">
        <w:rPr>
          <w:rFonts w:ascii="Book Antiqua" w:hAnsi="Book Antiqua" w:cs="Times New Roman"/>
          <w:sz w:val="24"/>
          <w:szCs w:val="24"/>
        </w:rPr>
        <w:t>s</w:t>
      </w:r>
      <w:r w:rsidRPr="00051E6C">
        <w:rPr>
          <w:rFonts w:ascii="Book Antiqua" w:hAnsi="Book Antiqua" w:cs="Times New Roman"/>
          <w:sz w:val="24"/>
          <w:szCs w:val="24"/>
        </w:rPr>
        <w:t>. Other methods for</w:t>
      </w:r>
      <w:r w:rsidR="00CA07A1" w:rsidRPr="00051E6C">
        <w:rPr>
          <w:rFonts w:ascii="Book Antiqua" w:hAnsi="Book Antiqua" w:cs="Times New Roman"/>
          <w:sz w:val="24"/>
          <w:szCs w:val="24"/>
        </w:rPr>
        <w:t xml:space="preserve"> diagnosing</w:t>
      </w:r>
      <w:r w:rsidRPr="00051E6C">
        <w:rPr>
          <w:rFonts w:ascii="Book Antiqua" w:hAnsi="Book Antiqua" w:cs="Times New Roman"/>
          <w:sz w:val="24"/>
          <w:szCs w:val="24"/>
        </w:rPr>
        <w:t xml:space="preserve"> TB include chest </w:t>
      </w:r>
      <w:r w:rsidR="000400A2" w:rsidRPr="00051E6C">
        <w:rPr>
          <w:rFonts w:ascii="Book Antiqua" w:hAnsi="Book Antiqua" w:cs="Times New Roman"/>
          <w:sz w:val="24"/>
          <w:szCs w:val="24"/>
        </w:rPr>
        <w:t>X</w:t>
      </w:r>
      <w:r w:rsidRPr="00051E6C">
        <w:rPr>
          <w:rFonts w:ascii="Book Antiqua" w:hAnsi="Book Antiqua" w:cs="Times New Roman"/>
          <w:sz w:val="24"/>
          <w:szCs w:val="24"/>
        </w:rPr>
        <w:t xml:space="preserve">-rays, patient sputum smear microscopy, polymerase chain reaction (PCR) testing, immunological memory-based tests including the less specific purified protein derivative (PPD/tuberculin) skin test and more specific IFN-γ release assays (IGRA), phage amplification assays, solid and automated liquid cultures, as well as several tests for antibiotic resistance. These tests can only strongly suggest the presence of active tuberculosis or LTB as a diagnosis but they cannot confirm the presence of the bacteria in the body. </w:t>
      </w:r>
      <w:r w:rsidR="00CA07A1" w:rsidRPr="00051E6C">
        <w:rPr>
          <w:rFonts w:ascii="Book Antiqua" w:hAnsi="Book Antiqua" w:cs="Times New Roman"/>
          <w:sz w:val="24"/>
          <w:szCs w:val="24"/>
        </w:rPr>
        <w:t>R</w:t>
      </w:r>
      <w:r w:rsidRPr="00051E6C">
        <w:rPr>
          <w:rFonts w:ascii="Book Antiqua" w:hAnsi="Book Antiqua" w:cs="Times New Roman"/>
          <w:sz w:val="24"/>
          <w:szCs w:val="24"/>
        </w:rPr>
        <w:t xml:space="preserve">eliable and rapid diagnosis of latent TB is a major challenge in </w:t>
      </w:r>
      <w:r w:rsidR="00476737" w:rsidRPr="00051E6C">
        <w:rPr>
          <w:rFonts w:ascii="Book Antiqua" w:hAnsi="Book Antiqua" w:cs="Times New Roman"/>
          <w:sz w:val="24"/>
          <w:szCs w:val="24"/>
        </w:rPr>
        <w:t>low socioeconomic areas</w:t>
      </w:r>
      <w:r w:rsidRPr="00051E6C">
        <w:rPr>
          <w:rFonts w:ascii="Book Antiqua" w:hAnsi="Book Antiqua" w:cs="Times New Roman"/>
          <w:sz w:val="24"/>
          <w:szCs w:val="24"/>
        </w:rPr>
        <w:t xml:space="preserve">, and even in parts of developed countries, especially in areas where immunodeficiency diseases like AIDS are more endemic. In many cases, patients have to undergo time-consuming multiple testing before reaching an apparent diagnosis. This testing deficiency can be especially critical when trying to identify high-risk individuals for prophylactic regimen, and also for identifying and managing extrapulmonary TB sites in HIV co-infected </w:t>
      </w:r>
      <w:proofErr w:type="gramStart"/>
      <w:r w:rsidRPr="00051E6C">
        <w:rPr>
          <w:rFonts w:ascii="Book Antiqua" w:hAnsi="Book Antiqua" w:cs="Times New Roman"/>
          <w:sz w:val="24"/>
          <w:szCs w:val="24"/>
        </w:rPr>
        <w:t>patients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w:t>
      </w:r>
      <w:r w:rsidRPr="00051E6C">
        <w:rPr>
          <w:rFonts w:ascii="Book Antiqua" w:hAnsi="Book Antiqua" w:cs="Times New Roman"/>
          <w:sz w:val="24"/>
          <w:szCs w:val="24"/>
        </w:rPr>
        <w:t xml:space="preserve">. </w:t>
      </w:r>
    </w:p>
    <w:p w14:paraId="4C099817" w14:textId="5A537394" w:rsidR="00CD4266" w:rsidRPr="00051E6C" w:rsidRDefault="00CA07A1"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Treatment for a</w:t>
      </w:r>
      <w:r w:rsidR="00CD4266" w:rsidRPr="00051E6C">
        <w:rPr>
          <w:rFonts w:ascii="Book Antiqua" w:hAnsi="Book Antiqua" w:cs="Times New Roman"/>
          <w:sz w:val="24"/>
          <w:szCs w:val="24"/>
        </w:rPr>
        <w:t xml:space="preserve">ctive TB cases </w:t>
      </w:r>
      <w:r w:rsidRPr="00051E6C">
        <w:rPr>
          <w:rFonts w:ascii="Book Antiqua" w:hAnsi="Book Antiqua" w:cs="Times New Roman"/>
          <w:sz w:val="24"/>
          <w:szCs w:val="24"/>
        </w:rPr>
        <w:t>consists of</w:t>
      </w:r>
      <w:r w:rsidR="00CD4266" w:rsidRPr="00051E6C">
        <w:rPr>
          <w:rFonts w:ascii="Book Antiqua" w:hAnsi="Book Antiqua" w:cs="Times New Roman"/>
          <w:sz w:val="24"/>
          <w:szCs w:val="24"/>
        </w:rPr>
        <w:t xml:space="preserve"> a combination of four first-line antibiotics for </w:t>
      </w:r>
      <w:r w:rsidRPr="00051E6C">
        <w:rPr>
          <w:rFonts w:ascii="Book Antiqua" w:hAnsi="Book Antiqua" w:cs="Times New Roman"/>
          <w:sz w:val="24"/>
          <w:szCs w:val="24"/>
        </w:rPr>
        <w:t xml:space="preserve">a period of </w:t>
      </w:r>
      <w:r w:rsidR="00CD4266" w:rsidRPr="00051E6C">
        <w:rPr>
          <w:rFonts w:ascii="Book Antiqua" w:hAnsi="Book Antiqua" w:cs="Times New Roman"/>
          <w:sz w:val="24"/>
          <w:szCs w:val="24"/>
        </w:rPr>
        <w:t xml:space="preserve">two months, followed by two drugs for </w:t>
      </w:r>
      <w:r w:rsidRPr="00051E6C">
        <w:rPr>
          <w:rFonts w:ascii="Book Antiqua" w:hAnsi="Book Antiqua" w:cs="Times New Roman"/>
          <w:sz w:val="24"/>
          <w:szCs w:val="24"/>
        </w:rPr>
        <w:t xml:space="preserve">another </w:t>
      </w:r>
      <w:r w:rsidR="00CD4266" w:rsidRPr="00051E6C">
        <w:rPr>
          <w:rFonts w:ascii="Book Antiqua" w:hAnsi="Book Antiqua" w:cs="Times New Roman"/>
          <w:sz w:val="24"/>
          <w:szCs w:val="24"/>
        </w:rPr>
        <w:t xml:space="preserve">four </w:t>
      </w:r>
      <w:proofErr w:type="gramStart"/>
      <w:r w:rsidR="00CD4266" w:rsidRPr="00051E6C">
        <w:rPr>
          <w:rFonts w:ascii="Book Antiqua" w:hAnsi="Book Antiqua" w:cs="Times New Roman"/>
          <w:sz w:val="24"/>
          <w:szCs w:val="24"/>
        </w:rPr>
        <w:t>months</w:t>
      </w:r>
      <w:r w:rsidR="00CD4266" w:rsidRPr="00051E6C">
        <w:rPr>
          <w:rFonts w:ascii="Book Antiqua" w:hAnsi="Book Antiqua" w:cs="Times New Roman"/>
          <w:noProof/>
          <w:sz w:val="24"/>
          <w:szCs w:val="24"/>
          <w:vertAlign w:val="superscript"/>
        </w:rPr>
        <w:t>[</w:t>
      </w:r>
      <w:proofErr w:type="gramEnd"/>
      <w:r w:rsidR="00CD4266" w:rsidRPr="00051E6C">
        <w:rPr>
          <w:rFonts w:ascii="Book Antiqua" w:hAnsi="Book Antiqua" w:cs="Times New Roman"/>
          <w:noProof/>
          <w:sz w:val="24"/>
          <w:szCs w:val="24"/>
          <w:vertAlign w:val="superscript"/>
        </w:rPr>
        <w:t>7]</w:t>
      </w:r>
      <w:r w:rsidR="00CD4266" w:rsidRPr="00051E6C">
        <w:rPr>
          <w:rFonts w:ascii="Book Antiqua" w:hAnsi="Book Antiqua" w:cs="Times New Roman"/>
          <w:sz w:val="24"/>
          <w:szCs w:val="24"/>
        </w:rPr>
        <w:t xml:space="preserve">. </w:t>
      </w:r>
      <w:r w:rsidRPr="00051E6C">
        <w:rPr>
          <w:rFonts w:ascii="Book Antiqua" w:hAnsi="Book Antiqua" w:cs="Times New Roman"/>
          <w:sz w:val="24"/>
          <w:szCs w:val="24"/>
        </w:rPr>
        <w:t>F</w:t>
      </w:r>
      <w:r w:rsidR="00CD4266" w:rsidRPr="00051E6C">
        <w:rPr>
          <w:rFonts w:ascii="Book Antiqua" w:hAnsi="Book Antiqua" w:cs="Times New Roman"/>
          <w:sz w:val="24"/>
          <w:szCs w:val="24"/>
        </w:rPr>
        <w:t xml:space="preserve">irst line </w:t>
      </w:r>
      <w:r w:rsidRPr="00051E6C">
        <w:rPr>
          <w:rFonts w:ascii="Book Antiqua" w:hAnsi="Book Antiqua" w:cs="Times New Roman"/>
          <w:sz w:val="24"/>
          <w:szCs w:val="24"/>
        </w:rPr>
        <w:t xml:space="preserve">antibiotics consist of </w:t>
      </w:r>
      <w:r w:rsidR="00CD4266" w:rsidRPr="00051E6C">
        <w:rPr>
          <w:rFonts w:ascii="Book Antiqua" w:hAnsi="Book Antiqua" w:cs="Times New Roman"/>
          <w:sz w:val="24"/>
          <w:szCs w:val="24"/>
        </w:rPr>
        <w:t xml:space="preserve">rifampicin, isoniazid, pyrazinamide, and ethambutol. These drugs are effective mainly in actively dividing bacilli and its effectiveness in treating LTB, where the bacilli are dormant, has not yet been proven. The treatment of LTB is usually long term with the intent of sterilizing the non-replicative or slowly replicating </w:t>
      </w:r>
      <w:proofErr w:type="gramStart"/>
      <w:r w:rsidR="00CD4266" w:rsidRPr="00051E6C">
        <w:rPr>
          <w:rFonts w:ascii="Book Antiqua" w:hAnsi="Book Antiqua" w:cs="Times New Roman"/>
          <w:sz w:val="24"/>
          <w:szCs w:val="24"/>
        </w:rPr>
        <w:t>bacteria</w:t>
      </w:r>
      <w:r w:rsidR="00CD4266" w:rsidRPr="00051E6C">
        <w:rPr>
          <w:rFonts w:ascii="Book Antiqua" w:hAnsi="Book Antiqua" w:cs="Times New Roman"/>
          <w:noProof/>
          <w:sz w:val="24"/>
          <w:szCs w:val="24"/>
          <w:vertAlign w:val="superscript"/>
        </w:rPr>
        <w:t>[</w:t>
      </w:r>
      <w:proofErr w:type="gramEnd"/>
      <w:r w:rsidR="00CD4266" w:rsidRPr="00051E6C">
        <w:rPr>
          <w:rFonts w:ascii="Book Antiqua" w:hAnsi="Book Antiqua" w:cs="Times New Roman"/>
          <w:noProof/>
          <w:sz w:val="24"/>
          <w:szCs w:val="24"/>
          <w:vertAlign w:val="superscript"/>
        </w:rPr>
        <w:t>8]</w:t>
      </w:r>
      <w:r w:rsidR="00CD4266" w:rsidRPr="00051E6C">
        <w:rPr>
          <w:rFonts w:ascii="Book Antiqua" w:hAnsi="Book Antiqua" w:cs="Times New Roman"/>
          <w:sz w:val="24"/>
          <w:szCs w:val="24"/>
        </w:rPr>
        <w:t xml:space="preserve">. If the particular mycobacterial strain is resistant to the first line drugs, then treatment is escalated for up to 18 </w:t>
      </w:r>
      <w:proofErr w:type="gramStart"/>
      <w:r w:rsidR="00CD4266" w:rsidRPr="00051E6C">
        <w:rPr>
          <w:rFonts w:ascii="Book Antiqua" w:hAnsi="Book Antiqua" w:cs="Times New Roman"/>
          <w:sz w:val="24"/>
          <w:szCs w:val="24"/>
        </w:rPr>
        <w:t>mo</w:t>
      </w:r>
      <w:proofErr w:type="gramEnd"/>
      <w:r w:rsidR="00CD4266" w:rsidRPr="00051E6C">
        <w:rPr>
          <w:rFonts w:ascii="Book Antiqua" w:hAnsi="Book Antiqua" w:cs="Times New Roman"/>
          <w:sz w:val="24"/>
          <w:szCs w:val="24"/>
        </w:rPr>
        <w:t xml:space="preserve"> with five lines of available drugs. Surgery is also performed as a last resort if treatment fails due to drug resistance. Since the chemotherapy regimen for active and latent TB infections usually spans many months, poor patient compliance rates is a major issue contributing to the emergence of resistant </w:t>
      </w:r>
      <w:proofErr w:type="gramStart"/>
      <w:r w:rsidR="00CD4266" w:rsidRPr="00051E6C">
        <w:rPr>
          <w:rFonts w:ascii="Book Antiqua" w:hAnsi="Book Antiqua" w:cs="Times New Roman"/>
          <w:sz w:val="24"/>
          <w:szCs w:val="24"/>
        </w:rPr>
        <w:t>strains</w:t>
      </w:r>
      <w:r w:rsidR="00CD4266" w:rsidRPr="00051E6C">
        <w:rPr>
          <w:rFonts w:ascii="Book Antiqua" w:hAnsi="Book Antiqua" w:cs="Times New Roman"/>
          <w:noProof/>
          <w:sz w:val="24"/>
          <w:szCs w:val="24"/>
          <w:vertAlign w:val="superscript"/>
        </w:rPr>
        <w:t>[</w:t>
      </w:r>
      <w:proofErr w:type="gramEnd"/>
      <w:r w:rsidR="00CD4266" w:rsidRPr="00051E6C">
        <w:rPr>
          <w:rFonts w:ascii="Book Antiqua" w:hAnsi="Book Antiqua" w:cs="Times New Roman"/>
          <w:noProof/>
          <w:sz w:val="24"/>
          <w:szCs w:val="24"/>
          <w:vertAlign w:val="superscript"/>
        </w:rPr>
        <w:t>4]</w:t>
      </w:r>
      <w:r w:rsidR="00CD4266" w:rsidRPr="00051E6C">
        <w:rPr>
          <w:rFonts w:ascii="Book Antiqua" w:hAnsi="Book Antiqua" w:cs="Times New Roman"/>
          <w:sz w:val="24"/>
          <w:szCs w:val="24"/>
        </w:rPr>
        <w:t xml:space="preserve">. There is </w:t>
      </w:r>
      <w:r w:rsidRPr="00051E6C">
        <w:rPr>
          <w:rFonts w:ascii="Book Antiqua" w:hAnsi="Book Antiqua" w:cs="Times New Roman"/>
          <w:sz w:val="24"/>
          <w:szCs w:val="24"/>
        </w:rPr>
        <w:t>a pressing</w:t>
      </w:r>
      <w:r w:rsidR="00CD4266" w:rsidRPr="00051E6C">
        <w:rPr>
          <w:rFonts w:ascii="Book Antiqua" w:hAnsi="Book Antiqua" w:cs="Times New Roman"/>
          <w:sz w:val="24"/>
          <w:szCs w:val="24"/>
        </w:rPr>
        <w:t xml:space="preserve"> need for </w:t>
      </w:r>
      <w:r w:rsidRPr="00051E6C">
        <w:rPr>
          <w:rFonts w:ascii="Book Antiqua" w:hAnsi="Book Antiqua" w:cs="Times New Roman"/>
          <w:sz w:val="24"/>
          <w:szCs w:val="24"/>
        </w:rPr>
        <w:t>rapid and in</w:t>
      </w:r>
      <w:r w:rsidR="00CD4266" w:rsidRPr="00051E6C">
        <w:rPr>
          <w:rFonts w:ascii="Book Antiqua" w:hAnsi="Book Antiqua" w:cs="Times New Roman"/>
          <w:sz w:val="24"/>
          <w:szCs w:val="24"/>
        </w:rPr>
        <w:t>expensive tests to confirm latent TB cases in order to manage this global epidemic.</w:t>
      </w:r>
    </w:p>
    <w:p w14:paraId="271C7968" w14:textId="019E1C18"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Developing a direct MTB imaging screening tool for the asymptomatic population along with novel treatment strategies is vital to our fight against tuberculosis. This is especially true for high-risk categories with LTB such as </w:t>
      </w:r>
      <w:r w:rsidR="00CA07A1" w:rsidRPr="00051E6C">
        <w:rPr>
          <w:rFonts w:ascii="Book Antiqua" w:hAnsi="Book Antiqua" w:cs="Times New Roman"/>
          <w:sz w:val="24"/>
          <w:szCs w:val="24"/>
        </w:rPr>
        <w:t>drug users with</w:t>
      </w:r>
      <w:r w:rsidRPr="00051E6C">
        <w:rPr>
          <w:rFonts w:ascii="Book Antiqua" w:hAnsi="Book Antiqua" w:cs="Times New Roman"/>
          <w:sz w:val="24"/>
          <w:szCs w:val="24"/>
        </w:rPr>
        <w:t xml:space="preserve"> unsanitary needles, </w:t>
      </w:r>
      <w:r w:rsidR="00CA07A1" w:rsidRPr="00051E6C">
        <w:rPr>
          <w:rFonts w:ascii="Book Antiqua" w:hAnsi="Book Antiqua" w:cs="Times New Roman"/>
          <w:sz w:val="24"/>
          <w:szCs w:val="24"/>
        </w:rPr>
        <w:t xml:space="preserve">healthcare workers in high risk and </w:t>
      </w:r>
      <w:r w:rsidR="00476737" w:rsidRPr="00051E6C">
        <w:rPr>
          <w:rFonts w:ascii="Book Antiqua" w:hAnsi="Book Antiqua" w:cs="Times New Roman"/>
          <w:sz w:val="24"/>
          <w:szCs w:val="24"/>
        </w:rPr>
        <w:t xml:space="preserve">densely </w:t>
      </w:r>
      <w:r w:rsidR="00CA07A1" w:rsidRPr="00051E6C">
        <w:rPr>
          <w:rFonts w:ascii="Book Antiqua" w:hAnsi="Book Antiqua" w:cs="Times New Roman"/>
          <w:sz w:val="24"/>
          <w:szCs w:val="24"/>
        </w:rPr>
        <w:t>populated environments</w:t>
      </w:r>
      <w:r w:rsidRPr="00051E6C">
        <w:rPr>
          <w:rFonts w:ascii="Book Antiqua" w:hAnsi="Book Antiqua" w:cs="Times New Roman"/>
          <w:sz w:val="24"/>
          <w:szCs w:val="24"/>
        </w:rPr>
        <w:t xml:space="preserve">, </w:t>
      </w:r>
      <w:r w:rsidR="00CA07A1" w:rsidRPr="00051E6C">
        <w:rPr>
          <w:rFonts w:ascii="Book Antiqua" w:hAnsi="Book Antiqua" w:cs="Times New Roman"/>
          <w:sz w:val="24"/>
          <w:szCs w:val="24"/>
        </w:rPr>
        <w:t xml:space="preserve">the </w:t>
      </w:r>
      <w:r w:rsidRPr="00051E6C">
        <w:rPr>
          <w:rFonts w:ascii="Book Antiqua" w:hAnsi="Book Antiqua" w:cs="Times New Roman"/>
          <w:sz w:val="24"/>
          <w:szCs w:val="24"/>
        </w:rPr>
        <w:t xml:space="preserve">medically under-served </w:t>
      </w:r>
      <w:r w:rsidR="00CA07A1" w:rsidRPr="00051E6C">
        <w:rPr>
          <w:rFonts w:ascii="Book Antiqua" w:hAnsi="Book Antiqua" w:cs="Times New Roman"/>
          <w:sz w:val="24"/>
          <w:szCs w:val="24"/>
        </w:rPr>
        <w:t>poor and minority</w:t>
      </w:r>
      <w:r w:rsidRPr="00051E6C">
        <w:rPr>
          <w:rFonts w:ascii="Book Antiqua" w:hAnsi="Book Antiqua" w:cs="Times New Roman"/>
          <w:sz w:val="24"/>
          <w:szCs w:val="24"/>
        </w:rPr>
        <w:t xml:space="preserve"> populations, children exposed to </w:t>
      </w:r>
      <w:r w:rsidR="00CA07A1" w:rsidRPr="00051E6C">
        <w:rPr>
          <w:rFonts w:ascii="Book Antiqua" w:hAnsi="Book Antiqua" w:cs="Times New Roman"/>
          <w:sz w:val="24"/>
          <w:szCs w:val="24"/>
        </w:rPr>
        <w:t xml:space="preserve">high risk </w:t>
      </w:r>
      <w:r w:rsidRPr="00051E6C">
        <w:rPr>
          <w:rFonts w:ascii="Book Antiqua" w:hAnsi="Book Antiqua" w:cs="Times New Roman"/>
          <w:sz w:val="24"/>
          <w:szCs w:val="24"/>
        </w:rPr>
        <w:t xml:space="preserve">adults, immunocompromised </w:t>
      </w:r>
      <w:r w:rsidR="00CA07A1" w:rsidRPr="00051E6C">
        <w:rPr>
          <w:rFonts w:ascii="Book Antiqua" w:hAnsi="Book Antiqua" w:cs="Times New Roman"/>
          <w:sz w:val="24"/>
          <w:szCs w:val="24"/>
        </w:rPr>
        <w:t>patients and patients on</w:t>
      </w:r>
      <w:r w:rsidRPr="00051E6C">
        <w:rPr>
          <w:rFonts w:ascii="Book Antiqua" w:hAnsi="Book Antiqua" w:cs="Times New Roman"/>
          <w:sz w:val="24"/>
          <w:szCs w:val="24"/>
        </w:rPr>
        <w:t xml:space="preserve"> immunosuppressant drugs, and health care workers </w:t>
      </w:r>
      <w:r w:rsidR="00CA07A1" w:rsidRPr="00051E6C">
        <w:rPr>
          <w:rFonts w:ascii="Book Antiqua" w:hAnsi="Book Antiqua" w:cs="Times New Roman"/>
          <w:sz w:val="24"/>
          <w:szCs w:val="24"/>
        </w:rPr>
        <w:t xml:space="preserve">who serve </w:t>
      </w:r>
      <w:r w:rsidR="00476737" w:rsidRPr="00051E6C">
        <w:rPr>
          <w:rFonts w:ascii="Book Antiqua" w:hAnsi="Book Antiqua" w:cs="Times New Roman"/>
          <w:sz w:val="24"/>
          <w:szCs w:val="24"/>
        </w:rPr>
        <w:t xml:space="preserve">these </w:t>
      </w:r>
      <w:r w:rsidR="00051E6C">
        <w:rPr>
          <w:rFonts w:ascii="Book Antiqua" w:hAnsi="Book Antiqua" w:cs="Times New Roman"/>
          <w:sz w:val="24"/>
          <w:szCs w:val="24"/>
        </w:rPr>
        <w:t xml:space="preserve">high risk </w:t>
      </w:r>
      <w:proofErr w:type="gramStart"/>
      <w:r w:rsidR="00051E6C">
        <w:rPr>
          <w:rFonts w:ascii="Book Antiqua" w:hAnsi="Book Antiqua" w:cs="Times New Roman"/>
          <w:sz w:val="24"/>
          <w:szCs w:val="24"/>
        </w:rPr>
        <w:t>populations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9]</w:t>
      </w:r>
      <w:r w:rsidRPr="00051E6C">
        <w:rPr>
          <w:rFonts w:ascii="Book Antiqua" w:hAnsi="Book Antiqua" w:cs="Times New Roman"/>
          <w:sz w:val="24"/>
          <w:szCs w:val="24"/>
        </w:rPr>
        <w:t>. Developing a direct MTB imaging screening tool with combined therapeutic applications for the asymptomatic population is going to have vitally important and far reaching impact in the fight against tuberculosis.</w:t>
      </w:r>
    </w:p>
    <w:p w14:paraId="0A6A5676" w14:textId="77777777" w:rsidR="00CD4266" w:rsidRPr="00051E6C" w:rsidRDefault="00CD4266" w:rsidP="00051E6C">
      <w:pPr>
        <w:spacing w:after="0" w:line="360" w:lineRule="auto"/>
        <w:jc w:val="both"/>
        <w:rPr>
          <w:rFonts w:ascii="Book Antiqua" w:hAnsi="Book Antiqua" w:cs="Times New Roman"/>
          <w:b/>
          <w:sz w:val="24"/>
          <w:szCs w:val="24"/>
        </w:rPr>
      </w:pPr>
    </w:p>
    <w:p w14:paraId="2C83B1E1"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SPECTRUM OF HOST IMMUNE RESPONSE AGAINST MTB AND DEVELOPMENT OF LTB</w:t>
      </w:r>
      <w:r w:rsidRPr="00051E6C">
        <w:rPr>
          <w:rFonts w:ascii="Book Antiqua" w:hAnsi="Book Antiqua" w:cs="Times New Roman"/>
          <w:b/>
          <w:sz w:val="24"/>
          <w:szCs w:val="24"/>
        </w:rPr>
        <w:tab/>
      </w:r>
    </w:p>
    <w:p w14:paraId="534BC361"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Humans are the only natural host of MTB and are highly susceptible to MTB infections. Even a few (5-10) bacilli is capable of mediating a primary </w:t>
      </w:r>
      <w:proofErr w:type="gramStart"/>
      <w:r w:rsidRPr="00051E6C">
        <w:rPr>
          <w:rFonts w:ascii="Book Antiqua" w:hAnsi="Book Antiqua" w:cs="Times New Roman"/>
          <w:sz w:val="24"/>
          <w:szCs w:val="24"/>
        </w:rPr>
        <w:t>infection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10]</w:t>
      </w:r>
      <w:r w:rsidRPr="00051E6C">
        <w:rPr>
          <w:rFonts w:ascii="Book Antiqua" w:hAnsi="Book Antiqua" w:cs="Times New Roman"/>
          <w:sz w:val="24"/>
          <w:szCs w:val="24"/>
        </w:rPr>
        <w:t xml:space="preserve">. The initial interaction of the MTB with the host involves alveolar macrophages, which is the only known cell type to harbor MTB </w:t>
      </w:r>
      <w:r w:rsidRPr="00051E6C">
        <w:rPr>
          <w:rFonts w:ascii="Book Antiqua" w:hAnsi="Book Antiqua" w:cs="Times New Roman"/>
          <w:i/>
          <w:sz w:val="24"/>
          <w:szCs w:val="24"/>
        </w:rPr>
        <w:t xml:space="preserve">in </w:t>
      </w:r>
      <w:proofErr w:type="gramStart"/>
      <w:r w:rsidRPr="00051E6C">
        <w:rPr>
          <w:rFonts w:ascii="Book Antiqua" w:hAnsi="Book Antiqua" w:cs="Times New Roman"/>
          <w:i/>
          <w:sz w:val="24"/>
          <w:szCs w:val="24"/>
        </w:rPr>
        <w:t>vivo</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11]</w:t>
      </w:r>
      <w:r w:rsidRPr="00051E6C">
        <w:rPr>
          <w:rFonts w:ascii="Book Antiqua" w:hAnsi="Book Antiqua" w:cs="Times New Roman"/>
          <w:sz w:val="24"/>
          <w:szCs w:val="24"/>
        </w:rPr>
        <w:t>. Upon coming in contact with MTB, the interaction of the host immune response with MTB can be divided into 4 general types of events</w:t>
      </w:r>
      <w:r w:rsidRPr="00051E6C">
        <w:rPr>
          <w:rFonts w:ascii="Book Antiqua" w:hAnsi="Book Antiqua" w:cs="Times New Roman"/>
          <w:noProof/>
          <w:sz w:val="24"/>
          <w:szCs w:val="24"/>
          <w:vertAlign w:val="superscript"/>
        </w:rPr>
        <w:t>[12]</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w:t>
      </w:r>
      <w:r w:rsidRPr="00051E6C">
        <w:rPr>
          <w:rFonts w:ascii="Book Antiqua" w:hAnsi="Book Antiqua" w:cs="Times New Roman"/>
          <w:sz w:val="24"/>
          <w:szCs w:val="24"/>
          <w:lang w:eastAsia="zh-CN"/>
        </w:rPr>
        <w:t>(</w:t>
      </w:r>
      <w:r w:rsidRPr="00051E6C">
        <w:rPr>
          <w:rFonts w:ascii="Book Antiqua" w:hAnsi="Book Antiqua" w:cs="Times New Roman"/>
          <w:sz w:val="24"/>
          <w:szCs w:val="24"/>
        </w:rPr>
        <w:t>1</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Primary infection event involving the invading MTB</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w:t>
      </w:r>
      <w:r w:rsidRPr="00051E6C">
        <w:rPr>
          <w:rFonts w:ascii="Book Antiqua" w:hAnsi="Book Antiqua" w:cs="Times New Roman"/>
          <w:sz w:val="24"/>
          <w:szCs w:val="24"/>
          <w:lang w:eastAsia="zh-CN"/>
        </w:rPr>
        <w:t>(</w:t>
      </w:r>
      <w:r w:rsidRPr="00051E6C">
        <w:rPr>
          <w:rFonts w:ascii="Book Antiqua" w:hAnsi="Book Antiqua" w:cs="Times New Roman"/>
          <w:sz w:val="24"/>
          <w:szCs w:val="24"/>
        </w:rPr>
        <w:t>2</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Events that would promote the dissemination and progressions of the MTB infection</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w:t>
      </w:r>
      <w:r w:rsidRPr="00051E6C">
        <w:rPr>
          <w:rFonts w:ascii="Book Antiqua" w:hAnsi="Book Antiqua" w:cs="Times New Roman"/>
          <w:sz w:val="24"/>
          <w:szCs w:val="24"/>
          <w:lang w:eastAsia="zh-CN"/>
        </w:rPr>
        <w:t>(</w:t>
      </w:r>
      <w:r w:rsidRPr="00051E6C">
        <w:rPr>
          <w:rFonts w:ascii="Book Antiqua" w:hAnsi="Book Antiqua" w:cs="Times New Roman"/>
          <w:sz w:val="24"/>
          <w:szCs w:val="24"/>
        </w:rPr>
        <w:t>3</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Development of an adaptive immunity that would lead to the containment MTB infection</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w:t>
      </w:r>
      <w:r w:rsidRPr="00051E6C">
        <w:rPr>
          <w:rFonts w:ascii="Book Antiqua" w:hAnsi="Book Antiqua" w:cs="Times New Roman"/>
          <w:sz w:val="24"/>
          <w:szCs w:val="24"/>
          <w:lang w:eastAsia="zh-CN"/>
        </w:rPr>
        <w:t>and (</w:t>
      </w:r>
      <w:r w:rsidRPr="00051E6C">
        <w:rPr>
          <w:rFonts w:ascii="Book Antiqua" w:hAnsi="Book Antiqua" w:cs="Times New Roman"/>
          <w:sz w:val="24"/>
          <w:szCs w:val="24"/>
        </w:rPr>
        <w:t>4</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Interplay of protective immunity involved in latency vs. immunologic compromises leading to reactivation of MTB infection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1). </w:t>
      </w:r>
      <w:r w:rsidRPr="00051E6C">
        <w:rPr>
          <w:rFonts w:ascii="Book Antiqua" w:hAnsi="Book Antiqua" w:cs="Times New Roman"/>
          <w:sz w:val="24"/>
          <w:szCs w:val="24"/>
        </w:rPr>
        <w:tab/>
      </w:r>
      <w:r w:rsidRPr="00051E6C">
        <w:rPr>
          <w:rFonts w:ascii="Book Antiqua" w:hAnsi="Book Antiqua" w:cs="Times New Roman"/>
          <w:sz w:val="24"/>
          <w:szCs w:val="24"/>
        </w:rPr>
        <w:tab/>
      </w:r>
      <w:r w:rsidRPr="00051E6C">
        <w:rPr>
          <w:rFonts w:ascii="Book Antiqua" w:hAnsi="Book Antiqua" w:cs="Times New Roman"/>
          <w:sz w:val="24"/>
          <w:szCs w:val="24"/>
        </w:rPr>
        <w:tab/>
      </w:r>
      <w:r w:rsidRPr="00051E6C">
        <w:rPr>
          <w:rFonts w:ascii="Book Antiqua" w:hAnsi="Book Antiqua" w:cs="Times New Roman"/>
          <w:sz w:val="24"/>
          <w:szCs w:val="24"/>
        </w:rPr>
        <w:tab/>
      </w:r>
    </w:p>
    <w:p w14:paraId="1C933463" w14:textId="7777777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Phagocytosis of the MTB by alveolar macrophages followed by its intracellular growth initiates the cascade of immune events of the primary </w:t>
      </w:r>
      <w:proofErr w:type="gramStart"/>
      <w:r w:rsidRPr="00051E6C">
        <w:rPr>
          <w:rFonts w:ascii="Book Antiqua" w:hAnsi="Book Antiqua" w:cs="Times New Roman"/>
          <w:sz w:val="24"/>
          <w:szCs w:val="24"/>
        </w:rPr>
        <w:t>infection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13]</w:t>
      </w:r>
      <w:r w:rsidRPr="00051E6C">
        <w:rPr>
          <w:rFonts w:ascii="Book Antiqua" w:hAnsi="Book Antiqua" w:cs="Times New Roman"/>
          <w:sz w:val="24"/>
          <w:szCs w:val="24"/>
        </w:rPr>
        <w:t>. Activation of the components of the innate immunity, the recruitment of various classes of monocytes and lymphocytes to the site of infection, and the final development of specific immunity allow for the containment of infection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2).</w:t>
      </w:r>
    </w:p>
    <w:p w14:paraId="564D6CC4" w14:textId="7A13DE45"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The hallmark of latent TB is the granulomatous lung parenchymal lesions and their draining lymph nodes which is called the “Ghon complex”. The events leading to the formation of granuloma begins when the MTB is inhaled into the lungs</w:t>
      </w:r>
      <w:r w:rsidR="005E76EE" w:rsidRPr="00051E6C">
        <w:rPr>
          <w:rFonts w:ascii="Book Antiqua" w:hAnsi="Book Antiqua" w:cs="Times New Roman"/>
          <w:sz w:val="24"/>
          <w:szCs w:val="24"/>
        </w:rPr>
        <w:t xml:space="preserve"> and </w:t>
      </w:r>
      <w:r w:rsidRPr="00051E6C">
        <w:rPr>
          <w:rFonts w:ascii="Book Antiqua" w:hAnsi="Book Antiqua" w:cs="Times New Roman"/>
          <w:sz w:val="24"/>
          <w:szCs w:val="24"/>
        </w:rPr>
        <w:t xml:space="preserve">the bacterium is </w:t>
      </w:r>
      <w:r w:rsidR="005E76EE" w:rsidRPr="00051E6C">
        <w:rPr>
          <w:rFonts w:ascii="Book Antiqua" w:hAnsi="Book Antiqua" w:cs="Times New Roman"/>
          <w:sz w:val="24"/>
          <w:szCs w:val="24"/>
        </w:rPr>
        <w:t>phagocytosed</w:t>
      </w:r>
      <w:r w:rsidRPr="00051E6C">
        <w:rPr>
          <w:rFonts w:ascii="Book Antiqua" w:hAnsi="Book Antiqua" w:cs="Times New Roman"/>
          <w:sz w:val="24"/>
          <w:szCs w:val="24"/>
        </w:rPr>
        <w:t xml:space="preserve"> </w:t>
      </w:r>
      <w:r w:rsidR="005E76EE" w:rsidRPr="00051E6C">
        <w:rPr>
          <w:rFonts w:ascii="Book Antiqua" w:hAnsi="Book Antiqua" w:cs="Times New Roman"/>
          <w:sz w:val="24"/>
          <w:szCs w:val="24"/>
        </w:rPr>
        <w:t xml:space="preserve">by alveolar macrophages and </w:t>
      </w:r>
      <w:r w:rsidRPr="00051E6C">
        <w:rPr>
          <w:rFonts w:ascii="Book Antiqua" w:hAnsi="Book Antiqua" w:cs="Times New Roman"/>
          <w:sz w:val="24"/>
          <w:szCs w:val="24"/>
        </w:rPr>
        <w:t xml:space="preserve">dendritic cells. The infected cells release proinflammatory cytokines that help recruit more immune cells to the site of infection. The cytokines IL-12 and IL-18 from the infected cells induce NK cell activity, which in turn produce IFN-γ that help active macrophages to produce TNF-α and other micobicidal substances. Through the actions of these cytokines and chemokines, other immune cells are recruited leading to the formation of the </w:t>
      </w:r>
      <w:proofErr w:type="gramStart"/>
      <w:r w:rsidRPr="00051E6C">
        <w:rPr>
          <w:rFonts w:ascii="Book Antiqua" w:hAnsi="Book Antiqua" w:cs="Times New Roman"/>
          <w:sz w:val="24"/>
          <w:szCs w:val="24"/>
        </w:rPr>
        <w:t>granuloma</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15]</w:t>
      </w:r>
      <w:r w:rsidRPr="00051E6C">
        <w:rPr>
          <w:rFonts w:ascii="Book Antiqua" w:hAnsi="Book Antiqua" w:cs="Times New Roman"/>
          <w:sz w:val="24"/>
          <w:szCs w:val="24"/>
        </w:rPr>
        <w:t xml:space="preserve">. In the granuloma, the macrophages further differentiate into epitheloid cells and foamy macrophages and are surrounded by lymphocytes and an outer layer of fibroblasts and matrix proteins. The morphology of the lung granuloma is characterized by a central necrotic core surrounded by concentric layers of macrophages, epitheloid cells, multinucleated Langhans giant cells, and </w:t>
      </w:r>
      <w:proofErr w:type="gramStart"/>
      <w:r w:rsidRPr="00051E6C">
        <w:rPr>
          <w:rFonts w:ascii="Book Antiqua" w:hAnsi="Book Antiqua" w:cs="Times New Roman"/>
          <w:sz w:val="24"/>
          <w:szCs w:val="24"/>
        </w:rPr>
        <w:t>lymphocytes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16</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17]</w:t>
      </w:r>
      <w:r w:rsidRPr="00051E6C">
        <w:rPr>
          <w:rFonts w:ascii="Book Antiqua" w:hAnsi="Book Antiqua" w:cs="Times New Roman"/>
          <w:sz w:val="24"/>
          <w:szCs w:val="24"/>
        </w:rPr>
        <w:t xml:space="preserve">. Containment of </w:t>
      </w:r>
      <w:r w:rsidRPr="00051E6C">
        <w:rPr>
          <w:rFonts w:ascii="Book Antiqua" w:hAnsi="Book Antiqua" w:cs="Times New Roman"/>
          <w:iCs/>
          <w:sz w:val="24"/>
          <w:szCs w:val="24"/>
        </w:rPr>
        <w:t>MTB</w:t>
      </w:r>
      <w:r w:rsidRPr="00051E6C">
        <w:rPr>
          <w:rFonts w:ascii="Book Antiqua" w:hAnsi="Book Antiqua" w:cs="Times New Roman"/>
          <w:i/>
          <w:iCs/>
          <w:sz w:val="24"/>
          <w:szCs w:val="24"/>
        </w:rPr>
        <w:t xml:space="preserve"> </w:t>
      </w:r>
      <w:r w:rsidRPr="00051E6C">
        <w:rPr>
          <w:rFonts w:ascii="Book Antiqua" w:hAnsi="Book Antiqua" w:cs="Times New Roman"/>
          <w:sz w:val="24"/>
          <w:szCs w:val="24"/>
        </w:rPr>
        <w:t>at the site of primary infection by a cellular</w:t>
      </w:r>
      <w:r w:rsidRPr="00051E6C">
        <w:rPr>
          <w:rFonts w:ascii="Book Antiqua" w:hAnsi="Book Antiqua" w:cs="Times New Roman"/>
          <w:i/>
          <w:iCs/>
          <w:sz w:val="24"/>
          <w:szCs w:val="24"/>
        </w:rPr>
        <w:t xml:space="preserve"> </w:t>
      </w:r>
      <w:r w:rsidRPr="00051E6C">
        <w:rPr>
          <w:rFonts w:ascii="Book Antiqua" w:hAnsi="Book Antiqua" w:cs="Times New Roman"/>
          <w:sz w:val="24"/>
          <w:szCs w:val="24"/>
        </w:rPr>
        <w:t>wall and a fibrotic outer layer prevents the pathogen from dissemination throughout the host and focuses the immune response to the site of mycobacterial persistence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3). Successful containment of the pathogen to the site of the primary lesion results in latent infection, which appears in chest x-rays as calcified granulomatous </w:t>
      </w:r>
      <w:proofErr w:type="gramStart"/>
      <w:r w:rsidRPr="00051E6C">
        <w:rPr>
          <w:rFonts w:ascii="Book Antiqua" w:hAnsi="Book Antiqua" w:cs="Times New Roman"/>
          <w:sz w:val="24"/>
          <w:szCs w:val="24"/>
        </w:rPr>
        <w:t>lesions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18]</w:t>
      </w:r>
      <w:r w:rsidRPr="00051E6C">
        <w:rPr>
          <w:rFonts w:ascii="Book Antiqua" w:hAnsi="Book Antiqua" w:cs="Times New Roman"/>
          <w:sz w:val="24"/>
          <w:szCs w:val="24"/>
        </w:rPr>
        <w:t>.</w:t>
      </w:r>
    </w:p>
    <w:p w14:paraId="73527AE2" w14:textId="1D3E69DC"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The </w:t>
      </w:r>
      <w:r w:rsidR="005E76EE" w:rsidRPr="00051E6C">
        <w:rPr>
          <w:rFonts w:ascii="Book Antiqua" w:hAnsi="Book Antiqua" w:cs="Times New Roman"/>
          <w:sz w:val="24"/>
          <w:szCs w:val="24"/>
        </w:rPr>
        <w:t>exact location of</w:t>
      </w:r>
      <w:r w:rsidRPr="00051E6C">
        <w:rPr>
          <w:rFonts w:ascii="Book Antiqua" w:hAnsi="Book Antiqua" w:cs="Times New Roman"/>
          <w:sz w:val="24"/>
          <w:szCs w:val="24"/>
        </w:rPr>
        <w:t xml:space="preserve"> dormant </w:t>
      </w:r>
      <w:r w:rsidRPr="00051E6C">
        <w:rPr>
          <w:rFonts w:ascii="Book Antiqua" w:hAnsi="Book Antiqua" w:cs="Times New Roman"/>
          <w:iCs/>
          <w:sz w:val="24"/>
          <w:szCs w:val="24"/>
        </w:rPr>
        <w:t>MTB</w:t>
      </w:r>
      <w:r w:rsidRPr="00051E6C">
        <w:rPr>
          <w:rFonts w:ascii="Book Antiqua" w:hAnsi="Book Antiqua" w:cs="Times New Roman"/>
          <w:sz w:val="24"/>
          <w:szCs w:val="24"/>
        </w:rPr>
        <w:t xml:space="preserve"> organisms </w:t>
      </w:r>
      <w:r w:rsidR="005E76EE" w:rsidRPr="00051E6C">
        <w:rPr>
          <w:rFonts w:ascii="Book Antiqua" w:hAnsi="Book Antiqua" w:cs="Times New Roman"/>
          <w:sz w:val="24"/>
          <w:szCs w:val="24"/>
        </w:rPr>
        <w:t>in</w:t>
      </w:r>
      <w:r w:rsidRPr="00051E6C">
        <w:rPr>
          <w:rFonts w:ascii="Book Antiqua" w:hAnsi="Book Antiqua" w:cs="Times New Roman"/>
          <w:sz w:val="24"/>
          <w:szCs w:val="24"/>
        </w:rPr>
        <w:t xml:space="preserve"> latent TB </w:t>
      </w:r>
      <w:r w:rsidR="002D569F">
        <w:rPr>
          <w:rFonts w:ascii="Book Antiqua" w:hAnsi="Book Antiqua" w:cs="Times New Roman"/>
          <w:sz w:val="24"/>
          <w:szCs w:val="24"/>
        </w:rPr>
        <w:t xml:space="preserve">has not been </w:t>
      </w:r>
      <w:proofErr w:type="gramStart"/>
      <w:r w:rsidR="002D569F">
        <w:rPr>
          <w:rFonts w:ascii="Book Antiqua" w:hAnsi="Book Antiqua" w:cs="Times New Roman"/>
          <w:sz w:val="24"/>
          <w:szCs w:val="24"/>
        </w:rPr>
        <w:t>elucidated</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18]</w:t>
      </w:r>
      <w:r w:rsidRPr="00051E6C">
        <w:rPr>
          <w:rFonts w:ascii="Book Antiqua" w:hAnsi="Book Antiqua" w:cs="Times New Roman"/>
          <w:sz w:val="24"/>
          <w:szCs w:val="24"/>
        </w:rPr>
        <w:t>.</w:t>
      </w:r>
      <w:r w:rsidR="005E76EE" w:rsidRPr="00051E6C">
        <w:rPr>
          <w:rFonts w:ascii="Book Antiqua" w:hAnsi="Book Antiqua" w:cs="Times New Roman"/>
          <w:sz w:val="24"/>
          <w:szCs w:val="24"/>
        </w:rPr>
        <w:t xml:space="preserve">  </w:t>
      </w:r>
      <w:r w:rsidR="00476737" w:rsidRPr="00051E6C">
        <w:rPr>
          <w:rFonts w:ascii="Book Antiqua" w:hAnsi="Book Antiqua" w:cs="Times New Roman"/>
          <w:sz w:val="24"/>
          <w:szCs w:val="24"/>
        </w:rPr>
        <w:t>Studies have shown</w:t>
      </w:r>
      <w:r w:rsidR="005E76EE" w:rsidRPr="00051E6C">
        <w:rPr>
          <w:rFonts w:ascii="Book Antiqua" w:hAnsi="Book Antiqua" w:cs="Times New Roman"/>
          <w:sz w:val="24"/>
          <w:szCs w:val="24"/>
        </w:rPr>
        <w:t xml:space="preserve"> evidence of the presence of the pathogen in the </w:t>
      </w:r>
      <w:r w:rsidRPr="00051E6C">
        <w:rPr>
          <w:rFonts w:ascii="Book Antiqua" w:hAnsi="Book Antiqua" w:cs="Times New Roman"/>
          <w:sz w:val="24"/>
          <w:szCs w:val="24"/>
        </w:rPr>
        <w:t xml:space="preserve">normal tissue </w:t>
      </w:r>
      <w:r w:rsidR="005E76EE" w:rsidRPr="00051E6C">
        <w:rPr>
          <w:rFonts w:ascii="Book Antiqua" w:hAnsi="Book Antiqua" w:cs="Times New Roman"/>
          <w:sz w:val="24"/>
          <w:szCs w:val="24"/>
        </w:rPr>
        <w:t>surrounding</w:t>
      </w:r>
      <w:r w:rsidRPr="00051E6C">
        <w:rPr>
          <w:rFonts w:ascii="Book Antiqua" w:hAnsi="Book Antiqua" w:cs="Times New Roman"/>
          <w:sz w:val="24"/>
          <w:szCs w:val="24"/>
        </w:rPr>
        <w:t xml:space="preserve"> </w:t>
      </w:r>
      <w:r w:rsidR="005E76EE" w:rsidRPr="00051E6C">
        <w:rPr>
          <w:rFonts w:ascii="Book Antiqua" w:hAnsi="Book Antiqua" w:cs="Times New Roman"/>
          <w:sz w:val="24"/>
          <w:szCs w:val="24"/>
        </w:rPr>
        <w:t xml:space="preserve">the granuloma </w:t>
      </w:r>
      <w:r w:rsidRPr="00051E6C">
        <w:rPr>
          <w:rFonts w:ascii="Book Antiqua" w:hAnsi="Book Antiqua" w:cs="Times New Roman"/>
          <w:sz w:val="24"/>
          <w:szCs w:val="24"/>
        </w:rPr>
        <w:t xml:space="preserve">necrotic </w:t>
      </w:r>
      <w:proofErr w:type="gramStart"/>
      <w:r w:rsidRPr="00051E6C">
        <w:rPr>
          <w:rFonts w:ascii="Book Antiqua" w:hAnsi="Book Antiqua" w:cs="Times New Roman"/>
          <w:sz w:val="24"/>
          <w:szCs w:val="24"/>
        </w:rPr>
        <w:t>centers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19]</w:t>
      </w:r>
      <w:r w:rsidR="005E76EE" w:rsidRPr="00051E6C">
        <w:rPr>
          <w:rFonts w:ascii="Book Antiqua" w:hAnsi="Book Antiqua" w:cs="Times New Roman"/>
          <w:noProof/>
          <w:sz w:val="24"/>
          <w:szCs w:val="24"/>
          <w:vertAlign w:val="superscript"/>
        </w:rPr>
        <w:t xml:space="preserve"> </w:t>
      </w:r>
      <w:r w:rsidR="005E76EE" w:rsidRPr="00051E6C">
        <w:rPr>
          <w:rFonts w:ascii="Book Antiqua" w:hAnsi="Book Antiqua" w:cs="Times New Roman"/>
          <w:sz w:val="24"/>
          <w:szCs w:val="24"/>
        </w:rPr>
        <w:t>which appears to be the preferred location of the pathogen d</w:t>
      </w:r>
      <w:r w:rsidR="00051E6C">
        <w:rPr>
          <w:rFonts w:ascii="Book Antiqua" w:hAnsi="Book Antiqua" w:cs="Times New Roman"/>
          <w:sz w:val="24"/>
          <w:szCs w:val="24"/>
        </w:rPr>
        <w:t>uring latency</w:t>
      </w:r>
      <w:r w:rsidRPr="00051E6C">
        <w:rPr>
          <w:rFonts w:ascii="Book Antiqua" w:hAnsi="Book Antiqua" w:cs="Times New Roman"/>
          <w:noProof/>
          <w:sz w:val="24"/>
          <w:szCs w:val="24"/>
          <w:vertAlign w:val="superscript"/>
        </w:rPr>
        <w:t>[20]</w:t>
      </w:r>
      <w:r w:rsidRPr="00051E6C">
        <w:rPr>
          <w:rFonts w:ascii="Book Antiqua" w:hAnsi="Book Antiqua" w:cs="Times New Roman"/>
          <w:sz w:val="24"/>
          <w:szCs w:val="24"/>
        </w:rPr>
        <w:t>.</w:t>
      </w:r>
    </w:p>
    <w:p w14:paraId="3E412E95" w14:textId="5C936172" w:rsidR="00CD4266" w:rsidRPr="00051E6C" w:rsidRDefault="005E76EE" w:rsidP="00051E6C">
      <w:pPr>
        <w:spacing w:after="0" w:line="360" w:lineRule="auto"/>
        <w:ind w:firstLineChars="100" w:firstLine="240"/>
        <w:jc w:val="both"/>
        <w:rPr>
          <w:rFonts w:ascii="Book Antiqua" w:hAnsi="Book Antiqua" w:cs="Times New Roman"/>
          <w:sz w:val="24"/>
          <w:szCs w:val="24"/>
          <w:lang w:eastAsia="zh-CN"/>
        </w:rPr>
      </w:pPr>
      <w:r w:rsidRPr="00051E6C">
        <w:rPr>
          <w:rFonts w:ascii="Book Antiqua" w:hAnsi="Book Antiqua" w:cs="Times New Roman"/>
          <w:sz w:val="24"/>
          <w:szCs w:val="24"/>
        </w:rPr>
        <w:t>A</w:t>
      </w:r>
      <w:r w:rsidR="00CD4266" w:rsidRPr="00051E6C">
        <w:rPr>
          <w:rFonts w:ascii="Book Antiqua" w:hAnsi="Book Antiqua" w:cs="Times New Roman"/>
          <w:sz w:val="24"/>
          <w:szCs w:val="24"/>
        </w:rPr>
        <w:t xml:space="preserve"> dynamic balance between the host immune response and the </w:t>
      </w:r>
      <w:r w:rsidR="00CD4266" w:rsidRPr="00051E6C">
        <w:rPr>
          <w:rFonts w:ascii="Book Antiqua" w:hAnsi="Book Antiqua" w:cs="Times New Roman"/>
          <w:iCs/>
          <w:sz w:val="24"/>
          <w:szCs w:val="24"/>
        </w:rPr>
        <w:t>MTB</w:t>
      </w:r>
      <w:r w:rsidR="00CD4266" w:rsidRPr="00051E6C">
        <w:rPr>
          <w:rFonts w:ascii="Book Antiqua" w:hAnsi="Book Antiqua" w:cs="Times New Roman"/>
          <w:sz w:val="24"/>
          <w:szCs w:val="24"/>
        </w:rPr>
        <w:t xml:space="preserve"> pathogen is maintained</w:t>
      </w:r>
      <w:r w:rsidRPr="00051E6C">
        <w:rPr>
          <w:rFonts w:ascii="Book Antiqua" w:hAnsi="Book Antiqua" w:cs="Times New Roman"/>
          <w:sz w:val="24"/>
          <w:szCs w:val="24"/>
        </w:rPr>
        <w:t xml:space="preserve"> during latency</w:t>
      </w:r>
      <w:r w:rsidR="00CD4266" w:rsidRPr="00051E6C">
        <w:rPr>
          <w:rFonts w:ascii="Book Antiqua" w:hAnsi="Book Antiqua" w:cs="Times New Roman"/>
          <w:sz w:val="24"/>
          <w:szCs w:val="24"/>
        </w:rPr>
        <w:t xml:space="preserve">. </w:t>
      </w:r>
      <w:r w:rsidRPr="00051E6C">
        <w:rPr>
          <w:rFonts w:ascii="Book Antiqua" w:hAnsi="Book Antiqua" w:cs="Times New Roman"/>
          <w:sz w:val="24"/>
          <w:szCs w:val="24"/>
        </w:rPr>
        <w:t xml:space="preserve">Direct </w:t>
      </w:r>
      <w:r w:rsidR="00CD4266" w:rsidRPr="00051E6C">
        <w:rPr>
          <w:rFonts w:ascii="Book Antiqua" w:hAnsi="Book Antiqua" w:cs="Times New Roman"/>
          <w:sz w:val="24"/>
          <w:szCs w:val="24"/>
        </w:rPr>
        <w:t xml:space="preserve">cross-talk between </w:t>
      </w:r>
      <w:r w:rsidR="00CD4266" w:rsidRPr="00051E6C">
        <w:rPr>
          <w:rFonts w:ascii="Book Antiqua" w:hAnsi="Book Antiqua" w:cs="Times New Roman"/>
          <w:iCs/>
          <w:sz w:val="24"/>
          <w:szCs w:val="24"/>
        </w:rPr>
        <w:t xml:space="preserve">MTB </w:t>
      </w:r>
      <w:r w:rsidR="00CD4266" w:rsidRPr="00051E6C">
        <w:rPr>
          <w:rFonts w:ascii="Book Antiqua" w:hAnsi="Book Antiqua" w:cs="Times New Roman"/>
          <w:sz w:val="24"/>
          <w:szCs w:val="24"/>
        </w:rPr>
        <w:t xml:space="preserve">and the host immune response </w:t>
      </w:r>
      <w:r w:rsidRPr="00051E6C">
        <w:rPr>
          <w:rFonts w:ascii="Book Antiqua" w:hAnsi="Book Antiqua" w:cs="Times New Roman"/>
          <w:sz w:val="24"/>
          <w:szCs w:val="24"/>
        </w:rPr>
        <w:t xml:space="preserve">occurs in a dense region surrounding the granuloma which is </w:t>
      </w:r>
      <w:r w:rsidR="00476737" w:rsidRPr="00051E6C">
        <w:rPr>
          <w:rFonts w:ascii="Book Antiqua" w:hAnsi="Book Antiqua" w:cs="Times New Roman"/>
          <w:sz w:val="24"/>
          <w:szCs w:val="24"/>
        </w:rPr>
        <w:t>derived from</w:t>
      </w:r>
      <w:r w:rsidRPr="00051E6C">
        <w:rPr>
          <w:rFonts w:ascii="Book Antiqua" w:hAnsi="Book Antiqua" w:cs="Times New Roman"/>
          <w:sz w:val="24"/>
          <w:szCs w:val="24"/>
        </w:rPr>
        <w:t xml:space="preserve"> lymphocyte </w:t>
      </w:r>
      <w:proofErr w:type="gramStart"/>
      <w:r w:rsidRPr="00051E6C">
        <w:rPr>
          <w:rFonts w:ascii="Book Antiqua" w:hAnsi="Book Antiqua" w:cs="Times New Roman"/>
          <w:sz w:val="24"/>
          <w:szCs w:val="24"/>
        </w:rPr>
        <w:t>infiltration</w:t>
      </w:r>
      <w:r w:rsidR="00CD4266" w:rsidRPr="00051E6C">
        <w:rPr>
          <w:rFonts w:ascii="Book Antiqua" w:hAnsi="Book Antiqua" w:cs="Times New Roman"/>
          <w:noProof/>
          <w:sz w:val="24"/>
          <w:szCs w:val="24"/>
          <w:vertAlign w:val="superscript"/>
        </w:rPr>
        <w:t>[</w:t>
      </w:r>
      <w:proofErr w:type="gramEnd"/>
      <w:r w:rsidR="00CD4266" w:rsidRPr="00051E6C">
        <w:rPr>
          <w:rFonts w:ascii="Book Antiqua" w:hAnsi="Book Antiqua" w:cs="Times New Roman"/>
          <w:noProof/>
          <w:sz w:val="24"/>
          <w:szCs w:val="24"/>
          <w:vertAlign w:val="superscript"/>
        </w:rPr>
        <w:t>21</w:t>
      </w:r>
      <w:r w:rsidR="00CD4266" w:rsidRPr="00051E6C">
        <w:rPr>
          <w:rFonts w:ascii="Book Antiqua" w:hAnsi="Book Antiqua" w:cs="Times New Roman"/>
          <w:noProof/>
          <w:sz w:val="24"/>
          <w:szCs w:val="24"/>
          <w:vertAlign w:val="superscript"/>
          <w:lang w:eastAsia="zh-CN"/>
        </w:rPr>
        <w:t>,</w:t>
      </w:r>
      <w:r w:rsidR="00CD4266" w:rsidRPr="00051E6C">
        <w:rPr>
          <w:rFonts w:ascii="Book Antiqua" w:hAnsi="Book Antiqua" w:cs="Times New Roman"/>
          <w:noProof/>
          <w:sz w:val="24"/>
          <w:szCs w:val="24"/>
          <w:vertAlign w:val="superscript"/>
        </w:rPr>
        <w:t>22]</w:t>
      </w:r>
      <w:r w:rsidR="00CD4266" w:rsidRPr="00051E6C">
        <w:rPr>
          <w:rFonts w:ascii="Book Antiqua" w:hAnsi="Book Antiqua" w:cs="Times New Roman"/>
          <w:sz w:val="24"/>
          <w:szCs w:val="24"/>
        </w:rPr>
        <w:t xml:space="preserve">. The </w:t>
      </w:r>
      <w:r w:rsidRPr="00051E6C">
        <w:rPr>
          <w:rFonts w:ascii="Book Antiqua" w:hAnsi="Book Antiqua" w:cs="Times New Roman"/>
          <w:sz w:val="24"/>
          <w:szCs w:val="24"/>
        </w:rPr>
        <w:t>granuloma has a central necrotic core</w:t>
      </w:r>
      <w:r w:rsidR="00CD4266" w:rsidRPr="00051E6C">
        <w:rPr>
          <w:rFonts w:ascii="Book Antiqua" w:hAnsi="Book Antiqua" w:cs="Times New Roman"/>
          <w:sz w:val="24"/>
          <w:szCs w:val="24"/>
        </w:rPr>
        <w:t xml:space="preserve"> </w:t>
      </w:r>
      <w:r w:rsidRPr="00051E6C">
        <w:rPr>
          <w:rFonts w:ascii="Book Antiqua" w:hAnsi="Book Antiqua" w:cs="Times New Roman"/>
          <w:sz w:val="24"/>
          <w:szCs w:val="24"/>
        </w:rPr>
        <w:t xml:space="preserve">which serves as </w:t>
      </w:r>
      <w:r w:rsidR="00CD4266" w:rsidRPr="00051E6C">
        <w:rPr>
          <w:rFonts w:ascii="Book Antiqua" w:hAnsi="Book Antiqua" w:cs="Times New Roman"/>
          <w:sz w:val="24"/>
          <w:szCs w:val="24"/>
        </w:rPr>
        <w:t>nutritional source for persisting mycobacteria, surrounde</w:t>
      </w:r>
      <w:r w:rsidRPr="00051E6C">
        <w:rPr>
          <w:rFonts w:ascii="Book Antiqua" w:hAnsi="Book Antiqua" w:cs="Times New Roman"/>
          <w:sz w:val="24"/>
          <w:szCs w:val="24"/>
        </w:rPr>
        <w:t xml:space="preserve">d by the thick </w:t>
      </w:r>
      <w:r w:rsidR="00CD4266" w:rsidRPr="00051E6C">
        <w:rPr>
          <w:rFonts w:ascii="Book Antiqua" w:hAnsi="Book Antiqua" w:cs="Times New Roman"/>
          <w:sz w:val="24"/>
          <w:szCs w:val="24"/>
        </w:rPr>
        <w:t xml:space="preserve">leukocyte wall </w:t>
      </w:r>
      <w:r w:rsidRPr="00051E6C">
        <w:rPr>
          <w:rFonts w:ascii="Book Antiqua" w:hAnsi="Book Antiqua" w:cs="Times New Roman"/>
          <w:sz w:val="24"/>
          <w:szCs w:val="24"/>
        </w:rPr>
        <w:t>which prevents the spread of the mycobacteria</w:t>
      </w:r>
      <w:r w:rsidR="00CD4266" w:rsidRPr="00051E6C">
        <w:rPr>
          <w:rFonts w:ascii="Book Antiqua" w:hAnsi="Book Antiqua" w:cs="Times New Roman"/>
          <w:sz w:val="24"/>
          <w:szCs w:val="24"/>
        </w:rPr>
        <w:t xml:space="preserve">. </w:t>
      </w:r>
      <w:r w:rsidRPr="00051E6C">
        <w:rPr>
          <w:rFonts w:ascii="Book Antiqua" w:hAnsi="Book Antiqua" w:cs="Times New Roman"/>
          <w:sz w:val="24"/>
          <w:szCs w:val="24"/>
        </w:rPr>
        <w:t xml:space="preserve">The leukocyte derived wall surrounding the granuloma is highly vascularized and facilitates the delivery of drugs against latent </w:t>
      </w:r>
      <w:proofErr w:type="gramStart"/>
      <w:r w:rsidRPr="00051E6C">
        <w:rPr>
          <w:rFonts w:ascii="Book Antiqua" w:hAnsi="Book Antiqua" w:cs="Times New Roman"/>
          <w:sz w:val="24"/>
          <w:szCs w:val="24"/>
        </w:rPr>
        <w:t>TB</w:t>
      </w:r>
      <w:r w:rsidR="00CD4266" w:rsidRPr="00051E6C">
        <w:rPr>
          <w:rFonts w:ascii="Book Antiqua" w:hAnsi="Book Antiqua" w:cs="Times New Roman"/>
          <w:noProof/>
          <w:sz w:val="24"/>
          <w:szCs w:val="24"/>
          <w:vertAlign w:val="superscript"/>
        </w:rPr>
        <w:t>[</w:t>
      </w:r>
      <w:proofErr w:type="gramEnd"/>
      <w:r w:rsidR="00CD4266" w:rsidRPr="00051E6C">
        <w:rPr>
          <w:rFonts w:ascii="Book Antiqua" w:hAnsi="Book Antiqua" w:cs="Times New Roman"/>
          <w:noProof/>
          <w:sz w:val="24"/>
          <w:szCs w:val="24"/>
          <w:vertAlign w:val="superscript"/>
        </w:rPr>
        <w:t>23]</w:t>
      </w:r>
      <w:r w:rsidRPr="00051E6C">
        <w:rPr>
          <w:rFonts w:ascii="Book Antiqua" w:hAnsi="Book Antiqua" w:cs="Times New Roman"/>
          <w:sz w:val="24"/>
          <w:szCs w:val="24"/>
        </w:rPr>
        <w:t>.</w:t>
      </w:r>
    </w:p>
    <w:p w14:paraId="65A4D4FB" w14:textId="77777777" w:rsidR="00CD4266" w:rsidRPr="00051E6C" w:rsidRDefault="00CD4266" w:rsidP="00051E6C">
      <w:pPr>
        <w:spacing w:after="0" w:line="360" w:lineRule="auto"/>
        <w:ind w:firstLineChars="100" w:firstLine="240"/>
        <w:jc w:val="both"/>
        <w:rPr>
          <w:rFonts w:ascii="Book Antiqua" w:hAnsi="Book Antiqua" w:cs="Times New Roman"/>
          <w:sz w:val="24"/>
          <w:szCs w:val="24"/>
          <w:lang w:eastAsia="zh-CN"/>
        </w:rPr>
      </w:pPr>
    </w:p>
    <w:p w14:paraId="7F8B8CA1"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POST-PHAGOCYTIC MOLECULAR EVENTS FOLLOWING MYCOBACTERIAL ENTRY</w:t>
      </w:r>
    </w:p>
    <w:p w14:paraId="279EE876"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Once entering the host, the ability of MTB to survive decades within the body of the host by subverting the host immune defenses is of continued intrigue and fascination. The precise mechanism of how the bacteria is able to achieve this long term dormancy leading to LTB is still unknown, however, recent advances in mycobacterial molecular biology have shed some light into these processes. </w:t>
      </w:r>
    </w:p>
    <w:p w14:paraId="1648C6F8" w14:textId="1D0E425C"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Macrophages </w:t>
      </w:r>
      <w:r w:rsidR="005E76EE" w:rsidRPr="00051E6C">
        <w:rPr>
          <w:rFonts w:ascii="Book Antiqua" w:hAnsi="Book Antiqua" w:cs="Times New Roman"/>
          <w:sz w:val="24"/>
          <w:szCs w:val="24"/>
        </w:rPr>
        <w:t xml:space="preserve">make up the </w:t>
      </w:r>
      <w:r w:rsidRPr="00051E6C">
        <w:rPr>
          <w:rFonts w:ascii="Book Antiqua" w:hAnsi="Book Antiqua" w:cs="Times New Roman"/>
          <w:sz w:val="24"/>
          <w:szCs w:val="24"/>
        </w:rPr>
        <w:t xml:space="preserve">major component of the innate host defense, and they do this by pathogen recognition, ingestion and killing of foreign microbes that enters the body including pathogenic and non-pathogenic mycobacteria. The pathogenic mycobacteria have developed </w:t>
      </w:r>
      <w:r w:rsidR="005E76EE" w:rsidRPr="00051E6C">
        <w:rPr>
          <w:rFonts w:ascii="Book Antiqua" w:hAnsi="Book Antiqua" w:cs="Times New Roman"/>
          <w:sz w:val="24"/>
          <w:szCs w:val="24"/>
        </w:rPr>
        <w:t>a number of</w:t>
      </w:r>
      <w:r w:rsidRPr="00051E6C">
        <w:rPr>
          <w:rFonts w:ascii="Book Antiqua" w:hAnsi="Book Antiqua" w:cs="Times New Roman"/>
          <w:sz w:val="24"/>
          <w:szCs w:val="24"/>
        </w:rPr>
        <w:t xml:space="preserve"> strategies to subvert the host immune defenses and evade the destructive action of the macrophages, eventually surviving within this normally inhospitable cell for long periods of time thus resulting in the </w:t>
      </w:r>
      <w:proofErr w:type="gramStart"/>
      <w:r w:rsidRPr="00051E6C">
        <w:rPr>
          <w:rFonts w:ascii="Book Antiqua" w:hAnsi="Book Antiqua" w:cs="Times New Roman"/>
          <w:sz w:val="24"/>
          <w:szCs w:val="24"/>
        </w:rPr>
        <w:t>disease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24]</w:t>
      </w:r>
      <w:r w:rsidRPr="00051E6C">
        <w:rPr>
          <w:rFonts w:ascii="Book Antiqua" w:hAnsi="Book Antiqua" w:cs="Times New Roman"/>
          <w:sz w:val="24"/>
          <w:szCs w:val="24"/>
        </w:rPr>
        <w:t xml:space="preserve">. The surviving bacteria within the macrophages can be in a latent state with stationary growth or, given the right conditions in an immunocompromised host, can switch to a metabolically active state that facilitates proliferation, dissemination and active disease. </w:t>
      </w:r>
    </w:p>
    <w:p w14:paraId="0105D23E" w14:textId="279E7242"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Upon gaining entry into the body, most non-pathogenic microbes get phagocytosed by the macrophage into a phagosome</w:t>
      </w:r>
      <w:r w:rsidR="00544C6E" w:rsidRPr="00051E6C">
        <w:rPr>
          <w:rFonts w:ascii="Book Antiqua" w:hAnsi="Book Antiqua" w:cs="Times New Roman"/>
          <w:sz w:val="24"/>
          <w:szCs w:val="24"/>
        </w:rPr>
        <w:t xml:space="preserve"> where</w:t>
      </w:r>
      <w:r w:rsidRPr="00051E6C">
        <w:rPr>
          <w:rFonts w:ascii="Book Antiqua" w:hAnsi="Book Antiqua" w:cs="Times New Roman"/>
          <w:sz w:val="24"/>
          <w:szCs w:val="24"/>
        </w:rPr>
        <w:t xml:space="preserve"> the invading microbe gets exposed to high levels of reactive oxygen species (ROS) and reactive nitrogen species (RNS). The phagosome then goes on to mature and fuse with the organelles of the endocytic pathway, thereby acquiring surface molecular markers which leads to the acidification of the phagosome to pH 5 as well as gaining hydrolytic enzymes that digest the invading microbe</w:t>
      </w:r>
      <w:r w:rsidRPr="00051E6C">
        <w:rPr>
          <w:rFonts w:ascii="Book Antiqua" w:hAnsi="Book Antiqua" w:cs="Times New Roman"/>
          <w:noProof/>
          <w:sz w:val="24"/>
          <w:szCs w:val="24"/>
          <w:vertAlign w:val="superscript"/>
        </w:rPr>
        <w:t>[25</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26]</w:t>
      </w:r>
      <w:r w:rsidRPr="00051E6C">
        <w:rPr>
          <w:rFonts w:ascii="Book Antiqua" w:hAnsi="Book Antiqua" w:cs="Times New Roman"/>
          <w:sz w:val="24"/>
          <w:szCs w:val="24"/>
        </w:rPr>
        <w:t xml:space="preserve">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4A). MTB, however, has developed several ways to </w:t>
      </w:r>
      <w:r w:rsidR="002C7627" w:rsidRPr="00051E6C">
        <w:rPr>
          <w:rFonts w:ascii="Book Antiqua" w:hAnsi="Book Antiqua" w:cs="Times New Roman"/>
          <w:sz w:val="24"/>
          <w:szCs w:val="24"/>
        </w:rPr>
        <w:t xml:space="preserve">evade </w:t>
      </w:r>
      <w:r w:rsidR="00476737" w:rsidRPr="00051E6C">
        <w:rPr>
          <w:rFonts w:ascii="Book Antiqua" w:hAnsi="Book Antiqua" w:cs="Times New Roman"/>
          <w:sz w:val="24"/>
          <w:szCs w:val="24"/>
        </w:rPr>
        <w:t>attack</w:t>
      </w:r>
      <w:r w:rsidR="002C7627" w:rsidRPr="00051E6C">
        <w:rPr>
          <w:rFonts w:ascii="Book Antiqua" w:hAnsi="Book Antiqua" w:cs="Times New Roman"/>
          <w:sz w:val="24"/>
          <w:szCs w:val="24"/>
        </w:rPr>
        <w:t xml:space="preserve"> by the macrophage </w:t>
      </w:r>
      <w:r w:rsidRPr="00051E6C">
        <w:rPr>
          <w:rFonts w:ascii="Book Antiqua" w:hAnsi="Book Antiqua" w:cs="Times New Roman"/>
          <w:sz w:val="24"/>
          <w:szCs w:val="24"/>
        </w:rPr>
        <w:t>and creates a favorable environment for replication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4B). This is mainly by inhibiting several aspects of phagosomal maturation, including fusion and fission events along the endocytic pathway and the recruitment of vacuolar H</w:t>
      </w:r>
      <w:r w:rsidRPr="00051E6C">
        <w:rPr>
          <w:rFonts w:ascii="Book Antiqua" w:hAnsi="Book Antiqua" w:cs="Times New Roman"/>
          <w:sz w:val="24"/>
          <w:szCs w:val="24"/>
          <w:vertAlign w:val="superscript"/>
        </w:rPr>
        <w:t>+</w:t>
      </w:r>
      <w:r w:rsidRPr="00051E6C">
        <w:rPr>
          <w:rFonts w:ascii="Book Antiqua" w:hAnsi="Book Antiqua" w:cs="Times New Roman"/>
          <w:sz w:val="24"/>
          <w:szCs w:val="24"/>
        </w:rPr>
        <w:t>-</w:t>
      </w:r>
      <w:proofErr w:type="gramStart"/>
      <w:r w:rsidRPr="00051E6C">
        <w:rPr>
          <w:rFonts w:ascii="Book Antiqua" w:hAnsi="Book Antiqua" w:cs="Times New Roman"/>
          <w:sz w:val="24"/>
          <w:szCs w:val="24"/>
        </w:rPr>
        <w:t>ATPases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27</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28]</w:t>
      </w:r>
      <w:r w:rsidRPr="00051E6C">
        <w:rPr>
          <w:rFonts w:ascii="Book Antiqua" w:hAnsi="Book Antiqua" w:cs="Times New Roman"/>
          <w:sz w:val="24"/>
          <w:szCs w:val="24"/>
        </w:rPr>
        <w:t>. The MTB carrying phagosome retains characteristics of an early phagosome with regard to its pH (about 6</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6.5), presence of Rab5 (a Rho-GTPase directing endosomal trafficking and mediating fusion between phagosomes and other organelles), and continued access to other recycling </w:t>
      </w:r>
      <w:proofErr w:type="gramStart"/>
      <w:r w:rsidRPr="00051E6C">
        <w:rPr>
          <w:rFonts w:ascii="Book Antiqua" w:hAnsi="Book Antiqua" w:cs="Times New Roman"/>
          <w:sz w:val="24"/>
          <w:szCs w:val="24"/>
        </w:rPr>
        <w:t>endosomes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29</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30]</w:t>
      </w:r>
      <w:r w:rsidRPr="00051E6C">
        <w:rPr>
          <w:rFonts w:ascii="Book Antiqua" w:hAnsi="Book Antiqua" w:cs="Times New Roman"/>
          <w:sz w:val="24"/>
          <w:szCs w:val="24"/>
        </w:rPr>
        <w:t>, but it lacks mature hydrolases</w:t>
      </w:r>
      <w:r w:rsidRPr="00051E6C">
        <w:rPr>
          <w:rFonts w:ascii="Book Antiqua" w:hAnsi="Book Antiqua" w:cs="Times New Roman"/>
          <w:noProof/>
          <w:sz w:val="24"/>
          <w:szCs w:val="24"/>
          <w:vertAlign w:val="superscript"/>
        </w:rPr>
        <w:t>[31]</w:t>
      </w:r>
      <w:r w:rsidRPr="00051E6C">
        <w:rPr>
          <w:rFonts w:ascii="Book Antiqua" w:hAnsi="Book Antiqua" w:cs="Times New Roman"/>
          <w:sz w:val="24"/>
          <w:szCs w:val="24"/>
        </w:rPr>
        <w:t xml:space="preserve"> and cathepsins, with interactions between the phagosome and the </w:t>
      </w:r>
      <w:r w:rsidRPr="00051E6C">
        <w:rPr>
          <w:rFonts w:ascii="Book Antiqua" w:hAnsi="Book Antiqua" w:cs="Times New Roman"/>
          <w:i/>
          <w:sz w:val="24"/>
          <w:szCs w:val="24"/>
        </w:rPr>
        <w:t>trans</w:t>
      </w:r>
      <w:r w:rsidRPr="00051E6C">
        <w:rPr>
          <w:rFonts w:ascii="Book Antiqua" w:hAnsi="Book Antiqua" w:cs="Times New Roman"/>
          <w:sz w:val="24"/>
          <w:szCs w:val="24"/>
        </w:rPr>
        <w:t xml:space="preserve"> Golgi Network (TGN) blocked</w:t>
      </w:r>
      <w:r w:rsidRPr="00051E6C">
        <w:rPr>
          <w:rFonts w:ascii="Book Antiqua" w:hAnsi="Book Antiqua" w:cs="Times New Roman"/>
          <w:noProof/>
          <w:sz w:val="24"/>
          <w:szCs w:val="24"/>
          <w:vertAlign w:val="superscript"/>
        </w:rPr>
        <w:t>[32]</w:t>
      </w:r>
      <w:r w:rsidR="002C7627" w:rsidRPr="00051E6C">
        <w:rPr>
          <w:rFonts w:ascii="Book Antiqua" w:hAnsi="Book Antiqua" w:cs="Times New Roman"/>
          <w:sz w:val="24"/>
          <w:szCs w:val="24"/>
        </w:rPr>
        <w:t xml:space="preserve">.  </w:t>
      </w:r>
      <w:r w:rsidRPr="00051E6C">
        <w:rPr>
          <w:rFonts w:ascii="Book Antiqua" w:hAnsi="Book Antiqua" w:cs="Times New Roman"/>
          <w:sz w:val="24"/>
          <w:szCs w:val="24"/>
        </w:rPr>
        <w:t xml:space="preserve">Several MTB products are </w:t>
      </w:r>
      <w:r w:rsidR="002C7627" w:rsidRPr="00051E6C">
        <w:rPr>
          <w:rFonts w:ascii="Book Antiqua" w:hAnsi="Book Antiqua" w:cs="Times New Roman"/>
          <w:sz w:val="24"/>
          <w:szCs w:val="24"/>
        </w:rPr>
        <w:t>believed</w:t>
      </w:r>
      <w:r w:rsidRPr="00051E6C">
        <w:rPr>
          <w:rFonts w:ascii="Book Antiqua" w:hAnsi="Book Antiqua" w:cs="Times New Roman"/>
          <w:sz w:val="24"/>
          <w:szCs w:val="24"/>
        </w:rPr>
        <w:t xml:space="preserve"> to </w:t>
      </w:r>
      <w:r w:rsidR="002C7627" w:rsidRPr="00051E6C">
        <w:rPr>
          <w:rFonts w:ascii="Book Antiqua" w:hAnsi="Book Antiqua" w:cs="Times New Roman"/>
          <w:sz w:val="24"/>
          <w:szCs w:val="24"/>
        </w:rPr>
        <w:t>be inhibitors of</w:t>
      </w:r>
      <w:r w:rsidRPr="00051E6C">
        <w:rPr>
          <w:rFonts w:ascii="Book Antiqua" w:hAnsi="Book Antiqua" w:cs="Times New Roman"/>
          <w:sz w:val="24"/>
          <w:szCs w:val="24"/>
        </w:rPr>
        <w:t xml:space="preserve"> phagosomal maturation, including </w:t>
      </w:r>
      <w:r w:rsidR="002C7627" w:rsidRPr="00051E6C">
        <w:rPr>
          <w:rFonts w:ascii="Book Antiqua" w:hAnsi="Book Antiqua" w:cs="Times New Roman"/>
          <w:sz w:val="24"/>
          <w:szCs w:val="24"/>
        </w:rPr>
        <w:t xml:space="preserve">components of </w:t>
      </w:r>
      <w:r w:rsidRPr="00051E6C">
        <w:rPr>
          <w:rFonts w:ascii="Book Antiqua" w:hAnsi="Book Antiqua" w:cs="Times New Roman"/>
          <w:sz w:val="24"/>
          <w:szCs w:val="24"/>
        </w:rPr>
        <w:t xml:space="preserve">the mycobacterial cell envelope such as lipoarabinomannan (LAM), trehalose dimycolate and sulpholipids, </w:t>
      </w:r>
      <w:r w:rsidR="002C7627" w:rsidRPr="00051E6C">
        <w:rPr>
          <w:rFonts w:ascii="Book Antiqua" w:hAnsi="Book Antiqua" w:cs="Times New Roman"/>
          <w:sz w:val="24"/>
          <w:szCs w:val="24"/>
        </w:rPr>
        <w:t xml:space="preserve">phosphatase SapM and </w:t>
      </w:r>
      <w:r w:rsidRPr="00051E6C">
        <w:rPr>
          <w:rFonts w:ascii="Book Antiqua" w:hAnsi="Book Antiqua" w:cs="Times New Roman"/>
          <w:sz w:val="24"/>
          <w:szCs w:val="24"/>
        </w:rPr>
        <w:t>kinase PknG</w:t>
      </w:r>
      <w:r w:rsidRPr="00051E6C">
        <w:rPr>
          <w:rFonts w:ascii="Book Antiqua" w:hAnsi="Book Antiqua" w:cs="Times New Roman"/>
          <w:noProof/>
          <w:sz w:val="24"/>
          <w:szCs w:val="24"/>
          <w:vertAlign w:val="superscript"/>
        </w:rPr>
        <w:t>[29]</w:t>
      </w:r>
      <w:r w:rsidRPr="00051E6C">
        <w:rPr>
          <w:rFonts w:ascii="Book Antiqua" w:hAnsi="Book Antiqua" w:cs="Times New Roman"/>
          <w:sz w:val="24"/>
          <w:szCs w:val="24"/>
        </w:rPr>
        <w:t>, and the secreted protein ESAT-6</w:t>
      </w:r>
      <w:r w:rsidRPr="00051E6C">
        <w:rPr>
          <w:rFonts w:ascii="Book Antiqua" w:hAnsi="Book Antiqua" w:cs="Times New Roman"/>
          <w:noProof/>
          <w:sz w:val="24"/>
          <w:szCs w:val="24"/>
          <w:vertAlign w:val="superscript"/>
        </w:rPr>
        <w:t>[33]</w:t>
      </w:r>
      <w:r w:rsidR="002C7627" w:rsidRPr="00051E6C">
        <w:rPr>
          <w:rFonts w:ascii="Book Antiqua" w:hAnsi="Book Antiqua" w:cs="Times New Roman"/>
          <w:sz w:val="24"/>
          <w:szCs w:val="24"/>
        </w:rPr>
        <w:t>.  T</w:t>
      </w:r>
      <w:r w:rsidRPr="00051E6C">
        <w:rPr>
          <w:rFonts w:ascii="Book Antiqua" w:hAnsi="Book Antiqua" w:cs="Times New Roman"/>
          <w:sz w:val="24"/>
          <w:szCs w:val="24"/>
        </w:rPr>
        <w:t xml:space="preserve">he exact mechanism behind the inhibition of phagosomal maturation by the mycobacteria is yet to be elucidated. </w:t>
      </w:r>
    </w:p>
    <w:p w14:paraId="575F4633" w14:textId="6FE137FF"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Studies have shown that cholesterol is a necessary component for the uptake of the MTB into the macrophage via the complement receptors and for the inhibition of phagosomal </w:t>
      </w:r>
      <w:proofErr w:type="gramStart"/>
      <w:r w:rsidRPr="00051E6C">
        <w:rPr>
          <w:rFonts w:ascii="Book Antiqua" w:hAnsi="Book Antiqua" w:cs="Times New Roman"/>
          <w:sz w:val="24"/>
          <w:szCs w:val="24"/>
        </w:rPr>
        <w:t>maturation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34]</w:t>
      </w:r>
      <w:r w:rsidRPr="00051E6C">
        <w:rPr>
          <w:rFonts w:ascii="Book Antiqua" w:hAnsi="Book Antiqua" w:cs="Times New Roman"/>
          <w:sz w:val="24"/>
          <w:szCs w:val="24"/>
        </w:rPr>
        <w:t xml:space="preserve"> (Fig</w:t>
      </w:r>
      <w:r w:rsidRPr="00051E6C">
        <w:rPr>
          <w:rFonts w:ascii="Book Antiqua" w:hAnsi="Book Antiqua" w:cs="Times New Roman"/>
          <w:sz w:val="24"/>
          <w:szCs w:val="24"/>
          <w:lang w:eastAsia="zh-CN"/>
        </w:rPr>
        <w:t xml:space="preserve">ure </w:t>
      </w:r>
      <w:r w:rsidRPr="00051E6C">
        <w:rPr>
          <w:rFonts w:ascii="Book Antiqua" w:hAnsi="Book Antiqua" w:cs="Times New Roman"/>
          <w:sz w:val="24"/>
          <w:szCs w:val="24"/>
        </w:rPr>
        <w:t xml:space="preserve">4B). A host protein associated with the cell membrane called tryptophan-aspartate containing coat protein (TACO) is recruited and retained in the phagosomes harboring mycobacteria thereby preventing the bacterial delivery to </w:t>
      </w:r>
      <w:proofErr w:type="gramStart"/>
      <w:r w:rsidRPr="00051E6C">
        <w:rPr>
          <w:rFonts w:ascii="Book Antiqua" w:hAnsi="Book Antiqua" w:cs="Times New Roman"/>
          <w:sz w:val="24"/>
          <w:szCs w:val="24"/>
        </w:rPr>
        <w:t>lysosomes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35]</w:t>
      </w:r>
      <w:r w:rsidRPr="00051E6C">
        <w:rPr>
          <w:rFonts w:ascii="Book Antiqua" w:hAnsi="Book Antiqua" w:cs="Times New Roman"/>
          <w:sz w:val="24"/>
          <w:szCs w:val="24"/>
        </w:rPr>
        <w:t xml:space="preserve">. TACO is an actin-binding protein seen associated with cholesterol rich regions of the host macrophage plasma </w:t>
      </w:r>
      <w:proofErr w:type="gramStart"/>
      <w:r w:rsidRPr="00051E6C">
        <w:rPr>
          <w:rFonts w:ascii="Book Antiqua" w:hAnsi="Book Antiqua" w:cs="Times New Roman"/>
          <w:sz w:val="24"/>
          <w:szCs w:val="24"/>
        </w:rPr>
        <w:t>membrane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34]</w:t>
      </w:r>
      <w:r w:rsidRPr="00051E6C">
        <w:rPr>
          <w:rFonts w:ascii="Book Antiqua" w:hAnsi="Book Antiqua" w:cs="Times New Roman"/>
          <w:sz w:val="24"/>
          <w:szCs w:val="24"/>
        </w:rPr>
        <w:t xml:space="preserve">. The mycobacterium within the phagosome is somehow able to prevent the removal of the TACO coat protein which prevents the fusion of phagososome with </w:t>
      </w:r>
      <w:proofErr w:type="gramStart"/>
      <w:r w:rsidRPr="00051E6C">
        <w:rPr>
          <w:rFonts w:ascii="Book Antiqua" w:hAnsi="Book Antiqua" w:cs="Times New Roman"/>
          <w:sz w:val="24"/>
          <w:szCs w:val="24"/>
        </w:rPr>
        <w:t>lysosome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35]</w:t>
      </w:r>
      <w:r w:rsidRPr="00051E6C">
        <w:rPr>
          <w:rFonts w:ascii="Book Antiqua" w:hAnsi="Book Antiqua" w:cs="Times New Roman"/>
          <w:sz w:val="24"/>
          <w:szCs w:val="24"/>
        </w:rPr>
        <w:t xml:space="preserve">. Moreover, it has been shown that TACO-mediated uptake of mycobacteria depends on </w:t>
      </w:r>
      <w:proofErr w:type="gramStart"/>
      <w:r w:rsidRPr="00051E6C">
        <w:rPr>
          <w:rFonts w:ascii="Book Antiqua" w:hAnsi="Book Antiqua" w:cs="Times New Roman"/>
          <w:sz w:val="24"/>
          <w:szCs w:val="24"/>
        </w:rPr>
        <w:t>cholesterol</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36</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37]</w:t>
      </w:r>
      <w:r w:rsidRPr="00051E6C">
        <w:rPr>
          <w:rFonts w:ascii="Book Antiqua" w:hAnsi="Book Antiqua" w:cs="Times New Roman"/>
          <w:sz w:val="24"/>
          <w:szCs w:val="24"/>
        </w:rPr>
        <w:t xml:space="preserve">. The mycobacterial proteins and genes mediating these adaptive responses inside the macrophage is largely yet to be determined. </w:t>
      </w:r>
      <w:r w:rsidR="00051E6C" w:rsidRPr="00051E6C">
        <w:rPr>
          <w:rFonts w:ascii="Book Antiqua" w:hAnsi="Book Antiqua" w:cs="Times New Roman"/>
          <w:sz w:val="24"/>
          <w:szCs w:val="24"/>
        </w:rPr>
        <w:t>MTB</w:t>
      </w:r>
      <w:r w:rsidRPr="00051E6C">
        <w:rPr>
          <w:rFonts w:ascii="Book Antiqua" w:hAnsi="Book Antiqua" w:cs="Times New Roman"/>
          <w:i/>
          <w:sz w:val="24"/>
          <w:szCs w:val="24"/>
        </w:rPr>
        <w:t>’</w:t>
      </w:r>
      <w:r w:rsidRPr="00051E6C">
        <w:rPr>
          <w:rFonts w:ascii="Book Antiqua" w:hAnsi="Book Antiqua" w:cs="Times New Roman"/>
          <w:sz w:val="24"/>
          <w:szCs w:val="24"/>
        </w:rPr>
        <w:t xml:space="preserve"> unique ability to utilize cholesterol, a component of cell membranes, also plays a role in its </w:t>
      </w:r>
      <w:proofErr w:type="gramStart"/>
      <w:r w:rsidRPr="00051E6C">
        <w:rPr>
          <w:rFonts w:ascii="Book Antiqua" w:hAnsi="Book Antiqua" w:cs="Times New Roman"/>
          <w:sz w:val="24"/>
          <w:szCs w:val="24"/>
        </w:rPr>
        <w:t>persistence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38]</w:t>
      </w:r>
      <w:r w:rsidRPr="00051E6C">
        <w:rPr>
          <w:rFonts w:ascii="Book Antiqua" w:hAnsi="Book Antiqua" w:cs="Times New Roman"/>
          <w:sz w:val="24"/>
          <w:szCs w:val="24"/>
        </w:rPr>
        <w:t>. In the nutrient-deficient intracellular environment, MTB adapts its metabolism</w:t>
      </w:r>
      <w:r w:rsidR="000C7C6F" w:rsidRPr="00051E6C">
        <w:rPr>
          <w:rFonts w:ascii="Book Antiqua" w:hAnsi="Book Antiqua" w:cs="Times New Roman"/>
          <w:sz w:val="24"/>
          <w:szCs w:val="24"/>
        </w:rPr>
        <w:t xml:space="preserve"> by alternating between </w:t>
      </w:r>
      <w:r w:rsidRPr="00051E6C">
        <w:rPr>
          <w:rFonts w:ascii="Book Antiqua" w:hAnsi="Book Antiqua" w:cs="Times New Roman"/>
          <w:sz w:val="24"/>
          <w:szCs w:val="24"/>
        </w:rPr>
        <w:t xml:space="preserve">carbohydrate </w:t>
      </w:r>
      <w:r w:rsidR="000C7C6F" w:rsidRPr="00051E6C">
        <w:rPr>
          <w:rFonts w:ascii="Book Antiqua" w:hAnsi="Book Antiqua" w:cs="Times New Roman"/>
          <w:sz w:val="24"/>
          <w:szCs w:val="24"/>
        </w:rPr>
        <w:t>and</w:t>
      </w:r>
      <w:r w:rsidRPr="00051E6C">
        <w:rPr>
          <w:rFonts w:ascii="Book Antiqua" w:hAnsi="Book Antiqua" w:cs="Times New Roman"/>
          <w:sz w:val="24"/>
          <w:szCs w:val="24"/>
        </w:rPr>
        <w:t xml:space="preserve"> fatty acid</w:t>
      </w:r>
      <w:r w:rsidR="00051E6C">
        <w:rPr>
          <w:rFonts w:ascii="Book Antiqua" w:hAnsi="Book Antiqua" w:cs="Times New Roman"/>
          <w:sz w:val="24"/>
          <w:szCs w:val="24"/>
        </w:rPr>
        <w:t xml:space="preserve"> </w:t>
      </w:r>
      <w:proofErr w:type="gramStart"/>
      <w:r w:rsidR="00051E6C">
        <w:rPr>
          <w:rFonts w:ascii="Book Antiqua" w:hAnsi="Book Antiqua" w:cs="Times New Roman"/>
          <w:sz w:val="24"/>
          <w:szCs w:val="24"/>
        </w:rPr>
        <w:t>metabolism</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39]</w:t>
      </w:r>
      <w:r w:rsidR="000C7C6F" w:rsidRPr="00051E6C">
        <w:rPr>
          <w:rFonts w:ascii="Book Antiqua" w:hAnsi="Book Antiqua" w:cs="Times New Roman"/>
          <w:sz w:val="24"/>
          <w:szCs w:val="24"/>
        </w:rPr>
        <w:t xml:space="preserve">.  </w:t>
      </w:r>
      <w:r w:rsidRPr="00051E6C">
        <w:rPr>
          <w:rFonts w:ascii="Book Antiqua" w:hAnsi="Book Antiqua" w:cs="Times New Roman"/>
          <w:sz w:val="24"/>
          <w:szCs w:val="24"/>
        </w:rPr>
        <w:t>Studies have shown that MTB utilize</w:t>
      </w:r>
      <w:r w:rsidR="000C7C6F" w:rsidRPr="00051E6C">
        <w:rPr>
          <w:rFonts w:ascii="Book Antiqua" w:hAnsi="Book Antiqua" w:cs="Times New Roman"/>
          <w:sz w:val="24"/>
          <w:szCs w:val="24"/>
        </w:rPr>
        <w:t>s</w:t>
      </w:r>
      <w:r w:rsidRPr="00051E6C">
        <w:rPr>
          <w:rFonts w:ascii="Book Antiqua" w:hAnsi="Book Antiqua" w:cs="Times New Roman"/>
          <w:sz w:val="24"/>
          <w:szCs w:val="24"/>
        </w:rPr>
        <w:t xml:space="preserve"> cholesterol for its energy needs </w:t>
      </w:r>
      <w:r w:rsidR="000C7C6F" w:rsidRPr="00051E6C">
        <w:rPr>
          <w:rFonts w:ascii="Book Antiqua" w:hAnsi="Book Antiqua" w:cs="Times New Roman"/>
          <w:sz w:val="24"/>
          <w:szCs w:val="24"/>
        </w:rPr>
        <w:t>and</w:t>
      </w:r>
      <w:r w:rsidRPr="00051E6C">
        <w:rPr>
          <w:rFonts w:ascii="Book Antiqua" w:hAnsi="Book Antiqua" w:cs="Times New Roman"/>
          <w:sz w:val="24"/>
          <w:szCs w:val="24"/>
        </w:rPr>
        <w:t xml:space="preserve"> for the biosynthesis of virulence-associated lipid </w:t>
      </w:r>
      <w:proofErr w:type="gramStart"/>
      <w:r w:rsidRPr="00051E6C">
        <w:rPr>
          <w:rFonts w:ascii="Book Antiqua" w:hAnsi="Book Antiqua" w:cs="Times New Roman"/>
          <w:sz w:val="24"/>
          <w:szCs w:val="24"/>
        </w:rPr>
        <w:t>PDIM</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38]</w:t>
      </w:r>
      <w:r w:rsidRPr="00051E6C">
        <w:rPr>
          <w:rFonts w:ascii="Book Antiqua" w:hAnsi="Book Antiqua" w:cs="Times New Roman"/>
          <w:sz w:val="24"/>
          <w:szCs w:val="24"/>
        </w:rPr>
        <w:t xml:space="preserve">. </w:t>
      </w:r>
      <w:r w:rsidR="000C7C6F" w:rsidRPr="00051E6C">
        <w:rPr>
          <w:rFonts w:ascii="Book Antiqua" w:hAnsi="Book Antiqua" w:cs="Times New Roman"/>
          <w:sz w:val="24"/>
          <w:szCs w:val="24"/>
        </w:rPr>
        <w:t>A number of</w:t>
      </w:r>
      <w:r w:rsidRPr="00051E6C">
        <w:rPr>
          <w:rFonts w:ascii="Book Antiqua" w:hAnsi="Book Antiqua" w:cs="Times New Roman"/>
          <w:sz w:val="24"/>
          <w:szCs w:val="24"/>
        </w:rPr>
        <w:t xml:space="preserve"> reports indicate that MTB metabolizes cholesterol during host infections </w:t>
      </w:r>
      <w:r w:rsidR="000C7C6F" w:rsidRPr="00051E6C">
        <w:rPr>
          <w:rFonts w:ascii="Book Antiqua" w:hAnsi="Book Antiqua" w:cs="Times New Roman"/>
          <w:sz w:val="24"/>
          <w:szCs w:val="24"/>
        </w:rPr>
        <w:t>and the metabolic products</w:t>
      </w:r>
      <w:r w:rsidRPr="00051E6C">
        <w:rPr>
          <w:rFonts w:ascii="Book Antiqua" w:hAnsi="Book Antiqua" w:cs="Times New Roman"/>
          <w:sz w:val="24"/>
          <w:szCs w:val="24"/>
        </w:rPr>
        <w:t xml:space="preserve"> contribute to </w:t>
      </w:r>
      <w:r w:rsidR="000C7C6F" w:rsidRPr="00051E6C">
        <w:rPr>
          <w:rFonts w:ascii="Book Antiqua" w:hAnsi="Book Antiqua" w:cs="Times New Roman"/>
          <w:sz w:val="24"/>
          <w:szCs w:val="24"/>
        </w:rPr>
        <w:t xml:space="preserve">the </w:t>
      </w:r>
      <w:r w:rsidRPr="00051E6C">
        <w:rPr>
          <w:rFonts w:ascii="Book Antiqua" w:hAnsi="Book Antiqua" w:cs="Times New Roman"/>
          <w:sz w:val="24"/>
          <w:szCs w:val="24"/>
        </w:rPr>
        <w:t xml:space="preserve">long-term survival of MTB in the </w:t>
      </w:r>
      <w:proofErr w:type="gramStart"/>
      <w:r w:rsidRPr="00051E6C">
        <w:rPr>
          <w:rFonts w:ascii="Book Antiqua" w:hAnsi="Book Antiqua" w:cs="Times New Roman"/>
          <w:sz w:val="24"/>
          <w:szCs w:val="24"/>
        </w:rPr>
        <w:t>host</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38</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40</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41]</w:t>
      </w:r>
      <w:r w:rsidRPr="00051E6C">
        <w:rPr>
          <w:rFonts w:ascii="Book Antiqua" w:hAnsi="Book Antiqua" w:cs="Times New Roman"/>
          <w:sz w:val="24"/>
          <w:szCs w:val="24"/>
        </w:rPr>
        <w:t xml:space="preserve">. Furthermore, because the cholesterol catabolism pathway requires a large number of oxygenases, it should be no surprise that MTB infects the lungs where oxygen concentration is the </w:t>
      </w:r>
      <w:proofErr w:type="gramStart"/>
      <w:r w:rsidRPr="00051E6C">
        <w:rPr>
          <w:rFonts w:ascii="Book Antiqua" w:hAnsi="Book Antiqua" w:cs="Times New Roman"/>
          <w:sz w:val="24"/>
          <w:szCs w:val="24"/>
        </w:rPr>
        <w:t>highest</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42]</w:t>
      </w:r>
      <w:r w:rsidRPr="00051E6C">
        <w:rPr>
          <w:rFonts w:ascii="Book Antiqua" w:hAnsi="Book Antiqua" w:cs="Times New Roman"/>
          <w:sz w:val="24"/>
          <w:szCs w:val="24"/>
        </w:rPr>
        <w:t xml:space="preserve">. </w:t>
      </w:r>
    </w:p>
    <w:p w14:paraId="7D14FCC6" w14:textId="77777777" w:rsidR="00CD4266" w:rsidRPr="00051E6C" w:rsidRDefault="00CD4266" w:rsidP="00051E6C">
      <w:pPr>
        <w:spacing w:after="0" w:line="360" w:lineRule="auto"/>
        <w:jc w:val="both"/>
        <w:rPr>
          <w:rFonts w:ascii="Book Antiqua" w:hAnsi="Book Antiqua" w:cs="Times New Roman"/>
          <w:b/>
          <w:i/>
          <w:sz w:val="24"/>
          <w:szCs w:val="24"/>
          <w:lang w:eastAsia="zh-CN"/>
        </w:rPr>
      </w:pPr>
    </w:p>
    <w:p w14:paraId="293232F7"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i/>
          <w:sz w:val="24"/>
          <w:szCs w:val="24"/>
        </w:rPr>
        <w:t>MCE</w:t>
      </w:r>
      <w:r w:rsidRPr="00051E6C">
        <w:rPr>
          <w:rFonts w:ascii="Book Antiqua" w:hAnsi="Book Antiqua" w:cs="Times New Roman"/>
          <w:b/>
          <w:sz w:val="24"/>
          <w:szCs w:val="24"/>
        </w:rPr>
        <w:t xml:space="preserve"> OPERONS AND THEIR ROLE IN MYCOBACTERIAL INFECTION AND PERSISTENCE</w:t>
      </w:r>
    </w:p>
    <w:p w14:paraId="05D9EB1A" w14:textId="75FDFD29"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Over the recent years, it was shown that a DNA fragment from MTB cloned into </w:t>
      </w:r>
      <w:r w:rsidRPr="00051E6C">
        <w:rPr>
          <w:rFonts w:ascii="Book Antiqua" w:hAnsi="Book Antiqua" w:cs="Times New Roman"/>
          <w:i/>
          <w:sz w:val="24"/>
          <w:szCs w:val="24"/>
        </w:rPr>
        <w:t>Escherichia coli (E. coli)</w:t>
      </w:r>
      <w:r w:rsidRPr="00051E6C">
        <w:rPr>
          <w:rFonts w:ascii="Book Antiqua" w:hAnsi="Book Antiqua" w:cs="Times New Roman"/>
          <w:sz w:val="24"/>
          <w:szCs w:val="24"/>
        </w:rPr>
        <w:t xml:space="preserve"> could mediate the latter’s entry and survival in mammalian </w:t>
      </w:r>
      <w:proofErr w:type="gramStart"/>
      <w:r w:rsidRPr="00051E6C">
        <w:rPr>
          <w:rFonts w:ascii="Book Antiqua" w:hAnsi="Book Antiqua" w:cs="Times New Roman"/>
          <w:sz w:val="24"/>
          <w:szCs w:val="24"/>
        </w:rPr>
        <w:t>cells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43]</w:t>
      </w:r>
      <w:r w:rsidRPr="00051E6C">
        <w:rPr>
          <w:rFonts w:ascii="Book Antiqua" w:hAnsi="Book Antiqua" w:cs="Times New Roman"/>
          <w:sz w:val="24"/>
          <w:szCs w:val="24"/>
        </w:rPr>
        <w:t xml:space="preserve"> and was named as the mammalian cell entry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  The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 genes have been shown to be important in the invasion of the mammalian host cell by the mycobacterium and for establishing a persistent infection both </w:t>
      </w:r>
      <w:r w:rsidRPr="00051E6C">
        <w:rPr>
          <w:rFonts w:ascii="Book Antiqua" w:hAnsi="Book Antiqua" w:cs="Times New Roman"/>
          <w:i/>
          <w:sz w:val="24"/>
          <w:szCs w:val="24"/>
        </w:rPr>
        <w:t>in vitro</w:t>
      </w:r>
      <w:r w:rsidRPr="00051E6C">
        <w:rPr>
          <w:rFonts w:ascii="Book Antiqua" w:hAnsi="Book Antiqua" w:cs="Times New Roman"/>
          <w:sz w:val="24"/>
          <w:szCs w:val="24"/>
        </w:rPr>
        <w:t xml:space="preserve"> and in mouse </w:t>
      </w:r>
      <w:proofErr w:type="gramStart"/>
      <w:r w:rsidRPr="00051E6C">
        <w:rPr>
          <w:rFonts w:ascii="Book Antiqua" w:hAnsi="Book Antiqua" w:cs="Times New Roman"/>
          <w:sz w:val="24"/>
          <w:szCs w:val="24"/>
        </w:rPr>
        <w:t>models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45]</w:t>
      </w:r>
      <w:r w:rsidRPr="00051E6C">
        <w:rPr>
          <w:rFonts w:ascii="Book Antiqua" w:hAnsi="Book Antiqua" w:cs="Times New Roman"/>
          <w:sz w:val="24"/>
          <w:szCs w:val="24"/>
        </w:rPr>
        <w:t xml:space="preserve">.  The analysis of the complete genome sequence of </w:t>
      </w:r>
      <w:r w:rsidR="00051E6C" w:rsidRPr="00051E6C">
        <w:rPr>
          <w:rFonts w:ascii="Book Antiqua" w:hAnsi="Book Antiqua" w:cs="Times New Roman"/>
          <w:sz w:val="24"/>
          <w:szCs w:val="24"/>
        </w:rPr>
        <w:t>MTB</w:t>
      </w:r>
      <w:r w:rsidRPr="00051E6C">
        <w:rPr>
          <w:rFonts w:ascii="Book Antiqua" w:hAnsi="Book Antiqua" w:cs="Times New Roman"/>
          <w:sz w:val="24"/>
          <w:szCs w:val="24"/>
        </w:rPr>
        <w:t xml:space="preserve"> in 1998</w:t>
      </w:r>
      <w:r w:rsidRPr="00051E6C">
        <w:rPr>
          <w:rFonts w:ascii="Book Antiqua" w:hAnsi="Book Antiqua" w:cs="Times New Roman"/>
          <w:noProof/>
          <w:sz w:val="24"/>
          <w:szCs w:val="24"/>
          <w:vertAlign w:val="superscript"/>
        </w:rPr>
        <w:t>[46]</w:t>
      </w:r>
      <w:r w:rsidRPr="00051E6C">
        <w:rPr>
          <w:rFonts w:ascii="Book Antiqua" w:hAnsi="Book Antiqua" w:cs="Times New Roman"/>
          <w:sz w:val="24"/>
          <w:szCs w:val="24"/>
        </w:rPr>
        <w:t xml:space="preserve"> showed that the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 is composed of a group of four homologous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w:t>
      </w:r>
      <w:r w:rsidRPr="00051E6C">
        <w:rPr>
          <w:rFonts w:ascii="Book Antiqua" w:hAnsi="Book Antiqua" w:cs="Times New Roman"/>
          <w:i/>
          <w:sz w:val="24"/>
          <w:szCs w:val="24"/>
        </w:rPr>
        <w:t>mce1, mce2, mce3</w:t>
      </w:r>
      <w:r w:rsidRPr="00051E6C">
        <w:rPr>
          <w:rFonts w:ascii="Book Antiqua" w:hAnsi="Book Antiqua" w:cs="Times New Roman"/>
          <w:sz w:val="24"/>
          <w:szCs w:val="24"/>
        </w:rPr>
        <w:t xml:space="preserve">, and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It was found that all the constituent </w:t>
      </w:r>
      <w:r w:rsidRPr="00051E6C">
        <w:rPr>
          <w:rFonts w:ascii="Book Antiqua" w:hAnsi="Book Antiqua" w:cs="Times New Roman"/>
          <w:i/>
          <w:sz w:val="24"/>
          <w:szCs w:val="24"/>
        </w:rPr>
        <w:t>mce</w:t>
      </w:r>
      <w:r w:rsidRPr="00051E6C">
        <w:rPr>
          <w:rFonts w:ascii="Book Antiqua" w:hAnsi="Book Antiqua" w:cs="Times New Roman"/>
          <w:sz w:val="24"/>
          <w:szCs w:val="24"/>
        </w:rPr>
        <w:t xml:space="preserve"> genes in the four operons were arranged in an identical manner. Each of the operon contained eight genes, of which two genes preceding the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genes are named </w:t>
      </w:r>
      <w:r w:rsidRPr="00051E6C">
        <w:rPr>
          <w:rFonts w:ascii="Book Antiqua" w:hAnsi="Book Antiqua" w:cs="Times New Roman"/>
          <w:i/>
          <w:sz w:val="24"/>
          <w:szCs w:val="24"/>
        </w:rPr>
        <w:t>yrbEA</w:t>
      </w:r>
      <w:r w:rsidRPr="00051E6C">
        <w:rPr>
          <w:rFonts w:ascii="Book Antiqua" w:hAnsi="Book Antiqua" w:cs="Times New Roman"/>
          <w:sz w:val="24"/>
          <w:szCs w:val="24"/>
        </w:rPr>
        <w:t xml:space="preserve"> and </w:t>
      </w:r>
      <w:r w:rsidRPr="00051E6C">
        <w:rPr>
          <w:rFonts w:ascii="Book Antiqua" w:hAnsi="Book Antiqua" w:cs="Times New Roman"/>
          <w:i/>
          <w:sz w:val="24"/>
          <w:szCs w:val="24"/>
        </w:rPr>
        <w:t>yrbEB</w:t>
      </w:r>
      <w:r w:rsidRPr="00051E6C">
        <w:rPr>
          <w:rFonts w:ascii="Book Antiqua" w:hAnsi="Book Antiqua" w:cs="Times New Roman"/>
          <w:sz w:val="24"/>
          <w:szCs w:val="24"/>
        </w:rPr>
        <w:t xml:space="preserve"> which encoded for integral membrane proteins and the six </w:t>
      </w:r>
      <w:r w:rsidRPr="00051E6C">
        <w:rPr>
          <w:rFonts w:ascii="Book Antiqua" w:hAnsi="Book Antiqua" w:cs="Times New Roman"/>
          <w:i/>
          <w:sz w:val="24"/>
          <w:szCs w:val="24"/>
        </w:rPr>
        <w:t>mce</w:t>
      </w:r>
      <w:r w:rsidRPr="00051E6C">
        <w:rPr>
          <w:rFonts w:ascii="Book Antiqua" w:hAnsi="Book Antiqua" w:cs="Times New Roman"/>
          <w:sz w:val="24"/>
          <w:szCs w:val="24"/>
        </w:rPr>
        <w:t xml:space="preserve"> genes potentially encoding exported proteins (secreted or surface-exposed) thought to be important for the entry and survival of the pathogen in the mammalian cells</w:t>
      </w:r>
      <w:r w:rsidRPr="00051E6C">
        <w:rPr>
          <w:rFonts w:ascii="Book Antiqua" w:hAnsi="Book Antiqua" w:cs="Times New Roman"/>
          <w:noProof/>
          <w:sz w:val="24"/>
          <w:szCs w:val="24"/>
          <w:vertAlign w:val="superscript"/>
        </w:rPr>
        <w:t>[46]</w:t>
      </w:r>
      <w:r w:rsidRPr="00051E6C">
        <w:rPr>
          <w:rFonts w:ascii="Book Antiqua" w:hAnsi="Book Antiqua" w:cs="Times New Roman"/>
          <w:sz w:val="24"/>
          <w:szCs w:val="24"/>
        </w:rPr>
        <w:t xml:space="preserve">. The four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are widely seen throughout the genus </w:t>
      </w:r>
      <w:proofErr w:type="gramStart"/>
      <w:r w:rsidRPr="00051E6C">
        <w:rPr>
          <w:rFonts w:ascii="Book Antiqua" w:hAnsi="Book Antiqua" w:cs="Times New Roman"/>
          <w:sz w:val="24"/>
          <w:szCs w:val="24"/>
        </w:rPr>
        <w:t>Mycobacterium</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34]</w:t>
      </w:r>
      <w:r w:rsidRPr="00051E6C">
        <w:rPr>
          <w:rFonts w:ascii="Book Antiqua" w:hAnsi="Book Antiqua" w:cs="Times New Roman"/>
          <w:sz w:val="24"/>
          <w:szCs w:val="24"/>
        </w:rPr>
        <w:t xml:space="preserve"> and the general organization of the genes in each of the four operons are shown in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5.</w:t>
      </w:r>
    </w:p>
    <w:p w14:paraId="141CEEDC" w14:textId="7777777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The YRBE and MCE proteins encoded by the MTB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have structural homology to the permeases and the surface binding protein (SBP) components of the ABC transporters, </w:t>
      </w:r>
      <w:proofErr w:type="gramStart"/>
      <w:r w:rsidRPr="00051E6C">
        <w:rPr>
          <w:rFonts w:ascii="Book Antiqua" w:hAnsi="Book Antiqua" w:cs="Times New Roman"/>
          <w:sz w:val="24"/>
          <w:szCs w:val="24"/>
        </w:rPr>
        <w:t>respectively</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47]</w:t>
      </w:r>
      <w:r w:rsidRPr="00051E6C">
        <w:rPr>
          <w:rFonts w:ascii="Book Antiqua" w:hAnsi="Book Antiqua" w:cs="Times New Roman"/>
          <w:sz w:val="24"/>
          <w:szCs w:val="24"/>
        </w:rPr>
        <w:t>. The typical ABC permease contains six trans-membrane helices with the C-terminus located on the cytoplasmic side of the membrane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6A). The YRBE permease contains five or six transmembrane segments outside the C-terminus and the orientation of the N-terminal transmembrane helix may be either cytoplasmic or outside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6B), suggesting a transmembrane transport </w:t>
      </w:r>
      <w:proofErr w:type="gramStart"/>
      <w:r w:rsidRPr="00051E6C">
        <w:rPr>
          <w:rFonts w:ascii="Book Antiqua" w:hAnsi="Book Antiqua" w:cs="Times New Roman"/>
          <w:sz w:val="24"/>
          <w:szCs w:val="24"/>
        </w:rPr>
        <w:t>role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47</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48]</w:t>
      </w:r>
      <w:r w:rsidRPr="00051E6C">
        <w:rPr>
          <w:rFonts w:ascii="Book Antiqua" w:hAnsi="Book Antiqua" w:cs="Times New Roman"/>
          <w:sz w:val="24"/>
          <w:szCs w:val="24"/>
        </w:rPr>
        <w:t xml:space="preserve">. </w:t>
      </w:r>
    </w:p>
    <w:p w14:paraId="35041A0E" w14:textId="77777777" w:rsidR="00CD4266" w:rsidRPr="00051E6C" w:rsidRDefault="00CD4266" w:rsidP="00051E6C">
      <w:pPr>
        <w:spacing w:after="0" w:line="360" w:lineRule="auto"/>
        <w:ind w:firstLineChars="98" w:firstLine="235"/>
        <w:jc w:val="both"/>
        <w:rPr>
          <w:rFonts w:ascii="Book Antiqua" w:hAnsi="Book Antiqua" w:cs="Times New Roman"/>
          <w:b/>
          <w:i/>
          <w:sz w:val="24"/>
          <w:szCs w:val="24"/>
        </w:rPr>
      </w:pPr>
      <w:r w:rsidRPr="00051E6C">
        <w:rPr>
          <w:rFonts w:ascii="Book Antiqua" w:hAnsi="Book Antiqua" w:cs="Times New Roman"/>
          <w:sz w:val="24"/>
          <w:szCs w:val="24"/>
        </w:rPr>
        <w:t>The MCE protein, including MCE1A, 3A and 4A, but not MCE2A, make up a patch of 275-564 amino acid residues, with the hydrophobic stretch at the N-terminal anchored in the membrane, after folding and modification</w:t>
      </w:r>
      <w:r w:rsidRPr="00051E6C">
        <w:rPr>
          <w:rFonts w:ascii="Book Antiqua" w:hAnsi="Book Antiqua" w:cs="Times New Roman"/>
          <w:noProof/>
          <w:sz w:val="24"/>
          <w:szCs w:val="24"/>
          <w:vertAlign w:val="superscript"/>
        </w:rPr>
        <w:t>[47]</w:t>
      </w:r>
      <w:r w:rsidRPr="00051E6C">
        <w:rPr>
          <w:rFonts w:ascii="Book Antiqua" w:hAnsi="Book Antiqua" w:cs="Times New Roman"/>
          <w:sz w:val="24"/>
          <w:szCs w:val="24"/>
        </w:rPr>
        <w:t>, along with a 22 amino acid “invasion domain” near the C-terminal exposed outside the membrane</w:t>
      </w:r>
      <w:r w:rsidRPr="00051E6C">
        <w:rPr>
          <w:rFonts w:ascii="Book Antiqua" w:hAnsi="Book Antiqua" w:cs="Times New Roman"/>
          <w:noProof/>
          <w:sz w:val="24"/>
          <w:szCs w:val="24"/>
          <w:vertAlign w:val="superscript"/>
        </w:rPr>
        <w:t>[49</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50]</w:t>
      </w:r>
      <w:r w:rsidRPr="00051E6C">
        <w:rPr>
          <w:rFonts w:ascii="Book Antiqua" w:hAnsi="Book Antiqua" w:cs="Times New Roman"/>
          <w:sz w:val="24"/>
          <w:szCs w:val="24"/>
        </w:rPr>
        <w:t xml:space="preserve">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6B). These characteristics are consistent with their cell surface location and proposed role in cell invasion and </w:t>
      </w:r>
      <w:proofErr w:type="gramStart"/>
      <w:r w:rsidRPr="00051E6C">
        <w:rPr>
          <w:rFonts w:ascii="Book Antiqua" w:hAnsi="Book Antiqua" w:cs="Times New Roman"/>
          <w:sz w:val="24"/>
          <w:szCs w:val="24"/>
        </w:rPr>
        <w:t>immunomodulation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51]</w:t>
      </w:r>
      <w:r w:rsidRPr="00051E6C">
        <w:rPr>
          <w:rFonts w:ascii="Book Antiqua" w:hAnsi="Book Antiqua" w:cs="Times New Roman"/>
          <w:sz w:val="24"/>
          <w:szCs w:val="24"/>
        </w:rPr>
        <w:t>, however, the mechanism of interaction between YRBE and MCE proteins is not yet clear</w:t>
      </w:r>
      <w:r w:rsidRPr="00051E6C">
        <w:rPr>
          <w:rFonts w:ascii="Book Antiqua" w:hAnsi="Book Antiqua" w:cs="Times New Roman"/>
          <w:noProof/>
          <w:sz w:val="24"/>
          <w:szCs w:val="24"/>
          <w:vertAlign w:val="superscript"/>
        </w:rPr>
        <w:t>[52]</w:t>
      </w:r>
      <w:r w:rsidRPr="00051E6C">
        <w:rPr>
          <w:rFonts w:ascii="Book Antiqua" w:hAnsi="Book Antiqua" w:cs="Times New Roman"/>
          <w:sz w:val="24"/>
          <w:szCs w:val="24"/>
        </w:rPr>
        <w:t>.</w:t>
      </w:r>
    </w:p>
    <w:p w14:paraId="79686466" w14:textId="7777777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Phylogenetic studies have shown that the MCE proteins share between 30</w:t>
      </w:r>
      <w:r w:rsidRPr="00051E6C">
        <w:rPr>
          <w:rFonts w:ascii="Book Antiqua" w:hAnsi="Book Antiqua" w:cs="Times New Roman"/>
          <w:sz w:val="24"/>
          <w:szCs w:val="24"/>
          <w:lang w:eastAsia="zh-CN"/>
        </w:rPr>
        <w:t>%</w:t>
      </w:r>
      <w:r w:rsidRPr="00051E6C">
        <w:rPr>
          <w:rFonts w:ascii="Book Antiqua" w:hAnsi="Book Antiqua" w:cs="Times New Roman"/>
          <w:sz w:val="24"/>
          <w:szCs w:val="24"/>
        </w:rPr>
        <w:t>-70% amino acid identity to their inter-operon counterparts but only 16</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-26% identity with other MCE proteins encoded by the same operon. For example, there is 61% identity between MCE1A and MCE2A, however, it falls to 25% identity between MCE1B and </w:t>
      </w:r>
      <w:proofErr w:type="gramStart"/>
      <w:r w:rsidRPr="00051E6C">
        <w:rPr>
          <w:rFonts w:ascii="Book Antiqua" w:hAnsi="Book Antiqua" w:cs="Times New Roman"/>
          <w:sz w:val="24"/>
          <w:szCs w:val="24"/>
        </w:rPr>
        <w:t>MCE1C</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53</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54]</w:t>
      </w:r>
      <w:r w:rsidRPr="00051E6C">
        <w:rPr>
          <w:rFonts w:ascii="Book Antiqua" w:hAnsi="Book Antiqua" w:cs="Times New Roman"/>
          <w:sz w:val="24"/>
          <w:szCs w:val="24"/>
        </w:rPr>
        <w:t xml:space="preserve">. Because of the multiple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in the genome, it is proposed that they may have redundant or time dependent activities. This possibility is supported by the temporal transcriptional expression differences during different stages of in vitro growth between </w:t>
      </w:r>
      <w:r w:rsidRPr="00051E6C">
        <w:rPr>
          <w:rFonts w:ascii="Book Antiqua" w:hAnsi="Book Antiqua" w:cs="Times New Roman"/>
          <w:i/>
          <w:sz w:val="24"/>
          <w:szCs w:val="24"/>
        </w:rPr>
        <w:t>mce1</w:t>
      </w:r>
      <w:r w:rsidRPr="00051E6C">
        <w:rPr>
          <w:rFonts w:ascii="Book Antiqua" w:hAnsi="Book Antiqua" w:cs="Times New Roman"/>
          <w:sz w:val="24"/>
          <w:szCs w:val="24"/>
        </w:rPr>
        <w:t xml:space="preserve"> in comparison to </w:t>
      </w:r>
      <w:r w:rsidRPr="00051E6C">
        <w:rPr>
          <w:rFonts w:ascii="Book Antiqua" w:hAnsi="Book Antiqua" w:cs="Times New Roman"/>
          <w:i/>
          <w:sz w:val="24"/>
          <w:szCs w:val="24"/>
        </w:rPr>
        <w:t>mce3</w:t>
      </w:r>
      <w:r w:rsidRPr="00051E6C">
        <w:rPr>
          <w:rFonts w:ascii="Book Antiqua" w:hAnsi="Book Antiqua" w:cs="Times New Roman"/>
          <w:sz w:val="24"/>
          <w:szCs w:val="24"/>
        </w:rPr>
        <w:t xml:space="preserve"> and </w:t>
      </w:r>
      <w:proofErr w:type="gramStart"/>
      <w:r w:rsidRPr="00051E6C">
        <w:rPr>
          <w:rFonts w:ascii="Book Antiqua" w:hAnsi="Book Antiqua" w:cs="Times New Roman"/>
          <w:i/>
          <w:sz w:val="24"/>
          <w:szCs w:val="24"/>
        </w:rPr>
        <w:t>mce4</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55]</w:t>
      </w:r>
      <w:r w:rsidRPr="00051E6C">
        <w:rPr>
          <w:rFonts w:ascii="Book Antiqua" w:hAnsi="Book Antiqua" w:cs="Times New Roman"/>
          <w:sz w:val="24"/>
          <w:szCs w:val="24"/>
        </w:rPr>
        <w:t xml:space="preserve">. Differences are also seen with </w:t>
      </w:r>
      <w:r w:rsidRPr="00051E6C">
        <w:rPr>
          <w:rFonts w:ascii="Book Antiqua" w:hAnsi="Book Antiqua" w:cs="Times New Roman"/>
          <w:i/>
          <w:sz w:val="24"/>
          <w:szCs w:val="24"/>
        </w:rPr>
        <w:t>in vivo</w:t>
      </w:r>
      <w:r w:rsidRPr="00051E6C">
        <w:rPr>
          <w:rFonts w:ascii="Book Antiqua" w:hAnsi="Book Antiqua" w:cs="Times New Roman"/>
          <w:sz w:val="24"/>
          <w:szCs w:val="24"/>
        </w:rPr>
        <w:t xml:space="preserve"> growing bacilli in that even though </w:t>
      </w:r>
      <w:r w:rsidRPr="00051E6C">
        <w:rPr>
          <w:rFonts w:ascii="Book Antiqua" w:hAnsi="Book Antiqua" w:cs="Times New Roman"/>
          <w:i/>
          <w:sz w:val="24"/>
          <w:szCs w:val="24"/>
        </w:rPr>
        <w:t>mce1</w:t>
      </w:r>
      <w:r w:rsidRPr="00051E6C">
        <w:rPr>
          <w:rFonts w:ascii="Book Antiqua" w:hAnsi="Book Antiqua" w:cs="Times New Roman"/>
          <w:sz w:val="24"/>
          <w:szCs w:val="24"/>
        </w:rPr>
        <w:t xml:space="preserve">, </w:t>
      </w:r>
      <w:r w:rsidRPr="00051E6C">
        <w:rPr>
          <w:rFonts w:ascii="Book Antiqua" w:hAnsi="Book Antiqua" w:cs="Times New Roman"/>
          <w:i/>
          <w:sz w:val="24"/>
          <w:szCs w:val="24"/>
        </w:rPr>
        <w:t>mce3</w:t>
      </w:r>
      <w:r w:rsidRPr="00051E6C">
        <w:rPr>
          <w:rFonts w:ascii="Book Antiqua" w:hAnsi="Book Antiqua" w:cs="Times New Roman"/>
          <w:sz w:val="24"/>
          <w:szCs w:val="24"/>
        </w:rPr>
        <w:t xml:space="preserve">, and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transcripts are detectable up to 24 wk post infection in rabbit lung tissue, only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transcript is detectable 16 weeks post infection in guinea pig </w:t>
      </w:r>
      <w:proofErr w:type="gramStart"/>
      <w:r w:rsidRPr="00051E6C">
        <w:rPr>
          <w:rFonts w:ascii="Book Antiqua" w:hAnsi="Book Antiqua" w:cs="Times New Roman"/>
          <w:sz w:val="24"/>
          <w:szCs w:val="24"/>
        </w:rPr>
        <w:t>spleen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55]</w:t>
      </w:r>
      <w:r w:rsidRPr="00051E6C">
        <w:rPr>
          <w:rFonts w:ascii="Book Antiqua" w:hAnsi="Book Antiqua" w:cs="Times New Roman"/>
          <w:sz w:val="24"/>
          <w:szCs w:val="24"/>
        </w:rPr>
        <w:t xml:space="preserve">. The expression of </w:t>
      </w:r>
      <w:r w:rsidRPr="00051E6C">
        <w:rPr>
          <w:rFonts w:ascii="Book Antiqua" w:hAnsi="Book Antiqua" w:cs="Times New Roman"/>
          <w:i/>
          <w:sz w:val="24"/>
          <w:szCs w:val="24"/>
        </w:rPr>
        <w:t>mce2</w:t>
      </w:r>
      <w:r w:rsidRPr="00051E6C">
        <w:rPr>
          <w:rFonts w:ascii="Book Antiqua" w:hAnsi="Book Antiqua" w:cs="Times New Roman"/>
          <w:sz w:val="24"/>
          <w:szCs w:val="24"/>
        </w:rPr>
        <w:t xml:space="preserve"> was not detected under any conditions </w:t>
      </w:r>
      <w:proofErr w:type="gramStart"/>
      <w:r w:rsidRPr="00051E6C">
        <w:rPr>
          <w:rFonts w:ascii="Book Antiqua" w:hAnsi="Book Antiqua" w:cs="Times New Roman"/>
          <w:sz w:val="24"/>
          <w:szCs w:val="24"/>
        </w:rPr>
        <w:t>tested</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55]</w:t>
      </w:r>
      <w:r w:rsidRPr="00051E6C">
        <w:rPr>
          <w:rFonts w:ascii="Book Antiqua" w:hAnsi="Book Antiqua" w:cs="Times New Roman"/>
          <w:sz w:val="24"/>
          <w:szCs w:val="24"/>
        </w:rPr>
        <w:t xml:space="preserve">. </w:t>
      </w:r>
    </w:p>
    <w:p w14:paraId="34E08AAD" w14:textId="7777777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Studies using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 deletion or disruption mutants of MTB have demonstrated varying effects with the different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Some studies have shown than disrupting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lead to </w:t>
      </w:r>
      <w:proofErr w:type="gramStart"/>
      <w:r w:rsidRPr="00051E6C">
        <w:rPr>
          <w:rFonts w:ascii="Book Antiqua" w:hAnsi="Book Antiqua" w:cs="Times New Roman"/>
          <w:sz w:val="24"/>
          <w:szCs w:val="24"/>
        </w:rPr>
        <w:t>attenuation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56</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57]</w:t>
      </w:r>
      <w:r w:rsidRPr="00051E6C">
        <w:rPr>
          <w:rFonts w:ascii="Book Antiqua" w:hAnsi="Book Antiqua" w:cs="Times New Roman"/>
          <w:sz w:val="24"/>
          <w:szCs w:val="24"/>
        </w:rPr>
        <w:t>, while others have shown some degree of hypervirulence for the host MTB following the mutations</w:t>
      </w:r>
      <w:r w:rsidRPr="00051E6C">
        <w:rPr>
          <w:rFonts w:ascii="Book Antiqua" w:hAnsi="Book Antiqua" w:cs="Times New Roman"/>
          <w:noProof/>
          <w:sz w:val="24"/>
          <w:szCs w:val="24"/>
          <w:vertAlign w:val="superscript"/>
        </w:rPr>
        <w:t>[58</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59]</w:t>
      </w:r>
      <w:r w:rsidRPr="00051E6C">
        <w:rPr>
          <w:rFonts w:ascii="Book Antiqua" w:hAnsi="Book Antiqua" w:cs="Times New Roman"/>
          <w:sz w:val="24"/>
          <w:szCs w:val="24"/>
        </w:rPr>
        <w:t xml:space="preserve">. Deletion of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3 and 4 attenuated MTB virulence in infected </w:t>
      </w:r>
      <w:proofErr w:type="gramStart"/>
      <w:r w:rsidRPr="00051E6C">
        <w:rPr>
          <w:rFonts w:ascii="Book Antiqua" w:hAnsi="Book Antiqua" w:cs="Times New Roman"/>
          <w:sz w:val="24"/>
          <w:szCs w:val="24"/>
        </w:rPr>
        <w:t>macrophages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60]</w:t>
      </w:r>
      <w:r w:rsidRPr="00051E6C">
        <w:rPr>
          <w:rFonts w:ascii="Book Antiqua" w:hAnsi="Book Antiqua" w:cs="Times New Roman"/>
          <w:sz w:val="24"/>
          <w:szCs w:val="24"/>
        </w:rPr>
        <w:t xml:space="preserve">. </w:t>
      </w:r>
    </w:p>
    <w:p w14:paraId="2534DECC" w14:textId="486AD2CA"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The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gene is the first among the six </w:t>
      </w:r>
      <w:r w:rsidRPr="00051E6C">
        <w:rPr>
          <w:rFonts w:ascii="Book Antiqua" w:hAnsi="Book Antiqua" w:cs="Times New Roman"/>
          <w:i/>
          <w:sz w:val="24"/>
          <w:szCs w:val="24"/>
        </w:rPr>
        <w:t>mce</w:t>
      </w:r>
      <w:r w:rsidRPr="00051E6C">
        <w:rPr>
          <w:rFonts w:ascii="Book Antiqua" w:hAnsi="Book Antiqua" w:cs="Times New Roman"/>
          <w:sz w:val="24"/>
          <w:szCs w:val="24"/>
        </w:rPr>
        <w:t xml:space="preserve"> genes in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 that is studied the most. Studies showed that the MCE4A protein is not only important for host cell invasion but also for survival of the MTB pathogen in human </w:t>
      </w:r>
      <w:proofErr w:type="gramStart"/>
      <w:r w:rsidRPr="00051E6C">
        <w:rPr>
          <w:rFonts w:ascii="Book Antiqua" w:hAnsi="Book Antiqua" w:cs="Times New Roman"/>
          <w:sz w:val="24"/>
          <w:szCs w:val="24"/>
        </w:rPr>
        <w:t>macrophages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61</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62]</w:t>
      </w:r>
      <w:r w:rsidRPr="00051E6C">
        <w:rPr>
          <w:rFonts w:ascii="Book Antiqua" w:hAnsi="Book Antiqua" w:cs="Times New Roman"/>
          <w:sz w:val="24"/>
          <w:szCs w:val="24"/>
        </w:rPr>
        <w:t xml:space="preserve">. Individual </w:t>
      </w:r>
      <w:r w:rsidRPr="00051E6C">
        <w:rPr>
          <w:rFonts w:ascii="Book Antiqua" w:hAnsi="Book Antiqua" w:cs="Times New Roman"/>
          <w:i/>
          <w:sz w:val="24"/>
          <w:szCs w:val="24"/>
        </w:rPr>
        <w:t>mce1</w:t>
      </w:r>
      <w:r w:rsidRPr="00051E6C">
        <w:rPr>
          <w:rFonts w:ascii="Book Antiqua" w:hAnsi="Book Antiqua" w:cs="Times New Roman"/>
          <w:sz w:val="24"/>
          <w:szCs w:val="24"/>
        </w:rPr>
        <w:t xml:space="preserve">, </w:t>
      </w:r>
      <w:r w:rsidRPr="00051E6C">
        <w:rPr>
          <w:rFonts w:ascii="Book Antiqua" w:hAnsi="Book Antiqua" w:cs="Times New Roman"/>
          <w:i/>
          <w:sz w:val="24"/>
          <w:szCs w:val="24"/>
        </w:rPr>
        <w:t>mce2</w:t>
      </w:r>
      <w:r w:rsidRPr="00051E6C">
        <w:rPr>
          <w:rFonts w:ascii="Book Antiqua" w:hAnsi="Book Antiqua" w:cs="Times New Roman"/>
          <w:sz w:val="24"/>
          <w:szCs w:val="24"/>
        </w:rPr>
        <w:t xml:space="preserve">, </w:t>
      </w:r>
      <w:r w:rsidRPr="00051E6C">
        <w:rPr>
          <w:rFonts w:ascii="Book Antiqua" w:hAnsi="Book Antiqua" w:cs="Times New Roman"/>
          <w:i/>
          <w:sz w:val="24"/>
          <w:szCs w:val="24"/>
        </w:rPr>
        <w:t>mce3</w:t>
      </w:r>
      <w:r w:rsidRPr="00051E6C">
        <w:rPr>
          <w:rFonts w:ascii="Book Antiqua" w:hAnsi="Book Antiqua" w:cs="Times New Roman"/>
          <w:sz w:val="24"/>
          <w:szCs w:val="24"/>
        </w:rPr>
        <w:t xml:space="preserve">, and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mutants administered intranasally or intravenously in mice have shown to result in lower bacterial burdens and slower mortality of the infected mice, with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 deletion showing the greatest effects on MTB </w:t>
      </w:r>
      <w:proofErr w:type="gramStart"/>
      <w:r w:rsidRPr="00051E6C">
        <w:rPr>
          <w:rFonts w:ascii="Book Antiqua" w:hAnsi="Book Antiqua" w:cs="Times New Roman"/>
          <w:sz w:val="24"/>
          <w:szCs w:val="24"/>
        </w:rPr>
        <w:t>virulence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56</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60]</w:t>
      </w:r>
      <w:r w:rsidRPr="00051E6C">
        <w:rPr>
          <w:rFonts w:ascii="Book Antiqua" w:hAnsi="Book Antiqua" w:cs="Times New Roman"/>
          <w:sz w:val="24"/>
          <w:szCs w:val="24"/>
        </w:rPr>
        <w:t xml:space="preserve">. The route of infection was also shown to be having an effect on the attenuation results in one </w:t>
      </w:r>
      <w:proofErr w:type="gramStart"/>
      <w:r w:rsidRPr="00051E6C">
        <w:rPr>
          <w:rFonts w:ascii="Book Antiqua" w:hAnsi="Book Antiqua" w:cs="Times New Roman"/>
          <w:sz w:val="24"/>
          <w:szCs w:val="24"/>
        </w:rPr>
        <w:t>study</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56]</w:t>
      </w:r>
      <w:r w:rsidRPr="00051E6C">
        <w:rPr>
          <w:rFonts w:ascii="Book Antiqua" w:hAnsi="Book Antiqua" w:cs="Times New Roman"/>
          <w:sz w:val="24"/>
          <w:szCs w:val="24"/>
        </w:rPr>
        <w:t xml:space="preserve">. Hypervirulence among </w:t>
      </w:r>
      <w:r w:rsidRPr="00051E6C">
        <w:rPr>
          <w:rFonts w:ascii="Book Antiqua" w:hAnsi="Book Antiqua" w:cs="Times New Roman"/>
          <w:i/>
          <w:sz w:val="24"/>
          <w:szCs w:val="24"/>
        </w:rPr>
        <w:t>mce1</w:t>
      </w:r>
      <w:r w:rsidRPr="00051E6C">
        <w:rPr>
          <w:rFonts w:ascii="Book Antiqua" w:hAnsi="Book Antiqua" w:cs="Times New Roman"/>
          <w:sz w:val="24"/>
          <w:szCs w:val="24"/>
        </w:rPr>
        <w:t xml:space="preserve"> mutants have been demonstrated in two separate studies when administered intranasally, intravenously, or </w:t>
      </w:r>
      <w:proofErr w:type="gramStart"/>
      <w:r w:rsidRPr="00051E6C">
        <w:rPr>
          <w:rFonts w:ascii="Book Antiqua" w:hAnsi="Book Antiqua" w:cs="Times New Roman"/>
          <w:sz w:val="24"/>
          <w:szCs w:val="24"/>
        </w:rPr>
        <w:t>intraperitoneally</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58</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59]</w:t>
      </w:r>
      <w:r w:rsidRPr="00051E6C">
        <w:rPr>
          <w:rFonts w:ascii="Book Antiqua" w:hAnsi="Book Antiqua" w:cs="Times New Roman"/>
          <w:sz w:val="24"/>
          <w:szCs w:val="24"/>
        </w:rPr>
        <w:t xml:space="preserve">. The deletion mutants in all the above studies, however, were not identical in the nature of their deletions and had variations in their deletion sequences that possibly led to different polar effects on downstream genes, which may explain the discrepancy in the results of some of the deletion mutant studies. </w:t>
      </w:r>
    </w:p>
    <w:p w14:paraId="78540AAD" w14:textId="72F19DDD" w:rsidR="00CD4266" w:rsidRPr="00051E6C" w:rsidRDefault="00CD4266" w:rsidP="00051E6C">
      <w:pPr>
        <w:spacing w:after="0" w:line="360" w:lineRule="auto"/>
        <w:ind w:firstLineChars="100" w:firstLine="240"/>
        <w:jc w:val="both"/>
        <w:rPr>
          <w:rFonts w:ascii="Book Antiqua" w:hAnsi="Book Antiqua" w:cs="Times New Roman"/>
          <w:sz w:val="24"/>
          <w:szCs w:val="24"/>
          <w:lang w:eastAsia="zh-CN"/>
        </w:rPr>
      </w:pPr>
      <w:r w:rsidRPr="00051E6C">
        <w:rPr>
          <w:rFonts w:ascii="Book Antiqua" w:hAnsi="Book Antiqua" w:cs="Times New Roman"/>
          <w:sz w:val="24"/>
          <w:szCs w:val="24"/>
        </w:rPr>
        <w:t xml:space="preserve">Apart from its possible role in mediating host infection, it is </w:t>
      </w:r>
      <w:r w:rsidR="00D35E76" w:rsidRPr="00051E6C">
        <w:rPr>
          <w:rFonts w:ascii="Book Antiqua" w:hAnsi="Book Antiqua" w:cs="Times New Roman"/>
          <w:sz w:val="24"/>
          <w:szCs w:val="24"/>
        </w:rPr>
        <w:t>thought</w:t>
      </w:r>
      <w:r w:rsidRPr="00051E6C">
        <w:rPr>
          <w:rFonts w:ascii="Book Antiqua" w:hAnsi="Book Antiqua" w:cs="Times New Roman"/>
          <w:sz w:val="24"/>
          <w:szCs w:val="24"/>
        </w:rPr>
        <w:t xml:space="preserve"> that at least some of the MCE4 proteins form an outer membrane channel that </w:t>
      </w:r>
      <w:r w:rsidR="00D35E76" w:rsidRPr="00051E6C">
        <w:rPr>
          <w:rFonts w:ascii="Book Antiqua" w:hAnsi="Book Antiqua" w:cs="Times New Roman"/>
          <w:sz w:val="24"/>
          <w:szCs w:val="24"/>
        </w:rPr>
        <w:t>mediates</w:t>
      </w:r>
      <w:r w:rsidRPr="00051E6C">
        <w:rPr>
          <w:rFonts w:ascii="Book Antiqua" w:hAnsi="Book Antiqua" w:cs="Times New Roman"/>
          <w:sz w:val="24"/>
          <w:szCs w:val="24"/>
        </w:rPr>
        <w:t xml:space="preserve"> cholesterol </w:t>
      </w:r>
      <w:r w:rsidR="00D35E76" w:rsidRPr="00051E6C">
        <w:rPr>
          <w:rFonts w:ascii="Book Antiqua" w:hAnsi="Book Antiqua" w:cs="Times New Roman"/>
          <w:sz w:val="24"/>
          <w:szCs w:val="24"/>
        </w:rPr>
        <w:t xml:space="preserve">entry into </w:t>
      </w:r>
      <w:r w:rsidRPr="00051E6C">
        <w:rPr>
          <w:rFonts w:ascii="Book Antiqua" w:hAnsi="Book Antiqua" w:cs="Times New Roman"/>
          <w:sz w:val="24"/>
          <w:szCs w:val="24"/>
        </w:rPr>
        <w:t xml:space="preserve">the cell, thereby enabling uptake by the mycobacterium of host lipids vital for its survival during the prolonged latent </w:t>
      </w:r>
      <w:proofErr w:type="gramStart"/>
      <w:r w:rsidRPr="00051E6C">
        <w:rPr>
          <w:rFonts w:ascii="Book Antiqua" w:hAnsi="Book Antiqua" w:cs="Times New Roman"/>
          <w:sz w:val="24"/>
          <w:szCs w:val="24"/>
        </w:rPr>
        <w:t>infection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63]</w:t>
      </w:r>
      <w:r w:rsidRPr="00051E6C">
        <w:rPr>
          <w:rFonts w:ascii="Book Antiqua" w:hAnsi="Book Antiqua" w:cs="Times New Roman"/>
          <w:sz w:val="24"/>
          <w:szCs w:val="24"/>
        </w:rPr>
        <w:t xml:space="preserve">. Transposon Site Hybridization studies have shown that certain MTB genes involved in the lipid metabolism was genetically linked to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 </w:t>
      </w:r>
      <w:proofErr w:type="gramStart"/>
      <w:r w:rsidRPr="00051E6C">
        <w:rPr>
          <w:rFonts w:ascii="Book Antiqua" w:hAnsi="Book Antiqua" w:cs="Times New Roman"/>
          <w:sz w:val="24"/>
          <w:szCs w:val="24"/>
        </w:rPr>
        <w:t>genes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60]</w:t>
      </w:r>
      <w:r w:rsidRPr="00051E6C">
        <w:rPr>
          <w:rFonts w:ascii="Book Antiqua" w:hAnsi="Book Antiqua" w:cs="Times New Roman"/>
          <w:sz w:val="24"/>
          <w:szCs w:val="24"/>
        </w:rPr>
        <w:t xml:space="preserve">.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has been shown to encode a cholesterol transport system that enables the mycobacterium to derive both carbon and energy from the host membrane lipids and also for possibly generating sterol metabolites mediating its long-term survival within the </w:t>
      </w:r>
      <w:proofErr w:type="gramStart"/>
      <w:r w:rsidRPr="00051E6C">
        <w:rPr>
          <w:rFonts w:ascii="Book Antiqua" w:hAnsi="Book Antiqua" w:cs="Times New Roman"/>
          <w:sz w:val="24"/>
          <w:szCs w:val="24"/>
        </w:rPr>
        <w:t>macrophage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38]</w:t>
      </w:r>
      <w:r w:rsidRPr="00051E6C">
        <w:rPr>
          <w:rFonts w:ascii="Book Antiqua" w:hAnsi="Book Antiqua" w:cs="Times New Roman"/>
          <w:sz w:val="24"/>
          <w:szCs w:val="24"/>
        </w:rPr>
        <w:t xml:space="preserve">, with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expression progressively increasing as the latency phase advances</w:t>
      </w:r>
      <w:r w:rsidRPr="00051E6C">
        <w:rPr>
          <w:rFonts w:ascii="Book Antiqua" w:hAnsi="Book Antiqua" w:cs="Times New Roman"/>
          <w:noProof/>
          <w:sz w:val="24"/>
          <w:szCs w:val="24"/>
          <w:vertAlign w:val="superscript"/>
        </w:rPr>
        <w:t>[64]</w:t>
      </w:r>
      <w:r w:rsidRPr="00051E6C">
        <w:rPr>
          <w:rFonts w:ascii="Book Antiqua" w:hAnsi="Book Antiqua" w:cs="Times New Roman"/>
          <w:sz w:val="24"/>
          <w:szCs w:val="24"/>
        </w:rPr>
        <w:t xml:space="preserve">.  </w:t>
      </w:r>
    </w:p>
    <w:p w14:paraId="4B2A957E" w14:textId="77777777" w:rsidR="00CD4266" w:rsidRPr="00051E6C" w:rsidRDefault="00CD4266" w:rsidP="00051E6C">
      <w:pPr>
        <w:spacing w:after="0" w:line="360" w:lineRule="auto"/>
        <w:ind w:firstLineChars="100" w:firstLine="240"/>
        <w:jc w:val="both"/>
        <w:rPr>
          <w:rFonts w:ascii="Book Antiqua" w:hAnsi="Book Antiqua" w:cs="Times New Roman"/>
          <w:sz w:val="24"/>
          <w:szCs w:val="24"/>
          <w:lang w:eastAsia="zh-CN"/>
        </w:rPr>
      </w:pPr>
    </w:p>
    <w:p w14:paraId="3BB5EC59"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ANTISENSE TECHNOLOGY IN BACTERIA</w:t>
      </w:r>
    </w:p>
    <w:p w14:paraId="4D38E98C" w14:textId="1370E082"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Hundreds of bacterial encoded short interfering RNAs (siRNA) have been reported over the past </w:t>
      </w:r>
      <w:proofErr w:type="gramStart"/>
      <w:r w:rsidRPr="00051E6C">
        <w:rPr>
          <w:rFonts w:ascii="Book Antiqua" w:hAnsi="Book Antiqua" w:cs="Times New Roman"/>
          <w:sz w:val="24"/>
          <w:szCs w:val="24"/>
        </w:rPr>
        <w:t>decade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65-67]</w:t>
      </w:r>
      <w:r w:rsidRPr="00051E6C">
        <w:rPr>
          <w:rFonts w:ascii="Book Antiqua" w:hAnsi="Book Antiqua" w:cs="Times New Roman"/>
          <w:sz w:val="24"/>
          <w:szCs w:val="24"/>
        </w:rPr>
        <w:t xml:space="preserve">. Majority of these siRNAs act by binding to their target mRNAs to bring about the repression. They fall into two major categories: </w:t>
      </w:r>
      <w:r w:rsidR="00162B6F" w:rsidRPr="00051E6C">
        <w:rPr>
          <w:rFonts w:ascii="Book Antiqua" w:hAnsi="Book Antiqua" w:cs="Times New Roman"/>
          <w:sz w:val="24"/>
          <w:szCs w:val="24"/>
        </w:rPr>
        <w:t>some</w:t>
      </w:r>
      <w:r w:rsidRPr="00051E6C">
        <w:rPr>
          <w:rFonts w:ascii="Book Antiqua" w:hAnsi="Book Antiqua" w:cs="Times New Roman"/>
          <w:sz w:val="24"/>
          <w:szCs w:val="24"/>
        </w:rPr>
        <w:t xml:space="preserve"> are encoded at locations farther away from the target gene (trans-acting) and </w:t>
      </w:r>
      <w:r w:rsidR="00162B6F" w:rsidRPr="00051E6C">
        <w:rPr>
          <w:rFonts w:ascii="Book Antiqua" w:hAnsi="Book Antiqua" w:cs="Times New Roman"/>
          <w:sz w:val="24"/>
          <w:szCs w:val="24"/>
        </w:rPr>
        <w:t>others</w:t>
      </w:r>
      <w:r w:rsidRPr="00051E6C">
        <w:rPr>
          <w:rFonts w:ascii="Book Antiqua" w:hAnsi="Book Antiqua" w:cs="Times New Roman"/>
          <w:sz w:val="24"/>
          <w:szCs w:val="24"/>
        </w:rPr>
        <w:t xml:space="preserve"> are </w:t>
      </w:r>
      <w:r w:rsidR="00162B6F" w:rsidRPr="00051E6C">
        <w:rPr>
          <w:rFonts w:ascii="Book Antiqua" w:hAnsi="Book Antiqua" w:cs="Times New Roman"/>
          <w:sz w:val="24"/>
          <w:szCs w:val="24"/>
        </w:rPr>
        <w:t>encoded by</w:t>
      </w:r>
      <w:r w:rsidRPr="00051E6C">
        <w:rPr>
          <w:rFonts w:ascii="Book Antiqua" w:hAnsi="Book Antiqua" w:cs="Times New Roman"/>
          <w:sz w:val="24"/>
          <w:szCs w:val="24"/>
        </w:rPr>
        <w:t xml:space="preserve"> DNA strand </w:t>
      </w:r>
      <w:r w:rsidR="00162B6F" w:rsidRPr="00051E6C">
        <w:rPr>
          <w:rFonts w:ascii="Book Antiqua" w:hAnsi="Book Antiqua" w:cs="Times New Roman"/>
          <w:sz w:val="24"/>
          <w:szCs w:val="24"/>
        </w:rPr>
        <w:t xml:space="preserve">complementary to </w:t>
      </w:r>
      <w:r w:rsidRPr="00051E6C">
        <w:rPr>
          <w:rFonts w:ascii="Book Antiqua" w:hAnsi="Book Antiqua" w:cs="Times New Roman"/>
          <w:sz w:val="24"/>
          <w:szCs w:val="24"/>
        </w:rPr>
        <w:t xml:space="preserve">the target gene (cis-acting). The trans-acting siRNAs generally share only limited complementarity with their target gene and thus is prone to have off target effects. Trans-acting siRNAs are by far the most characterized bacterial siRNAs and have been shown to usually require the chaperon protein Hfq for base </w:t>
      </w:r>
      <w:proofErr w:type="gramStart"/>
      <w:r w:rsidRPr="00051E6C">
        <w:rPr>
          <w:rFonts w:ascii="Book Antiqua" w:hAnsi="Book Antiqua" w:cs="Times New Roman"/>
          <w:sz w:val="24"/>
          <w:szCs w:val="24"/>
        </w:rPr>
        <w:t>pairing</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68]</w:t>
      </w:r>
      <w:r w:rsidRPr="00051E6C">
        <w:rPr>
          <w:rFonts w:ascii="Book Antiqua" w:hAnsi="Book Antiqua" w:cs="Times New Roman"/>
          <w:sz w:val="24"/>
          <w:szCs w:val="24"/>
        </w:rPr>
        <w:t xml:space="preserve">. The cis-encoded siRNAs, or anti-sense RNAs, have perfect complementarity with their target gene and thus have more extensive and stronger base pairing. Among the reported bacterial antisense RNAs, some are short (siRNA), with around 100 nucleotides in length and are usually encoded by plasmids or bacteriophages, while some are chromosomally encoded and are longer, in some cases overlapping entire genes or corresponding to the 5’ or 3’ extension of the protein coding region of the mRNA. The 5’ untranslated region of the </w:t>
      </w:r>
      <w:r w:rsidRPr="00051E6C">
        <w:rPr>
          <w:rFonts w:ascii="Book Antiqua" w:hAnsi="Book Antiqua" w:cs="Times New Roman"/>
          <w:i/>
          <w:sz w:val="24"/>
          <w:szCs w:val="24"/>
        </w:rPr>
        <w:t>mogR</w:t>
      </w:r>
      <w:r w:rsidRPr="00051E6C">
        <w:rPr>
          <w:rFonts w:ascii="Book Antiqua" w:hAnsi="Book Antiqua" w:cs="Times New Roman"/>
          <w:sz w:val="24"/>
          <w:szCs w:val="24"/>
        </w:rPr>
        <w:t xml:space="preserve"> mRNA in </w:t>
      </w:r>
      <w:r w:rsidRPr="00051E6C">
        <w:rPr>
          <w:rFonts w:ascii="Book Antiqua" w:hAnsi="Book Antiqua" w:cs="Times New Roman"/>
          <w:i/>
          <w:sz w:val="24"/>
          <w:szCs w:val="24"/>
        </w:rPr>
        <w:t>Listeria monocytogenes</w:t>
      </w:r>
      <w:r w:rsidRPr="00051E6C">
        <w:rPr>
          <w:rFonts w:ascii="Book Antiqua" w:hAnsi="Book Antiqua" w:cs="Times New Roman"/>
          <w:sz w:val="24"/>
          <w:szCs w:val="24"/>
        </w:rPr>
        <w:t xml:space="preserve"> overlaps 3 genes on the opposite strand involved in the flagellar synthesis and serves as an example of chromosomally encoded long antisense RNAs</w:t>
      </w:r>
      <w:r w:rsidRPr="00051E6C">
        <w:rPr>
          <w:rFonts w:ascii="Book Antiqua" w:hAnsi="Book Antiqua" w:cs="Times New Roman"/>
          <w:noProof/>
          <w:sz w:val="24"/>
          <w:szCs w:val="24"/>
          <w:vertAlign w:val="superscript"/>
        </w:rPr>
        <w:t>[69]</w:t>
      </w:r>
      <w:r w:rsidRPr="00051E6C">
        <w:rPr>
          <w:rFonts w:ascii="Book Antiqua" w:hAnsi="Book Antiqua" w:cs="Times New Roman"/>
          <w:sz w:val="24"/>
          <w:szCs w:val="24"/>
        </w:rPr>
        <w:t xml:space="preserve">. The binding region of antisense RNA on the target mRNA can also vary and may </w:t>
      </w:r>
      <w:r w:rsidR="00162B6F" w:rsidRPr="00051E6C">
        <w:rPr>
          <w:rFonts w:ascii="Book Antiqua" w:hAnsi="Book Antiqua" w:cs="Times New Roman"/>
          <w:sz w:val="24"/>
          <w:szCs w:val="24"/>
        </w:rPr>
        <w:t>be located in</w:t>
      </w:r>
      <w:r w:rsidRPr="00051E6C">
        <w:rPr>
          <w:rFonts w:ascii="Book Antiqua" w:hAnsi="Book Antiqua" w:cs="Times New Roman"/>
          <w:sz w:val="24"/>
          <w:szCs w:val="24"/>
        </w:rPr>
        <w:t xml:space="preserve"> the 5’ end, 3’ end, the </w:t>
      </w:r>
      <w:r w:rsidR="00162B6F" w:rsidRPr="00051E6C">
        <w:rPr>
          <w:rFonts w:ascii="Book Antiqua" w:hAnsi="Book Antiqua" w:cs="Times New Roman"/>
          <w:sz w:val="24"/>
          <w:szCs w:val="24"/>
        </w:rPr>
        <w:t>central region</w:t>
      </w:r>
      <w:r w:rsidRPr="00051E6C">
        <w:rPr>
          <w:rFonts w:ascii="Book Antiqua" w:hAnsi="Book Antiqua" w:cs="Times New Roman"/>
          <w:sz w:val="24"/>
          <w:szCs w:val="24"/>
        </w:rPr>
        <w:t xml:space="preserve">, or the entire coding region. </w:t>
      </w:r>
    </w:p>
    <w:p w14:paraId="1B648A2F" w14:textId="3F927C3C"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Antisense RNAs in the bacterial cell have been shown to repress many detriments to the cell such as transposons and toxic proteins. One of the first antisense RNA to be discovered in bacteria was the RNA-OUT of the transposon Tn10, which was shown to </w:t>
      </w:r>
      <w:r w:rsidR="00162B6F" w:rsidRPr="00051E6C">
        <w:rPr>
          <w:rFonts w:ascii="Book Antiqua" w:hAnsi="Book Antiqua" w:cs="Times New Roman"/>
          <w:sz w:val="24"/>
          <w:szCs w:val="24"/>
        </w:rPr>
        <w:t>inhibit</w:t>
      </w:r>
      <w:r w:rsidRPr="00051E6C">
        <w:rPr>
          <w:rFonts w:ascii="Book Antiqua" w:hAnsi="Book Antiqua" w:cs="Times New Roman"/>
          <w:sz w:val="24"/>
          <w:szCs w:val="24"/>
        </w:rPr>
        <w:t xml:space="preserve"> transposition by preventing the translation of transposase mRNA</w:t>
      </w:r>
      <w:r w:rsidRPr="00051E6C">
        <w:rPr>
          <w:rFonts w:ascii="Book Antiqua" w:hAnsi="Book Antiqua" w:cs="Times New Roman"/>
          <w:noProof/>
          <w:sz w:val="24"/>
          <w:szCs w:val="24"/>
          <w:vertAlign w:val="superscript"/>
        </w:rPr>
        <w:t>[70]</w:t>
      </w:r>
      <w:r w:rsidRPr="00051E6C">
        <w:rPr>
          <w:rFonts w:ascii="Book Antiqua" w:hAnsi="Book Antiqua" w:cs="Times New Roman"/>
          <w:sz w:val="24"/>
          <w:szCs w:val="24"/>
        </w:rPr>
        <w:t xml:space="preserve">. Antisense RNAs are also seen encoded opposite transposase genes in </w:t>
      </w:r>
      <w:r w:rsidRPr="00051E6C">
        <w:rPr>
          <w:rFonts w:ascii="Book Antiqua" w:hAnsi="Book Antiqua" w:cs="Times New Roman"/>
          <w:i/>
          <w:sz w:val="24"/>
          <w:szCs w:val="24"/>
        </w:rPr>
        <w:t xml:space="preserve">Salmonella </w:t>
      </w:r>
      <w:proofErr w:type="gramStart"/>
      <w:r w:rsidRPr="00051E6C">
        <w:rPr>
          <w:rFonts w:ascii="Book Antiqua" w:hAnsi="Book Antiqua" w:cs="Times New Roman"/>
          <w:i/>
          <w:sz w:val="24"/>
          <w:szCs w:val="24"/>
        </w:rPr>
        <w:t>enterica</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71</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72]</w:t>
      </w:r>
      <w:r w:rsidRPr="00051E6C">
        <w:rPr>
          <w:rFonts w:ascii="Book Antiqua" w:hAnsi="Book Antiqua" w:cs="Times New Roman"/>
          <w:sz w:val="24"/>
          <w:szCs w:val="24"/>
        </w:rPr>
        <w:t xml:space="preserve">, </w:t>
      </w:r>
      <w:r w:rsidRPr="00051E6C">
        <w:rPr>
          <w:rFonts w:ascii="Book Antiqua" w:hAnsi="Book Antiqua" w:cs="Times New Roman"/>
          <w:i/>
          <w:sz w:val="24"/>
          <w:szCs w:val="24"/>
        </w:rPr>
        <w:t>Caulobacter crescentus</w:t>
      </w:r>
      <w:r w:rsidRPr="00051E6C">
        <w:rPr>
          <w:rFonts w:ascii="Book Antiqua" w:hAnsi="Book Antiqua" w:cs="Times New Roman"/>
          <w:noProof/>
          <w:sz w:val="24"/>
          <w:szCs w:val="24"/>
          <w:vertAlign w:val="superscript"/>
        </w:rPr>
        <w:t>[73]</w:t>
      </w:r>
      <w:r w:rsidRPr="00051E6C">
        <w:rPr>
          <w:rFonts w:ascii="Book Antiqua" w:hAnsi="Book Antiqua" w:cs="Times New Roman"/>
          <w:sz w:val="24"/>
          <w:szCs w:val="24"/>
        </w:rPr>
        <w:t xml:space="preserve">, and </w:t>
      </w:r>
      <w:r w:rsidRPr="00051E6C">
        <w:rPr>
          <w:rFonts w:ascii="Book Antiqua" w:hAnsi="Book Antiqua" w:cs="Times New Roman"/>
          <w:i/>
          <w:sz w:val="24"/>
          <w:szCs w:val="24"/>
        </w:rPr>
        <w:t>Listeria monocytogenes</w:t>
      </w:r>
      <w:r w:rsidRPr="00051E6C">
        <w:rPr>
          <w:rFonts w:ascii="Book Antiqua" w:hAnsi="Book Antiqua" w:cs="Times New Roman"/>
          <w:noProof/>
          <w:sz w:val="24"/>
          <w:szCs w:val="24"/>
          <w:vertAlign w:val="superscript"/>
        </w:rPr>
        <w:t>[69]</w:t>
      </w:r>
      <w:r w:rsidRPr="00051E6C">
        <w:rPr>
          <w:rFonts w:ascii="Book Antiqua" w:hAnsi="Book Antiqua" w:cs="Times New Roman"/>
          <w:sz w:val="24"/>
          <w:szCs w:val="24"/>
        </w:rPr>
        <w:t xml:space="preserve">. Thus </w:t>
      </w:r>
      <w:r w:rsidR="00162B6F" w:rsidRPr="00051E6C">
        <w:rPr>
          <w:rFonts w:ascii="Book Antiqua" w:hAnsi="Book Antiqua" w:cs="Times New Roman"/>
          <w:sz w:val="24"/>
          <w:szCs w:val="24"/>
        </w:rPr>
        <w:t xml:space="preserve">a critical role of </w:t>
      </w:r>
      <w:r w:rsidRPr="00051E6C">
        <w:rPr>
          <w:rFonts w:ascii="Book Antiqua" w:hAnsi="Book Antiqua" w:cs="Times New Roman"/>
          <w:sz w:val="24"/>
          <w:szCs w:val="24"/>
        </w:rPr>
        <w:t xml:space="preserve">bacterial antisense RNA, as in </w:t>
      </w:r>
      <w:proofErr w:type="gramStart"/>
      <w:r w:rsidRPr="00051E6C">
        <w:rPr>
          <w:rFonts w:ascii="Book Antiqua" w:hAnsi="Book Antiqua" w:cs="Times New Roman"/>
          <w:sz w:val="24"/>
          <w:szCs w:val="24"/>
        </w:rPr>
        <w:t>eukaryotes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74]</w:t>
      </w:r>
      <w:r w:rsidRPr="00051E6C">
        <w:rPr>
          <w:rFonts w:ascii="Book Antiqua" w:hAnsi="Book Antiqua" w:cs="Times New Roman"/>
          <w:sz w:val="24"/>
          <w:szCs w:val="24"/>
        </w:rPr>
        <w:t xml:space="preserve">, appears to be the inhibition of transposition. </w:t>
      </w:r>
      <w:r w:rsidR="00476737" w:rsidRPr="00051E6C">
        <w:rPr>
          <w:rFonts w:ascii="Book Antiqua" w:hAnsi="Book Antiqua" w:cs="Times New Roman"/>
          <w:sz w:val="24"/>
          <w:szCs w:val="24"/>
        </w:rPr>
        <w:t xml:space="preserve">There is increasing evidence that </w:t>
      </w:r>
      <w:r w:rsidRPr="00051E6C">
        <w:rPr>
          <w:rFonts w:ascii="Book Antiqua" w:hAnsi="Book Antiqua" w:cs="Times New Roman"/>
          <w:sz w:val="24"/>
          <w:szCs w:val="24"/>
        </w:rPr>
        <w:t xml:space="preserve">antisense RNAs downregulate the expression of toxic </w:t>
      </w:r>
      <w:proofErr w:type="gramStart"/>
      <w:r w:rsidRPr="00051E6C">
        <w:rPr>
          <w:rFonts w:ascii="Book Antiqua" w:hAnsi="Book Antiqua" w:cs="Times New Roman"/>
          <w:sz w:val="24"/>
          <w:szCs w:val="24"/>
        </w:rPr>
        <w:t>proteins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75</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76]</w:t>
      </w:r>
      <w:r w:rsidRPr="00051E6C">
        <w:rPr>
          <w:rFonts w:ascii="Book Antiqua" w:hAnsi="Book Antiqua" w:cs="Times New Roman"/>
          <w:sz w:val="24"/>
          <w:szCs w:val="24"/>
        </w:rPr>
        <w:t xml:space="preserve">. It has been found that most of these repressed proteins are hydrophobic, small with less than 50 amino acids, and toxic at higher levels. An example of this tight repression of one such toxic protein is seen in </w:t>
      </w:r>
      <w:r w:rsidRPr="00051E6C">
        <w:rPr>
          <w:rFonts w:ascii="Book Antiqua" w:hAnsi="Book Antiqua" w:cs="Times New Roman"/>
          <w:i/>
          <w:sz w:val="24"/>
          <w:szCs w:val="24"/>
        </w:rPr>
        <w:t>E. coli</w:t>
      </w:r>
      <w:r w:rsidRPr="00051E6C">
        <w:rPr>
          <w:rFonts w:ascii="Book Antiqua" w:hAnsi="Book Antiqua" w:cs="Times New Roman"/>
          <w:sz w:val="24"/>
          <w:szCs w:val="24"/>
        </w:rPr>
        <w:t>, where the low levels of SymE protein is maintained by the LexA repressor of the SOS response, the SymR antisense RNA and the Lon protease</w:t>
      </w:r>
      <w:r w:rsidRPr="00051E6C">
        <w:rPr>
          <w:rFonts w:ascii="Book Antiqua" w:hAnsi="Book Antiqua" w:cs="Times New Roman"/>
          <w:noProof/>
          <w:sz w:val="24"/>
          <w:szCs w:val="24"/>
          <w:vertAlign w:val="superscript"/>
        </w:rPr>
        <w:t>[77]</w:t>
      </w:r>
      <w:r w:rsidRPr="00051E6C">
        <w:rPr>
          <w:rFonts w:ascii="Book Antiqua" w:hAnsi="Book Antiqua" w:cs="Times New Roman"/>
          <w:sz w:val="24"/>
          <w:szCs w:val="24"/>
        </w:rPr>
        <w:t>. Some of the antisense RNAs to transposases and toxic genes, such as SymR, are expressed constitutively in the cell</w:t>
      </w:r>
      <w:r w:rsidR="00162B6F" w:rsidRPr="00051E6C">
        <w:rPr>
          <w:rFonts w:ascii="Book Antiqua" w:hAnsi="Book Antiqua" w:cs="Times New Roman"/>
          <w:sz w:val="24"/>
          <w:szCs w:val="24"/>
        </w:rPr>
        <w:t xml:space="preserve"> </w:t>
      </w:r>
      <w:r w:rsidRPr="00051E6C">
        <w:rPr>
          <w:rFonts w:ascii="Book Antiqua" w:hAnsi="Book Antiqua" w:cs="Times New Roman"/>
          <w:noProof/>
          <w:sz w:val="24"/>
          <w:szCs w:val="24"/>
          <w:vertAlign w:val="superscript"/>
        </w:rPr>
        <w:t>[77]</w:t>
      </w:r>
      <w:r w:rsidRPr="00051E6C">
        <w:rPr>
          <w:rFonts w:ascii="Book Antiqua" w:hAnsi="Book Antiqua" w:cs="Times New Roman"/>
          <w:sz w:val="24"/>
          <w:szCs w:val="24"/>
        </w:rPr>
        <w:t xml:space="preserve">. </w:t>
      </w:r>
    </w:p>
    <w:p w14:paraId="7B15FD3F" w14:textId="6430D5AF" w:rsidR="00CD4266" w:rsidRPr="00051E6C" w:rsidRDefault="00162B6F"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Studies have shown that a</w:t>
      </w:r>
      <w:r w:rsidR="00CD4266" w:rsidRPr="00051E6C">
        <w:rPr>
          <w:rFonts w:ascii="Book Antiqua" w:hAnsi="Book Antiqua" w:cs="Times New Roman"/>
          <w:sz w:val="24"/>
          <w:szCs w:val="24"/>
        </w:rPr>
        <w:t xml:space="preserve">ntisense RNAs </w:t>
      </w:r>
      <w:r w:rsidRPr="00051E6C">
        <w:rPr>
          <w:rFonts w:ascii="Book Antiqua" w:hAnsi="Book Antiqua" w:cs="Times New Roman"/>
          <w:sz w:val="24"/>
          <w:szCs w:val="24"/>
        </w:rPr>
        <w:t xml:space="preserve">can </w:t>
      </w:r>
      <w:r w:rsidR="00CD4266" w:rsidRPr="00051E6C">
        <w:rPr>
          <w:rFonts w:ascii="Book Antiqua" w:hAnsi="Book Antiqua" w:cs="Times New Roman"/>
          <w:sz w:val="24"/>
          <w:szCs w:val="24"/>
        </w:rPr>
        <w:t xml:space="preserve">positively and negatively regulate the expression of various transcriptional regulators and other metabolic and virulence proteins in bacterial systems. For example, The 109 nucleotide </w:t>
      </w:r>
      <w:r w:rsidR="00CD4266" w:rsidRPr="00051E6C">
        <w:rPr>
          <w:rFonts w:ascii="Book Antiqua" w:hAnsi="Book Antiqua" w:cs="Times New Roman"/>
          <w:i/>
          <w:sz w:val="24"/>
          <w:szCs w:val="24"/>
        </w:rPr>
        <w:t>GadY</w:t>
      </w:r>
      <w:r w:rsidR="00CD4266" w:rsidRPr="00051E6C">
        <w:rPr>
          <w:rFonts w:ascii="Book Antiqua" w:hAnsi="Book Antiqua" w:cs="Times New Roman"/>
          <w:sz w:val="24"/>
          <w:szCs w:val="24"/>
        </w:rPr>
        <w:t xml:space="preserve"> antisense RNA of </w:t>
      </w:r>
      <w:r w:rsidR="00CD4266" w:rsidRPr="00051E6C">
        <w:rPr>
          <w:rFonts w:ascii="Book Antiqua" w:hAnsi="Book Antiqua" w:cs="Times New Roman"/>
          <w:i/>
          <w:iCs/>
          <w:sz w:val="24"/>
          <w:szCs w:val="24"/>
        </w:rPr>
        <w:t xml:space="preserve">E. coli </w:t>
      </w:r>
      <w:r w:rsidR="00CD4266" w:rsidRPr="00051E6C">
        <w:rPr>
          <w:rFonts w:ascii="Book Antiqua" w:hAnsi="Book Antiqua" w:cs="Times New Roman"/>
          <w:sz w:val="24"/>
          <w:szCs w:val="24"/>
        </w:rPr>
        <w:t xml:space="preserve">overlaps the intergenic region of the dicistronic </w:t>
      </w:r>
      <w:r w:rsidR="00CD4266" w:rsidRPr="00051E6C">
        <w:rPr>
          <w:rFonts w:ascii="Book Antiqua" w:hAnsi="Book Antiqua" w:cs="Times New Roman"/>
          <w:i/>
          <w:iCs/>
          <w:sz w:val="24"/>
          <w:szCs w:val="24"/>
        </w:rPr>
        <w:t xml:space="preserve">gadXW </w:t>
      </w:r>
      <w:r w:rsidR="00CD4266" w:rsidRPr="00051E6C">
        <w:rPr>
          <w:rFonts w:ascii="Book Antiqua" w:hAnsi="Book Antiqua" w:cs="Times New Roman"/>
          <w:sz w:val="24"/>
          <w:szCs w:val="24"/>
        </w:rPr>
        <w:t xml:space="preserve">mRNA which encodes two transcription regulators of the acid stress response genes and </w:t>
      </w:r>
      <w:r w:rsidRPr="00051E6C">
        <w:rPr>
          <w:rFonts w:ascii="Book Antiqua" w:hAnsi="Book Antiqua" w:cs="Times New Roman"/>
          <w:sz w:val="24"/>
          <w:szCs w:val="24"/>
        </w:rPr>
        <w:t>enhanced transcription</w:t>
      </w:r>
      <w:r w:rsidR="00CD4266" w:rsidRPr="00051E6C">
        <w:rPr>
          <w:rFonts w:ascii="Book Antiqua" w:hAnsi="Book Antiqua" w:cs="Times New Roman"/>
          <w:sz w:val="24"/>
          <w:szCs w:val="24"/>
        </w:rPr>
        <w:t xml:space="preserve"> of the </w:t>
      </w:r>
      <w:r w:rsidR="00CD4266" w:rsidRPr="00051E6C">
        <w:rPr>
          <w:rFonts w:ascii="Book Antiqua" w:hAnsi="Book Antiqua" w:cs="Times New Roman"/>
          <w:i/>
          <w:sz w:val="24"/>
          <w:szCs w:val="24"/>
        </w:rPr>
        <w:t>GadY</w:t>
      </w:r>
      <w:r w:rsidR="00CD4266" w:rsidRPr="00051E6C">
        <w:rPr>
          <w:rFonts w:ascii="Book Antiqua" w:hAnsi="Book Antiqua" w:cs="Times New Roman"/>
          <w:sz w:val="24"/>
          <w:szCs w:val="24"/>
        </w:rPr>
        <w:t xml:space="preserve"> </w:t>
      </w:r>
      <w:r w:rsidRPr="00051E6C">
        <w:rPr>
          <w:rFonts w:ascii="Book Antiqua" w:hAnsi="Book Antiqua" w:cs="Times New Roman"/>
          <w:sz w:val="24"/>
          <w:szCs w:val="24"/>
        </w:rPr>
        <w:t>gene</w:t>
      </w:r>
      <w:r w:rsidR="00CD4266" w:rsidRPr="00051E6C">
        <w:rPr>
          <w:rFonts w:ascii="Book Antiqua" w:hAnsi="Book Antiqua" w:cs="Times New Roman"/>
          <w:sz w:val="24"/>
          <w:szCs w:val="24"/>
        </w:rPr>
        <w:t xml:space="preserve"> </w:t>
      </w:r>
      <w:r w:rsidRPr="00051E6C">
        <w:rPr>
          <w:rFonts w:ascii="Book Antiqua" w:hAnsi="Book Antiqua" w:cs="Times New Roman"/>
          <w:sz w:val="24"/>
          <w:szCs w:val="24"/>
        </w:rPr>
        <w:t>which leads to cleavage</w:t>
      </w:r>
      <w:r w:rsidR="00CD4266" w:rsidRPr="00051E6C">
        <w:rPr>
          <w:rFonts w:ascii="Book Antiqua" w:hAnsi="Book Antiqua" w:cs="Times New Roman"/>
          <w:sz w:val="24"/>
          <w:szCs w:val="24"/>
        </w:rPr>
        <w:t xml:space="preserve"> of </w:t>
      </w:r>
      <w:r w:rsidR="00CD4266" w:rsidRPr="00051E6C">
        <w:rPr>
          <w:rFonts w:ascii="Book Antiqua" w:hAnsi="Book Antiqua" w:cs="Times New Roman"/>
          <w:i/>
          <w:sz w:val="24"/>
          <w:szCs w:val="24"/>
        </w:rPr>
        <w:t>gadXW</w:t>
      </w:r>
      <w:r w:rsidR="00CD4266" w:rsidRPr="00051E6C">
        <w:rPr>
          <w:rFonts w:ascii="Book Antiqua" w:hAnsi="Book Antiqua" w:cs="Times New Roman"/>
          <w:sz w:val="24"/>
          <w:szCs w:val="24"/>
        </w:rPr>
        <w:t xml:space="preserve"> mRNA into  </w:t>
      </w:r>
      <w:r w:rsidR="00CD4266" w:rsidRPr="00051E6C">
        <w:rPr>
          <w:rFonts w:ascii="Book Antiqua" w:hAnsi="Book Antiqua" w:cs="Times New Roman"/>
          <w:i/>
          <w:sz w:val="24"/>
          <w:szCs w:val="24"/>
        </w:rPr>
        <w:t>gadX</w:t>
      </w:r>
      <w:r w:rsidR="00CD4266" w:rsidRPr="00051E6C">
        <w:rPr>
          <w:rFonts w:ascii="Book Antiqua" w:hAnsi="Book Antiqua" w:cs="Times New Roman"/>
          <w:sz w:val="24"/>
          <w:szCs w:val="24"/>
        </w:rPr>
        <w:t xml:space="preserve"> and </w:t>
      </w:r>
      <w:r w:rsidR="00CD4266" w:rsidRPr="00051E6C">
        <w:rPr>
          <w:rFonts w:ascii="Book Antiqua" w:hAnsi="Book Antiqua" w:cs="Times New Roman"/>
          <w:i/>
          <w:sz w:val="24"/>
          <w:szCs w:val="24"/>
        </w:rPr>
        <w:t>gadW</w:t>
      </w:r>
      <w:r w:rsidR="00CD4266" w:rsidRPr="00051E6C">
        <w:rPr>
          <w:rFonts w:ascii="Book Antiqua" w:hAnsi="Book Antiqua" w:cs="Times New Roman"/>
          <w:sz w:val="24"/>
          <w:szCs w:val="24"/>
        </w:rPr>
        <w:t xml:space="preserve"> transcripts</w:t>
      </w:r>
      <w:r w:rsidRPr="00051E6C">
        <w:rPr>
          <w:rFonts w:ascii="Book Antiqua" w:hAnsi="Book Antiqua" w:cs="Times New Roman"/>
          <w:sz w:val="24"/>
          <w:szCs w:val="24"/>
        </w:rPr>
        <w:t>,</w:t>
      </w:r>
      <w:r w:rsidR="00CD4266" w:rsidRPr="00051E6C">
        <w:rPr>
          <w:rFonts w:ascii="Book Antiqua" w:hAnsi="Book Antiqua" w:cs="Times New Roman"/>
          <w:sz w:val="24"/>
          <w:szCs w:val="24"/>
        </w:rPr>
        <w:t xml:space="preserve"> leading to positive regulation (increased expression) of those genes</w:t>
      </w:r>
      <w:r w:rsidR="00CD4266" w:rsidRPr="00051E6C">
        <w:rPr>
          <w:rFonts w:ascii="Book Antiqua" w:hAnsi="Book Antiqua" w:cs="Times New Roman"/>
          <w:noProof/>
          <w:sz w:val="24"/>
          <w:szCs w:val="24"/>
          <w:vertAlign w:val="superscript"/>
        </w:rPr>
        <w:t>[78</w:t>
      </w:r>
      <w:r w:rsidR="00CD4266" w:rsidRPr="00051E6C">
        <w:rPr>
          <w:rFonts w:ascii="Book Antiqua" w:hAnsi="Book Antiqua" w:cs="Times New Roman"/>
          <w:noProof/>
          <w:sz w:val="24"/>
          <w:szCs w:val="24"/>
          <w:vertAlign w:val="superscript"/>
          <w:lang w:eastAsia="zh-CN"/>
        </w:rPr>
        <w:t>,</w:t>
      </w:r>
      <w:r w:rsidR="00CD4266" w:rsidRPr="00051E6C">
        <w:rPr>
          <w:rFonts w:ascii="Book Antiqua" w:hAnsi="Book Antiqua" w:cs="Times New Roman"/>
          <w:noProof/>
          <w:sz w:val="24"/>
          <w:szCs w:val="24"/>
          <w:vertAlign w:val="superscript"/>
        </w:rPr>
        <w:t>79]</w:t>
      </w:r>
      <w:r w:rsidR="00CD4266" w:rsidRPr="00051E6C">
        <w:rPr>
          <w:rFonts w:ascii="Book Antiqua" w:hAnsi="Book Antiqua" w:cs="Times New Roman"/>
          <w:sz w:val="24"/>
          <w:szCs w:val="24"/>
        </w:rPr>
        <w:t xml:space="preserve">. And on the other hand, in the nitrogen-fixing cyanobacterium </w:t>
      </w:r>
      <w:r w:rsidR="00CD4266" w:rsidRPr="00051E6C">
        <w:rPr>
          <w:rFonts w:ascii="Book Antiqua" w:hAnsi="Book Antiqua" w:cs="Times New Roman"/>
          <w:i/>
          <w:sz w:val="24"/>
          <w:szCs w:val="24"/>
        </w:rPr>
        <w:t>Anabaena</w:t>
      </w:r>
      <w:r w:rsidR="00CD4266" w:rsidRPr="00051E6C">
        <w:rPr>
          <w:rFonts w:ascii="Book Antiqua" w:hAnsi="Book Antiqua" w:cs="Times New Roman"/>
          <w:sz w:val="24"/>
          <w:szCs w:val="24"/>
        </w:rPr>
        <w:t xml:space="preserve"> </w:t>
      </w:r>
      <w:r w:rsidR="00CD4266" w:rsidRPr="00051E6C">
        <w:rPr>
          <w:rFonts w:ascii="Book Antiqua" w:hAnsi="Book Antiqua" w:cs="Times New Roman"/>
          <w:i/>
          <w:sz w:val="24"/>
          <w:szCs w:val="24"/>
        </w:rPr>
        <w:t>sp.</w:t>
      </w:r>
      <w:r w:rsidR="00CD4266" w:rsidRPr="00051E6C">
        <w:rPr>
          <w:rFonts w:ascii="Book Antiqua" w:hAnsi="Book Antiqua" w:cs="Times New Roman"/>
          <w:sz w:val="24"/>
          <w:szCs w:val="24"/>
        </w:rPr>
        <w:t xml:space="preserve"> PCC 7120, the </w:t>
      </w:r>
      <w:r w:rsidR="00CD4266" w:rsidRPr="00051E6C">
        <w:rPr>
          <w:rFonts w:ascii="Book Antiqua" w:hAnsi="Book Antiqua" w:cs="Times New Roman"/>
          <w:sz w:val="24"/>
          <w:szCs w:val="24"/>
          <w:lang w:eastAsia="zh-CN"/>
        </w:rPr>
        <w:t xml:space="preserve">approximately </w:t>
      </w:r>
      <w:r w:rsidR="00CD4266" w:rsidRPr="00051E6C">
        <w:rPr>
          <w:rFonts w:ascii="Book Antiqua" w:hAnsi="Book Antiqua" w:cs="Times New Roman"/>
          <w:sz w:val="24"/>
          <w:szCs w:val="24"/>
        </w:rPr>
        <w:t xml:space="preserve">2200 nucleotide </w:t>
      </w:r>
      <w:r w:rsidR="00CD4266" w:rsidRPr="00051E6C">
        <w:rPr>
          <w:rFonts w:ascii="Book Antiqua" w:hAnsi="Book Antiqua" w:cs="Times New Roman"/>
          <w:i/>
          <w:sz w:val="24"/>
          <w:szCs w:val="24"/>
        </w:rPr>
        <w:t>alr1690-α-furA</w:t>
      </w:r>
      <w:r w:rsidR="00CD4266" w:rsidRPr="00051E6C">
        <w:rPr>
          <w:rFonts w:ascii="Book Antiqua" w:hAnsi="Book Antiqua" w:cs="Times New Roman"/>
          <w:sz w:val="24"/>
          <w:szCs w:val="24"/>
        </w:rPr>
        <w:t xml:space="preserve"> antisense RNA spans the entire </w:t>
      </w:r>
      <w:r w:rsidR="00CD4266" w:rsidRPr="00051E6C">
        <w:rPr>
          <w:rFonts w:ascii="Book Antiqua" w:hAnsi="Book Antiqua" w:cs="Times New Roman"/>
          <w:i/>
          <w:iCs/>
          <w:sz w:val="24"/>
          <w:szCs w:val="24"/>
        </w:rPr>
        <w:t xml:space="preserve">alr1690 </w:t>
      </w:r>
      <w:r w:rsidR="00CD4266" w:rsidRPr="00051E6C">
        <w:rPr>
          <w:rFonts w:ascii="Book Antiqua" w:hAnsi="Book Antiqua" w:cs="Times New Roman"/>
          <w:sz w:val="24"/>
          <w:szCs w:val="24"/>
        </w:rPr>
        <w:t xml:space="preserve">coding region and extends through the gene encoding the ferric uptake transcriptional regulator, FurA, into its promoter and regulator regions and it helps decrease </w:t>
      </w:r>
      <w:r w:rsidR="00CD4266" w:rsidRPr="00051E6C">
        <w:rPr>
          <w:rFonts w:ascii="Book Antiqua" w:hAnsi="Book Antiqua" w:cs="Times New Roman"/>
          <w:i/>
          <w:sz w:val="24"/>
          <w:szCs w:val="24"/>
        </w:rPr>
        <w:t>furA</w:t>
      </w:r>
      <w:r w:rsidR="00CD4266" w:rsidRPr="00051E6C">
        <w:rPr>
          <w:rFonts w:ascii="Book Antiqua" w:hAnsi="Book Antiqua" w:cs="Times New Roman"/>
          <w:sz w:val="24"/>
          <w:szCs w:val="24"/>
        </w:rPr>
        <w:t xml:space="preserve"> expression and translation, thereby acting as a negative regulator of iron absorption and nitrogen </w:t>
      </w:r>
      <w:proofErr w:type="gramStart"/>
      <w:r w:rsidR="00CD4266" w:rsidRPr="00051E6C">
        <w:rPr>
          <w:rFonts w:ascii="Book Antiqua" w:hAnsi="Book Antiqua" w:cs="Times New Roman"/>
          <w:sz w:val="24"/>
          <w:szCs w:val="24"/>
        </w:rPr>
        <w:t>metabolism</w:t>
      </w:r>
      <w:r w:rsidR="00CD4266" w:rsidRPr="00051E6C">
        <w:rPr>
          <w:rFonts w:ascii="Book Antiqua" w:hAnsi="Book Antiqua" w:cs="Times New Roman"/>
          <w:noProof/>
          <w:sz w:val="24"/>
          <w:szCs w:val="24"/>
          <w:vertAlign w:val="superscript"/>
        </w:rPr>
        <w:t>[</w:t>
      </w:r>
      <w:proofErr w:type="gramEnd"/>
      <w:r w:rsidR="00CD4266" w:rsidRPr="00051E6C">
        <w:rPr>
          <w:rFonts w:ascii="Book Antiqua" w:hAnsi="Book Antiqua" w:cs="Times New Roman"/>
          <w:noProof/>
          <w:sz w:val="24"/>
          <w:szCs w:val="24"/>
          <w:vertAlign w:val="superscript"/>
        </w:rPr>
        <w:t>80]</w:t>
      </w:r>
      <w:r w:rsidR="00CD4266" w:rsidRPr="00051E6C">
        <w:rPr>
          <w:rFonts w:ascii="Book Antiqua" w:hAnsi="Book Antiqua" w:cs="Times New Roman"/>
          <w:sz w:val="24"/>
          <w:szCs w:val="24"/>
        </w:rPr>
        <w:t xml:space="preserve">. Similar regulatory RNAs controlling metabolic responses to environmental effects have been reported in many other bacterial </w:t>
      </w:r>
      <w:proofErr w:type="gramStart"/>
      <w:r w:rsidR="00CD4266" w:rsidRPr="00051E6C">
        <w:rPr>
          <w:rFonts w:ascii="Book Antiqua" w:hAnsi="Book Antiqua" w:cs="Times New Roman"/>
          <w:sz w:val="24"/>
          <w:szCs w:val="24"/>
        </w:rPr>
        <w:t>systems</w:t>
      </w:r>
      <w:r w:rsidR="00CD4266" w:rsidRPr="00051E6C">
        <w:rPr>
          <w:rFonts w:ascii="Book Antiqua" w:hAnsi="Book Antiqua" w:cs="Times New Roman"/>
          <w:noProof/>
          <w:sz w:val="24"/>
          <w:szCs w:val="24"/>
          <w:vertAlign w:val="superscript"/>
        </w:rPr>
        <w:t>[</w:t>
      </w:r>
      <w:proofErr w:type="gramEnd"/>
      <w:r w:rsidR="00CD4266" w:rsidRPr="00051E6C">
        <w:rPr>
          <w:rFonts w:ascii="Book Antiqua" w:hAnsi="Book Antiqua" w:cs="Times New Roman"/>
          <w:noProof/>
          <w:sz w:val="24"/>
          <w:szCs w:val="24"/>
          <w:vertAlign w:val="superscript"/>
        </w:rPr>
        <w:t>81-87]</w:t>
      </w:r>
      <w:r w:rsidR="00CD4266" w:rsidRPr="00051E6C">
        <w:rPr>
          <w:rFonts w:ascii="Book Antiqua" w:hAnsi="Book Antiqua" w:cs="Times New Roman"/>
          <w:sz w:val="24"/>
          <w:szCs w:val="24"/>
        </w:rPr>
        <w:t xml:space="preserve">. </w:t>
      </w:r>
    </w:p>
    <w:p w14:paraId="15A1415E" w14:textId="40828054"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Another recently discovered phenomenon is the antisense-mediated gene regulatory switch in the bacteria called the “excludon”. This comprises a gene locus encoding an unusually long antisense RNA that spans divergent genes or operons with related or opposing functions. In such a regulatory system, the antisense RNA can inhibit the expression of one operon while functioning as an mRNA for the adjacent operon, there by acting as fine-tuning regulatory switches in </w:t>
      </w:r>
      <w:proofErr w:type="gramStart"/>
      <w:r w:rsidRPr="00051E6C">
        <w:rPr>
          <w:rFonts w:ascii="Book Antiqua" w:hAnsi="Book Antiqua" w:cs="Times New Roman"/>
          <w:sz w:val="24"/>
          <w:szCs w:val="24"/>
        </w:rPr>
        <w:t>bacteria</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88]</w:t>
      </w:r>
      <w:r w:rsidRPr="00051E6C">
        <w:rPr>
          <w:rFonts w:ascii="Book Antiqua" w:hAnsi="Book Antiqua" w:cs="Times New Roman"/>
          <w:sz w:val="24"/>
          <w:szCs w:val="24"/>
        </w:rPr>
        <w:t xml:space="preserve">.    </w:t>
      </w:r>
    </w:p>
    <w:p w14:paraId="665560C7" w14:textId="6981E39D"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Antisense RNA also regulate</w:t>
      </w:r>
      <w:r w:rsidR="00162B6F" w:rsidRPr="00051E6C">
        <w:rPr>
          <w:rFonts w:ascii="Book Antiqua" w:hAnsi="Book Antiqua" w:cs="Times New Roman"/>
          <w:sz w:val="24"/>
          <w:szCs w:val="24"/>
        </w:rPr>
        <w:t>s</w:t>
      </w:r>
      <w:r w:rsidRPr="00051E6C">
        <w:rPr>
          <w:rFonts w:ascii="Book Antiqua" w:hAnsi="Book Antiqua" w:cs="Times New Roman"/>
          <w:sz w:val="24"/>
          <w:szCs w:val="24"/>
        </w:rPr>
        <w:t xml:space="preserve"> the expression of various structural and virulence factors in different bacteria. </w:t>
      </w:r>
      <w:r w:rsidR="00162B6F" w:rsidRPr="00051E6C">
        <w:rPr>
          <w:rFonts w:ascii="Book Antiqua" w:hAnsi="Book Antiqua" w:cs="Times New Roman"/>
          <w:sz w:val="24"/>
          <w:szCs w:val="24"/>
        </w:rPr>
        <w:t>For instance,</w:t>
      </w:r>
      <w:r w:rsidRPr="00051E6C">
        <w:rPr>
          <w:rFonts w:ascii="Book Antiqua" w:hAnsi="Book Antiqua" w:cs="Times New Roman"/>
          <w:sz w:val="24"/>
          <w:szCs w:val="24"/>
        </w:rPr>
        <w:t xml:space="preserve"> the 1200 nucleotide </w:t>
      </w:r>
      <w:r w:rsidRPr="00051E6C">
        <w:rPr>
          <w:rFonts w:ascii="Book Antiqua" w:hAnsi="Book Antiqua" w:cs="Times New Roman"/>
          <w:i/>
          <w:sz w:val="24"/>
          <w:szCs w:val="24"/>
        </w:rPr>
        <w:t>AmgR</w:t>
      </w:r>
      <w:r w:rsidRPr="00051E6C">
        <w:rPr>
          <w:rFonts w:ascii="Book Antiqua" w:hAnsi="Book Antiqua" w:cs="Times New Roman"/>
          <w:sz w:val="24"/>
          <w:szCs w:val="24"/>
        </w:rPr>
        <w:t xml:space="preserve"> RNA </w:t>
      </w:r>
      <w:r w:rsidR="00162B6F" w:rsidRPr="00051E6C">
        <w:rPr>
          <w:rFonts w:ascii="Book Antiqua" w:hAnsi="Book Antiqua" w:cs="Times New Roman"/>
          <w:sz w:val="24"/>
          <w:szCs w:val="24"/>
        </w:rPr>
        <w:t xml:space="preserve">which is </w:t>
      </w:r>
      <w:r w:rsidRPr="00051E6C">
        <w:rPr>
          <w:rFonts w:ascii="Book Antiqua" w:hAnsi="Book Antiqua" w:cs="Times New Roman"/>
          <w:sz w:val="24"/>
          <w:szCs w:val="24"/>
        </w:rPr>
        <w:t xml:space="preserve">encoded opposite the </w:t>
      </w:r>
      <w:r w:rsidRPr="00051E6C">
        <w:rPr>
          <w:rFonts w:ascii="Book Antiqua" w:hAnsi="Book Antiqua" w:cs="Times New Roman"/>
          <w:i/>
          <w:sz w:val="24"/>
          <w:szCs w:val="24"/>
        </w:rPr>
        <w:t>Salmonella enterica mgtCBR</w:t>
      </w:r>
      <w:r w:rsidRPr="00051E6C">
        <w:rPr>
          <w:rFonts w:ascii="Book Antiqua" w:hAnsi="Book Antiqua" w:cs="Times New Roman"/>
          <w:sz w:val="24"/>
          <w:szCs w:val="24"/>
        </w:rPr>
        <w:t xml:space="preserve"> operon </w:t>
      </w:r>
      <w:r w:rsidR="00162B6F" w:rsidRPr="00051E6C">
        <w:rPr>
          <w:rFonts w:ascii="Book Antiqua" w:hAnsi="Book Antiqua" w:cs="Times New Roman"/>
          <w:sz w:val="24"/>
          <w:szCs w:val="24"/>
        </w:rPr>
        <w:t>is responsible for the bacteria’s</w:t>
      </w:r>
      <w:r w:rsidRPr="00051E6C">
        <w:rPr>
          <w:rFonts w:ascii="Book Antiqua" w:hAnsi="Book Antiqua" w:cs="Times New Roman"/>
          <w:sz w:val="24"/>
          <w:szCs w:val="24"/>
        </w:rPr>
        <w:t xml:space="preserve"> virulence and survival in </w:t>
      </w:r>
      <w:proofErr w:type="gramStart"/>
      <w:r w:rsidRPr="00051E6C">
        <w:rPr>
          <w:rFonts w:ascii="Book Antiqua" w:hAnsi="Book Antiqua" w:cs="Times New Roman"/>
          <w:sz w:val="24"/>
          <w:szCs w:val="24"/>
        </w:rPr>
        <w:t>macrophages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89]</w:t>
      </w:r>
      <w:r w:rsidRPr="00051E6C">
        <w:rPr>
          <w:rFonts w:ascii="Book Antiqua" w:hAnsi="Book Antiqua" w:cs="Times New Roman"/>
          <w:sz w:val="24"/>
          <w:szCs w:val="24"/>
        </w:rPr>
        <w:t xml:space="preserve">. A number of other antisense RNAs modulating virulence and regulating host-pathogen interactions have been discovered in a variety of bacterial species over the </w:t>
      </w:r>
      <w:proofErr w:type="gramStart"/>
      <w:r w:rsidRPr="00051E6C">
        <w:rPr>
          <w:rFonts w:ascii="Book Antiqua" w:hAnsi="Book Antiqua" w:cs="Times New Roman"/>
          <w:sz w:val="24"/>
          <w:szCs w:val="24"/>
        </w:rPr>
        <w:t>years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90-97]</w:t>
      </w:r>
      <w:r w:rsidRPr="00051E6C">
        <w:rPr>
          <w:rFonts w:ascii="Book Antiqua" w:hAnsi="Book Antiqua" w:cs="Times New Roman"/>
          <w:sz w:val="24"/>
          <w:szCs w:val="24"/>
        </w:rPr>
        <w:t xml:space="preserve">.  Antisense RNAs have also been found to impact other benign structural components including flagellar synthesis in </w:t>
      </w:r>
      <w:proofErr w:type="gramStart"/>
      <w:r w:rsidRPr="00051E6C">
        <w:rPr>
          <w:rFonts w:ascii="Book Antiqua" w:hAnsi="Book Antiqua" w:cs="Times New Roman"/>
          <w:i/>
          <w:sz w:val="24"/>
          <w:szCs w:val="24"/>
        </w:rPr>
        <w:t>Rhizobium</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98]</w:t>
      </w:r>
      <w:r w:rsidRPr="00051E6C">
        <w:rPr>
          <w:rFonts w:ascii="Book Antiqua" w:hAnsi="Book Antiqua" w:cs="Times New Roman"/>
          <w:sz w:val="24"/>
          <w:szCs w:val="24"/>
        </w:rPr>
        <w:t xml:space="preserve">, </w:t>
      </w:r>
      <w:r w:rsidRPr="00051E6C">
        <w:rPr>
          <w:rFonts w:ascii="Book Antiqua" w:hAnsi="Book Antiqua" w:cs="Times New Roman"/>
          <w:i/>
          <w:iCs/>
          <w:sz w:val="24"/>
          <w:szCs w:val="24"/>
        </w:rPr>
        <w:t>H. pylori</w:t>
      </w:r>
      <w:r w:rsidRPr="00051E6C">
        <w:rPr>
          <w:rFonts w:ascii="Book Antiqua" w:hAnsi="Book Antiqua" w:cs="Times New Roman"/>
          <w:iCs/>
          <w:noProof/>
          <w:sz w:val="24"/>
          <w:szCs w:val="24"/>
          <w:vertAlign w:val="superscript"/>
        </w:rPr>
        <w:t>[99]</w:t>
      </w:r>
      <w:r w:rsidRPr="00051E6C">
        <w:rPr>
          <w:rFonts w:ascii="Book Antiqua" w:hAnsi="Book Antiqua" w:cs="Times New Roman"/>
          <w:sz w:val="24"/>
          <w:szCs w:val="24"/>
        </w:rPr>
        <w:t xml:space="preserve">, </w:t>
      </w:r>
      <w:r w:rsidRPr="00051E6C">
        <w:rPr>
          <w:rFonts w:ascii="Book Antiqua" w:hAnsi="Book Antiqua" w:cs="Times New Roman"/>
          <w:i/>
          <w:iCs/>
          <w:sz w:val="24"/>
          <w:szCs w:val="24"/>
        </w:rPr>
        <w:t>L. monocytogenes</w:t>
      </w:r>
      <w:r w:rsidRPr="00051E6C">
        <w:rPr>
          <w:rFonts w:ascii="Book Antiqua" w:hAnsi="Book Antiqua" w:cs="Times New Roman"/>
          <w:iCs/>
          <w:noProof/>
          <w:sz w:val="24"/>
          <w:szCs w:val="24"/>
          <w:vertAlign w:val="superscript"/>
        </w:rPr>
        <w:t>[69]</w:t>
      </w:r>
      <w:r w:rsidRPr="00051E6C">
        <w:rPr>
          <w:rFonts w:ascii="Book Antiqua" w:hAnsi="Book Antiqua" w:cs="Times New Roman"/>
          <w:i/>
          <w:iCs/>
          <w:sz w:val="24"/>
          <w:szCs w:val="24"/>
        </w:rPr>
        <w:t xml:space="preserve"> </w:t>
      </w:r>
      <w:r w:rsidRPr="00051E6C">
        <w:rPr>
          <w:rFonts w:ascii="Book Antiqua" w:hAnsi="Book Antiqua" w:cs="Times New Roman"/>
          <w:sz w:val="24"/>
          <w:szCs w:val="24"/>
        </w:rPr>
        <w:t xml:space="preserve">and </w:t>
      </w:r>
      <w:r w:rsidRPr="00051E6C">
        <w:rPr>
          <w:rFonts w:ascii="Book Antiqua" w:hAnsi="Book Antiqua" w:cs="Times New Roman"/>
          <w:i/>
          <w:iCs/>
          <w:sz w:val="24"/>
          <w:szCs w:val="24"/>
        </w:rPr>
        <w:t>S. enterica</w:t>
      </w:r>
      <w:r w:rsidRPr="00051E6C">
        <w:rPr>
          <w:rFonts w:ascii="Book Antiqua" w:hAnsi="Book Antiqua" w:cs="Times New Roman"/>
          <w:noProof/>
          <w:sz w:val="24"/>
          <w:szCs w:val="24"/>
          <w:vertAlign w:val="superscript"/>
        </w:rPr>
        <w:t>[100]</w:t>
      </w:r>
      <w:r w:rsidRPr="00051E6C">
        <w:rPr>
          <w:rFonts w:ascii="Book Antiqua" w:hAnsi="Book Antiqua" w:cs="Times New Roman"/>
          <w:sz w:val="24"/>
          <w:szCs w:val="24"/>
        </w:rPr>
        <w:t xml:space="preserve">.  </w:t>
      </w:r>
    </w:p>
    <w:p w14:paraId="746EA3E2" w14:textId="3705FAB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The first complete experimental confirmation of short antisense RNAs in mycobacteria was published in 2009, which revealed 5 trans-acting and 4 cis-acting siRNAs in </w:t>
      </w:r>
      <w:r w:rsidR="00051E6C" w:rsidRPr="00051E6C">
        <w:rPr>
          <w:rFonts w:ascii="Book Antiqua" w:hAnsi="Book Antiqua" w:cs="Times New Roman"/>
          <w:sz w:val="24"/>
          <w:szCs w:val="24"/>
        </w:rPr>
        <w:t>MTB</w:t>
      </w:r>
      <w:r w:rsidRPr="00051E6C">
        <w:rPr>
          <w:rFonts w:ascii="Book Antiqua" w:hAnsi="Book Antiqua" w:cs="Times New Roman"/>
          <w:sz w:val="24"/>
          <w:szCs w:val="24"/>
        </w:rPr>
        <w:t xml:space="preserve"> H37Rv in the context of pH and oxidative </w:t>
      </w:r>
      <w:proofErr w:type="gramStart"/>
      <w:r w:rsidRPr="00051E6C">
        <w:rPr>
          <w:rFonts w:ascii="Book Antiqua" w:hAnsi="Book Antiqua" w:cs="Times New Roman"/>
          <w:sz w:val="24"/>
          <w:szCs w:val="24"/>
        </w:rPr>
        <w:t>stress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101]</w:t>
      </w:r>
      <w:r w:rsidRPr="00051E6C">
        <w:rPr>
          <w:rFonts w:ascii="Book Antiqua" w:hAnsi="Book Antiqua" w:cs="Times New Roman"/>
          <w:sz w:val="24"/>
          <w:szCs w:val="24"/>
        </w:rPr>
        <w:t xml:space="preserve">. By the end of 2013, a total of more than 200 endogenous antisense RNAs were experimentally identified in various mycobacteria, including 70 in </w:t>
      </w:r>
      <w:r w:rsidR="00051E6C" w:rsidRPr="00051E6C">
        <w:rPr>
          <w:rFonts w:ascii="Book Antiqua" w:hAnsi="Book Antiqua" w:cs="Times New Roman"/>
          <w:sz w:val="24"/>
          <w:szCs w:val="24"/>
        </w:rPr>
        <w:t>MTB</w:t>
      </w:r>
      <w:r w:rsidRPr="00051E6C">
        <w:rPr>
          <w:rFonts w:ascii="Book Antiqua" w:hAnsi="Book Antiqua" w:cs="Times New Roman"/>
          <w:noProof/>
          <w:sz w:val="24"/>
          <w:szCs w:val="24"/>
          <w:vertAlign w:val="superscript"/>
        </w:rPr>
        <w:t>[102-110]</w:t>
      </w:r>
      <w:r w:rsidRPr="00051E6C">
        <w:rPr>
          <w:rFonts w:ascii="Book Antiqua" w:hAnsi="Book Antiqua" w:cs="Times New Roman"/>
          <w:sz w:val="24"/>
          <w:szCs w:val="24"/>
        </w:rPr>
        <w:t xml:space="preserve">, 90 in </w:t>
      </w:r>
      <w:r w:rsidRPr="00051E6C">
        <w:rPr>
          <w:rFonts w:ascii="Book Antiqua" w:hAnsi="Book Antiqua" w:cs="Times New Roman"/>
          <w:i/>
          <w:sz w:val="24"/>
          <w:szCs w:val="24"/>
        </w:rPr>
        <w:t>M. Bovis</w:t>
      </w:r>
      <w:r w:rsidRPr="00051E6C">
        <w:rPr>
          <w:rFonts w:ascii="Book Antiqua" w:hAnsi="Book Antiqua" w:cs="Times New Roman"/>
          <w:noProof/>
          <w:sz w:val="24"/>
          <w:szCs w:val="24"/>
          <w:vertAlign w:val="superscript"/>
        </w:rPr>
        <w:t>[103</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104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111]</w:t>
      </w:r>
      <w:r w:rsidRPr="00051E6C">
        <w:rPr>
          <w:rFonts w:ascii="Book Antiqua" w:hAnsi="Book Antiqua" w:cs="Times New Roman"/>
          <w:sz w:val="24"/>
          <w:szCs w:val="24"/>
        </w:rPr>
        <w:t xml:space="preserve">, 9 in </w:t>
      </w:r>
      <w:r w:rsidRPr="00051E6C">
        <w:rPr>
          <w:rFonts w:ascii="Book Antiqua" w:hAnsi="Book Antiqua" w:cs="Times New Roman"/>
          <w:i/>
          <w:sz w:val="24"/>
          <w:szCs w:val="24"/>
        </w:rPr>
        <w:t>M. avium</w:t>
      </w:r>
      <w:r w:rsidRPr="00051E6C">
        <w:rPr>
          <w:rFonts w:ascii="Book Antiqua" w:hAnsi="Book Antiqua" w:cs="Times New Roman"/>
          <w:noProof/>
          <w:sz w:val="24"/>
          <w:szCs w:val="24"/>
          <w:vertAlign w:val="superscript"/>
        </w:rPr>
        <w:t>[112]</w:t>
      </w:r>
      <w:r w:rsidRPr="00051E6C">
        <w:rPr>
          <w:rFonts w:ascii="Book Antiqua" w:hAnsi="Book Antiqua" w:cs="Times New Roman"/>
          <w:sz w:val="24"/>
          <w:szCs w:val="24"/>
        </w:rPr>
        <w:t xml:space="preserve">, and 44 in </w:t>
      </w:r>
      <w:r w:rsidRPr="00051E6C">
        <w:rPr>
          <w:rFonts w:ascii="Book Antiqua" w:hAnsi="Book Antiqua" w:cs="Times New Roman"/>
          <w:i/>
          <w:sz w:val="24"/>
          <w:szCs w:val="24"/>
        </w:rPr>
        <w:t>M. smegmatis</w:t>
      </w:r>
      <w:r w:rsidRPr="00051E6C">
        <w:rPr>
          <w:rFonts w:ascii="Book Antiqua" w:hAnsi="Book Antiqua" w:cs="Times New Roman"/>
          <w:noProof/>
          <w:sz w:val="24"/>
          <w:szCs w:val="24"/>
          <w:vertAlign w:val="superscript"/>
        </w:rPr>
        <w:t>[102-104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113]</w:t>
      </w:r>
      <w:r w:rsidRPr="00051E6C">
        <w:rPr>
          <w:rFonts w:ascii="Book Antiqua" w:hAnsi="Book Antiqua" w:cs="Times New Roman"/>
          <w:sz w:val="24"/>
          <w:szCs w:val="24"/>
        </w:rPr>
        <w:t>. From these recent studies, a stronger connection between mycobacterial pathogenesis and the levels of expression of the antisense RNAs have emerged but many new questions about their potential pathogenic</w:t>
      </w:r>
      <w:r w:rsidRPr="00051E6C">
        <w:rPr>
          <w:rFonts w:ascii="Book Antiqua" w:hAnsi="Book Antiqua" w:cs="Times New Roman"/>
          <w:i/>
          <w:sz w:val="24"/>
          <w:szCs w:val="24"/>
        </w:rPr>
        <w:t xml:space="preserve"> vs</w:t>
      </w:r>
      <w:r w:rsidRPr="00051E6C">
        <w:rPr>
          <w:rFonts w:ascii="Book Antiqua" w:hAnsi="Book Antiqua" w:cs="Times New Roman"/>
          <w:sz w:val="24"/>
          <w:szCs w:val="24"/>
        </w:rPr>
        <w:t xml:space="preserve"> housekeeping functions remain to be answered. The lack of identification of an Hfq homolog in mycobacteria prevents the current approach of coimmunoprecipitation, making the study of the role of antisense RNAs all the more difficult in this </w:t>
      </w:r>
      <w:proofErr w:type="gramStart"/>
      <w:r w:rsidRPr="00051E6C">
        <w:rPr>
          <w:rFonts w:ascii="Book Antiqua" w:hAnsi="Book Antiqua" w:cs="Times New Roman"/>
          <w:sz w:val="24"/>
          <w:szCs w:val="24"/>
        </w:rPr>
        <w:t>genus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102]</w:t>
      </w:r>
      <w:r w:rsidRPr="00051E6C">
        <w:rPr>
          <w:rFonts w:ascii="Book Antiqua" w:hAnsi="Book Antiqua" w:cs="Times New Roman"/>
          <w:sz w:val="24"/>
          <w:szCs w:val="24"/>
        </w:rPr>
        <w:t xml:space="preserve">. Pandey </w:t>
      </w:r>
      <w:r w:rsidRPr="00051E6C">
        <w:rPr>
          <w:rFonts w:ascii="Book Antiqua" w:hAnsi="Book Antiqua" w:cs="Times New Roman"/>
          <w:i/>
          <w:sz w:val="24"/>
          <w:szCs w:val="24"/>
        </w:rPr>
        <w:t xml:space="preserve">et </w:t>
      </w:r>
      <w:proofErr w:type="gramStart"/>
      <w:r w:rsidRPr="00051E6C">
        <w:rPr>
          <w:rFonts w:ascii="Book Antiqua" w:hAnsi="Book Antiqua" w:cs="Times New Roman"/>
          <w:i/>
          <w:sz w:val="24"/>
          <w:szCs w:val="24"/>
        </w:rPr>
        <w:t>al</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114]</w:t>
      </w:r>
      <w:r w:rsidRPr="00051E6C">
        <w:rPr>
          <w:rFonts w:ascii="Book Antiqua" w:hAnsi="Book Antiqua" w:cs="Times New Roman"/>
          <w:sz w:val="24"/>
          <w:szCs w:val="24"/>
        </w:rPr>
        <w:t xml:space="preserve"> have proposed an alternative protein, Rv2367, as a potential RNA chaperon in place of Hfq</w:t>
      </w:r>
      <w:r w:rsidRPr="00051E6C">
        <w:rPr>
          <w:rFonts w:ascii="Book Antiqua" w:hAnsi="Book Antiqua" w:cs="Times New Roman"/>
          <w:noProof/>
          <w:sz w:val="24"/>
          <w:szCs w:val="24"/>
          <w:vertAlign w:val="superscript"/>
        </w:rPr>
        <w:t>[114]</w:t>
      </w:r>
      <w:r w:rsidRPr="00051E6C">
        <w:rPr>
          <w:rFonts w:ascii="Book Antiqua" w:hAnsi="Book Antiqua" w:cs="Times New Roman"/>
          <w:sz w:val="24"/>
          <w:szCs w:val="24"/>
        </w:rPr>
        <w:t>, however, studies are ongoing in this direction to find a functionally-equivalent chaperon or to get around this issue</w:t>
      </w:r>
      <w:r w:rsidRPr="00051E6C">
        <w:rPr>
          <w:rFonts w:ascii="Book Antiqua" w:hAnsi="Book Antiqua" w:cs="Times New Roman"/>
          <w:noProof/>
          <w:sz w:val="24"/>
          <w:szCs w:val="24"/>
          <w:vertAlign w:val="superscript"/>
        </w:rPr>
        <w:t>[113]</w:t>
      </w:r>
      <w:r w:rsidRPr="00051E6C">
        <w:rPr>
          <w:rFonts w:ascii="Book Antiqua" w:hAnsi="Book Antiqua" w:cs="Times New Roman"/>
          <w:sz w:val="24"/>
          <w:szCs w:val="24"/>
        </w:rPr>
        <w:t xml:space="preserve">. Also, the role of mycobacterial antisense RNAs in regulating transposition is not as clear as in other bacterial systems like </w:t>
      </w:r>
      <w:r w:rsidRPr="00051E6C">
        <w:rPr>
          <w:rFonts w:ascii="Book Antiqua" w:hAnsi="Book Antiqua" w:cs="Times New Roman"/>
          <w:i/>
          <w:sz w:val="24"/>
          <w:szCs w:val="24"/>
        </w:rPr>
        <w:t>E. coli</w:t>
      </w:r>
      <w:r w:rsidRPr="00051E6C">
        <w:rPr>
          <w:rFonts w:ascii="Book Antiqua" w:hAnsi="Book Antiqua" w:cs="Times New Roman"/>
          <w:sz w:val="24"/>
          <w:szCs w:val="24"/>
        </w:rPr>
        <w:t xml:space="preserve">. </w:t>
      </w:r>
    </w:p>
    <w:p w14:paraId="5391FD07" w14:textId="7E6FEB4B"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Antisense RNAs can </w:t>
      </w:r>
      <w:r w:rsidR="00162B6F" w:rsidRPr="00051E6C">
        <w:rPr>
          <w:rFonts w:ascii="Book Antiqua" w:hAnsi="Book Antiqua" w:cs="Times New Roman"/>
          <w:sz w:val="24"/>
          <w:szCs w:val="24"/>
        </w:rPr>
        <w:t>repress or modulate</w:t>
      </w:r>
      <w:r w:rsidRPr="00051E6C">
        <w:rPr>
          <w:rFonts w:ascii="Book Antiqua" w:hAnsi="Book Antiqua" w:cs="Times New Roman"/>
          <w:sz w:val="24"/>
          <w:szCs w:val="24"/>
        </w:rPr>
        <w:t xml:space="preserve"> expression </w:t>
      </w:r>
      <w:r w:rsidR="00162B6F" w:rsidRPr="00051E6C">
        <w:rPr>
          <w:rFonts w:ascii="Book Antiqua" w:hAnsi="Book Antiqua" w:cs="Times New Roman"/>
          <w:sz w:val="24"/>
          <w:szCs w:val="24"/>
        </w:rPr>
        <w:t xml:space="preserve">of target genes </w:t>
      </w:r>
      <w:r w:rsidR="002F5357" w:rsidRPr="00051E6C">
        <w:rPr>
          <w:rFonts w:ascii="Book Antiqua" w:hAnsi="Book Antiqua" w:cs="Times New Roman"/>
          <w:sz w:val="24"/>
          <w:szCs w:val="24"/>
        </w:rPr>
        <w:t>by a variety of mechanisms</w:t>
      </w:r>
      <w:r w:rsidRPr="00051E6C">
        <w:rPr>
          <w:rFonts w:ascii="Book Antiqua" w:hAnsi="Book Antiqua" w:cs="Times New Roman"/>
          <w:sz w:val="24"/>
          <w:szCs w:val="24"/>
        </w:rPr>
        <w:t xml:space="preserve">, including transcription interference, transcription attenuation, </w:t>
      </w:r>
      <w:proofErr w:type="gramStart"/>
      <w:r w:rsidRPr="00051E6C">
        <w:rPr>
          <w:rFonts w:ascii="Book Antiqua" w:hAnsi="Book Antiqua" w:cs="Times New Roman"/>
          <w:sz w:val="24"/>
          <w:szCs w:val="24"/>
        </w:rPr>
        <w:t>degradation</w:t>
      </w:r>
      <w:proofErr w:type="gramEnd"/>
      <w:r w:rsidRPr="00051E6C">
        <w:rPr>
          <w:rFonts w:ascii="Book Antiqua" w:hAnsi="Book Antiqua" w:cs="Times New Roman"/>
          <w:sz w:val="24"/>
          <w:szCs w:val="24"/>
        </w:rPr>
        <w:t xml:space="preserve"> by endo- or exonucleases, or by blocking ribosome binding. When inducing transcription interference, the transcription of antisense RNA from one promoter hinders the RNA polymerase from either binding or extending the target gene transcript from the opposite </w:t>
      </w:r>
      <w:proofErr w:type="gramStart"/>
      <w:r w:rsidRPr="00051E6C">
        <w:rPr>
          <w:rFonts w:ascii="Book Antiqua" w:hAnsi="Book Antiqua" w:cs="Times New Roman"/>
          <w:sz w:val="24"/>
          <w:szCs w:val="24"/>
        </w:rPr>
        <w:t>strand</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115</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116]</w:t>
      </w:r>
      <w:r w:rsidRPr="00051E6C">
        <w:rPr>
          <w:rFonts w:ascii="Book Antiqua" w:hAnsi="Book Antiqua" w:cs="Times New Roman"/>
          <w:sz w:val="24"/>
          <w:szCs w:val="24"/>
        </w:rPr>
        <w:t xml:space="preserve">. This type of interference occurs only in Cis and does not involve base pairing. In transcription attenuation, the binding of the antisense RNA to the target RNA causes a conformational change creating a terminator structure in the mRNA leading to its premature termination of </w:t>
      </w:r>
      <w:proofErr w:type="gramStart"/>
      <w:r w:rsidRPr="00051E6C">
        <w:rPr>
          <w:rFonts w:ascii="Book Antiqua" w:hAnsi="Book Antiqua" w:cs="Times New Roman"/>
          <w:sz w:val="24"/>
          <w:szCs w:val="24"/>
        </w:rPr>
        <w:t>transcription</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117]</w:t>
      </w:r>
      <w:r w:rsidRPr="00051E6C">
        <w:rPr>
          <w:rFonts w:ascii="Book Antiqua" w:hAnsi="Book Antiqua" w:cs="Times New Roman"/>
          <w:sz w:val="24"/>
          <w:szCs w:val="24"/>
        </w:rPr>
        <w:t xml:space="preserve">. Antisense RNAs can </w:t>
      </w:r>
      <w:r w:rsidR="00162B6F" w:rsidRPr="00051E6C">
        <w:rPr>
          <w:rFonts w:ascii="Book Antiqua" w:hAnsi="Book Antiqua" w:cs="Times New Roman"/>
          <w:sz w:val="24"/>
          <w:szCs w:val="24"/>
        </w:rPr>
        <w:t xml:space="preserve">affect </w:t>
      </w:r>
      <w:r w:rsidRPr="00051E6C">
        <w:rPr>
          <w:rFonts w:ascii="Book Antiqua" w:hAnsi="Book Antiqua" w:cs="Times New Roman"/>
          <w:sz w:val="24"/>
          <w:szCs w:val="24"/>
        </w:rPr>
        <w:t xml:space="preserve">target mRNA </w:t>
      </w:r>
      <w:r w:rsidR="00162B6F" w:rsidRPr="00051E6C">
        <w:rPr>
          <w:rFonts w:ascii="Book Antiqua" w:hAnsi="Book Antiqua" w:cs="Times New Roman"/>
          <w:sz w:val="24"/>
          <w:szCs w:val="24"/>
        </w:rPr>
        <w:t xml:space="preserve">stability </w:t>
      </w:r>
      <w:r w:rsidRPr="00051E6C">
        <w:rPr>
          <w:rFonts w:ascii="Book Antiqua" w:hAnsi="Book Antiqua" w:cs="Times New Roman"/>
          <w:sz w:val="24"/>
          <w:szCs w:val="24"/>
        </w:rPr>
        <w:t xml:space="preserve">by </w:t>
      </w:r>
      <w:r w:rsidR="00162B6F" w:rsidRPr="00051E6C">
        <w:rPr>
          <w:rFonts w:ascii="Book Antiqua" w:hAnsi="Book Antiqua" w:cs="Times New Roman"/>
          <w:sz w:val="24"/>
          <w:szCs w:val="24"/>
        </w:rPr>
        <w:t>stimulating</w:t>
      </w:r>
      <w:r w:rsidRPr="00051E6C">
        <w:rPr>
          <w:rFonts w:ascii="Book Antiqua" w:hAnsi="Book Antiqua" w:cs="Times New Roman"/>
          <w:sz w:val="24"/>
          <w:szCs w:val="24"/>
        </w:rPr>
        <w:t xml:space="preserve"> or </w:t>
      </w:r>
      <w:r w:rsidR="00162B6F" w:rsidRPr="00051E6C">
        <w:rPr>
          <w:rFonts w:ascii="Book Antiqua" w:hAnsi="Book Antiqua" w:cs="Times New Roman"/>
          <w:sz w:val="24"/>
          <w:szCs w:val="24"/>
        </w:rPr>
        <w:t>inhibiting</w:t>
      </w:r>
      <w:r w:rsidRPr="00051E6C">
        <w:rPr>
          <w:rFonts w:ascii="Book Antiqua" w:hAnsi="Book Antiqua" w:cs="Times New Roman"/>
          <w:sz w:val="24"/>
          <w:szCs w:val="24"/>
        </w:rPr>
        <w:t xml:space="preserve"> its degradation. When employing endo- or exonucleases for gene regulation, the antisense RNA, upon binding to its target mRNA, induces or blocks a ribonuclease target site within the mRNA or can indirectly block the binding of the ribonuclease at a distant site. In many bacterial systems, two major endoribonucleases have been identified, RNase III which cleaves double stranded RNA into two with different stabilities than the original transcript</w:t>
      </w:r>
      <w:r w:rsidRPr="00051E6C">
        <w:rPr>
          <w:rFonts w:ascii="Book Antiqua" w:hAnsi="Book Antiqua" w:cs="Times New Roman"/>
          <w:noProof/>
          <w:sz w:val="24"/>
          <w:szCs w:val="24"/>
          <w:vertAlign w:val="superscript"/>
        </w:rPr>
        <w:t>[118-121]</w:t>
      </w:r>
      <w:r w:rsidRPr="00051E6C">
        <w:rPr>
          <w:rFonts w:ascii="Book Antiqua" w:hAnsi="Book Antiqua" w:cs="Times New Roman"/>
          <w:sz w:val="24"/>
          <w:szCs w:val="24"/>
        </w:rPr>
        <w:t xml:space="preserve">, and RNase E, </w:t>
      </w:r>
      <w:r w:rsidR="00162B6F" w:rsidRPr="00051E6C">
        <w:rPr>
          <w:rFonts w:ascii="Book Antiqua" w:hAnsi="Book Antiqua" w:cs="Times New Roman"/>
          <w:sz w:val="24"/>
          <w:szCs w:val="24"/>
        </w:rPr>
        <w:t xml:space="preserve">a component of the multi-protein degradasome complex </w:t>
      </w:r>
      <w:r w:rsidRPr="00051E6C">
        <w:rPr>
          <w:rFonts w:ascii="Book Antiqua" w:hAnsi="Book Antiqua" w:cs="Times New Roman"/>
          <w:sz w:val="24"/>
          <w:szCs w:val="24"/>
        </w:rPr>
        <w:t>which cleaves single stranded RNA</w:t>
      </w:r>
      <w:r w:rsidR="00162B6F" w:rsidRPr="00051E6C">
        <w:rPr>
          <w:rFonts w:ascii="Book Antiqua" w:hAnsi="Book Antiqua" w:cs="Times New Roman"/>
          <w:sz w:val="24"/>
          <w:szCs w:val="24"/>
        </w:rPr>
        <w:t xml:space="preserve"> and interacts</w:t>
      </w:r>
      <w:r w:rsidRPr="00051E6C">
        <w:rPr>
          <w:rFonts w:ascii="Book Antiqua" w:hAnsi="Book Antiqua" w:cs="Times New Roman"/>
          <w:sz w:val="24"/>
          <w:szCs w:val="24"/>
        </w:rPr>
        <w:t xml:space="preserve"> with Hfq and globally affect mRNA stability</w:t>
      </w:r>
      <w:r w:rsidRPr="00051E6C">
        <w:rPr>
          <w:rFonts w:ascii="Book Antiqua" w:hAnsi="Book Antiqua" w:cs="Times New Roman"/>
          <w:noProof/>
          <w:sz w:val="24"/>
          <w:szCs w:val="24"/>
          <w:vertAlign w:val="superscript"/>
        </w:rPr>
        <w:t>[119</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122]</w:t>
      </w:r>
      <w:r w:rsidRPr="00051E6C">
        <w:rPr>
          <w:rFonts w:ascii="Book Antiqua" w:hAnsi="Book Antiqua" w:cs="Times New Roman"/>
          <w:sz w:val="24"/>
          <w:szCs w:val="24"/>
        </w:rPr>
        <w:t xml:space="preserve">. It is not precisely clear how the antisense RNA modulates RNase E activity, but the proposed mechanisms include the donation of its 5’ monophosphate to stimulate RNase E activity or physically block the RNase E recognition site by basepairing to downregulate </w:t>
      </w:r>
      <w:proofErr w:type="gramStart"/>
      <w:r w:rsidRPr="00051E6C">
        <w:rPr>
          <w:rFonts w:ascii="Book Antiqua" w:hAnsi="Book Antiqua" w:cs="Times New Roman"/>
          <w:sz w:val="24"/>
          <w:szCs w:val="24"/>
        </w:rPr>
        <w:t>activity</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123]</w:t>
      </w:r>
      <w:r w:rsidRPr="00051E6C">
        <w:rPr>
          <w:rFonts w:ascii="Book Antiqua" w:hAnsi="Book Antiqua" w:cs="Times New Roman"/>
          <w:sz w:val="24"/>
          <w:szCs w:val="24"/>
        </w:rPr>
        <w:t>. Other ribonucleases in bacteria have also been identified with more specialized functions, including RNase G (a non-essential paralog of RNase E)</w:t>
      </w:r>
      <w:r w:rsidRPr="00051E6C">
        <w:rPr>
          <w:rFonts w:ascii="Book Antiqua" w:hAnsi="Book Antiqua" w:cs="Times New Roman"/>
          <w:noProof/>
          <w:sz w:val="24"/>
          <w:szCs w:val="24"/>
          <w:vertAlign w:val="superscript"/>
        </w:rPr>
        <w:t>[124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125]</w:t>
      </w:r>
      <w:r w:rsidRPr="00051E6C">
        <w:rPr>
          <w:rFonts w:ascii="Book Antiqua" w:hAnsi="Book Antiqua" w:cs="Times New Roman"/>
          <w:sz w:val="24"/>
          <w:szCs w:val="24"/>
        </w:rPr>
        <w:t>, RNase P</w:t>
      </w:r>
      <w:r w:rsidRPr="00051E6C">
        <w:rPr>
          <w:rFonts w:ascii="Book Antiqua" w:hAnsi="Book Antiqua" w:cs="Times New Roman"/>
          <w:noProof/>
          <w:sz w:val="24"/>
          <w:szCs w:val="24"/>
          <w:vertAlign w:val="superscript"/>
        </w:rPr>
        <w:t>[126</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127]</w:t>
      </w:r>
      <w:r w:rsidRPr="00051E6C">
        <w:rPr>
          <w:rFonts w:ascii="Book Antiqua" w:hAnsi="Book Antiqua" w:cs="Times New Roman"/>
          <w:sz w:val="24"/>
          <w:szCs w:val="24"/>
        </w:rPr>
        <w:t>, RNase LS</w:t>
      </w:r>
      <w:r w:rsidRPr="00051E6C">
        <w:rPr>
          <w:rFonts w:ascii="Book Antiqua" w:hAnsi="Book Antiqua" w:cs="Times New Roman"/>
          <w:noProof/>
          <w:sz w:val="24"/>
          <w:szCs w:val="24"/>
          <w:vertAlign w:val="superscript"/>
        </w:rPr>
        <w:t>[128]</w:t>
      </w:r>
      <w:r w:rsidRPr="00051E6C">
        <w:rPr>
          <w:rFonts w:ascii="Book Antiqua" w:hAnsi="Book Antiqua" w:cs="Times New Roman"/>
          <w:sz w:val="24"/>
          <w:szCs w:val="24"/>
        </w:rPr>
        <w:t>, RNase Z</w:t>
      </w:r>
      <w:r w:rsidRPr="00051E6C">
        <w:rPr>
          <w:rFonts w:ascii="Book Antiqua" w:hAnsi="Book Antiqua" w:cs="Times New Roman"/>
          <w:noProof/>
          <w:sz w:val="24"/>
          <w:szCs w:val="24"/>
          <w:vertAlign w:val="superscript"/>
        </w:rPr>
        <w:t>[129</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130]</w:t>
      </w:r>
      <w:r w:rsidRPr="00051E6C">
        <w:rPr>
          <w:rFonts w:ascii="Book Antiqua" w:hAnsi="Book Antiqua" w:cs="Times New Roman"/>
          <w:sz w:val="24"/>
          <w:szCs w:val="24"/>
        </w:rPr>
        <w:t>, RNase H</w:t>
      </w:r>
      <w:r w:rsidRPr="00051E6C">
        <w:rPr>
          <w:rFonts w:ascii="Book Antiqua" w:hAnsi="Book Antiqua" w:cs="Times New Roman"/>
          <w:noProof/>
          <w:sz w:val="24"/>
          <w:szCs w:val="24"/>
          <w:vertAlign w:val="superscript"/>
        </w:rPr>
        <w:t>[131]</w:t>
      </w:r>
      <w:r w:rsidRPr="00051E6C">
        <w:rPr>
          <w:rFonts w:ascii="Book Antiqua" w:hAnsi="Book Antiqua" w:cs="Times New Roman"/>
          <w:sz w:val="24"/>
          <w:szCs w:val="24"/>
        </w:rPr>
        <w:t>, RNase J1/J2</w:t>
      </w:r>
      <w:r w:rsidRPr="00051E6C">
        <w:rPr>
          <w:rFonts w:ascii="Book Antiqua" w:hAnsi="Book Antiqua" w:cs="Times New Roman"/>
          <w:noProof/>
          <w:sz w:val="24"/>
          <w:szCs w:val="24"/>
          <w:vertAlign w:val="superscript"/>
        </w:rPr>
        <w:t>[132]</w:t>
      </w:r>
      <w:r w:rsidRPr="00051E6C">
        <w:rPr>
          <w:rFonts w:ascii="Book Antiqua" w:hAnsi="Book Antiqua" w:cs="Times New Roman"/>
          <w:sz w:val="24"/>
          <w:szCs w:val="24"/>
        </w:rPr>
        <w:t>, and the recently characterized RNase Y</w:t>
      </w:r>
      <w:r w:rsidRPr="00051E6C">
        <w:rPr>
          <w:rFonts w:ascii="Book Antiqua" w:hAnsi="Book Antiqua" w:cs="Times New Roman"/>
          <w:noProof/>
          <w:sz w:val="24"/>
          <w:szCs w:val="24"/>
          <w:vertAlign w:val="superscript"/>
        </w:rPr>
        <w:t>[133]</w:t>
      </w:r>
      <w:r w:rsidRPr="00051E6C">
        <w:rPr>
          <w:rFonts w:ascii="Book Antiqua" w:hAnsi="Book Antiqua" w:cs="Times New Roman"/>
          <w:sz w:val="24"/>
          <w:szCs w:val="24"/>
        </w:rPr>
        <w:t xml:space="preserve">. Many of these ribonucleases have already been characterized in various Mycobacteria, including </w:t>
      </w:r>
      <w:r w:rsidR="00051E6C" w:rsidRPr="00051E6C">
        <w:rPr>
          <w:rFonts w:ascii="Book Antiqua" w:hAnsi="Book Antiqua" w:cs="Times New Roman"/>
          <w:sz w:val="24"/>
          <w:szCs w:val="24"/>
        </w:rPr>
        <w:t>MTB</w:t>
      </w:r>
      <w:r w:rsidRPr="00051E6C">
        <w:rPr>
          <w:rFonts w:ascii="Book Antiqua" w:hAnsi="Book Antiqua" w:cs="Times New Roman"/>
          <w:sz w:val="24"/>
          <w:szCs w:val="24"/>
        </w:rPr>
        <w:t xml:space="preserve"> and </w:t>
      </w:r>
      <w:r w:rsidRPr="00051E6C">
        <w:rPr>
          <w:rFonts w:ascii="Book Antiqua" w:hAnsi="Book Antiqua" w:cs="Times New Roman"/>
          <w:i/>
          <w:sz w:val="24"/>
          <w:szCs w:val="24"/>
        </w:rPr>
        <w:t xml:space="preserve">M. </w:t>
      </w:r>
      <w:proofErr w:type="gramStart"/>
      <w:r w:rsidRPr="00051E6C">
        <w:rPr>
          <w:rFonts w:ascii="Book Antiqua" w:hAnsi="Book Antiqua" w:cs="Times New Roman"/>
          <w:i/>
          <w:sz w:val="24"/>
          <w:szCs w:val="24"/>
        </w:rPr>
        <w:t>smegmatis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134-142]</w:t>
      </w:r>
      <w:r w:rsidRPr="00051E6C">
        <w:rPr>
          <w:rFonts w:ascii="Book Antiqua" w:hAnsi="Book Antiqua" w:cs="Times New Roman"/>
          <w:sz w:val="24"/>
          <w:szCs w:val="24"/>
        </w:rPr>
        <w:t>. Apart from these mechanisms, it has also been found that some antisense RNAs can physically block mRNA expression by binding to the Shine Dalgarno sequences of their target mRNA and prevent ribosome binding</w:t>
      </w:r>
      <w:r w:rsidRPr="00051E6C">
        <w:rPr>
          <w:rFonts w:ascii="Book Antiqua" w:hAnsi="Book Antiqua" w:cs="Times New Roman"/>
          <w:noProof/>
          <w:sz w:val="24"/>
          <w:szCs w:val="24"/>
          <w:vertAlign w:val="superscript"/>
        </w:rPr>
        <w:t>[66</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77</w:t>
      </w:r>
      <w:r w:rsidRPr="00051E6C">
        <w:rPr>
          <w:rFonts w:ascii="Book Antiqua" w:hAnsi="Book Antiqua" w:cs="Times New Roman"/>
          <w:noProof/>
          <w:sz w:val="24"/>
          <w:szCs w:val="24"/>
          <w:vertAlign w:val="superscript"/>
          <w:lang w:eastAsia="zh-CN"/>
        </w:rPr>
        <w:t>,80</w:t>
      </w:r>
      <w:r w:rsidRPr="00051E6C">
        <w:rPr>
          <w:rFonts w:ascii="Book Antiqua" w:hAnsi="Book Antiqua" w:cs="Times New Roman"/>
          <w:noProof/>
          <w:sz w:val="24"/>
          <w:szCs w:val="24"/>
          <w:vertAlign w:val="superscript"/>
        </w:rPr>
        <w:t>]</w:t>
      </w:r>
      <w:r w:rsidRPr="00051E6C">
        <w:rPr>
          <w:rFonts w:ascii="Book Antiqua" w:hAnsi="Book Antiqua" w:cs="Times New Roman"/>
          <w:sz w:val="24"/>
          <w:szCs w:val="24"/>
        </w:rPr>
        <w:t>, or they may indirectly modulate expression by altering the target mRNA conformation</w:t>
      </w:r>
      <w:r w:rsidRPr="00051E6C">
        <w:rPr>
          <w:rFonts w:ascii="Book Antiqua" w:hAnsi="Book Antiqua" w:cs="Times New Roman"/>
          <w:noProof/>
          <w:sz w:val="24"/>
          <w:szCs w:val="24"/>
          <w:vertAlign w:val="superscript"/>
        </w:rPr>
        <w:t>[67]</w:t>
      </w:r>
      <w:r w:rsidRPr="00051E6C">
        <w:rPr>
          <w:rFonts w:ascii="Book Antiqua" w:hAnsi="Book Antiqua" w:cs="Times New Roman"/>
          <w:sz w:val="24"/>
          <w:szCs w:val="24"/>
        </w:rPr>
        <w:t xml:space="preserve">. Finally, antisense RNAs can </w:t>
      </w:r>
      <w:r w:rsidR="00162B6F" w:rsidRPr="00051E6C">
        <w:rPr>
          <w:rFonts w:ascii="Book Antiqua" w:hAnsi="Book Antiqua" w:cs="Times New Roman"/>
          <w:sz w:val="24"/>
          <w:szCs w:val="24"/>
        </w:rPr>
        <w:t>exhibit</w:t>
      </w:r>
      <w:r w:rsidRPr="00051E6C">
        <w:rPr>
          <w:rFonts w:ascii="Book Antiqua" w:hAnsi="Book Antiqua" w:cs="Times New Roman"/>
          <w:sz w:val="24"/>
          <w:szCs w:val="24"/>
        </w:rPr>
        <w:t xml:space="preserve"> dual functions by acting as mRNAs and antisense RNAs or cis- and trans- acting </w:t>
      </w:r>
      <w:proofErr w:type="gramStart"/>
      <w:r w:rsidRPr="00051E6C">
        <w:rPr>
          <w:rFonts w:ascii="Book Antiqua" w:hAnsi="Book Antiqua" w:cs="Times New Roman"/>
          <w:sz w:val="24"/>
          <w:szCs w:val="24"/>
        </w:rPr>
        <w:t>RNAs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78]</w:t>
      </w:r>
      <w:r w:rsidRPr="00051E6C">
        <w:rPr>
          <w:rFonts w:ascii="Book Antiqua" w:hAnsi="Book Antiqua" w:cs="Times New Roman"/>
          <w:sz w:val="24"/>
          <w:szCs w:val="24"/>
        </w:rPr>
        <w:t>.</w:t>
      </w:r>
    </w:p>
    <w:p w14:paraId="22A4CCFD" w14:textId="4752F9C8"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Two general mechanisms have been proposed for base</w:t>
      </w:r>
      <w:r w:rsidR="002F5357" w:rsidRPr="00051E6C">
        <w:rPr>
          <w:rFonts w:ascii="Book Antiqua" w:hAnsi="Book Antiqua" w:cs="Times New Roman"/>
          <w:sz w:val="24"/>
          <w:szCs w:val="24"/>
        </w:rPr>
        <w:t>-</w:t>
      </w:r>
      <w:r w:rsidRPr="00051E6C">
        <w:rPr>
          <w:rFonts w:ascii="Book Antiqua" w:hAnsi="Book Antiqua" w:cs="Times New Roman"/>
          <w:sz w:val="24"/>
          <w:szCs w:val="24"/>
        </w:rPr>
        <w:t xml:space="preserve">pairing in antisense RNAs. The first type is a single-step mechanism in which the antisense RNA makes initial contact with the target mRNA </w:t>
      </w:r>
      <w:r w:rsidR="00162B6F" w:rsidRPr="00051E6C">
        <w:rPr>
          <w:rFonts w:ascii="Book Antiqua" w:hAnsi="Book Antiqua" w:cs="Times New Roman"/>
          <w:sz w:val="24"/>
          <w:szCs w:val="24"/>
        </w:rPr>
        <w:t>to form</w:t>
      </w:r>
      <w:r w:rsidRPr="00051E6C">
        <w:rPr>
          <w:rFonts w:ascii="Book Antiqua" w:hAnsi="Book Antiqua" w:cs="Times New Roman"/>
          <w:sz w:val="24"/>
          <w:szCs w:val="24"/>
        </w:rPr>
        <w:t xml:space="preserve"> </w:t>
      </w:r>
      <w:r w:rsidR="002F5357" w:rsidRPr="00051E6C">
        <w:rPr>
          <w:rFonts w:ascii="Book Antiqua" w:hAnsi="Book Antiqua" w:cs="Times New Roman"/>
          <w:sz w:val="24"/>
          <w:szCs w:val="24"/>
        </w:rPr>
        <w:t xml:space="preserve">a </w:t>
      </w:r>
      <w:proofErr w:type="gramStart"/>
      <w:r w:rsidRPr="00051E6C">
        <w:rPr>
          <w:rFonts w:ascii="Book Antiqua" w:hAnsi="Book Antiqua" w:cs="Times New Roman"/>
          <w:sz w:val="24"/>
          <w:szCs w:val="24"/>
        </w:rPr>
        <w:t>duplex</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143]</w:t>
      </w:r>
      <w:r w:rsidRPr="00051E6C">
        <w:rPr>
          <w:rFonts w:ascii="Book Antiqua" w:hAnsi="Book Antiqua" w:cs="Times New Roman"/>
          <w:sz w:val="24"/>
          <w:szCs w:val="24"/>
        </w:rPr>
        <w:t xml:space="preserve">. The second type is a multi-step system in which the </w:t>
      </w:r>
      <w:r w:rsidR="00162B6F" w:rsidRPr="00051E6C">
        <w:rPr>
          <w:rFonts w:ascii="Book Antiqua" w:hAnsi="Book Antiqua" w:cs="Times New Roman"/>
          <w:sz w:val="24"/>
          <w:szCs w:val="24"/>
        </w:rPr>
        <w:t>initial duplex formed</w:t>
      </w:r>
      <w:r w:rsidRPr="00051E6C">
        <w:rPr>
          <w:rFonts w:ascii="Book Antiqua" w:hAnsi="Book Antiqua" w:cs="Times New Roman"/>
          <w:sz w:val="24"/>
          <w:szCs w:val="24"/>
        </w:rPr>
        <w:t xml:space="preserve"> is stabilized by a protein, followed by the formation of the more stable complete </w:t>
      </w:r>
      <w:proofErr w:type="gramStart"/>
      <w:r w:rsidRPr="00051E6C">
        <w:rPr>
          <w:rFonts w:ascii="Book Antiqua" w:hAnsi="Book Antiqua" w:cs="Times New Roman"/>
          <w:sz w:val="24"/>
          <w:szCs w:val="24"/>
        </w:rPr>
        <w:t>duplex</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144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145]</w:t>
      </w:r>
      <w:r w:rsidRPr="00051E6C">
        <w:rPr>
          <w:rFonts w:ascii="Book Antiqua" w:hAnsi="Book Antiqua" w:cs="Times New Roman"/>
          <w:sz w:val="24"/>
          <w:szCs w:val="24"/>
        </w:rPr>
        <w:t xml:space="preserve">. In many cases of base pairing for the antisense RNA, a stem-loop structure is found to be important, along with a </w:t>
      </w:r>
      <w:r w:rsidRPr="00051E6C">
        <w:rPr>
          <w:rFonts w:ascii="Book Antiqua" w:hAnsi="Book Antiqua" w:cs="Times New Roman"/>
          <w:sz w:val="24"/>
          <w:szCs w:val="24"/>
          <w:lang w:eastAsia="zh-CN"/>
        </w:rPr>
        <w:t>“</w:t>
      </w:r>
      <w:r w:rsidRPr="00051E6C">
        <w:rPr>
          <w:rFonts w:ascii="Book Antiqua" w:hAnsi="Book Antiqua" w:cs="Times New Roman"/>
          <w:sz w:val="24"/>
          <w:szCs w:val="24"/>
        </w:rPr>
        <w:t>pyrimidine-uracil-any nucleotide-purine</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U-turn </w:t>
      </w:r>
      <w:proofErr w:type="gramStart"/>
      <w:r w:rsidRPr="00051E6C">
        <w:rPr>
          <w:rFonts w:ascii="Book Antiqua" w:hAnsi="Book Antiqua" w:cs="Times New Roman"/>
          <w:sz w:val="24"/>
          <w:szCs w:val="24"/>
        </w:rPr>
        <w:t>motif</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14</w:t>
      </w:r>
      <w:r w:rsidR="002D569F">
        <w:rPr>
          <w:rFonts w:ascii="Book Antiqua" w:hAnsi="Book Antiqua" w:cs="Times New Roman" w:hint="eastAsia"/>
          <w:noProof/>
          <w:sz w:val="24"/>
          <w:szCs w:val="24"/>
          <w:vertAlign w:val="superscript"/>
          <w:lang w:eastAsia="zh-CN"/>
        </w:rPr>
        <w:t>6</w:t>
      </w:r>
      <w:r w:rsidRPr="00051E6C">
        <w:rPr>
          <w:rFonts w:ascii="Book Antiqua" w:hAnsi="Book Antiqua" w:cs="Times New Roman"/>
          <w:noProof/>
          <w:sz w:val="24"/>
          <w:szCs w:val="24"/>
          <w:vertAlign w:val="superscript"/>
        </w:rPr>
        <w:t>]</w:t>
      </w:r>
      <w:r w:rsidRPr="00051E6C">
        <w:rPr>
          <w:rFonts w:ascii="Book Antiqua" w:hAnsi="Book Antiqua" w:cs="Times New Roman"/>
          <w:sz w:val="24"/>
          <w:szCs w:val="24"/>
        </w:rPr>
        <w:t xml:space="preserve">.  </w:t>
      </w:r>
    </w:p>
    <w:p w14:paraId="2758B86A" w14:textId="6479F04A"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Synthetic antisense RNAs are generally delivered either by expressing the antisense transcript from a gene introduced into the cell or by direct delivery of antisense oligonucleotides. Degradation of the antisense transcripts can be a problem for both these delivery approaches, however, this issue is mitigated by using sequences that form more stable hair-pin structures with paired </w:t>
      </w:r>
      <w:proofErr w:type="gramStart"/>
      <w:r w:rsidRPr="00051E6C">
        <w:rPr>
          <w:rFonts w:ascii="Book Antiqua" w:hAnsi="Book Antiqua" w:cs="Times New Roman"/>
          <w:sz w:val="24"/>
          <w:szCs w:val="24"/>
        </w:rPr>
        <w:t>ends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147]</w:t>
      </w:r>
      <w:r w:rsidRPr="00051E6C">
        <w:rPr>
          <w:rFonts w:ascii="Book Antiqua" w:hAnsi="Book Antiqua" w:cs="Times New Roman"/>
          <w:sz w:val="24"/>
          <w:szCs w:val="24"/>
        </w:rPr>
        <w:t xml:space="preserve">. In order to increase the stability and uptake, antisense RNAs have been modified in many ways, including the addition of peptide nucleic acid (PNA) or alternating 2’O-methyl to their backbones, switching ribose rings to morpholine rings (PMO), switching internucleoside bonds with phosphorothioates (PS-ODNs), or by conjugating cationic peptides to PNAs and </w:t>
      </w:r>
      <w:proofErr w:type="gramStart"/>
      <w:r w:rsidRPr="00051E6C">
        <w:rPr>
          <w:rFonts w:ascii="Book Antiqua" w:hAnsi="Book Antiqua" w:cs="Times New Roman"/>
          <w:sz w:val="24"/>
          <w:szCs w:val="24"/>
        </w:rPr>
        <w:t>PMOs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148-150]</w:t>
      </w:r>
      <w:r w:rsidRPr="00051E6C">
        <w:rPr>
          <w:rFonts w:ascii="Book Antiqua" w:hAnsi="Book Antiqua" w:cs="Times New Roman"/>
          <w:sz w:val="24"/>
          <w:szCs w:val="24"/>
        </w:rPr>
        <w:t xml:space="preserve">.      </w:t>
      </w:r>
    </w:p>
    <w:p w14:paraId="11A77E52" w14:textId="600AEB54"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Antisense technology using synthetic siRNAs have been used as a powerful tool in knocking down genes in prokaryotes (and also in eukaryotes), including hepatitis G </w:t>
      </w:r>
      <w:proofErr w:type="gramStart"/>
      <w:r w:rsidRPr="00051E6C">
        <w:rPr>
          <w:rFonts w:ascii="Book Antiqua" w:hAnsi="Book Antiqua" w:cs="Times New Roman"/>
          <w:sz w:val="24"/>
          <w:szCs w:val="24"/>
        </w:rPr>
        <w:t>virus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151]</w:t>
      </w:r>
      <w:r w:rsidRPr="00051E6C">
        <w:rPr>
          <w:rFonts w:ascii="Book Antiqua" w:hAnsi="Book Antiqua" w:cs="Times New Roman"/>
          <w:sz w:val="24"/>
          <w:szCs w:val="24"/>
        </w:rPr>
        <w:t xml:space="preserve">, </w:t>
      </w:r>
      <w:r w:rsidRPr="00051E6C">
        <w:rPr>
          <w:rFonts w:ascii="Book Antiqua" w:hAnsi="Book Antiqua" w:cs="Times New Roman"/>
          <w:i/>
          <w:sz w:val="24"/>
          <w:szCs w:val="24"/>
        </w:rPr>
        <w:t>influenza</w:t>
      </w:r>
      <w:r w:rsidRPr="00051E6C">
        <w:rPr>
          <w:rFonts w:ascii="Book Antiqua" w:hAnsi="Book Antiqua" w:cs="Times New Roman"/>
          <w:sz w:val="24"/>
          <w:szCs w:val="24"/>
        </w:rPr>
        <w:t xml:space="preserve"> virus</w:t>
      </w:r>
      <w:r w:rsidRPr="00051E6C">
        <w:rPr>
          <w:rFonts w:ascii="Book Antiqua" w:hAnsi="Book Antiqua" w:cs="Times New Roman"/>
          <w:noProof/>
          <w:sz w:val="24"/>
          <w:szCs w:val="24"/>
          <w:vertAlign w:val="superscript"/>
        </w:rPr>
        <w:t>[152]</w:t>
      </w:r>
      <w:r w:rsidRPr="00051E6C">
        <w:rPr>
          <w:rFonts w:ascii="Book Antiqua" w:hAnsi="Book Antiqua" w:cs="Times New Roman"/>
          <w:sz w:val="24"/>
          <w:szCs w:val="24"/>
        </w:rPr>
        <w:t xml:space="preserve">, </w:t>
      </w:r>
      <w:r w:rsidRPr="00051E6C">
        <w:rPr>
          <w:rFonts w:ascii="Book Antiqua" w:hAnsi="Book Antiqua" w:cs="Times New Roman"/>
          <w:i/>
          <w:sz w:val="24"/>
          <w:szCs w:val="24"/>
        </w:rPr>
        <w:t>picornavirus</w:t>
      </w:r>
      <w:r w:rsidRPr="00051E6C">
        <w:rPr>
          <w:rFonts w:ascii="Book Antiqua" w:hAnsi="Book Antiqua" w:cs="Times New Roman"/>
          <w:noProof/>
          <w:sz w:val="24"/>
          <w:szCs w:val="24"/>
          <w:vertAlign w:val="superscript"/>
        </w:rPr>
        <w:t>[153]</w:t>
      </w:r>
      <w:r w:rsidRPr="00051E6C">
        <w:rPr>
          <w:rFonts w:ascii="Book Antiqua" w:hAnsi="Book Antiqua" w:cs="Times New Roman"/>
          <w:sz w:val="24"/>
          <w:szCs w:val="24"/>
        </w:rPr>
        <w:t xml:space="preserve">, and </w:t>
      </w:r>
      <w:r w:rsidRPr="00051E6C">
        <w:rPr>
          <w:rFonts w:ascii="Book Antiqua" w:hAnsi="Book Antiqua" w:cs="Times New Roman"/>
          <w:i/>
          <w:sz w:val="24"/>
          <w:szCs w:val="24"/>
        </w:rPr>
        <w:t>Trypanosoma brucei</w:t>
      </w:r>
      <w:r w:rsidRPr="00051E6C">
        <w:rPr>
          <w:rFonts w:ascii="Book Antiqua" w:hAnsi="Book Antiqua" w:cs="Times New Roman"/>
          <w:noProof/>
          <w:sz w:val="24"/>
          <w:szCs w:val="24"/>
          <w:vertAlign w:val="superscript"/>
        </w:rPr>
        <w:t>[154]</w:t>
      </w:r>
      <w:r w:rsidRPr="00051E6C">
        <w:rPr>
          <w:rFonts w:ascii="Book Antiqua" w:hAnsi="Book Antiqua" w:cs="Times New Roman"/>
          <w:sz w:val="24"/>
          <w:szCs w:val="24"/>
        </w:rPr>
        <w:t xml:space="preserve">. When targeted to essential genes, </w:t>
      </w:r>
      <w:r w:rsidR="003830EB" w:rsidRPr="00051E6C">
        <w:rPr>
          <w:rFonts w:ascii="Book Antiqua" w:hAnsi="Book Antiqua" w:cs="Times New Roman"/>
          <w:sz w:val="24"/>
          <w:szCs w:val="24"/>
        </w:rPr>
        <w:t xml:space="preserve">siRNAs </w:t>
      </w:r>
      <w:r w:rsidRPr="00051E6C">
        <w:rPr>
          <w:rFonts w:ascii="Book Antiqua" w:hAnsi="Book Antiqua" w:cs="Times New Roman"/>
          <w:sz w:val="24"/>
          <w:szCs w:val="24"/>
        </w:rPr>
        <w:t xml:space="preserve">inhibit growth of </w:t>
      </w:r>
      <w:r w:rsidR="00051E6C">
        <w:rPr>
          <w:rFonts w:ascii="Book Antiqua" w:hAnsi="Book Antiqua" w:cs="Times New Roman"/>
          <w:i/>
          <w:iCs/>
          <w:sz w:val="24"/>
          <w:szCs w:val="24"/>
        </w:rPr>
        <w:t xml:space="preserve">E. </w:t>
      </w:r>
      <w:proofErr w:type="gramStart"/>
      <w:r w:rsidR="00051E6C">
        <w:rPr>
          <w:rFonts w:ascii="Book Antiqua" w:hAnsi="Book Antiqua" w:cs="Times New Roman"/>
          <w:i/>
          <w:iCs/>
          <w:sz w:val="24"/>
          <w:szCs w:val="24"/>
        </w:rPr>
        <w:t>coli</w:t>
      </w:r>
      <w:r w:rsidRPr="00051E6C">
        <w:rPr>
          <w:rFonts w:ascii="Book Antiqua" w:hAnsi="Book Antiqua" w:cs="Times New Roman"/>
          <w:iCs/>
          <w:noProof/>
          <w:sz w:val="24"/>
          <w:szCs w:val="24"/>
          <w:vertAlign w:val="superscript"/>
        </w:rPr>
        <w:t>[</w:t>
      </w:r>
      <w:proofErr w:type="gramEnd"/>
      <w:r w:rsidRPr="00051E6C">
        <w:rPr>
          <w:rFonts w:ascii="Book Antiqua" w:hAnsi="Book Antiqua" w:cs="Times New Roman"/>
          <w:iCs/>
          <w:noProof/>
          <w:sz w:val="24"/>
          <w:szCs w:val="24"/>
          <w:vertAlign w:val="superscript"/>
        </w:rPr>
        <w:t>148,149,155,156]</w:t>
      </w:r>
      <w:r w:rsidRPr="00051E6C">
        <w:rPr>
          <w:rFonts w:ascii="Book Antiqua" w:hAnsi="Book Antiqua" w:cs="Times New Roman"/>
          <w:sz w:val="24"/>
          <w:szCs w:val="24"/>
        </w:rPr>
        <w:t xml:space="preserve">, </w:t>
      </w:r>
      <w:r w:rsidRPr="00051E6C">
        <w:rPr>
          <w:rFonts w:ascii="Book Antiqua" w:hAnsi="Book Antiqua" w:cs="Times New Roman"/>
          <w:i/>
          <w:iCs/>
          <w:sz w:val="24"/>
          <w:szCs w:val="24"/>
        </w:rPr>
        <w:t>S. enterica</w:t>
      </w:r>
      <w:r w:rsidRPr="00051E6C">
        <w:rPr>
          <w:rFonts w:ascii="Book Antiqua" w:hAnsi="Book Antiqua" w:cs="Times New Roman"/>
          <w:iCs/>
          <w:noProof/>
          <w:sz w:val="24"/>
          <w:szCs w:val="24"/>
          <w:vertAlign w:val="superscript"/>
        </w:rPr>
        <w:t>[157]</w:t>
      </w:r>
      <w:r w:rsidRPr="00051E6C">
        <w:rPr>
          <w:rFonts w:ascii="Book Antiqua" w:hAnsi="Book Antiqua" w:cs="Times New Roman"/>
          <w:sz w:val="24"/>
          <w:szCs w:val="24"/>
        </w:rPr>
        <w:t xml:space="preserve">, </w:t>
      </w:r>
      <w:r w:rsidRPr="00051E6C">
        <w:rPr>
          <w:rFonts w:ascii="Book Antiqua" w:hAnsi="Book Antiqua" w:cs="Times New Roman"/>
          <w:i/>
          <w:iCs/>
          <w:sz w:val="24"/>
          <w:szCs w:val="24"/>
        </w:rPr>
        <w:t>Staphylococcus aureus</w:t>
      </w:r>
      <w:r w:rsidRPr="00051E6C">
        <w:rPr>
          <w:rFonts w:ascii="Book Antiqua" w:hAnsi="Book Antiqua" w:cs="Times New Roman"/>
          <w:iCs/>
          <w:noProof/>
          <w:sz w:val="24"/>
          <w:szCs w:val="24"/>
          <w:vertAlign w:val="superscript"/>
        </w:rPr>
        <w:t>[158]</w:t>
      </w:r>
      <w:r w:rsidRPr="00051E6C">
        <w:rPr>
          <w:rFonts w:ascii="Book Antiqua" w:hAnsi="Book Antiqua" w:cs="Times New Roman"/>
          <w:i/>
          <w:iCs/>
          <w:sz w:val="24"/>
          <w:szCs w:val="24"/>
        </w:rPr>
        <w:t>, M. smegmatis</w:t>
      </w:r>
      <w:r w:rsidRPr="00051E6C">
        <w:rPr>
          <w:rFonts w:ascii="Book Antiqua" w:hAnsi="Book Antiqua" w:cs="Times New Roman"/>
          <w:iCs/>
          <w:noProof/>
          <w:sz w:val="24"/>
          <w:szCs w:val="24"/>
          <w:vertAlign w:val="superscript"/>
        </w:rPr>
        <w:t>[159]</w:t>
      </w:r>
      <w:r w:rsidRPr="00051E6C">
        <w:rPr>
          <w:rFonts w:ascii="Book Antiqua" w:hAnsi="Book Antiqua" w:cs="Times New Roman"/>
          <w:i/>
          <w:iCs/>
          <w:sz w:val="24"/>
          <w:szCs w:val="24"/>
        </w:rPr>
        <w:t xml:space="preserve"> </w:t>
      </w:r>
      <w:r w:rsidRPr="00051E6C">
        <w:rPr>
          <w:rFonts w:ascii="Book Antiqua" w:hAnsi="Book Antiqua" w:cs="Times New Roman"/>
          <w:sz w:val="24"/>
          <w:szCs w:val="24"/>
        </w:rPr>
        <w:t xml:space="preserve">and </w:t>
      </w:r>
      <w:r w:rsidR="00051E6C" w:rsidRPr="00051E6C">
        <w:rPr>
          <w:rFonts w:ascii="Book Antiqua" w:hAnsi="Book Antiqua" w:cs="Times New Roman"/>
          <w:sz w:val="24"/>
          <w:szCs w:val="24"/>
        </w:rPr>
        <w:t>MTB</w:t>
      </w:r>
      <w:r w:rsidRPr="00051E6C">
        <w:rPr>
          <w:rFonts w:ascii="Book Antiqua" w:hAnsi="Book Antiqua" w:cs="Times New Roman"/>
          <w:iCs/>
          <w:noProof/>
          <w:sz w:val="24"/>
          <w:szCs w:val="24"/>
          <w:vertAlign w:val="superscript"/>
        </w:rPr>
        <w:t>[61</w:t>
      </w:r>
      <w:r w:rsidRPr="00051E6C">
        <w:rPr>
          <w:rFonts w:ascii="Book Antiqua" w:hAnsi="Book Antiqua" w:cs="Times New Roman"/>
          <w:iCs/>
          <w:noProof/>
          <w:sz w:val="24"/>
          <w:szCs w:val="24"/>
          <w:vertAlign w:val="superscript"/>
          <w:lang w:eastAsia="zh-CN"/>
        </w:rPr>
        <w:t>,</w:t>
      </w:r>
      <w:r w:rsidRPr="00051E6C">
        <w:rPr>
          <w:rFonts w:ascii="Book Antiqua" w:hAnsi="Book Antiqua" w:cs="Times New Roman"/>
          <w:iCs/>
          <w:noProof/>
          <w:sz w:val="24"/>
          <w:szCs w:val="24"/>
          <w:vertAlign w:val="superscript"/>
        </w:rPr>
        <w:t>160]</w:t>
      </w:r>
      <w:r w:rsidRPr="00051E6C">
        <w:rPr>
          <w:rFonts w:ascii="Book Antiqua" w:hAnsi="Book Antiqua" w:cs="Times New Roman"/>
          <w:sz w:val="24"/>
          <w:szCs w:val="24"/>
        </w:rPr>
        <w:t>.</w:t>
      </w:r>
      <w:r w:rsidRPr="00051E6C">
        <w:rPr>
          <w:rFonts w:ascii="Book Antiqua" w:hAnsi="Book Antiqua" w:cs="Times New Roman"/>
          <w:i/>
          <w:iCs/>
          <w:sz w:val="24"/>
          <w:szCs w:val="24"/>
        </w:rPr>
        <w:t xml:space="preserve"> </w:t>
      </w:r>
      <w:r w:rsidRPr="00051E6C">
        <w:rPr>
          <w:rFonts w:ascii="Book Antiqua" w:hAnsi="Book Antiqua" w:cs="Times New Roman"/>
          <w:sz w:val="24"/>
          <w:szCs w:val="24"/>
        </w:rPr>
        <w:t xml:space="preserve">Antisense RNAs have been successfully used for the study of bacterial growth and metabolism since this approach allows conditional knock down of target </w:t>
      </w:r>
      <w:proofErr w:type="gramStart"/>
      <w:r w:rsidRPr="00051E6C">
        <w:rPr>
          <w:rFonts w:ascii="Book Antiqua" w:hAnsi="Book Antiqua" w:cs="Times New Roman"/>
          <w:sz w:val="24"/>
          <w:szCs w:val="24"/>
        </w:rPr>
        <w:t>genes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161-165]</w:t>
      </w:r>
      <w:r w:rsidRPr="00051E6C">
        <w:rPr>
          <w:rFonts w:ascii="Book Antiqua" w:hAnsi="Book Antiqua" w:cs="Times New Roman"/>
          <w:sz w:val="24"/>
          <w:szCs w:val="24"/>
        </w:rPr>
        <w:t xml:space="preserve">. It has also been used for the study of various putative virulence factors in </w:t>
      </w:r>
      <w:proofErr w:type="gramStart"/>
      <w:r w:rsidRPr="00051E6C">
        <w:rPr>
          <w:rFonts w:ascii="Book Antiqua" w:hAnsi="Book Antiqua" w:cs="Times New Roman"/>
          <w:sz w:val="24"/>
          <w:szCs w:val="24"/>
        </w:rPr>
        <w:t>bacteria</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166</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167]</w:t>
      </w:r>
      <w:r w:rsidRPr="00051E6C">
        <w:rPr>
          <w:rFonts w:ascii="Book Antiqua" w:hAnsi="Book Antiqua" w:cs="Times New Roman"/>
          <w:sz w:val="24"/>
          <w:szCs w:val="24"/>
        </w:rPr>
        <w:t xml:space="preserve">. Antisense technology has helped in identifying new </w:t>
      </w:r>
      <w:proofErr w:type="gramStart"/>
      <w:r w:rsidRPr="00051E6C">
        <w:rPr>
          <w:rFonts w:ascii="Book Antiqua" w:hAnsi="Book Antiqua" w:cs="Times New Roman"/>
          <w:sz w:val="24"/>
          <w:szCs w:val="24"/>
        </w:rPr>
        <w:t>antibiotics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168</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169]</w:t>
      </w:r>
      <w:r w:rsidRPr="00051E6C">
        <w:rPr>
          <w:rFonts w:ascii="Book Antiqua" w:hAnsi="Book Antiqua" w:cs="Times New Roman"/>
          <w:sz w:val="24"/>
          <w:szCs w:val="24"/>
        </w:rPr>
        <w:t>, antibiotic targets</w:t>
      </w:r>
      <w:r w:rsidRPr="00051E6C">
        <w:rPr>
          <w:rFonts w:ascii="Book Antiqua" w:hAnsi="Book Antiqua" w:cs="Times New Roman"/>
          <w:noProof/>
          <w:sz w:val="24"/>
          <w:szCs w:val="24"/>
          <w:vertAlign w:val="superscript"/>
        </w:rPr>
        <w:t>[170</w:t>
      </w:r>
      <w:r w:rsidR="00051E6C">
        <w:rPr>
          <w:rFonts w:ascii="Book Antiqua" w:hAnsi="Book Antiqua" w:cs="Times New Roman" w:hint="eastAsia"/>
          <w:noProof/>
          <w:sz w:val="24"/>
          <w:szCs w:val="24"/>
          <w:vertAlign w:val="superscript"/>
          <w:lang w:eastAsia="zh-CN"/>
        </w:rPr>
        <w:t>,</w:t>
      </w:r>
      <w:r w:rsidRPr="00051E6C">
        <w:rPr>
          <w:rFonts w:ascii="Book Antiqua" w:hAnsi="Book Antiqua" w:cs="Times New Roman"/>
          <w:noProof/>
          <w:sz w:val="24"/>
          <w:szCs w:val="24"/>
          <w:vertAlign w:val="superscript"/>
        </w:rPr>
        <w:t>171]</w:t>
      </w:r>
      <w:r w:rsidRPr="00051E6C">
        <w:rPr>
          <w:rFonts w:ascii="Book Antiqua" w:hAnsi="Book Antiqua" w:cs="Times New Roman"/>
          <w:sz w:val="24"/>
          <w:szCs w:val="24"/>
        </w:rPr>
        <w:t>, sensitizing bacteria to antibiotics</w:t>
      </w:r>
      <w:r w:rsidRPr="00051E6C">
        <w:rPr>
          <w:rFonts w:ascii="Book Antiqua" w:hAnsi="Book Antiqua" w:cs="Times New Roman"/>
          <w:noProof/>
          <w:sz w:val="24"/>
          <w:szCs w:val="24"/>
          <w:vertAlign w:val="superscript"/>
        </w:rPr>
        <w:t>[171-173]</w:t>
      </w:r>
      <w:r w:rsidRPr="00051E6C">
        <w:rPr>
          <w:rFonts w:ascii="Book Antiqua" w:hAnsi="Book Antiqua" w:cs="Times New Roman"/>
          <w:sz w:val="24"/>
          <w:szCs w:val="24"/>
        </w:rPr>
        <w:t>, and to elucidate the mechanism of action of potential new drugs</w:t>
      </w:r>
      <w:r w:rsidRPr="00051E6C">
        <w:rPr>
          <w:rFonts w:ascii="Book Antiqua" w:hAnsi="Book Antiqua" w:cs="Times New Roman"/>
          <w:noProof/>
          <w:sz w:val="24"/>
          <w:szCs w:val="24"/>
          <w:vertAlign w:val="superscript"/>
        </w:rPr>
        <w:t>[171]</w:t>
      </w:r>
      <w:r w:rsidRPr="00051E6C">
        <w:rPr>
          <w:rFonts w:ascii="Book Antiqua" w:hAnsi="Book Antiqua" w:cs="Times New Roman"/>
          <w:sz w:val="24"/>
          <w:szCs w:val="24"/>
        </w:rPr>
        <w:t xml:space="preserve">.          </w:t>
      </w:r>
    </w:p>
    <w:p w14:paraId="61A5D206" w14:textId="7F70B544" w:rsidR="00CD4266" w:rsidRPr="00051E6C" w:rsidRDefault="00CD4266" w:rsidP="00051E6C">
      <w:pPr>
        <w:spacing w:after="0" w:line="360" w:lineRule="auto"/>
        <w:ind w:firstLineChars="100" w:firstLine="240"/>
        <w:jc w:val="both"/>
        <w:rPr>
          <w:rFonts w:ascii="Book Antiqua" w:hAnsi="Book Antiqua" w:cs="Times New Roman"/>
          <w:sz w:val="24"/>
          <w:szCs w:val="24"/>
          <w:lang w:eastAsia="zh-CN"/>
        </w:rPr>
      </w:pPr>
      <w:r w:rsidRPr="00051E6C">
        <w:rPr>
          <w:rFonts w:ascii="Book Antiqua" w:hAnsi="Book Antiqua" w:cs="Times New Roman"/>
          <w:bCs/>
          <w:sz w:val="24"/>
          <w:szCs w:val="24"/>
        </w:rPr>
        <w:t xml:space="preserve">Molecular beacons are a newer class of antisense RNA tagged with a fluorophore/quencher pair and their use for </w:t>
      </w:r>
      <w:r w:rsidRPr="00051E6C">
        <w:rPr>
          <w:rFonts w:ascii="Book Antiqua" w:hAnsi="Book Antiqua" w:cs="Times New Roman"/>
          <w:bCs/>
          <w:i/>
          <w:sz w:val="24"/>
          <w:szCs w:val="24"/>
        </w:rPr>
        <w:t>in vivo</w:t>
      </w:r>
      <w:r w:rsidRPr="00051E6C">
        <w:rPr>
          <w:rFonts w:ascii="Book Antiqua" w:hAnsi="Book Antiqua" w:cs="Times New Roman"/>
          <w:bCs/>
          <w:sz w:val="24"/>
          <w:szCs w:val="24"/>
        </w:rPr>
        <w:t xml:space="preserve"> detection and knockdown of mRNA is gaining popularity. Molecular beacon based short interfering RNA (MB</w:t>
      </w:r>
      <w:r w:rsidRPr="00051E6C">
        <w:rPr>
          <w:rFonts w:ascii="Book Antiqua" w:hAnsi="Book Antiqua" w:cs="Times New Roman"/>
          <w:bCs/>
          <w:i/>
          <w:sz w:val="24"/>
          <w:szCs w:val="24"/>
        </w:rPr>
        <w:t xml:space="preserve"> </w:t>
      </w:r>
      <w:r w:rsidRPr="00051E6C">
        <w:rPr>
          <w:rFonts w:ascii="Book Antiqua" w:hAnsi="Book Antiqua" w:cs="Times New Roman"/>
          <w:bCs/>
          <w:sz w:val="24"/>
          <w:szCs w:val="24"/>
        </w:rPr>
        <w:t xml:space="preserve">siRNA) has recently been proven to be a powerful tool for therapeutic gene silencing because of its specificity, broad applicability, and high </w:t>
      </w:r>
      <w:proofErr w:type="gramStart"/>
      <w:r w:rsidRPr="00051E6C">
        <w:rPr>
          <w:rFonts w:ascii="Book Antiqua" w:hAnsi="Book Antiqua" w:cs="Times New Roman"/>
          <w:bCs/>
          <w:sz w:val="24"/>
          <w:szCs w:val="24"/>
        </w:rPr>
        <w:t>efficiency</w:t>
      </w:r>
      <w:r w:rsidRPr="00051E6C">
        <w:rPr>
          <w:rFonts w:ascii="Book Antiqua" w:hAnsi="Book Antiqua" w:cs="Times New Roman"/>
          <w:bCs/>
          <w:noProof/>
          <w:sz w:val="24"/>
          <w:szCs w:val="24"/>
          <w:vertAlign w:val="superscript"/>
        </w:rPr>
        <w:t>[</w:t>
      </w:r>
      <w:proofErr w:type="gramEnd"/>
      <w:r w:rsidRPr="00051E6C">
        <w:rPr>
          <w:rFonts w:ascii="Book Antiqua" w:hAnsi="Book Antiqua" w:cs="Times New Roman"/>
          <w:bCs/>
          <w:noProof/>
          <w:sz w:val="24"/>
          <w:szCs w:val="24"/>
          <w:vertAlign w:val="superscript"/>
        </w:rPr>
        <w:t>174-176]</w:t>
      </w:r>
      <w:r w:rsidRPr="00051E6C">
        <w:rPr>
          <w:rFonts w:ascii="Book Antiqua" w:hAnsi="Book Antiqua" w:cs="Times New Roman"/>
          <w:bCs/>
          <w:sz w:val="24"/>
          <w:szCs w:val="24"/>
        </w:rPr>
        <w:t xml:space="preserve">. </w:t>
      </w:r>
      <w:r w:rsidRPr="00051E6C">
        <w:rPr>
          <w:rFonts w:ascii="Book Antiqua" w:hAnsi="Book Antiqua" w:cs="Times New Roman"/>
          <w:sz w:val="24"/>
          <w:szCs w:val="24"/>
        </w:rPr>
        <w:t>The on/off signals produced by the fluorophore/quencher pair depends on the conformational state of the MB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7). In the absence of the target mRNA, the stem brings the quencher in close proximity with the fluorophore and turns the fluorescence off with high quenching efficiency </w:t>
      </w:r>
      <w:r w:rsidRPr="00051E6C">
        <w:rPr>
          <w:rFonts w:ascii="Book Antiqua" w:hAnsi="Book Antiqua" w:cs="Times New Roman"/>
          <w:i/>
          <w:sz w:val="24"/>
          <w:szCs w:val="24"/>
        </w:rPr>
        <w:t>via</w:t>
      </w:r>
      <w:r w:rsidRPr="00051E6C">
        <w:rPr>
          <w:rFonts w:ascii="Book Antiqua" w:hAnsi="Book Antiqua" w:cs="Times New Roman"/>
          <w:sz w:val="24"/>
          <w:szCs w:val="24"/>
        </w:rPr>
        <w:t xml:space="preserve"> fluorescence resonance energy transfer (FRET). In FRET, the energy from the donor chromophore is transferred to acceptor quencher near-by thus resulting in the absence of fluorescence. If the quencher and the fluorophore are far apart (following hybridization of the beacon to its target) then the quencher molecule will not be able to absorb the energy from the donor fluorophore. This would result in an increase in fluorescence.  This technology has been used to detect mRNA expression in cells </w:t>
      </w:r>
      <w:r w:rsidRPr="00051E6C">
        <w:rPr>
          <w:rFonts w:ascii="Book Antiqua" w:hAnsi="Book Antiqua" w:cs="Times New Roman"/>
          <w:bCs/>
          <w:sz w:val="24"/>
          <w:szCs w:val="24"/>
        </w:rPr>
        <w:t xml:space="preserve">as well as for the detection and knockdown of telomerase expression in human breast cancer </w:t>
      </w:r>
      <w:proofErr w:type="gramStart"/>
      <w:r w:rsidRPr="00051E6C">
        <w:rPr>
          <w:rFonts w:ascii="Book Antiqua" w:hAnsi="Book Antiqua" w:cs="Times New Roman"/>
          <w:bCs/>
          <w:sz w:val="24"/>
          <w:szCs w:val="24"/>
        </w:rPr>
        <w:t>cells</w:t>
      </w:r>
      <w:r w:rsidRPr="00051E6C">
        <w:rPr>
          <w:rFonts w:ascii="Book Antiqua" w:hAnsi="Book Antiqua" w:cs="Times New Roman"/>
          <w:bCs/>
          <w:noProof/>
          <w:sz w:val="24"/>
          <w:szCs w:val="24"/>
          <w:vertAlign w:val="superscript"/>
        </w:rPr>
        <w:t>[</w:t>
      </w:r>
      <w:proofErr w:type="gramEnd"/>
      <w:r w:rsidRPr="00051E6C">
        <w:rPr>
          <w:rFonts w:ascii="Book Antiqua" w:hAnsi="Book Antiqua" w:cs="Times New Roman"/>
          <w:bCs/>
          <w:noProof/>
          <w:sz w:val="24"/>
          <w:szCs w:val="24"/>
          <w:vertAlign w:val="superscript"/>
        </w:rPr>
        <w:t>177]</w:t>
      </w:r>
      <w:r w:rsidRPr="00051E6C">
        <w:rPr>
          <w:rFonts w:ascii="Book Antiqua" w:hAnsi="Book Antiqua" w:cs="Times New Roman"/>
          <w:bCs/>
          <w:sz w:val="24"/>
          <w:szCs w:val="24"/>
        </w:rPr>
        <w:t xml:space="preserve">, </w:t>
      </w:r>
      <w:r w:rsidRPr="00051E6C">
        <w:rPr>
          <w:rFonts w:ascii="Book Antiqua" w:hAnsi="Book Antiqua" w:cs="Times New Roman"/>
          <w:bCs/>
          <w:i/>
          <w:sz w:val="24"/>
          <w:szCs w:val="24"/>
        </w:rPr>
        <w:t>BMP4</w:t>
      </w:r>
      <w:r w:rsidRPr="00051E6C">
        <w:rPr>
          <w:rFonts w:ascii="Book Antiqua" w:hAnsi="Book Antiqua" w:cs="Times New Roman"/>
          <w:bCs/>
          <w:sz w:val="24"/>
          <w:szCs w:val="24"/>
        </w:rPr>
        <w:t xml:space="preserve"> mRNA in hedgehog signaling</w:t>
      </w:r>
      <w:r w:rsidRPr="00051E6C">
        <w:rPr>
          <w:rFonts w:ascii="Book Antiqua" w:hAnsi="Book Antiqua" w:cs="Times New Roman"/>
          <w:bCs/>
          <w:noProof/>
          <w:sz w:val="24"/>
          <w:szCs w:val="24"/>
          <w:vertAlign w:val="superscript"/>
        </w:rPr>
        <w:t>[178]</w:t>
      </w:r>
      <w:r w:rsidRPr="00051E6C">
        <w:rPr>
          <w:rFonts w:ascii="Book Antiqua" w:hAnsi="Book Antiqua" w:cs="Times New Roman"/>
          <w:bCs/>
          <w:sz w:val="24"/>
          <w:szCs w:val="24"/>
        </w:rPr>
        <w:t>, aromatase mRNA in breast cancer cells</w:t>
      </w:r>
      <w:r w:rsidRPr="00051E6C">
        <w:rPr>
          <w:rFonts w:ascii="Book Antiqua" w:hAnsi="Book Antiqua" w:cs="Times New Roman"/>
          <w:bCs/>
          <w:noProof/>
          <w:sz w:val="24"/>
          <w:szCs w:val="24"/>
          <w:vertAlign w:val="superscript"/>
        </w:rPr>
        <w:t>[179]</w:t>
      </w:r>
      <w:r w:rsidRPr="00051E6C">
        <w:rPr>
          <w:rFonts w:ascii="Book Antiqua" w:hAnsi="Book Antiqua" w:cs="Times New Roman"/>
          <w:sz w:val="24"/>
          <w:szCs w:val="24"/>
        </w:rPr>
        <w:t xml:space="preserve">, and for the detection and attenuation of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mediated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infection in macrophages as discussed in section below</w:t>
      </w:r>
      <w:r w:rsidRPr="00051E6C">
        <w:rPr>
          <w:rFonts w:ascii="Book Antiqua" w:hAnsi="Book Antiqua" w:cs="Times New Roman"/>
          <w:noProof/>
          <w:sz w:val="24"/>
          <w:szCs w:val="24"/>
          <w:vertAlign w:val="superscript"/>
        </w:rPr>
        <w:t>[155</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180]</w:t>
      </w:r>
      <w:r w:rsidRPr="00051E6C">
        <w:rPr>
          <w:rFonts w:ascii="Book Antiqua" w:hAnsi="Book Antiqua" w:cs="Times New Roman"/>
          <w:bCs/>
          <w:sz w:val="24"/>
          <w:szCs w:val="24"/>
        </w:rPr>
        <w:t>.</w:t>
      </w:r>
      <w:r w:rsidRPr="00051E6C">
        <w:rPr>
          <w:rFonts w:ascii="Book Antiqua" w:hAnsi="Book Antiqua" w:cs="Times New Roman"/>
          <w:sz w:val="24"/>
          <w:szCs w:val="24"/>
        </w:rPr>
        <w:t xml:space="preserve"> </w:t>
      </w:r>
    </w:p>
    <w:p w14:paraId="31771FE6" w14:textId="77777777" w:rsidR="00CD4266" w:rsidRPr="002D569F" w:rsidRDefault="00CD4266" w:rsidP="00051E6C">
      <w:pPr>
        <w:spacing w:after="0" w:line="360" w:lineRule="auto"/>
        <w:ind w:firstLineChars="100" w:firstLine="240"/>
        <w:jc w:val="both"/>
        <w:rPr>
          <w:rFonts w:ascii="Book Antiqua" w:hAnsi="Book Antiqua" w:cs="Times New Roman"/>
          <w:sz w:val="24"/>
          <w:szCs w:val="24"/>
          <w:lang w:eastAsia="zh-CN"/>
        </w:rPr>
      </w:pPr>
    </w:p>
    <w:p w14:paraId="420F8DBA" w14:textId="77777777" w:rsidR="00CD4266" w:rsidRPr="00051E6C" w:rsidRDefault="00CD4266" w:rsidP="00051E6C">
      <w:pPr>
        <w:spacing w:after="0" w:line="360" w:lineRule="auto"/>
        <w:jc w:val="both"/>
        <w:rPr>
          <w:rFonts w:ascii="Book Antiqua" w:hAnsi="Book Antiqua" w:cs="Times New Roman"/>
          <w:b/>
          <w:i/>
          <w:sz w:val="24"/>
          <w:szCs w:val="24"/>
        </w:rPr>
      </w:pPr>
      <w:r w:rsidRPr="00051E6C">
        <w:rPr>
          <w:rFonts w:ascii="Book Antiqua" w:hAnsi="Book Antiqua" w:cs="Times New Roman"/>
          <w:b/>
          <w:i/>
          <w:sz w:val="24"/>
          <w:szCs w:val="24"/>
        </w:rPr>
        <w:t xml:space="preserve">M. SMEGMATIS </w:t>
      </w:r>
      <w:r w:rsidRPr="00051E6C">
        <w:rPr>
          <w:rFonts w:ascii="Book Antiqua" w:hAnsi="Book Antiqua" w:cs="Times New Roman"/>
          <w:b/>
          <w:sz w:val="24"/>
          <w:szCs w:val="24"/>
        </w:rPr>
        <w:t>AS AN IN VITRO MODEL FOR STUDYING MYCOBACTERIAL INFECTION AND PERSISTENCE</w:t>
      </w:r>
    </w:p>
    <w:p w14:paraId="69BCE3DF"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The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are widely seen throughout the genus </w:t>
      </w:r>
      <w:r w:rsidRPr="00051E6C">
        <w:rPr>
          <w:rFonts w:ascii="Book Antiqua" w:hAnsi="Book Antiqua" w:cs="Times New Roman"/>
          <w:i/>
          <w:sz w:val="24"/>
          <w:szCs w:val="24"/>
        </w:rPr>
        <w:t>Mycobacterium</w:t>
      </w:r>
      <w:r w:rsidRPr="00051E6C">
        <w:rPr>
          <w:rFonts w:ascii="Book Antiqua" w:hAnsi="Book Antiqua" w:cs="Times New Roman"/>
          <w:sz w:val="24"/>
          <w:szCs w:val="24"/>
        </w:rPr>
        <w:t xml:space="preserve"> and a homolog of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has been confirmed in the mycobacterial species </w:t>
      </w:r>
      <w:r w:rsidRPr="00051E6C">
        <w:rPr>
          <w:rFonts w:ascii="Book Antiqua" w:hAnsi="Book Antiqua" w:cs="Times New Roman"/>
          <w:i/>
          <w:sz w:val="24"/>
          <w:szCs w:val="24"/>
        </w:rPr>
        <w:t xml:space="preserve">M. </w:t>
      </w:r>
      <w:proofErr w:type="gramStart"/>
      <w:r w:rsidRPr="00051E6C">
        <w:rPr>
          <w:rFonts w:ascii="Book Antiqua" w:hAnsi="Book Antiqua" w:cs="Times New Roman"/>
          <w:i/>
          <w:sz w:val="24"/>
          <w:szCs w:val="24"/>
        </w:rPr>
        <w:t>smegmatis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64</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181]</w:t>
      </w:r>
      <w:r w:rsidRPr="00051E6C">
        <w:rPr>
          <w:rFonts w:ascii="Book Antiqua" w:hAnsi="Book Antiqua" w:cs="Times New Roman"/>
          <w:sz w:val="24"/>
          <w:szCs w:val="24"/>
        </w:rPr>
        <w:t xml:space="preserve">. Even though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is non-pathogenic, previous studies have shown that it can survive and multiply within macrophages in a pathogen-like manner by manipulating the host cell during initial stages by delaying phagosomal acidification and recruitment of V-</w:t>
      </w:r>
      <w:proofErr w:type="gramStart"/>
      <w:r w:rsidRPr="00051E6C">
        <w:rPr>
          <w:rFonts w:ascii="Book Antiqua" w:hAnsi="Book Antiqua" w:cs="Times New Roman"/>
          <w:sz w:val="24"/>
          <w:szCs w:val="24"/>
        </w:rPr>
        <w:t>ATPase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28</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182]</w:t>
      </w:r>
      <w:r w:rsidRPr="00051E6C">
        <w:rPr>
          <w:rFonts w:ascii="Book Antiqua" w:hAnsi="Book Antiqua" w:cs="Times New Roman"/>
          <w:sz w:val="24"/>
          <w:szCs w:val="24"/>
        </w:rPr>
        <w:t xml:space="preserve">, thus making it a suitable model to study </w:t>
      </w:r>
      <w:r w:rsidRPr="00051E6C">
        <w:rPr>
          <w:rFonts w:ascii="Book Antiqua" w:hAnsi="Book Antiqua" w:cs="Times New Roman"/>
          <w:i/>
          <w:sz w:val="24"/>
          <w:szCs w:val="24"/>
        </w:rPr>
        <w:t>mce4 operon</w:t>
      </w:r>
      <w:r w:rsidRPr="00051E6C">
        <w:rPr>
          <w:rFonts w:ascii="Book Antiqua" w:hAnsi="Book Antiqua" w:cs="Times New Roman"/>
          <w:sz w:val="24"/>
          <w:szCs w:val="24"/>
        </w:rPr>
        <w:t xml:space="preserve"> mediated invasion and intracellular mycobacterial survival. </w:t>
      </w:r>
    </w:p>
    <w:p w14:paraId="0E7ED0E9"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32212787"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STUDIES IN OUR LAB ON THE ROLE OF MOLECULAR BEACONS IN DETECTING AND ATTENUATING MYCOBACTERIAL INFECTION IN MACROPHAGES</w:t>
      </w:r>
    </w:p>
    <w:p w14:paraId="3CF63851" w14:textId="26492842"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In order to determine the ability of a siRNA molecular beacon to detect and attenuate mycobacterial infection in macrophages, we first conducted experiments towards determining the most infective gene in the mce4 operon. Because of the slow growth rate of </w:t>
      </w:r>
      <w:r w:rsidR="00051E6C" w:rsidRPr="00051E6C">
        <w:rPr>
          <w:rFonts w:ascii="Book Antiqua" w:hAnsi="Book Antiqua" w:cs="Times New Roman"/>
          <w:sz w:val="24"/>
          <w:szCs w:val="24"/>
        </w:rPr>
        <w:t>MTB</w:t>
      </w:r>
      <w:r w:rsidRPr="00051E6C">
        <w:rPr>
          <w:rFonts w:ascii="Book Antiqua" w:hAnsi="Book Antiqua" w:cs="Times New Roman"/>
          <w:sz w:val="24"/>
          <w:szCs w:val="24"/>
        </w:rPr>
        <w:t xml:space="preserve"> and also due to the high degree of homology between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operons of </w:t>
      </w:r>
      <w:proofErr w:type="gramStart"/>
      <w:r w:rsidRPr="00051E6C">
        <w:rPr>
          <w:rFonts w:ascii="Book Antiqua" w:hAnsi="Book Antiqua" w:cs="Times New Roman"/>
          <w:sz w:val="24"/>
          <w:szCs w:val="24"/>
        </w:rPr>
        <w:t>mycobacteria</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181]</w:t>
      </w:r>
      <w:r w:rsidRPr="00051E6C">
        <w:rPr>
          <w:rFonts w:ascii="Book Antiqua" w:hAnsi="Book Antiqua" w:cs="Times New Roman"/>
          <w:sz w:val="24"/>
          <w:szCs w:val="24"/>
        </w:rPr>
        <w:t xml:space="preserve">,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 of the rapid growing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was selected for our studies. Using gene specific primers with the reverse primer for each set excluding the termination codon, each of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genes, </w:t>
      </w:r>
      <w:r w:rsidRPr="00051E6C">
        <w:rPr>
          <w:rFonts w:ascii="Book Antiqua" w:hAnsi="Book Antiqua" w:cs="Times New Roman"/>
          <w:i/>
          <w:sz w:val="24"/>
          <w:szCs w:val="24"/>
        </w:rPr>
        <w:t xml:space="preserve">mce4A, mce4B, mce4C, mce4D, and mce4F </w:t>
      </w:r>
      <w:r w:rsidRPr="00051E6C">
        <w:rPr>
          <w:rFonts w:ascii="Book Antiqua" w:hAnsi="Book Antiqua" w:cs="Times New Roman"/>
          <w:sz w:val="24"/>
          <w:szCs w:val="24"/>
        </w:rPr>
        <w:t xml:space="preserve">were PCR amplified, cloned into the prokaryotic expression vector </w:t>
      </w:r>
      <w:r w:rsidRPr="00051E6C">
        <w:rPr>
          <w:rFonts w:ascii="Book Antiqua" w:hAnsi="Book Antiqua" w:cs="Times New Roman"/>
          <w:i/>
          <w:sz w:val="24"/>
          <w:szCs w:val="24"/>
        </w:rPr>
        <w:t>pTrcHis2-TOPO</w:t>
      </w:r>
      <w:r w:rsidRPr="00051E6C">
        <w:rPr>
          <w:rFonts w:ascii="Book Antiqua" w:hAnsi="Book Antiqua" w:cs="Times New Roman"/>
          <w:sz w:val="24"/>
          <w:szCs w:val="24"/>
        </w:rPr>
        <w:t xml:space="preserve"> and stably expressed in </w:t>
      </w:r>
      <w:r w:rsidRPr="00051E6C">
        <w:rPr>
          <w:rFonts w:ascii="Book Antiqua" w:hAnsi="Book Antiqua" w:cs="Times New Roman"/>
          <w:i/>
          <w:sz w:val="24"/>
          <w:szCs w:val="24"/>
        </w:rPr>
        <w:t>E. coli</w:t>
      </w:r>
      <w:r w:rsidRPr="00051E6C">
        <w:rPr>
          <w:rFonts w:ascii="Book Antiqua" w:hAnsi="Book Antiqua" w:cs="Times New Roman"/>
          <w:sz w:val="24"/>
          <w:szCs w:val="24"/>
        </w:rPr>
        <w:t xml:space="preserve">. Western blot analyses with monoclonoal antibodies against c-myc and 6xHis showed that the MCE4 proteins were expressed in host </w:t>
      </w:r>
      <w:r w:rsidRPr="00051E6C">
        <w:rPr>
          <w:rFonts w:ascii="Book Antiqua" w:hAnsi="Book Antiqua" w:cs="Times New Roman"/>
          <w:i/>
          <w:sz w:val="24"/>
          <w:szCs w:val="24"/>
        </w:rPr>
        <w:t>E.coli</w:t>
      </w:r>
      <w:r w:rsidRPr="00051E6C">
        <w:rPr>
          <w:rFonts w:ascii="Book Antiqua" w:hAnsi="Book Antiqua" w:cs="Times New Roman"/>
          <w:sz w:val="24"/>
          <w:szCs w:val="24"/>
        </w:rPr>
        <w:t xml:space="preserve">.  Next we conducted invasion assays in MCF7 breast cancer cells using </w:t>
      </w:r>
      <w:r w:rsidRPr="00051E6C">
        <w:rPr>
          <w:rFonts w:ascii="Book Antiqua" w:hAnsi="Book Antiqua" w:cs="Times New Roman"/>
          <w:i/>
          <w:sz w:val="24"/>
          <w:szCs w:val="24"/>
        </w:rPr>
        <w:t>E. coli</w:t>
      </w:r>
      <w:r w:rsidRPr="00051E6C">
        <w:rPr>
          <w:rFonts w:ascii="Book Antiqua" w:hAnsi="Book Antiqua" w:cs="Times New Roman"/>
          <w:sz w:val="24"/>
          <w:szCs w:val="24"/>
        </w:rPr>
        <w:t xml:space="preserve"> clones expressing the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genes and the results showed that </w:t>
      </w:r>
      <w:r w:rsidRPr="00051E6C">
        <w:rPr>
          <w:rFonts w:ascii="Book Antiqua" w:hAnsi="Book Antiqua" w:cs="Times New Roman"/>
          <w:i/>
          <w:sz w:val="24"/>
          <w:szCs w:val="24"/>
        </w:rPr>
        <w:t xml:space="preserve">mce4A-F </w:t>
      </w:r>
      <w:r w:rsidRPr="00051E6C">
        <w:rPr>
          <w:rFonts w:ascii="Book Antiqua" w:hAnsi="Book Antiqua" w:cs="Times New Roman"/>
          <w:sz w:val="24"/>
          <w:szCs w:val="24"/>
        </w:rPr>
        <w:t xml:space="preserve">conferred virulence to its host </w:t>
      </w:r>
      <w:r w:rsidRPr="00051E6C">
        <w:rPr>
          <w:rFonts w:ascii="Book Antiqua" w:hAnsi="Book Antiqua" w:cs="Times New Roman"/>
          <w:i/>
          <w:sz w:val="24"/>
          <w:szCs w:val="24"/>
        </w:rPr>
        <w:t>E.coli</w:t>
      </w:r>
      <w:r w:rsidRPr="00051E6C">
        <w:rPr>
          <w:rFonts w:ascii="Book Antiqua" w:hAnsi="Book Antiqua" w:cs="Times New Roman"/>
          <w:sz w:val="24"/>
          <w:szCs w:val="24"/>
        </w:rPr>
        <w:t xml:space="preserve">.  However,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appeared to confer the earliest virulence to its host </w:t>
      </w:r>
      <w:r w:rsidRPr="00051E6C">
        <w:rPr>
          <w:rFonts w:ascii="Book Antiqua" w:hAnsi="Book Antiqua" w:cs="Times New Roman"/>
          <w:i/>
          <w:sz w:val="24"/>
          <w:szCs w:val="24"/>
        </w:rPr>
        <w:t>E. coli</w:t>
      </w:r>
      <w:r w:rsidRPr="00051E6C">
        <w:rPr>
          <w:rFonts w:ascii="Book Antiqua" w:hAnsi="Book Antiqua" w:cs="Times New Roman"/>
          <w:sz w:val="24"/>
          <w:szCs w:val="24"/>
        </w:rPr>
        <w:t xml:space="preserve"> and the virulence </w:t>
      </w:r>
      <w:proofErr w:type="gramStart"/>
      <w:r w:rsidRPr="00051E6C">
        <w:rPr>
          <w:rFonts w:ascii="Book Antiqua" w:hAnsi="Book Antiqua" w:cs="Times New Roman"/>
          <w:sz w:val="24"/>
          <w:szCs w:val="24"/>
        </w:rPr>
        <w:t>was found to be sustained</w:t>
      </w:r>
      <w:proofErr w:type="gramEnd"/>
      <w:r w:rsidRPr="00051E6C">
        <w:rPr>
          <w:rFonts w:ascii="Book Antiqua" w:hAnsi="Book Antiqua" w:cs="Times New Roman"/>
          <w:sz w:val="24"/>
          <w:szCs w:val="24"/>
        </w:rPr>
        <w:t xml:space="preserve"> during the entire invasion period (72hr)</w:t>
      </w:r>
      <w:r w:rsidRPr="00051E6C">
        <w:rPr>
          <w:rFonts w:ascii="Book Antiqua" w:hAnsi="Book Antiqua" w:cs="Times New Roman"/>
          <w:noProof/>
          <w:sz w:val="24"/>
          <w:szCs w:val="24"/>
          <w:vertAlign w:val="superscript"/>
        </w:rPr>
        <w:t>[180]</w:t>
      </w:r>
      <w:r w:rsidRPr="00051E6C">
        <w:rPr>
          <w:rFonts w:ascii="Book Antiqua" w:hAnsi="Book Antiqua" w:cs="Times New Roman"/>
          <w:sz w:val="24"/>
          <w:szCs w:val="24"/>
        </w:rPr>
        <w:t xml:space="preserve">. We later, repeated the cloning experiments using the </w:t>
      </w:r>
      <w:r w:rsidRPr="00051E6C">
        <w:rPr>
          <w:rFonts w:ascii="Book Antiqua" w:hAnsi="Book Antiqua" w:cs="Times New Roman"/>
          <w:i/>
          <w:sz w:val="24"/>
          <w:szCs w:val="24"/>
        </w:rPr>
        <w:t xml:space="preserve">mce4 </w:t>
      </w:r>
      <w:r w:rsidRPr="00051E6C">
        <w:rPr>
          <w:rFonts w:ascii="Book Antiqua" w:hAnsi="Book Antiqua" w:cs="Times New Roman"/>
          <w:sz w:val="24"/>
          <w:szCs w:val="24"/>
        </w:rPr>
        <w:t xml:space="preserve">operon genes of </w:t>
      </w:r>
      <w:r w:rsidR="00051E6C" w:rsidRPr="00051E6C">
        <w:rPr>
          <w:rFonts w:ascii="Book Antiqua" w:hAnsi="Book Antiqua" w:cs="Times New Roman"/>
          <w:sz w:val="24"/>
          <w:szCs w:val="24"/>
        </w:rPr>
        <w:t>MTB</w:t>
      </w:r>
      <w:r w:rsidRPr="00051E6C">
        <w:rPr>
          <w:rFonts w:ascii="Book Antiqua" w:hAnsi="Book Antiqua" w:cs="Times New Roman"/>
          <w:sz w:val="24"/>
          <w:szCs w:val="24"/>
        </w:rPr>
        <w:t xml:space="preserve">, by PCR amplifying each of the </w:t>
      </w:r>
      <w:r w:rsidRPr="00051E6C">
        <w:rPr>
          <w:rFonts w:ascii="Book Antiqua" w:hAnsi="Book Antiqua" w:cs="Times New Roman"/>
          <w:i/>
          <w:sz w:val="24"/>
          <w:szCs w:val="24"/>
        </w:rPr>
        <w:t>mce4A-F</w:t>
      </w:r>
      <w:r w:rsidRPr="00051E6C">
        <w:rPr>
          <w:rFonts w:ascii="Book Antiqua" w:hAnsi="Book Antiqua" w:cs="Times New Roman"/>
          <w:sz w:val="24"/>
          <w:szCs w:val="24"/>
        </w:rPr>
        <w:t xml:space="preserve"> (Fig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8), cloning into TOP10 </w:t>
      </w:r>
      <w:r w:rsidRPr="00051E6C">
        <w:rPr>
          <w:rFonts w:ascii="Book Antiqua" w:hAnsi="Book Antiqua" w:cs="Times New Roman"/>
          <w:i/>
          <w:sz w:val="24"/>
          <w:szCs w:val="24"/>
        </w:rPr>
        <w:t>E.coli</w:t>
      </w:r>
      <w:r w:rsidRPr="00051E6C">
        <w:rPr>
          <w:rFonts w:ascii="Book Antiqua" w:hAnsi="Book Antiqua" w:cs="Times New Roman"/>
          <w:sz w:val="24"/>
          <w:szCs w:val="24"/>
        </w:rPr>
        <w:t xml:space="preserve"> using the prokaryotic expression vector </w:t>
      </w:r>
      <w:r w:rsidRPr="00051E6C">
        <w:rPr>
          <w:rFonts w:ascii="Book Antiqua" w:hAnsi="Book Antiqua" w:cs="Times New Roman"/>
          <w:i/>
          <w:sz w:val="24"/>
          <w:szCs w:val="24"/>
        </w:rPr>
        <w:t>pTrcHis2-TOPO</w:t>
      </w:r>
      <w:r w:rsidRPr="00051E6C">
        <w:rPr>
          <w:rFonts w:ascii="Book Antiqua" w:hAnsi="Book Antiqua" w:cs="Times New Roman"/>
          <w:sz w:val="24"/>
          <w:szCs w:val="24"/>
        </w:rPr>
        <w:t xml:space="preserve">, and performing invasion assay using MCF7 breast cancer cells. Our results showed that, as with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the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gene conferred the greatest degree of virulence to its host </w:t>
      </w:r>
      <w:r w:rsidRPr="00051E6C">
        <w:rPr>
          <w:rFonts w:ascii="Book Antiqua" w:hAnsi="Book Antiqua" w:cs="Times New Roman"/>
          <w:i/>
          <w:sz w:val="24"/>
          <w:szCs w:val="24"/>
        </w:rPr>
        <w:t xml:space="preserve">E. coli </w:t>
      </w:r>
      <w:r w:rsidRPr="00051E6C">
        <w:rPr>
          <w:rFonts w:ascii="Book Antiqua" w:hAnsi="Book Antiqua" w:cs="Times New Roman"/>
          <w:sz w:val="24"/>
          <w:szCs w:val="24"/>
        </w:rPr>
        <w:t>(Fig</w:t>
      </w:r>
      <w:r w:rsidRPr="00051E6C">
        <w:rPr>
          <w:rFonts w:ascii="Book Antiqua" w:hAnsi="Book Antiqua" w:cs="Times New Roman"/>
          <w:sz w:val="24"/>
          <w:szCs w:val="24"/>
          <w:lang w:eastAsia="zh-CN"/>
        </w:rPr>
        <w:t>ure</w:t>
      </w:r>
      <w:r w:rsidRPr="00051E6C">
        <w:rPr>
          <w:rFonts w:ascii="Book Antiqua" w:hAnsi="Book Antiqua" w:cs="Times New Roman"/>
          <w:sz w:val="24"/>
          <w:szCs w:val="24"/>
        </w:rPr>
        <w:t xml:space="preserve"> 9). Therefore,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was selected as the target gene for designing a molecular beacon antisense RNA.</w:t>
      </w:r>
    </w:p>
    <w:p w14:paraId="4CDB3FD6" w14:textId="77777777"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The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antisense molecular beacon RNA was designed to have a stem-loop structure, with the nucleotides in the stem complementary to each other to form a 5-base pair double stranded stem and the loop consisting of 20 nucleotides that are complementary to a region of the target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mRNA in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Also, conjugated to the 5’ and 3’ ends of this molecular beacon are the fluorophore TYE 665 and quencher Iowa Black RQ-SP, respectively.  This molecular beacon design combined both detection and therapeutic </w:t>
      </w:r>
      <w:proofErr w:type="gramStart"/>
      <w:r w:rsidRPr="00051E6C">
        <w:rPr>
          <w:rFonts w:ascii="Book Antiqua" w:hAnsi="Book Antiqua" w:cs="Times New Roman"/>
          <w:sz w:val="24"/>
          <w:szCs w:val="24"/>
        </w:rPr>
        <w:t>capabilities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177-179]</w:t>
      </w:r>
      <w:r w:rsidRPr="00051E6C">
        <w:rPr>
          <w:rFonts w:ascii="Book Antiqua" w:hAnsi="Book Antiqua" w:cs="Times New Roman"/>
          <w:sz w:val="24"/>
          <w:szCs w:val="24"/>
        </w:rPr>
        <w:t xml:space="preserve">.  The rationale is that in the absence of the target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mRNA, the molecular beacon remains in its hairpin form while in the presence of its target mRNA the 20 nucleotide loop will compete with the 5 nucleotide stem for hybridization to their target </w:t>
      </w:r>
      <w:r w:rsidRPr="00051E6C">
        <w:rPr>
          <w:rFonts w:ascii="Book Antiqua" w:hAnsi="Book Antiqua" w:cs="Times New Roman"/>
          <w:i/>
          <w:sz w:val="24"/>
          <w:szCs w:val="24"/>
        </w:rPr>
        <w:t xml:space="preserve">mce4A mRNA </w:t>
      </w:r>
      <w:r w:rsidRPr="00051E6C">
        <w:rPr>
          <w:rFonts w:ascii="Book Antiqua" w:hAnsi="Book Antiqua" w:cs="Times New Roman"/>
          <w:sz w:val="24"/>
          <w:szCs w:val="24"/>
        </w:rPr>
        <w:t xml:space="preserve">and the stem to its complementary pairs on the opposite ends of the target sequence.  The hybridization potential of the loop to its target, based on the number of nucleotides within it (20 </w:t>
      </w:r>
      <w:r w:rsidRPr="00051E6C">
        <w:rPr>
          <w:rFonts w:ascii="Book Antiqua" w:hAnsi="Book Antiqua" w:cs="Times New Roman"/>
          <w:i/>
          <w:sz w:val="24"/>
          <w:szCs w:val="24"/>
        </w:rPr>
        <w:t>vs</w:t>
      </w:r>
      <w:r w:rsidRPr="00051E6C">
        <w:rPr>
          <w:rFonts w:ascii="Book Antiqua" w:hAnsi="Book Antiqua" w:cs="Times New Roman"/>
          <w:sz w:val="24"/>
          <w:szCs w:val="24"/>
        </w:rPr>
        <w:t xml:space="preserve"> 5), will be greater than that of the strands for the stem.  Hybridization of the loop to the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mRNA will separate the fluorophore from the quencher thus inducing fluorescence (detection) and degradation (therapeutic) of the mRNA.  Since the mycobacterium utilizes the product of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for entry in to macrophages and for its survival using host cholesterol for carbon and energy source transported through the MCE4 </w:t>
      </w:r>
      <w:proofErr w:type="gramStart"/>
      <w:r w:rsidRPr="00051E6C">
        <w:rPr>
          <w:rFonts w:ascii="Book Antiqua" w:hAnsi="Book Antiqua" w:cs="Times New Roman"/>
          <w:sz w:val="24"/>
          <w:szCs w:val="24"/>
        </w:rPr>
        <w:t>transporters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41</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45</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62</w:t>
      </w:r>
      <w:r w:rsidRPr="00051E6C">
        <w:rPr>
          <w:rFonts w:ascii="Book Antiqua" w:hAnsi="Book Antiqua" w:cs="Times New Roman"/>
          <w:noProof/>
          <w:sz w:val="24"/>
          <w:szCs w:val="24"/>
          <w:vertAlign w:val="superscript"/>
          <w:lang w:eastAsia="zh-CN"/>
        </w:rPr>
        <w:t>,</w:t>
      </w:r>
      <w:r w:rsidRPr="00051E6C">
        <w:rPr>
          <w:rFonts w:ascii="Book Antiqua" w:hAnsi="Book Antiqua" w:cs="Times New Roman"/>
          <w:noProof/>
          <w:sz w:val="24"/>
          <w:szCs w:val="24"/>
          <w:vertAlign w:val="superscript"/>
        </w:rPr>
        <w:t>183]</w:t>
      </w:r>
      <w:r w:rsidRPr="00051E6C">
        <w:rPr>
          <w:rFonts w:ascii="Book Antiqua" w:hAnsi="Book Antiqua" w:cs="Times New Roman"/>
          <w:sz w:val="24"/>
          <w:szCs w:val="24"/>
        </w:rPr>
        <w:t xml:space="preserve">, the degradation of the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mRNA will lead to its reduced survival. Our studies first tested the ability of the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siRNA to detect its target </w:t>
      </w:r>
      <w:r w:rsidRPr="00051E6C">
        <w:rPr>
          <w:rFonts w:ascii="Book Antiqua" w:hAnsi="Book Antiqua" w:cs="Times New Roman"/>
          <w:i/>
          <w:sz w:val="24"/>
          <w:szCs w:val="24"/>
        </w:rPr>
        <w:t>mce4A</w:t>
      </w:r>
      <w:r w:rsidRPr="00051E6C">
        <w:rPr>
          <w:rFonts w:ascii="Book Antiqua" w:hAnsi="Book Antiqua" w:cs="Times New Roman"/>
          <w:sz w:val="24"/>
          <w:szCs w:val="24"/>
        </w:rPr>
        <w:t xml:space="preserve"> mRNA in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and in macrophages infected with </w:t>
      </w:r>
      <w:r w:rsidRPr="00051E6C">
        <w:rPr>
          <w:rFonts w:ascii="Book Antiqua" w:hAnsi="Book Antiqua" w:cs="Times New Roman"/>
          <w:i/>
          <w:sz w:val="24"/>
          <w:szCs w:val="24"/>
        </w:rPr>
        <w:t xml:space="preserve">M. smegmatis and </w:t>
      </w:r>
      <w:r w:rsidRPr="00051E6C">
        <w:rPr>
          <w:rFonts w:ascii="Book Antiqua" w:hAnsi="Book Antiqua" w:cs="Times New Roman"/>
          <w:sz w:val="24"/>
          <w:szCs w:val="24"/>
        </w:rPr>
        <w:t xml:space="preserve">the results show that the molecular beacon siRNA detected its target in </w:t>
      </w:r>
      <w:r w:rsidRPr="00051E6C">
        <w:rPr>
          <w:rFonts w:ascii="Book Antiqua" w:hAnsi="Book Antiqua" w:cs="Times New Roman"/>
          <w:i/>
          <w:sz w:val="24"/>
          <w:szCs w:val="24"/>
        </w:rPr>
        <w:t xml:space="preserve">M. smegmatis </w:t>
      </w:r>
      <w:r w:rsidRPr="00051E6C">
        <w:rPr>
          <w:rFonts w:ascii="Book Antiqua" w:hAnsi="Book Antiqua" w:cs="Times New Roman"/>
          <w:sz w:val="24"/>
          <w:szCs w:val="24"/>
        </w:rPr>
        <w:t xml:space="preserve">and in macrophages infected with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Thus, we were able to show that a molecular beacon can be designed against one of the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 genes in </w:t>
      </w:r>
      <w:r w:rsidRPr="00051E6C">
        <w:rPr>
          <w:rFonts w:ascii="Book Antiqua" w:hAnsi="Book Antiqua" w:cs="Times New Roman"/>
          <w:i/>
          <w:sz w:val="24"/>
          <w:szCs w:val="24"/>
        </w:rPr>
        <w:t>M. smegmatis</w:t>
      </w:r>
      <w:r w:rsidRPr="00051E6C">
        <w:rPr>
          <w:rFonts w:ascii="Book Antiqua" w:hAnsi="Book Antiqua" w:cs="Times New Roman"/>
          <w:sz w:val="24"/>
          <w:szCs w:val="24"/>
        </w:rPr>
        <w:t xml:space="preserve"> that facilitates the detection of mycobacterial infection in macrophages.  </w:t>
      </w:r>
    </w:p>
    <w:p w14:paraId="122CC85E" w14:textId="31A7BC61" w:rsidR="00CD4266" w:rsidRPr="00051E6C" w:rsidRDefault="00CD4266" w:rsidP="00051E6C">
      <w:pPr>
        <w:spacing w:after="0" w:line="360" w:lineRule="auto"/>
        <w:ind w:firstLineChars="100" w:firstLine="240"/>
        <w:jc w:val="both"/>
        <w:rPr>
          <w:rFonts w:ascii="Book Antiqua" w:hAnsi="Book Antiqua" w:cs="Times New Roman"/>
          <w:iCs/>
          <w:sz w:val="24"/>
          <w:szCs w:val="24"/>
        </w:rPr>
      </w:pPr>
      <w:r w:rsidRPr="00051E6C">
        <w:rPr>
          <w:rFonts w:ascii="Book Antiqua" w:hAnsi="Book Antiqua" w:cs="Times New Roman"/>
          <w:sz w:val="24"/>
          <w:szCs w:val="24"/>
        </w:rPr>
        <w:t>Tests were carried out to test the ability of this siRNA molecular beacon to not only detect but also attenuate mycobacterial infection in macrophages. Towards this end</w:t>
      </w:r>
      <w:proofErr w:type="gramStart"/>
      <w:r w:rsidRPr="00051E6C">
        <w:rPr>
          <w:rFonts w:ascii="Book Antiqua" w:hAnsi="Book Antiqua" w:cs="Times New Roman"/>
          <w:sz w:val="24"/>
          <w:szCs w:val="24"/>
        </w:rPr>
        <w:t>,  we</w:t>
      </w:r>
      <w:proofErr w:type="gramEnd"/>
      <w:r w:rsidRPr="00051E6C">
        <w:rPr>
          <w:rFonts w:ascii="Book Antiqua" w:hAnsi="Book Antiqua" w:cs="Times New Roman"/>
          <w:sz w:val="24"/>
          <w:szCs w:val="24"/>
        </w:rPr>
        <w:t xml:space="preserve"> used a GFP expressing lentiviral vector, </w:t>
      </w:r>
      <w:r w:rsidRPr="00051E6C">
        <w:rPr>
          <w:rFonts w:ascii="Book Antiqua" w:hAnsi="Book Antiqua" w:cs="Times New Roman"/>
          <w:i/>
          <w:iCs/>
          <w:sz w:val="24"/>
          <w:szCs w:val="24"/>
        </w:rPr>
        <w:t>piLenti-</w:t>
      </w:r>
      <w:r w:rsidRPr="00051E6C">
        <w:rPr>
          <w:rFonts w:ascii="Book Antiqua" w:hAnsi="Book Antiqua" w:cs="Times New Roman"/>
          <w:sz w:val="24"/>
          <w:szCs w:val="24"/>
        </w:rPr>
        <w:t>siRNA</w:t>
      </w:r>
      <w:r w:rsidRPr="00051E6C">
        <w:rPr>
          <w:rFonts w:ascii="Book Antiqua" w:hAnsi="Book Antiqua" w:cs="Times New Roman"/>
          <w:i/>
          <w:iCs/>
          <w:sz w:val="24"/>
          <w:szCs w:val="24"/>
        </w:rPr>
        <w:t xml:space="preserve">-GFP,  </w:t>
      </w:r>
      <w:r w:rsidRPr="00051E6C">
        <w:rPr>
          <w:rFonts w:ascii="Book Antiqua" w:hAnsi="Book Antiqua" w:cs="Times New Roman"/>
          <w:iCs/>
          <w:sz w:val="24"/>
          <w:szCs w:val="24"/>
        </w:rPr>
        <w:t xml:space="preserve">to successfully transduce and stably express the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siRNA molecular beacon construct in macrophages infected with either </w:t>
      </w:r>
      <w:r w:rsidRPr="00051E6C">
        <w:rPr>
          <w:rFonts w:ascii="Book Antiqua" w:hAnsi="Book Antiqua" w:cs="Times New Roman"/>
          <w:i/>
          <w:iCs/>
          <w:sz w:val="24"/>
          <w:szCs w:val="24"/>
        </w:rPr>
        <w:t>E. coli</w:t>
      </w:r>
      <w:r w:rsidRPr="00051E6C">
        <w:rPr>
          <w:rFonts w:ascii="Book Antiqua" w:hAnsi="Book Antiqua" w:cs="Times New Roman"/>
          <w:iCs/>
          <w:sz w:val="24"/>
          <w:szCs w:val="24"/>
        </w:rPr>
        <w:t xml:space="preserve"> expressing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gene (</w:t>
      </w:r>
      <w:r w:rsidRPr="00051E6C">
        <w:rPr>
          <w:rFonts w:ascii="Book Antiqua" w:hAnsi="Book Antiqua" w:cs="Times New Roman"/>
          <w:i/>
          <w:iCs/>
          <w:sz w:val="24"/>
          <w:szCs w:val="24"/>
        </w:rPr>
        <w:t xml:space="preserve">E. </w:t>
      </w:r>
      <w:r w:rsidR="002D569F" w:rsidRPr="00051E6C">
        <w:rPr>
          <w:rFonts w:ascii="Book Antiqua" w:hAnsi="Book Antiqua" w:cs="Times New Roman"/>
          <w:i/>
          <w:iCs/>
          <w:sz w:val="24"/>
          <w:szCs w:val="24"/>
        </w:rPr>
        <w:t>c</w:t>
      </w:r>
      <w:r w:rsidRPr="00051E6C">
        <w:rPr>
          <w:rFonts w:ascii="Book Antiqua" w:hAnsi="Book Antiqua" w:cs="Times New Roman"/>
          <w:i/>
          <w:iCs/>
          <w:sz w:val="24"/>
          <w:szCs w:val="24"/>
        </w:rPr>
        <w:t>oli-4A</w:t>
      </w:r>
      <w:r w:rsidRPr="00051E6C">
        <w:rPr>
          <w:rFonts w:ascii="Book Antiqua" w:hAnsi="Book Antiqua" w:cs="Times New Roman"/>
          <w:iCs/>
          <w:sz w:val="24"/>
          <w:szCs w:val="24"/>
        </w:rPr>
        <w:t xml:space="preserve">) or </w:t>
      </w:r>
      <w:r w:rsidRPr="00051E6C">
        <w:rPr>
          <w:rFonts w:ascii="Book Antiqua" w:hAnsi="Book Antiqua" w:cs="Times New Roman"/>
          <w:i/>
          <w:iCs/>
          <w:sz w:val="24"/>
          <w:szCs w:val="24"/>
        </w:rPr>
        <w:t xml:space="preserve">M. smegmatis. </w:t>
      </w:r>
      <w:r w:rsidRPr="00051E6C">
        <w:rPr>
          <w:rFonts w:ascii="Book Antiqua" w:hAnsi="Book Antiqua" w:cs="Times New Roman"/>
          <w:iCs/>
          <w:sz w:val="24"/>
          <w:szCs w:val="24"/>
        </w:rPr>
        <w:t>Using confocal imaging and Western blot analyses with anti-GFP antibodies, we were able to demonstrate stable expression of siRNA up to 48</w:t>
      </w:r>
      <w:r w:rsidRPr="00051E6C">
        <w:rPr>
          <w:rFonts w:ascii="Book Antiqua" w:hAnsi="Book Antiqua" w:cs="Times New Roman"/>
          <w:iCs/>
          <w:sz w:val="24"/>
          <w:szCs w:val="24"/>
          <w:lang w:eastAsia="zh-CN"/>
        </w:rPr>
        <w:t xml:space="preserve"> </w:t>
      </w:r>
      <w:r w:rsidRPr="00051E6C">
        <w:rPr>
          <w:rFonts w:ascii="Book Antiqua" w:hAnsi="Book Antiqua" w:cs="Times New Roman"/>
          <w:iCs/>
          <w:sz w:val="24"/>
          <w:szCs w:val="24"/>
        </w:rPr>
        <w:t xml:space="preserve">h post transduction and infection using the GFP reporter. </w:t>
      </w:r>
    </w:p>
    <w:p w14:paraId="5B0F6689" w14:textId="059CF8AB" w:rsidR="00CD4266" w:rsidRPr="00051E6C" w:rsidRDefault="00CD4266" w:rsidP="00051E6C">
      <w:pPr>
        <w:spacing w:after="0" w:line="360" w:lineRule="auto"/>
        <w:ind w:firstLineChars="100" w:firstLine="240"/>
        <w:jc w:val="both"/>
        <w:rPr>
          <w:rFonts w:ascii="Book Antiqua" w:hAnsi="Book Antiqua" w:cs="Times New Roman"/>
          <w:iCs/>
          <w:sz w:val="24"/>
          <w:szCs w:val="24"/>
        </w:rPr>
      </w:pPr>
      <w:r w:rsidRPr="00051E6C">
        <w:rPr>
          <w:rFonts w:ascii="Book Antiqua" w:hAnsi="Book Antiqua" w:cs="Times New Roman"/>
          <w:bCs/>
          <w:iCs/>
          <w:sz w:val="24"/>
          <w:szCs w:val="24"/>
        </w:rPr>
        <w:t xml:space="preserve">After confirming the expression of the GFP protein by fluorescence imaging and Western blot analyses, invasion assay was carried out to assess the effect of </w:t>
      </w:r>
      <w:r w:rsidRPr="00051E6C">
        <w:rPr>
          <w:rFonts w:ascii="Book Antiqua" w:hAnsi="Book Antiqua" w:cs="Times New Roman"/>
          <w:bCs/>
          <w:i/>
          <w:iCs/>
          <w:sz w:val="24"/>
          <w:szCs w:val="24"/>
        </w:rPr>
        <w:t>mce4A</w:t>
      </w:r>
      <w:r w:rsidRPr="00051E6C">
        <w:rPr>
          <w:rFonts w:ascii="Book Antiqua" w:hAnsi="Book Antiqua" w:cs="Times New Roman"/>
          <w:bCs/>
          <w:iCs/>
          <w:sz w:val="24"/>
          <w:szCs w:val="24"/>
        </w:rPr>
        <w:t xml:space="preserve"> siRNA on mycobacterial infection in macrophages. For this, differentiated U937 macrophages were transduced with </w:t>
      </w:r>
      <w:r w:rsidRPr="00051E6C">
        <w:rPr>
          <w:rFonts w:ascii="Book Antiqua" w:hAnsi="Book Antiqua" w:cs="Times New Roman"/>
          <w:bCs/>
          <w:i/>
          <w:iCs/>
          <w:sz w:val="24"/>
          <w:szCs w:val="24"/>
        </w:rPr>
        <w:t>piLenti-siRNA-GFP</w:t>
      </w:r>
      <w:r w:rsidRPr="00051E6C">
        <w:rPr>
          <w:rFonts w:ascii="Book Antiqua" w:hAnsi="Book Antiqua" w:cs="Times New Roman"/>
          <w:bCs/>
          <w:iCs/>
          <w:sz w:val="24"/>
          <w:szCs w:val="24"/>
        </w:rPr>
        <w:t xml:space="preserve"> phage for 24hrs followed by infection with </w:t>
      </w:r>
      <w:r w:rsidRPr="00051E6C">
        <w:rPr>
          <w:rFonts w:ascii="Book Antiqua" w:hAnsi="Book Antiqua" w:cs="Times New Roman"/>
          <w:bCs/>
          <w:i/>
          <w:iCs/>
          <w:sz w:val="24"/>
          <w:szCs w:val="24"/>
        </w:rPr>
        <w:t>E.coli-4A</w:t>
      </w:r>
      <w:r w:rsidRPr="00051E6C">
        <w:rPr>
          <w:rFonts w:ascii="Book Antiqua" w:hAnsi="Book Antiqua" w:cs="Times New Roman"/>
          <w:bCs/>
          <w:iCs/>
          <w:sz w:val="24"/>
          <w:szCs w:val="24"/>
        </w:rPr>
        <w:t xml:space="preserve"> or </w:t>
      </w:r>
      <w:r w:rsidRPr="00051E6C">
        <w:rPr>
          <w:rFonts w:ascii="Book Antiqua" w:hAnsi="Book Antiqua" w:cs="Times New Roman"/>
          <w:bCs/>
          <w:i/>
          <w:iCs/>
          <w:sz w:val="24"/>
          <w:szCs w:val="24"/>
        </w:rPr>
        <w:t>M. smegmatis</w:t>
      </w:r>
      <w:r w:rsidRPr="00051E6C">
        <w:rPr>
          <w:rFonts w:ascii="Book Antiqua" w:hAnsi="Book Antiqua" w:cs="Times New Roman"/>
          <w:bCs/>
          <w:iCs/>
          <w:sz w:val="24"/>
          <w:szCs w:val="24"/>
        </w:rPr>
        <w:t xml:space="preserve"> for 3 h, and incubation for 0, 3, 6, 24, and 48</w:t>
      </w:r>
      <w:r w:rsidR="002D569F">
        <w:rPr>
          <w:rFonts w:ascii="Book Antiqua" w:hAnsi="Book Antiqua" w:cs="Times New Roman" w:hint="eastAsia"/>
          <w:bCs/>
          <w:iCs/>
          <w:sz w:val="24"/>
          <w:szCs w:val="24"/>
          <w:lang w:eastAsia="zh-CN"/>
        </w:rPr>
        <w:t xml:space="preserve"> </w:t>
      </w:r>
      <w:r w:rsidR="002D569F">
        <w:rPr>
          <w:rFonts w:ascii="Book Antiqua" w:hAnsi="Book Antiqua" w:cs="Times New Roman"/>
          <w:bCs/>
          <w:iCs/>
          <w:sz w:val="24"/>
          <w:szCs w:val="24"/>
        </w:rPr>
        <w:t>h</w:t>
      </w:r>
      <w:r w:rsidRPr="00051E6C">
        <w:rPr>
          <w:rFonts w:ascii="Book Antiqua" w:hAnsi="Book Antiqua" w:cs="Times New Roman"/>
          <w:bCs/>
          <w:iCs/>
          <w:sz w:val="24"/>
          <w:szCs w:val="24"/>
        </w:rPr>
        <w:t>, respectively. The cells were extensively washed and lysed in 0.1% Triton-X 100 lysis buffer and the lysates were plated on either LB agar containing 100</w:t>
      </w:r>
      <w:r w:rsidRPr="00051E6C">
        <w:rPr>
          <w:rFonts w:ascii="Book Antiqua" w:hAnsi="Book Antiqua" w:cs="Times New Roman"/>
          <w:bCs/>
          <w:iCs/>
          <w:sz w:val="24"/>
          <w:szCs w:val="24"/>
          <w:lang w:eastAsia="zh-CN"/>
        </w:rPr>
        <w:t xml:space="preserve"> </w:t>
      </w:r>
      <w:r w:rsidRPr="00051E6C">
        <w:rPr>
          <w:rFonts w:ascii="Book Antiqua" w:hAnsi="Book Antiqua" w:cs="Times New Roman"/>
          <w:bCs/>
          <w:iCs/>
          <w:sz w:val="24"/>
          <w:szCs w:val="24"/>
        </w:rPr>
        <w:t xml:space="preserve">µg/mL ampicillin for </w:t>
      </w:r>
      <w:r w:rsidRPr="00051E6C">
        <w:rPr>
          <w:rFonts w:ascii="Book Antiqua" w:hAnsi="Book Antiqua" w:cs="Times New Roman"/>
          <w:bCs/>
          <w:i/>
          <w:iCs/>
          <w:sz w:val="24"/>
          <w:szCs w:val="24"/>
        </w:rPr>
        <w:t>E. coli-4A</w:t>
      </w:r>
      <w:r w:rsidRPr="00051E6C">
        <w:rPr>
          <w:rFonts w:ascii="Book Antiqua" w:hAnsi="Book Antiqua" w:cs="Times New Roman"/>
          <w:bCs/>
          <w:iCs/>
          <w:sz w:val="24"/>
          <w:szCs w:val="24"/>
        </w:rPr>
        <w:t xml:space="preserve"> or 7H11 media for </w:t>
      </w:r>
      <w:r w:rsidRPr="00051E6C">
        <w:rPr>
          <w:rFonts w:ascii="Book Antiqua" w:hAnsi="Book Antiqua" w:cs="Times New Roman"/>
          <w:bCs/>
          <w:i/>
          <w:iCs/>
          <w:sz w:val="24"/>
          <w:szCs w:val="24"/>
        </w:rPr>
        <w:t>M. smegmatis</w:t>
      </w:r>
      <w:r w:rsidRPr="00051E6C">
        <w:rPr>
          <w:rFonts w:ascii="Book Antiqua" w:hAnsi="Book Antiqua" w:cs="Times New Roman"/>
          <w:bCs/>
          <w:iCs/>
          <w:sz w:val="24"/>
          <w:szCs w:val="24"/>
        </w:rPr>
        <w:t xml:space="preserve">. The degree of attenuation of </w:t>
      </w:r>
      <w:r w:rsidRPr="00051E6C">
        <w:rPr>
          <w:rFonts w:ascii="Book Antiqua" w:hAnsi="Book Antiqua" w:cs="Times New Roman"/>
          <w:bCs/>
          <w:i/>
          <w:iCs/>
          <w:sz w:val="24"/>
          <w:szCs w:val="24"/>
        </w:rPr>
        <w:t>E. coli-4A</w:t>
      </w:r>
      <w:r w:rsidRPr="00051E6C">
        <w:rPr>
          <w:rFonts w:ascii="Book Antiqua" w:hAnsi="Book Antiqua" w:cs="Times New Roman"/>
          <w:bCs/>
          <w:iCs/>
          <w:sz w:val="24"/>
          <w:szCs w:val="24"/>
        </w:rPr>
        <w:t xml:space="preserve"> infection was compared between 3, 6, 24, and 48</w:t>
      </w:r>
      <w:r w:rsidRPr="00051E6C">
        <w:rPr>
          <w:rFonts w:ascii="Book Antiqua" w:hAnsi="Book Antiqua" w:cs="Times New Roman"/>
          <w:bCs/>
          <w:iCs/>
          <w:sz w:val="24"/>
          <w:szCs w:val="24"/>
          <w:lang w:eastAsia="zh-CN"/>
        </w:rPr>
        <w:t xml:space="preserve"> </w:t>
      </w:r>
      <w:r w:rsidRPr="00051E6C">
        <w:rPr>
          <w:rFonts w:ascii="Book Antiqua" w:hAnsi="Book Antiqua" w:cs="Times New Roman"/>
          <w:bCs/>
          <w:iCs/>
          <w:sz w:val="24"/>
          <w:szCs w:val="24"/>
        </w:rPr>
        <w:t>h against that at 0</w:t>
      </w:r>
      <w:r w:rsidRPr="00051E6C">
        <w:rPr>
          <w:rFonts w:ascii="Book Antiqua" w:hAnsi="Book Antiqua" w:cs="Times New Roman"/>
          <w:bCs/>
          <w:iCs/>
          <w:sz w:val="24"/>
          <w:szCs w:val="24"/>
          <w:lang w:eastAsia="zh-CN"/>
        </w:rPr>
        <w:t xml:space="preserve"> </w:t>
      </w:r>
      <w:r w:rsidRPr="00051E6C">
        <w:rPr>
          <w:rFonts w:ascii="Book Antiqua" w:hAnsi="Book Antiqua" w:cs="Times New Roman"/>
          <w:bCs/>
          <w:iCs/>
          <w:sz w:val="24"/>
          <w:szCs w:val="24"/>
        </w:rPr>
        <w:t xml:space="preserve">h baseline and was found to be 0%, 77%, 59.6%, and 99.7%, respectively. The degree of attenuation of </w:t>
      </w:r>
      <w:r w:rsidRPr="00051E6C">
        <w:rPr>
          <w:rFonts w:ascii="Book Antiqua" w:hAnsi="Book Antiqua" w:cs="Times New Roman"/>
          <w:bCs/>
          <w:i/>
          <w:iCs/>
          <w:sz w:val="24"/>
          <w:szCs w:val="24"/>
        </w:rPr>
        <w:t>M. smegmatis</w:t>
      </w:r>
      <w:r w:rsidRPr="00051E6C">
        <w:rPr>
          <w:rFonts w:ascii="Book Antiqua" w:hAnsi="Book Antiqua" w:cs="Times New Roman"/>
          <w:bCs/>
          <w:iCs/>
          <w:sz w:val="24"/>
          <w:szCs w:val="24"/>
        </w:rPr>
        <w:t xml:space="preserve"> infection was compared between 3, 6, 24, and 48</w:t>
      </w:r>
      <w:r w:rsidRPr="00051E6C">
        <w:rPr>
          <w:rFonts w:ascii="Book Antiqua" w:hAnsi="Book Antiqua" w:cs="Times New Roman"/>
          <w:bCs/>
          <w:iCs/>
          <w:sz w:val="24"/>
          <w:szCs w:val="24"/>
          <w:lang w:eastAsia="zh-CN"/>
        </w:rPr>
        <w:t xml:space="preserve"> </w:t>
      </w:r>
      <w:r w:rsidRPr="00051E6C">
        <w:rPr>
          <w:rFonts w:ascii="Book Antiqua" w:hAnsi="Book Antiqua" w:cs="Times New Roman"/>
          <w:bCs/>
          <w:iCs/>
          <w:sz w:val="24"/>
          <w:szCs w:val="24"/>
        </w:rPr>
        <w:t>h against that at 0hr baseline and was found to be 94.8%, 70.3%, 98.9%, and 93.4%, respectively. Thus, o</w:t>
      </w:r>
      <w:r w:rsidRPr="00051E6C">
        <w:rPr>
          <w:rFonts w:ascii="Book Antiqua" w:hAnsi="Book Antiqua" w:cs="Times New Roman"/>
          <w:iCs/>
          <w:sz w:val="24"/>
          <w:szCs w:val="24"/>
        </w:rPr>
        <w:t xml:space="preserve">ur results showed that the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siRNA was able to significantly attenuate both </w:t>
      </w:r>
      <w:r w:rsidRPr="00051E6C">
        <w:rPr>
          <w:rFonts w:ascii="Book Antiqua" w:hAnsi="Book Antiqua" w:cs="Times New Roman"/>
          <w:i/>
          <w:iCs/>
          <w:sz w:val="24"/>
          <w:szCs w:val="24"/>
        </w:rPr>
        <w:t>E. coli-4A</w:t>
      </w:r>
      <w:r w:rsidRPr="00051E6C">
        <w:rPr>
          <w:rFonts w:ascii="Book Antiqua" w:hAnsi="Book Antiqua" w:cs="Times New Roman"/>
          <w:iCs/>
          <w:sz w:val="24"/>
          <w:szCs w:val="24"/>
        </w:rPr>
        <w:t xml:space="preserve"> and </w:t>
      </w:r>
      <w:r w:rsidRPr="00051E6C">
        <w:rPr>
          <w:rFonts w:ascii="Book Antiqua" w:hAnsi="Book Antiqua" w:cs="Times New Roman"/>
          <w:i/>
          <w:iCs/>
          <w:sz w:val="24"/>
          <w:szCs w:val="24"/>
        </w:rPr>
        <w:t>M. smegmatis</w:t>
      </w:r>
      <w:r w:rsidRPr="00051E6C">
        <w:rPr>
          <w:rFonts w:ascii="Book Antiqua" w:hAnsi="Book Antiqua" w:cs="Times New Roman"/>
          <w:iCs/>
          <w:sz w:val="24"/>
          <w:szCs w:val="24"/>
        </w:rPr>
        <w:t xml:space="preserve"> infection in </w:t>
      </w:r>
      <w:proofErr w:type="gramStart"/>
      <w:r w:rsidRPr="00051E6C">
        <w:rPr>
          <w:rFonts w:ascii="Book Antiqua" w:hAnsi="Book Antiqua" w:cs="Times New Roman"/>
          <w:iCs/>
          <w:sz w:val="24"/>
          <w:szCs w:val="24"/>
        </w:rPr>
        <w:t>macrophages</w:t>
      </w:r>
      <w:r w:rsidRPr="00051E6C">
        <w:rPr>
          <w:rFonts w:ascii="Book Antiqua" w:hAnsi="Book Antiqua" w:cs="Times New Roman"/>
          <w:iCs/>
          <w:noProof/>
          <w:sz w:val="24"/>
          <w:szCs w:val="24"/>
          <w:vertAlign w:val="superscript"/>
        </w:rPr>
        <w:t>[</w:t>
      </w:r>
      <w:proofErr w:type="gramEnd"/>
      <w:r w:rsidRPr="00051E6C">
        <w:rPr>
          <w:rFonts w:ascii="Book Antiqua" w:hAnsi="Book Antiqua" w:cs="Times New Roman"/>
          <w:iCs/>
          <w:noProof/>
          <w:sz w:val="24"/>
          <w:szCs w:val="24"/>
          <w:vertAlign w:val="superscript"/>
        </w:rPr>
        <w:t>159]</w:t>
      </w:r>
      <w:r w:rsidRPr="00051E6C">
        <w:rPr>
          <w:rFonts w:ascii="Book Antiqua" w:hAnsi="Book Antiqua" w:cs="Times New Roman"/>
          <w:iCs/>
          <w:sz w:val="24"/>
          <w:szCs w:val="24"/>
        </w:rPr>
        <w:t xml:space="preserve">. </w:t>
      </w:r>
    </w:p>
    <w:p w14:paraId="78DD6BEF" w14:textId="77777777" w:rsidR="00CD4266" w:rsidRPr="00051E6C" w:rsidRDefault="00CD4266" w:rsidP="00051E6C">
      <w:pPr>
        <w:spacing w:after="0" w:line="360" w:lineRule="auto"/>
        <w:ind w:firstLineChars="100" w:firstLine="240"/>
        <w:jc w:val="both"/>
        <w:rPr>
          <w:rFonts w:ascii="Book Antiqua" w:hAnsi="Book Antiqua" w:cs="Times New Roman"/>
          <w:iCs/>
          <w:sz w:val="24"/>
          <w:szCs w:val="24"/>
        </w:rPr>
      </w:pPr>
      <w:r w:rsidRPr="00051E6C">
        <w:rPr>
          <w:rFonts w:ascii="Book Antiqua" w:hAnsi="Book Antiqua" w:cs="Times New Roman"/>
          <w:iCs/>
          <w:sz w:val="24"/>
          <w:szCs w:val="24"/>
        </w:rPr>
        <w:t xml:space="preserve">Separate set of experiments were conducted to further test the hypothesis that the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siRNA molecular beacon can attenuate the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mRNA levels in </w:t>
      </w:r>
      <w:r w:rsidRPr="00051E6C">
        <w:rPr>
          <w:rFonts w:ascii="Book Antiqua" w:hAnsi="Book Antiqua" w:cs="Times New Roman"/>
          <w:i/>
          <w:iCs/>
          <w:sz w:val="24"/>
          <w:szCs w:val="24"/>
        </w:rPr>
        <w:t>E. coli</w:t>
      </w:r>
      <w:r w:rsidRPr="00051E6C">
        <w:rPr>
          <w:rFonts w:ascii="Book Antiqua" w:hAnsi="Book Antiqua" w:cs="Times New Roman"/>
          <w:iCs/>
          <w:sz w:val="24"/>
          <w:szCs w:val="24"/>
        </w:rPr>
        <w:t xml:space="preserve"> expressing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gene within infected macrophages. For this, RTPCR analysis was performed on lysates from differentiated U937 cells which were transduced with the </w:t>
      </w:r>
      <w:r w:rsidRPr="00051E6C">
        <w:rPr>
          <w:rFonts w:ascii="Book Antiqua" w:hAnsi="Book Antiqua" w:cs="Times New Roman"/>
          <w:i/>
          <w:iCs/>
          <w:sz w:val="24"/>
          <w:szCs w:val="24"/>
        </w:rPr>
        <w:t xml:space="preserve">piLenti-siRNA-GFP </w:t>
      </w:r>
      <w:r w:rsidRPr="00051E6C">
        <w:rPr>
          <w:rFonts w:ascii="Book Antiqua" w:hAnsi="Book Antiqua" w:cs="Times New Roman"/>
          <w:iCs/>
          <w:sz w:val="24"/>
          <w:szCs w:val="24"/>
        </w:rPr>
        <w:t>phage for 24</w:t>
      </w:r>
      <w:r w:rsidRPr="00051E6C">
        <w:rPr>
          <w:rFonts w:ascii="Book Antiqua" w:hAnsi="Book Antiqua" w:cs="Times New Roman"/>
          <w:iCs/>
          <w:sz w:val="24"/>
          <w:szCs w:val="24"/>
          <w:lang w:eastAsia="zh-CN"/>
        </w:rPr>
        <w:t xml:space="preserve"> </w:t>
      </w:r>
      <w:r w:rsidRPr="00051E6C">
        <w:rPr>
          <w:rFonts w:ascii="Book Antiqua" w:hAnsi="Book Antiqua" w:cs="Times New Roman"/>
          <w:iCs/>
          <w:sz w:val="24"/>
          <w:szCs w:val="24"/>
        </w:rPr>
        <w:t xml:space="preserve">h, followed by infection with </w:t>
      </w:r>
      <w:r w:rsidRPr="00051E6C">
        <w:rPr>
          <w:rFonts w:ascii="Book Antiqua" w:hAnsi="Book Antiqua" w:cs="Times New Roman"/>
          <w:i/>
          <w:iCs/>
          <w:sz w:val="24"/>
          <w:szCs w:val="24"/>
        </w:rPr>
        <w:t xml:space="preserve">E. coli-4A </w:t>
      </w:r>
      <w:r w:rsidRPr="00051E6C">
        <w:rPr>
          <w:rFonts w:ascii="Book Antiqua" w:hAnsi="Book Antiqua" w:cs="Times New Roman"/>
          <w:iCs/>
          <w:sz w:val="24"/>
          <w:szCs w:val="24"/>
        </w:rPr>
        <w:t>for 3</w:t>
      </w:r>
      <w:r w:rsidRPr="00051E6C">
        <w:rPr>
          <w:rFonts w:ascii="Book Antiqua" w:hAnsi="Book Antiqua" w:cs="Times New Roman"/>
          <w:iCs/>
          <w:sz w:val="24"/>
          <w:szCs w:val="24"/>
          <w:lang w:eastAsia="zh-CN"/>
        </w:rPr>
        <w:t xml:space="preserve"> </w:t>
      </w:r>
      <w:r w:rsidRPr="00051E6C">
        <w:rPr>
          <w:rFonts w:ascii="Book Antiqua" w:hAnsi="Book Antiqua" w:cs="Times New Roman"/>
          <w:iCs/>
          <w:sz w:val="24"/>
          <w:szCs w:val="24"/>
        </w:rPr>
        <w:t>h and incubation for 0, 3, 6, and 24</w:t>
      </w:r>
      <w:r w:rsidRPr="00051E6C">
        <w:rPr>
          <w:rFonts w:ascii="Book Antiqua" w:hAnsi="Book Antiqua" w:cs="Times New Roman"/>
          <w:iCs/>
          <w:sz w:val="24"/>
          <w:szCs w:val="24"/>
          <w:lang w:eastAsia="zh-CN"/>
        </w:rPr>
        <w:t xml:space="preserve"> </w:t>
      </w:r>
      <w:r w:rsidRPr="00051E6C">
        <w:rPr>
          <w:rFonts w:ascii="Book Antiqua" w:hAnsi="Book Antiqua" w:cs="Times New Roman"/>
          <w:iCs/>
          <w:sz w:val="24"/>
          <w:szCs w:val="24"/>
        </w:rPr>
        <w:t xml:space="preserve">h. The cells were washed and lysed and the intracellular bacteria were isolated and washed at each time point of incubation. The bacterial sample from each of the time points were lysed and the mRNA was isolated and purified using DNAse 1 enzyme treatment. Reverse transcripts were generated using RTPCR and the cDNAs were amplified using gene specific primers for </w:t>
      </w:r>
      <w:r w:rsidRPr="00051E6C">
        <w:rPr>
          <w:rFonts w:ascii="Book Antiqua" w:hAnsi="Book Antiqua" w:cs="Times New Roman"/>
          <w:i/>
          <w:iCs/>
          <w:sz w:val="24"/>
          <w:szCs w:val="24"/>
        </w:rPr>
        <w:t>M. smegmatis</w:t>
      </w:r>
      <w:r w:rsidRPr="00051E6C">
        <w:rPr>
          <w:rFonts w:ascii="Book Antiqua" w:hAnsi="Book Antiqua" w:cs="Times New Roman"/>
          <w:iCs/>
          <w:sz w:val="24"/>
          <w:szCs w:val="24"/>
        </w:rPr>
        <w:t xml:space="preserve">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and </w:t>
      </w:r>
      <w:r w:rsidRPr="00051E6C">
        <w:rPr>
          <w:rFonts w:ascii="Book Antiqua" w:hAnsi="Book Antiqua" w:cs="Times New Roman"/>
          <w:i/>
          <w:iCs/>
          <w:sz w:val="24"/>
          <w:szCs w:val="24"/>
        </w:rPr>
        <w:t>E. coli</w:t>
      </w:r>
      <w:r w:rsidRPr="00051E6C">
        <w:rPr>
          <w:rFonts w:ascii="Book Antiqua" w:hAnsi="Book Antiqua" w:cs="Times New Roman"/>
          <w:iCs/>
          <w:sz w:val="24"/>
          <w:szCs w:val="24"/>
        </w:rPr>
        <w:t xml:space="preserve"> </w:t>
      </w:r>
      <w:r w:rsidRPr="00051E6C">
        <w:rPr>
          <w:rFonts w:ascii="Book Antiqua" w:hAnsi="Book Antiqua" w:cs="Times New Roman"/>
          <w:i/>
          <w:iCs/>
          <w:sz w:val="24"/>
          <w:szCs w:val="24"/>
        </w:rPr>
        <w:t>16S</w:t>
      </w:r>
      <w:r w:rsidRPr="00051E6C">
        <w:rPr>
          <w:rFonts w:ascii="Book Antiqua" w:hAnsi="Book Antiqua" w:cs="Times New Roman"/>
          <w:iCs/>
          <w:sz w:val="24"/>
          <w:szCs w:val="24"/>
        </w:rPr>
        <w:t xml:space="preserve"> rRNA gene as internal control. The degree of attenuation of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mRNA levels was compared between 3, 6, and 24</w:t>
      </w:r>
      <w:r w:rsidRPr="00051E6C">
        <w:rPr>
          <w:rFonts w:ascii="Book Antiqua" w:hAnsi="Book Antiqua" w:cs="Times New Roman"/>
          <w:iCs/>
          <w:sz w:val="24"/>
          <w:szCs w:val="24"/>
          <w:lang w:eastAsia="zh-CN"/>
        </w:rPr>
        <w:t xml:space="preserve"> </w:t>
      </w:r>
      <w:r w:rsidRPr="00051E6C">
        <w:rPr>
          <w:rFonts w:ascii="Book Antiqua" w:hAnsi="Book Antiqua" w:cs="Times New Roman"/>
          <w:iCs/>
          <w:sz w:val="24"/>
          <w:szCs w:val="24"/>
        </w:rPr>
        <w:t xml:space="preserve">h against that at 0hr and the results were found to be 0%, 81%, 40%, and 36%, respectively using densitometry gel analysis. Our results thus showed that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siRNA was able to attenuate </w:t>
      </w:r>
      <w:r w:rsidRPr="00051E6C">
        <w:rPr>
          <w:rFonts w:ascii="Book Antiqua" w:hAnsi="Book Antiqua" w:cs="Times New Roman"/>
          <w:i/>
          <w:iCs/>
          <w:sz w:val="24"/>
          <w:szCs w:val="24"/>
        </w:rPr>
        <w:t xml:space="preserve">mce4A </w:t>
      </w:r>
      <w:r w:rsidRPr="00051E6C">
        <w:rPr>
          <w:rFonts w:ascii="Book Antiqua" w:hAnsi="Book Antiqua" w:cs="Times New Roman"/>
          <w:iCs/>
          <w:sz w:val="24"/>
          <w:szCs w:val="24"/>
        </w:rPr>
        <w:t xml:space="preserve">levels within infected macrophages as opposed to </w:t>
      </w:r>
      <w:r w:rsidRPr="00051E6C">
        <w:rPr>
          <w:rFonts w:ascii="Book Antiqua" w:hAnsi="Book Antiqua" w:cs="Times New Roman"/>
          <w:i/>
          <w:iCs/>
          <w:sz w:val="24"/>
          <w:szCs w:val="24"/>
        </w:rPr>
        <w:t>E. coli</w:t>
      </w:r>
      <w:r w:rsidRPr="00051E6C">
        <w:rPr>
          <w:rFonts w:ascii="Book Antiqua" w:hAnsi="Book Antiqua" w:cs="Times New Roman"/>
          <w:iCs/>
          <w:sz w:val="24"/>
          <w:szCs w:val="24"/>
        </w:rPr>
        <w:t xml:space="preserve"> </w:t>
      </w:r>
      <w:r w:rsidRPr="00051E6C">
        <w:rPr>
          <w:rFonts w:ascii="Book Antiqua" w:hAnsi="Book Antiqua" w:cs="Times New Roman"/>
          <w:i/>
          <w:iCs/>
          <w:sz w:val="24"/>
          <w:szCs w:val="24"/>
        </w:rPr>
        <w:t>16S</w:t>
      </w:r>
      <w:r w:rsidRPr="00051E6C">
        <w:rPr>
          <w:rFonts w:ascii="Book Antiqua" w:hAnsi="Book Antiqua" w:cs="Times New Roman"/>
          <w:iCs/>
          <w:sz w:val="24"/>
          <w:szCs w:val="24"/>
        </w:rPr>
        <w:t xml:space="preserve"> rRNA internal positive control and the degree of attenuation of </w:t>
      </w:r>
      <w:r w:rsidRPr="00051E6C">
        <w:rPr>
          <w:rFonts w:ascii="Book Antiqua" w:hAnsi="Book Antiqua" w:cs="Times New Roman"/>
          <w:i/>
          <w:iCs/>
          <w:sz w:val="24"/>
          <w:szCs w:val="24"/>
        </w:rPr>
        <w:t>mce4A</w:t>
      </w:r>
      <w:r w:rsidRPr="00051E6C">
        <w:rPr>
          <w:rFonts w:ascii="Book Antiqua" w:hAnsi="Book Antiqua" w:cs="Times New Roman"/>
          <w:iCs/>
          <w:sz w:val="24"/>
          <w:szCs w:val="24"/>
        </w:rPr>
        <w:t xml:space="preserve"> mRNA levels in </w:t>
      </w:r>
      <w:r w:rsidRPr="00051E6C">
        <w:rPr>
          <w:rFonts w:ascii="Book Antiqua" w:hAnsi="Book Antiqua" w:cs="Times New Roman"/>
          <w:i/>
          <w:iCs/>
          <w:sz w:val="24"/>
          <w:szCs w:val="24"/>
        </w:rPr>
        <w:t>E. coli-4A</w:t>
      </w:r>
      <w:r w:rsidRPr="00051E6C">
        <w:rPr>
          <w:rFonts w:ascii="Book Antiqua" w:hAnsi="Book Antiqua" w:cs="Times New Roman"/>
          <w:iCs/>
          <w:sz w:val="24"/>
          <w:szCs w:val="24"/>
        </w:rPr>
        <w:t xml:space="preserve"> was found to be significant.</w:t>
      </w:r>
    </w:p>
    <w:p w14:paraId="6182ABAE" w14:textId="77777777" w:rsidR="00CD4266" w:rsidRPr="00051E6C" w:rsidRDefault="00CD4266" w:rsidP="002D569F">
      <w:pPr>
        <w:spacing w:after="0" w:line="360" w:lineRule="auto"/>
        <w:ind w:firstLineChars="100" w:firstLine="240"/>
        <w:jc w:val="both"/>
        <w:rPr>
          <w:rFonts w:ascii="Book Antiqua" w:hAnsi="Book Antiqua" w:cs="Times New Roman"/>
          <w:bCs/>
          <w:sz w:val="24"/>
          <w:szCs w:val="24"/>
        </w:rPr>
      </w:pPr>
      <w:r w:rsidRPr="00051E6C">
        <w:rPr>
          <w:rFonts w:ascii="Book Antiqua" w:hAnsi="Book Antiqua" w:cs="Times New Roman"/>
          <w:sz w:val="24"/>
          <w:szCs w:val="24"/>
        </w:rPr>
        <w:t>Thus, w</w:t>
      </w:r>
      <w:r w:rsidRPr="00051E6C">
        <w:rPr>
          <w:rFonts w:ascii="Book Antiqua" w:hAnsi="Book Antiqua" w:cs="Times New Roman"/>
          <w:bCs/>
          <w:sz w:val="24"/>
          <w:szCs w:val="24"/>
        </w:rPr>
        <w:t xml:space="preserve">e have successfully demonstrated that a molecular beacon can be designed against one of the </w:t>
      </w:r>
      <w:r w:rsidRPr="00051E6C">
        <w:rPr>
          <w:rFonts w:ascii="Book Antiqua" w:hAnsi="Book Antiqua" w:cs="Times New Roman"/>
          <w:bCs/>
          <w:i/>
          <w:sz w:val="24"/>
          <w:szCs w:val="24"/>
        </w:rPr>
        <w:t>mce4</w:t>
      </w:r>
      <w:r w:rsidRPr="00051E6C">
        <w:rPr>
          <w:rFonts w:ascii="Book Antiqua" w:hAnsi="Book Antiqua" w:cs="Times New Roman"/>
          <w:bCs/>
          <w:sz w:val="24"/>
          <w:szCs w:val="24"/>
        </w:rPr>
        <w:t xml:space="preserve"> operon genes in </w:t>
      </w:r>
      <w:r w:rsidRPr="00051E6C">
        <w:rPr>
          <w:rFonts w:ascii="Book Antiqua" w:hAnsi="Book Antiqua" w:cs="Times New Roman"/>
          <w:bCs/>
          <w:i/>
          <w:sz w:val="24"/>
          <w:szCs w:val="24"/>
        </w:rPr>
        <w:t>M. smegmatis</w:t>
      </w:r>
      <w:r w:rsidRPr="00051E6C">
        <w:rPr>
          <w:rFonts w:ascii="Book Antiqua" w:hAnsi="Book Antiqua" w:cs="Times New Roman"/>
          <w:bCs/>
          <w:sz w:val="24"/>
          <w:szCs w:val="24"/>
        </w:rPr>
        <w:t xml:space="preserve"> which can be used to both detect and attenuate mycobacterial infection in macrophages. </w:t>
      </w:r>
    </w:p>
    <w:p w14:paraId="6D0115CA" w14:textId="16476258" w:rsidR="00CD4266" w:rsidRPr="00051E6C" w:rsidRDefault="00CD4266" w:rsidP="00051E6C">
      <w:pPr>
        <w:spacing w:after="0" w:line="360" w:lineRule="auto"/>
        <w:ind w:firstLineChars="100" w:firstLine="240"/>
        <w:jc w:val="both"/>
        <w:rPr>
          <w:rFonts w:ascii="Book Antiqua" w:hAnsi="Book Antiqua" w:cs="Times New Roman"/>
          <w:sz w:val="24"/>
          <w:szCs w:val="24"/>
        </w:rPr>
      </w:pPr>
      <w:r w:rsidRPr="00051E6C">
        <w:rPr>
          <w:rFonts w:ascii="Book Antiqua" w:hAnsi="Book Antiqua" w:cs="Times New Roman"/>
          <w:sz w:val="24"/>
          <w:szCs w:val="24"/>
        </w:rPr>
        <w:t xml:space="preserve">Antisense oligonucleotides, </w:t>
      </w:r>
      <w:r w:rsidR="001F5FCD" w:rsidRPr="00051E6C">
        <w:rPr>
          <w:rFonts w:ascii="Book Antiqua" w:hAnsi="Book Antiqua" w:cs="Times New Roman"/>
          <w:sz w:val="24"/>
          <w:szCs w:val="24"/>
        </w:rPr>
        <w:t>considered</w:t>
      </w:r>
      <w:r w:rsidRPr="00051E6C">
        <w:rPr>
          <w:rFonts w:ascii="Book Antiqua" w:hAnsi="Book Antiqua" w:cs="Times New Roman"/>
          <w:sz w:val="24"/>
          <w:szCs w:val="24"/>
        </w:rPr>
        <w:t xml:space="preserve"> the pharmacology of the </w:t>
      </w:r>
      <w:proofErr w:type="gramStart"/>
      <w:r w:rsidRPr="00051E6C">
        <w:rPr>
          <w:rFonts w:ascii="Book Antiqua" w:hAnsi="Book Antiqua" w:cs="Times New Roman"/>
          <w:sz w:val="24"/>
          <w:szCs w:val="24"/>
        </w:rPr>
        <w:t>future</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184]</w:t>
      </w:r>
      <w:r w:rsidR="001F5FCD" w:rsidRPr="00051E6C">
        <w:rPr>
          <w:rFonts w:ascii="Book Antiqua" w:hAnsi="Book Antiqua" w:cs="Times New Roman"/>
          <w:sz w:val="24"/>
          <w:szCs w:val="24"/>
        </w:rPr>
        <w:t>, interact with</w:t>
      </w:r>
      <w:r w:rsidRPr="00051E6C">
        <w:rPr>
          <w:rFonts w:ascii="Book Antiqua" w:hAnsi="Book Antiqua" w:cs="Times New Roman"/>
          <w:sz w:val="24"/>
          <w:szCs w:val="24"/>
        </w:rPr>
        <w:t xml:space="preserve"> their mRNA targets with greater specificity and </w:t>
      </w:r>
      <w:r w:rsidR="001F5FCD" w:rsidRPr="00051E6C">
        <w:rPr>
          <w:rFonts w:ascii="Book Antiqua" w:hAnsi="Book Antiqua" w:cs="Times New Roman"/>
          <w:sz w:val="24"/>
          <w:szCs w:val="24"/>
        </w:rPr>
        <w:t xml:space="preserve">binding affinity </w:t>
      </w:r>
      <w:r w:rsidRPr="00051E6C">
        <w:rPr>
          <w:rFonts w:ascii="Book Antiqua" w:hAnsi="Book Antiqua" w:cs="Times New Roman"/>
          <w:sz w:val="24"/>
          <w:szCs w:val="24"/>
        </w:rPr>
        <w:t xml:space="preserve">than traditional drugs to their protein targets. Recent advances have enhanced their hybridization to target mRNA, reduced their overall toxicity with decreased susceptibility to cellular nucleases. The lung </w:t>
      </w:r>
      <w:r w:rsidR="001F5FCD" w:rsidRPr="00051E6C">
        <w:rPr>
          <w:rFonts w:ascii="Book Antiqua" w:hAnsi="Book Antiqua" w:cs="Times New Roman"/>
          <w:sz w:val="24"/>
          <w:szCs w:val="24"/>
        </w:rPr>
        <w:t>provides</w:t>
      </w:r>
      <w:r w:rsidRPr="00051E6C">
        <w:rPr>
          <w:rFonts w:ascii="Book Antiqua" w:hAnsi="Book Antiqua" w:cs="Times New Roman"/>
          <w:sz w:val="24"/>
          <w:szCs w:val="24"/>
        </w:rPr>
        <w:t xml:space="preserve"> an exce</w:t>
      </w:r>
      <w:r w:rsidR="001F5FCD" w:rsidRPr="00051E6C">
        <w:rPr>
          <w:rFonts w:ascii="Book Antiqua" w:hAnsi="Book Antiqua" w:cs="Times New Roman"/>
          <w:sz w:val="24"/>
          <w:szCs w:val="24"/>
        </w:rPr>
        <w:t>llent</w:t>
      </w:r>
      <w:r w:rsidRPr="00051E6C">
        <w:rPr>
          <w:rFonts w:ascii="Book Antiqua" w:hAnsi="Book Antiqua" w:cs="Times New Roman"/>
          <w:sz w:val="24"/>
          <w:szCs w:val="24"/>
        </w:rPr>
        <w:t xml:space="preserve"> target for direct antisense oligonucleotide delivery by inhalation, thereby achieving a bolus dose directly to the target site. Cationic lipids in the lung surfactants enhance oligonucleotides </w:t>
      </w:r>
      <w:r w:rsidR="002F5357" w:rsidRPr="00051E6C">
        <w:rPr>
          <w:rFonts w:ascii="Book Antiqua" w:hAnsi="Book Antiqua" w:cs="Times New Roman"/>
          <w:sz w:val="24"/>
          <w:szCs w:val="24"/>
        </w:rPr>
        <w:t xml:space="preserve">entry </w:t>
      </w:r>
      <w:r w:rsidRPr="00051E6C">
        <w:rPr>
          <w:rFonts w:ascii="Book Antiqua" w:hAnsi="Book Antiqua" w:cs="Times New Roman"/>
          <w:sz w:val="24"/>
          <w:szCs w:val="24"/>
        </w:rPr>
        <w:t xml:space="preserve">into </w:t>
      </w:r>
      <w:proofErr w:type="gramStart"/>
      <w:r w:rsidRPr="00051E6C">
        <w:rPr>
          <w:rFonts w:ascii="Book Antiqua" w:hAnsi="Book Antiqua" w:cs="Times New Roman"/>
          <w:sz w:val="24"/>
          <w:szCs w:val="24"/>
        </w:rPr>
        <w:t>cells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185]</w:t>
      </w:r>
      <w:r w:rsidRPr="00051E6C">
        <w:rPr>
          <w:rFonts w:ascii="Book Antiqua" w:hAnsi="Book Antiqua" w:cs="Times New Roman"/>
          <w:sz w:val="24"/>
          <w:szCs w:val="24"/>
        </w:rPr>
        <w:t xml:space="preserve">. Penetration of the inhaled oligonucleotides into deeper tissues of the lung has been established by autoradiogram, surgical dissection &amp; receptor quantification </w:t>
      </w:r>
      <w:proofErr w:type="gramStart"/>
      <w:r w:rsidRPr="00051E6C">
        <w:rPr>
          <w:rFonts w:ascii="Book Antiqua" w:hAnsi="Book Antiqua" w:cs="Times New Roman"/>
          <w:sz w:val="24"/>
          <w:szCs w:val="24"/>
        </w:rPr>
        <w:t>studies</w:t>
      </w:r>
      <w:r w:rsidRPr="00051E6C">
        <w:rPr>
          <w:rFonts w:ascii="Book Antiqua" w:hAnsi="Book Antiqua" w:cs="Times New Roman"/>
          <w:noProof/>
          <w:sz w:val="24"/>
          <w:szCs w:val="24"/>
          <w:vertAlign w:val="superscript"/>
        </w:rPr>
        <w:t>[</w:t>
      </w:r>
      <w:proofErr w:type="gramEnd"/>
      <w:r w:rsidRPr="00051E6C">
        <w:rPr>
          <w:rFonts w:ascii="Book Antiqua" w:hAnsi="Book Antiqua" w:cs="Times New Roman"/>
          <w:noProof/>
          <w:sz w:val="24"/>
          <w:szCs w:val="24"/>
          <w:vertAlign w:val="superscript"/>
        </w:rPr>
        <w:t>186]</w:t>
      </w:r>
      <w:r w:rsidRPr="00051E6C">
        <w:rPr>
          <w:rFonts w:ascii="Book Antiqua" w:hAnsi="Book Antiqua" w:cs="Times New Roman"/>
          <w:sz w:val="24"/>
          <w:szCs w:val="24"/>
        </w:rPr>
        <w:t xml:space="preserve">. Further studies to test the hypothesis that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siRNA respirable molecular beacons can localize and attenuate mycobacterial infection in pulmonary granulomas in animal models will take the fight against TB a long way in eradicating this versatile human pathogen. </w:t>
      </w:r>
    </w:p>
    <w:p w14:paraId="5DADCF95" w14:textId="77777777" w:rsidR="00CD4266" w:rsidRPr="00051E6C" w:rsidRDefault="00CD4266" w:rsidP="00051E6C">
      <w:pPr>
        <w:spacing w:after="0" w:line="360" w:lineRule="auto"/>
        <w:jc w:val="both"/>
        <w:rPr>
          <w:rFonts w:ascii="Book Antiqua" w:hAnsi="Book Antiqua" w:cs="Times New Roman"/>
          <w:sz w:val="24"/>
          <w:szCs w:val="24"/>
        </w:rPr>
      </w:pPr>
    </w:p>
    <w:p w14:paraId="700161DD"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CONCLUSION</w:t>
      </w:r>
    </w:p>
    <w:p w14:paraId="00145A38"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sz w:val="24"/>
          <w:szCs w:val="24"/>
        </w:rPr>
        <w:t xml:space="preserve">The association of the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especially that of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with mycobacterial invasion and latency is no longer considered casual and with strong evidences emerging over the recent years it can now be considered as a potent mediator of </w:t>
      </w:r>
      <w:r w:rsidRPr="00051E6C">
        <w:rPr>
          <w:rFonts w:ascii="Book Antiqua" w:hAnsi="Book Antiqua" w:cs="Times New Roman"/>
          <w:i/>
          <w:sz w:val="24"/>
          <w:szCs w:val="24"/>
        </w:rPr>
        <w:t>MTB</w:t>
      </w:r>
      <w:r w:rsidRPr="00051E6C">
        <w:rPr>
          <w:rFonts w:ascii="Book Antiqua" w:hAnsi="Book Antiqua" w:cs="Times New Roman"/>
          <w:sz w:val="24"/>
          <w:szCs w:val="24"/>
        </w:rPr>
        <w:t xml:space="preserve"> infection and survival in its only human host. The mce invasion domain is equipped to mediate the entry and localization of the bacteria in the host macrophages at cholesterol rich regions creating cholesterol-associated protein coated phagosomes, thereby creating an ingenious mechanism for subverting the immune defenses. Another paradigm to the mycobacterial saga was added by the discovery that the MCE associated protein, YRBE4 transporters, in conjunction with the MCE4 domains, transport cholesterol into the cell for its energy and carbon needs, which then possibly generates metabolites that can further mediate its latency in the host. Strategies like identifying the level of infectivity of individual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 genes and designing efficacious drugs like molecular beacon siRNAs against </w:t>
      </w:r>
      <w:r w:rsidRPr="00051E6C">
        <w:rPr>
          <w:rFonts w:ascii="Book Antiqua" w:hAnsi="Book Antiqua" w:cs="Times New Roman"/>
          <w:i/>
          <w:sz w:val="24"/>
          <w:szCs w:val="24"/>
        </w:rPr>
        <w:t>mce</w:t>
      </w:r>
      <w:r w:rsidRPr="00051E6C">
        <w:rPr>
          <w:rFonts w:ascii="Book Antiqua" w:hAnsi="Book Antiqua" w:cs="Times New Roman"/>
          <w:sz w:val="24"/>
          <w:szCs w:val="24"/>
        </w:rPr>
        <w:t xml:space="preserve"> targets can aid in the simultaneous detection and eradication of this elusive human pathogen.    </w:t>
      </w:r>
    </w:p>
    <w:p w14:paraId="27D5BE6F"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4DF7629F" w14:textId="77777777" w:rsidR="00CD4266" w:rsidRPr="002D569F" w:rsidRDefault="00CD4266" w:rsidP="002D569F">
      <w:pPr>
        <w:spacing w:after="0" w:line="360" w:lineRule="auto"/>
        <w:jc w:val="both"/>
        <w:rPr>
          <w:rFonts w:ascii="Book Antiqua" w:hAnsi="Book Antiqua" w:cs="Times New Roman"/>
          <w:b/>
          <w:sz w:val="24"/>
          <w:szCs w:val="24"/>
          <w:lang w:eastAsia="zh-CN"/>
        </w:rPr>
      </w:pPr>
      <w:r w:rsidRPr="002D569F">
        <w:rPr>
          <w:rFonts w:ascii="Book Antiqua" w:hAnsi="Book Antiqua" w:cs="Times New Roman"/>
          <w:b/>
          <w:sz w:val="24"/>
          <w:szCs w:val="24"/>
        </w:rPr>
        <w:t>REFERENCES</w:t>
      </w:r>
    </w:p>
    <w:p w14:paraId="4492582E" w14:textId="60DC6A0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 xml:space="preserve">1 </w:t>
      </w:r>
      <w:r w:rsidRPr="00CD4266">
        <w:rPr>
          <w:rFonts w:ascii="Book Antiqua" w:hAnsi="Book Antiqua"/>
          <w:b/>
          <w:sz w:val="24"/>
          <w:szCs w:val="24"/>
        </w:rPr>
        <w:t>WHO</w:t>
      </w:r>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Tuberculosis global facts 2010/2011.</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Cent Eur J Public Health</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18</w:t>
      </w:r>
      <w:r w:rsidRPr="002D569F">
        <w:rPr>
          <w:rFonts w:ascii="Book Antiqua" w:eastAsia="宋体" w:hAnsi="Book Antiqua" w:cs="宋体"/>
          <w:color w:val="000000"/>
          <w:sz w:val="24"/>
          <w:szCs w:val="24"/>
          <w:lang w:eastAsia="zh-CN"/>
        </w:rPr>
        <w:t>: 197 [PMID: 21361102]</w:t>
      </w:r>
    </w:p>
    <w:p w14:paraId="3D4DB547" w14:textId="7AE7AD40"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 xml:space="preserve">2 </w:t>
      </w:r>
      <w:r w:rsidR="00392EB6" w:rsidRPr="00392EB6">
        <w:rPr>
          <w:rFonts w:ascii="Book Antiqua" w:eastAsia="宋体" w:hAnsi="Book Antiqua" w:cs="宋体"/>
          <w:b/>
          <w:color w:val="000000"/>
          <w:sz w:val="24"/>
          <w:szCs w:val="24"/>
          <w:lang w:eastAsia="zh-CN"/>
        </w:rPr>
        <w:t>Eurosurveillance editorial team</w:t>
      </w:r>
      <w:r w:rsidR="00392EB6">
        <w:rPr>
          <w:rFonts w:ascii="Book Antiqua" w:eastAsia="宋体" w:hAnsi="Book Antiqua" w:cs="宋体"/>
          <w:color w:val="000000"/>
          <w:sz w:val="24"/>
          <w:szCs w:val="24"/>
          <w:lang w:eastAsia="zh-CN"/>
        </w:rPr>
        <w:t>.</w:t>
      </w:r>
      <w:proofErr w:type="gramEnd"/>
      <w:r w:rsidR="00392EB6">
        <w:rPr>
          <w:rFonts w:ascii="Book Antiqua" w:eastAsia="宋体" w:hAnsi="Book Antiqua" w:cs="宋体"/>
          <w:color w:val="000000"/>
          <w:sz w:val="24"/>
          <w:szCs w:val="24"/>
          <w:lang w:eastAsia="zh-CN"/>
        </w:rPr>
        <w:t xml:space="preserve"> </w:t>
      </w:r>
      <w:r w:rsidRPr="002D569F">
        <w:rPr>
          <w:rFonts w:ascii="Book Antiqua" w:eastAsia="宋体" w:hAnsi="Book Antiqua" w:cs="宋体"/>
          <w:color w:val="000000"/>
          <w:sz w:val="24"/>
          <w:szCs w:val="24"/>
          <w:lang w:eastAsia="zh-CN"/>
        </w:rPr>
        <w:t xml:space="preserve">WHO publishes Global tuberculosis report </w:t>
      </w:r>
      <w:proofErr w:type="gramStart"/>
      <w:r w:rsidRPr="002D569F">
        <w:rPr>
          <w:rFonts w:ascii="Book Antiqua" w:eastAsia="宋体" w:hAnsi="Book Antiqua" w:cs="宋体"/>
          <w:color w:val="000000"/>
          <w:sz w:val="24"/>
          <w:szCs w:val="24"/>
          <w:lang w:eastAsia="zh-CN"/>
        </w:rPr>
        <w:t>2013.</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Euro Surveill</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18</w:t>
      </w:r>
      <w:r w:rsidRPr="002D569F">
        <w:rPr>
          <w:rFonts w:ascii="Book Antiqua" w:eastAsia="宋体" w:hAnsi="Book Antiqua" w:cs="宋体"/>
          <w:color w:val="000000"/>
          <w:sz w:val="24"/>
          <w:szCs w:val="24"/>
          <w:lang w:eastAsia="zh-CN"/>
        </w:rPr>
        <w:t>: [PMID: 24176622]</w:t>
      </w:r>
    </w:p>
    <w:p w14:paraId="69303317" w14:textId="0857C31A"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 xml:space="preserve">3 </w:t>
      </w:r>
      <w:r w:rsidRPr="00CD4266">
        <w:rPr>
          <w:rFonts w:ascii="Book Antiqua" w:hAnsi="Book Antiqua"/>
          <w:b/>
          <w:sz w:val="24"/>
          <w:szCs w:val="24"/>
        </w:rPr>
        <w:t>Centers for Disease, C, Prevention</w:t>
      </w:r>
      <w:r w:rsidRPr="002D569F">
        <w:rPr>
          <w:rFonts w:ascii="Book Antiqua" w:eastAsia="宋体" w:hAnsi="Book Antiqua" w:cs="宋体"/>
          <w:color w:val="000000"/>
          <w:sz w:val="24"/>
          <w:szCs w:val="24"/>
          <w:lang w:eastAsia="zh-CN"/>
        </w:rPr>
        <w:t>.</w:t>
      </w:r>
      <w:proofErr w:type="gramEnd"/>
      <w:r w:rsidRPr="002D569F">
        <w:rPr>
          <w:rFonts w:ascii="Book Antiqua" w:eastAsia="宋体" w:hAnsi="Book Antiqua" w:cs="宋体"/>
          <w:color w:val="000000"/>
          <w:sz w:val="24"/>
          <w:szCs w:val="24"/>
          <w:lang w:eastAsia="zh-CN"/>
        </w:rPr>
        <w:t xml:space="preserve"> Trends in tuberculosis--United States, 2012. </w:t>
      </w:r>
      <w:r w:rsidRPr="002D569F">
        <w:rPr>
          <w:rFonts w:ascii="Book Antiqua" w:eastAsia="宋体" w:hAnsi="Book Antiqua" w:cs="宋体"/>
          <w:i/>
          <w:iCs/>
          <w:color w:val="000000"/>
          <w:sz w:val="24"/>
          <w:szCs w:val="24"/>
          <w:lang w:eastAsia="zh-CN"/>
        </w:rPr>
        <w:t>MMWR Morb Mortal Wkly Rep</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62</w:t>
      </w:r>
      <w:r w:rsidRPr="002D569F">
        <w:rPr>
          <w:rFonts w:ascii="Book Antiqua" w:eastAsia="宋体" w:hAnsi="Book Antiqua" w:cs="宋体"/>
          <w:color w:val="000000"/>
          <w:sz w:val="24"/>
          <w:szCs w:val="24"/>
          <w:lang w:eastAsia="zh-CN"/>
        </w:rPr>
        <w:t>: 201-205 [PMID: 23515056]</w:t>
      </w:r>
    </w:p>
    <w:p w14:paraId="7924F270" w14:textId="5DACAE4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4 </w:t>
      </w:r>
      <w:r w:rsidRPr="002D569F">
        <w:rPr>
          <w:rFonts w:ascii="Book Antiqua" w:eastAsia="宋体" w:hAnsi="Book Antiqua" w:cs="宋体"/>
          <w:b/>
          <w:bCs/>
          <w:color w:val="000000"/>
          <w:sz w:val="24"/>
          <w:szCs w:val="24"/>
          <w:lang w:eastAsia="zh-CN"/>
        </w:rPr>
        <w:t>Horsburgh CR</w:t>
      </w:r>
      <w:r w:rsidRPr="002D569F">
        <w:rPr>
          <w:rFonts w:ascii="Book Antiqua" w:eastAsia="宋体" w:hAnsi="Book Antiqua" w:cs="宋体"/>
          <w:color w:val="000000"/>
          <w:sz w:val="24"/>
          <w:szCs w:val="24"/>
          <w:lang w:eastAsia="zh-CN"/>
        </w:rPr>
        <w:t xml:space="preserve">, Rubin EJ. Clinical practice. </w:t>
      </w:r>
      <w:proofErr w:type="gramStart"/>
      <w:r w:rsidRPr="002D569F">
        <w:rPr>
          <w:rFonts w:ascii="Book Antiqua" w:eastAsia="宋体" w:hAnsi="Book Antiqua" w:cs="宋体"/>
          <w:color w:val="000000"/>
          <w:sz w:val="24"/>
          <w:szCs w:val="24"/>
          <w:lang w:eastAsia="zh-CN"/>
        </w:rPr>
        <w:t>Latent tuberculosis infection in the United States.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N Engl J Med</w:t>
      </w:r>
      <w:r w:rsidRPr="002D569F">
        <w:rPr>
          <w:rFonts w:ascii="Book Antiqua" w:eastAsia="宋体" w:hAnsi="Book Antiqua" w:cs="宋体"/>
          <w:color w:val="000000"/>
          <w:sz w:val="24"/>
          <w:szCs w:val="24"/>
          <w:lang w:eastAsia="zh-CN"/>
        </w:rPr>
        <w:t> 2011; </w:t>
      </w:r>
      <w:r w:rsidRPr="002D569F">
        <w:rPr>
          <w:rFonts w:ascii="Book Antiqua" w:eastAsia="宋体" w:hAnsi="Book Antiqua" w:cs="宋体"/>
          <w:b/>
          <w:bCs/>
          <w:color w:val="000000"/>
          <w:sz w:val="24"/>
          <w:szCs w:val="24"/>
          <w:lang w:eastAsia="zh-CN"/>
        </w:rPr>
        <w:t>364</w:t>
      </w:r>
      <w:r w:rsidRPr="002D569F">
        <w:rPr>
          <w:rFonts w:ascii="Book Antiqua" w:eastAsia="宋体" w:hAnsi="Book Antiqua" w:cs="宋体"/>
          <w:color w:val="000000"/>
          <w:sz w:val="24"/>
          <w:szCs w:val="24"/>
          <w:lang w:eastAsia="zh-CN"/>
        </w:rPr>
        <w:t>: 1441-1448 [PMID: 214887</w:t>
      </w:r>
      <w:r w:rsidR="00E43AF3">
        <w:rPr>
          <w:rFonts w:ascii="Book Antiqua" w:eastAsia="宋体" w:hAnsi="Book Antiqua" w:cs="宋体"/>
          <w:color w:val="000000"/>
          <w:sz w:val="24"/>
          <w:szCs w:val="24"/>
          <w:lang w:eastAsia="zh-CN"/>
        </w:rPr>
        <w:t>66 DOI: 10.1056/NEJMcp1005750]</w:t>
      </w:r>
    </w:p>
    <w:p w14:paraId="1975A0E9" w14:textId="0B42A842"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5</w:t>
      </w:r>
      <w:r w:rsidRPr="00E43AF3">
        <w:rPr>
          <w:rFonts w:ascii="Book Antiqua" w:eastAsia="宋体" w:hAnsi="Book Antiqua" w:cs="宋体"/>
          <w:b/>
          <w:color w:val="000000"/>
          <w:sz w:val="24"/>
          <w:szCs w:val="24"/>
          <w:lang w:eastAsia="zh-CN"/>
        </w:rPr>
        <w:t xml:space="preserve"> Kumar V</w:t>
      </w:r>
      <w:r w:rsidRPr="002D569F">
        <w:rPr>
          <w:rFonts w:ascii="Book Antiqua" w:eastAsia="宋体" w:hAnsi="Book Antiqua" w:cs="宋体"/>
          <w:color w:val="000000"/>
          <w:sz w:val="24"/>
          <w:szCs w:val="24"/>
          <w:lang w:eastAsia="zh-CN"/>
        </w:rPr>
        <w:t>, Robbins SL. Robbins basic pathology (8th ed.).</w:t>
      </w:r>
      <w:proofErr w:type="gramEnd"/>
      <w:r w:rsidRPr="002D569F">
        <w:rPr>
          <w:rFonts w:ascii="Book Antiqua" w:eastAsia="宋体" w:hAnsi="Book Antiqua" w:cs="宋体"/>
          <w:color w:val="000000"/>
          <w:sz w:val="24"/>
          <w:szCs w:val="24"/>
          <w:lang w:eastAsia="zh-CN"/>
        </w:rPr>
        <w:t xml:space="preserve"> Philadelphia, PA: Saunders/Elsevier</w:t>
      </w:r>
      <w:r w:rsidR="00E43AF3">
        <w:rPr>
          <w:rFonts w:ascii="Book Antiqua" w:eastAsia="宋体" w:hAnsi="Book Antiqua" w:cs="宋体" w:hint="eastAsia"/>
          <w:color w:val="000000"/>
          <w:sz w:val="24"/>
          <w:szCs w:val="24"/>
          <w:lang w:eastAsia="zh-CN"/>
        </w:rPr>
        <w:t xml:space="preserve">, </w:t>
      </w:r>
      <w:r w:rsidRPr="002D569F">
        <w:rPr>
          <w:rFonts w:ascii="Book Antiqua" w:eastAsia="宋体" w:hAnsi="Book Antiqua" w:cs="宋体"/>
          <w:color w:val="000000"/>
          <w:sz w:val="24"/>
          <w:szCs w:val="24"/>
          <w:lang w:eastAsia="zh-CN"/>
        </w:rPr>
        <w:t>2007</w:t>
      </w:r>
    </w:p>
    <w:p w14:paraId="50AAC59D"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6 </w:t>
      </w:r>
      <w:r w:rsidRPr="002D569F">
        <w:rPr>
          <w:rFonts w:ascii="Book Antiqua" w:eastAsia="宋体" w:hAnsi="Book Antiqua" w:cs="宋体"/>
          <w:b/>
          <w:bCs/>
          <w:color w:val="000000"/>
          <w:sz w:val="24"/>
          <w:szCs w:val="24"/>
          <w:lang w:eastAsia="zh-CN"/>
        </w:rPr>
        <w:t>Chakraborty MS</w:t>
      </w:r>
      <w:r w:rsidRPr="002D569F">
        <w:rPr>
          <w:rFonts w:ascii="Book Antiqua" w:eastAsia="宋体" w:hAnsi="Book Antiqua" w:cs="宋体"/>
          <w:color w:val="000000"/>
          <w:sz w:val="24"/>
          <w:szCs w:val="24"/>
          <w:lang w:eastAsia="zh-CN"/>
        </w:rPr>
        <w:t>, Chakraborty A. Tuberculosis and HIV illness. </w:t>
      </w:r>
      <w:r w:rsidRPr="002D569F">
        <w:rPr>
          <w:rFonts w:ascii="Book Antiqua" w:eastAsia="宋体" w:hAnsi="Book Antiqua" w:cs="宋体"/>
          <w:i/>
          <w:iCs/>
          <w:color w:val="000000"/>
          <w:sz w:val="24"/>
          <w:szCs w:val="24"/>
          <w:lang w:eastAsia="zh-CN"/>
        </w:rPr>
        <w:t>J Indian Med Assoc</w:t>
      </w:r>
      <w:r w:rsidRPr="002D569F">
        <w:rPr>
          <w:rFonts w:ascii="Book Antiqua" w:eastAsia="宋体" w:hAnsi="Book Antiqua" w:cs="宋体"/>
          <w:color w:val="000000"/>
          <w:sz w:val="24"/>
          <w:szCs w:val="24"/>
          <w:lang w:eastAsia="zh-CN"/>
        </w:rPr>
        <w:t> 2000; </w:t>
      </w:r>
      <w:r w:rsidRPr="002D569F">
        <w:rPr>
          <w:rFonts w:ascii="Book Antiqua" w:eastAsia="宋体" w:hAnsi="Book Antiqua" w:cs="宋体"/>
          <w:b/>
          <w:bCs/>
          <w:color w:val="000000"/>
          <w:sz w:val="24"/>
          <w:szCs w:val="24"/>
          <w:lang w:eastAsia="zh-CN"/>
        </w:rPr>
        <w:t>98</w:t>
      </w:r>
      <w:r w:rsidRPr="002D569F">
        <w:rPr>
          <w:rFonts w:ascii="Book Antiqua" w:eastAsia="宋体" w:hAnsi="Book Antiqua" w:cs="宋体"/>
          <w:color w:val="000000"/>
          <w:sz w:val="24"/>
          <w:szCs w:val="24"/>
          <w:lang w:eastAsia="zh-CN"/>
        </w:rPr>
        <w:t>: 103-16, 109 [PMID: 11016162]</w:t>
      </w:r>
    </w:p>
    <w:p w14:paraId="426BF000" w14:textId="7D2145B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7 </w:t>
      </w:r>
      <w:r w:rsidRPr="002D569F">
        <w:rPr>
          <w:rFonts w:ascii="Book Antiqua" w:eastAsia="宋体" w:hAnsi="Book Antiqua" w:cs="宋体"/>
          <w:b/>
          <w:bCs/>
          <w:color w:val="000000"/>
          <w:sz w:val="24"/>
          <w:szCs w:val="24"/>
          <w:lang w:eastAsia="zh-CN"/>
        </w:rPr>
        <w:t>Caminero JA</w:t>
      </w:r>
      <w:r w:rsidRPr="002D569F">
        <w:rPr>
          <w:rFonts w:ascii="Book Antiqua" w:eastAsia="宋体" w:hAnsi="Book Antiqua" w:cs="宋体"/>
          <w:color w:val="000000"/>
          <w:sz w:val="24"/>
          <w:szCs w:val="24"/>
          <w:lang w:eastAsia="zh-CN"/>
        </w:rPr>
        <w:t>, Sotgiu G, Zumla A, Migliori GB. Best drug treatment for multidrug-resistant and extensively drug-resistant tuberculosis. </w:t>
      </w:r>
      <w:r w:rsidRPr="002D569F">
        <w:rPr>
          <w:rFonts w:ascii="Book Antiqua" w:eastAsia="宋体" w:hAnsi="Book Antiqua" w:cs="宋体"/>
          <w:i/>
          <w:iCs/>
          <w:color w:val="000000"/>
          <w:sz w:val="24"/>
          <w:szCs w:val="24"/>
          <w:lang w:eastAsia="zh-CN"/>
        </w:rPr>
        <w:t>Lancet Infect Dis</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10</w:t>
      </w:r>
      <w:r w:rsidRPr="002D569F">
        <w:rPr>
          <w:rFonts w:ascii="Book Antiqua" w:eastAsia="宋体" w:hAnsi="Book Antiqua" w:cs="宋体"/>
          <w:color w:val="000000"/>
          <w:sz w:val="24"/>
          <w:szCs w:val="24"/>
          <w:lang w:eastAsia="zh-CN"/>
        </w:rPr>
        <w:t>: 621-629 [PMID: 20797644 DOI: 10.1016/S1473-3099(10)70139-0]</w:t>
      </w:r>
    </w:p>
    <w:p w14:paraId="41E31348" w14:textId="173D92CB"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8 </w:t>
      </w:r>
      <w:r w:rsidRPr="002D569F">
        <w:rPr>
          <w:rFonts w:ascii="Book Antiqua" w:eastAsia="宋体" w:hAnsi="Book Antiqua" w:cs="宋体"/>
          <w:b/>
          <w:bCs/>
          <w:color w:val="000000"/>
          <w:sz w:val="24"/>
          <w:szCs w:val="24"/>
          <w:lang w:eastAsia="zh-CN"/>
        </w:rPr>
        <w:t>Ehlers S</w:t>
      </w:r>
      <w:r w:rsidRPr="002D569F">
        <w:rPr>
          <w:rFonts w:ascii="Book Antiqua" w:eastAsia="宋体" w:hAnsi="Book Antiqua" w:cs="宋体"/>
          <w:color w:val="000000"/>
          <w:sz w:val="24"/>
          <w:szCs w:val="24"/>
          <w:lang w:eastAsia="zh-CN"/>
        </w:rPr>
        <w:t>. Lazy, dynamic or minimally recrudescent?</w:t>
      </w:r>
      <w:proofErr w:type="gramEnd"/>
      <w:r w:rsidRPr="002D569F">
        <w:rPr>
          <w:rFonts w:ascii="Book Antiqua" w:eastAsia="宋体" w:hAnsi="Book Antiqua" w:cs="宋体"/>
          <w:color w:val="000000"/>
          <w:sz w:val="24"/>
          <w:szCs w:val="24"/>
          <w:lang w:eastAsia="zh-CN"/>
        </w:rPr>
        <w:t xml:space="preserve"> On the elusive nature and location of the mycobacterium responsible for latent tuberculosis. </w:t>
      </w:r>
      <w:r w:rsidRPr="002D569F">
        <w:rPr>
          <w:rFonts w:ascii="Book Antiqua" w:eastAsia="宋体" w:hAnsi="Book Antiqua" w:cs="宋体"/>
          <w:i/>
          <w:iCs/>
          <w:color w:val="000000"/>
          <w:sz w:val="24"/>
          <w:szCs w:val="24"/>
          <w:lang w:eastAsia="zh-CN"/>
        </w:rPr>
        <w:t>Infection</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37</w:t>
      </w:r>
      <w:r w:rsidRPr="002D569F">
        <w:rPr>
          <w:rFonts w:ascii="Book Antiqua" w:eastAsia="宋体" w:hAnsi="Book Antiqua" w:cs="宋体"/>
          <w:color w:val="000000"/>
          <w:sz w:val="24"/>
          <w:szCs w:val="24"/>
          <w:lang w:eastAsia="zh-CN"/>
        </w:rPr>
        <w:t>: 87-95 [PMID: 19308316 DOI: 10.1007/s15010-009-8450-7]</w:t>
      </w:r>
    </w:p>
    <w:p w14:paraId="3F677E7C"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9 </w:t>
      </w:r>
      <w:r w:rsidRPr="002D569F">
        <w:rPr>
          <w:rFonts w:ascii="Book Antiqua" w:eastAsia="宋体" w:hAnsi="Book Antiqua" w:cs="宋体"/>
          <w:b/>
          <w:bCs/>
          <w:color w:val="000000"/>
          <w:sz w:val="24"/>
          <w:szCs w:val="24"/>
          <w:lang w:eastAsia="zh-CN"/>
        </w:rPr>
        <w:t>Griffith DE</w:t>
      </w:r>
      <w:r w:rsidRPr="002D569F">
        <w:rPr>
          <w:rFonts w:ascii="Book Antiqua" w:eastAsia="宋体" w:hAnsi="Book Antiqua" w:cs="宋体"/>
          <w:color w:val="000000"/>
          <w:sz w:val="24"/>
          <w:szCs w:val="24"/>
          <w:lang w:eastAsia="zh-CN"/>
        </w:rPr>
        <w:t>, Kerr CM. Tuberculosis: disease of the past, disease of the present. </w:t>
      </w:r>
      <w:r w:rsidRPr="002D569F">
        <w:rPr>
          <w:rFonts w:ascii="Book Antiqua" w:eastAsia="宋体" w:hAnsi="Book Antiqua" w:cs="宋体"/>
          <w:i/>
          <w:iCs/>
          <w:color w:val="000000"/>
          <w:sz w:val="24"/>
          <w:szCs w:val="24"/>
          <w:lang w:eastAsia="zh-CN"/>
        </w:rPr>
        <w:t>J Perianesth Nurs</w:t>
      </w:r>
      <w:r w:rsidRPr="002D569F">
        <w:rPr>
          <w:rFonts w:ascii="Book Antiqua" w:eastAsia="宋体" w:hAnsi="Book Antiqua" w:cs="宋体"/>
          <w:color w:val="000000"/>
          <w:sz w:val="24"/>
          <w:szCs w:val="24"/>
          <w:lang w:eastAsia="zh-CN"/>
        </w:rPr>
        <w:t> 1996; </w:t>
      </w:r>
      <w:r w:rsidRPr="002D569F">
        <w:rPr>
          <w:rFonts w:ascii="Book Antiqua" w:eastAsia="宋体" w:hAnsi="Book Antiqua" w:cs="宋体"/>
          <w:b/>
          <w:bCs/>
          <w:color w:val="000000"/>
          <w:sz w:val="24"/>
          <w:szCs w:val="24"/>
          <w:lang w:eastAsia="zh-CN"/>
        </w:rPr>
        <w:t>11</w:t>
      </w:r>
      <w:r w:rsidRPr="002D569F">
        <w:rPr>
          <w:rFonts w:ascii="Book Antiqua" w:eastAsia="宋体" w:hAnsi="Book Antiqua" w:cs="宋体"/>
          <w:color w:val="000000"/>
          <w:sz w:val="24"/>
          <w:szCs w:val="24"/>
          <w:lang w:eastAsia="zh-CN"/>
        </w:rPr>
        <w:t>: 240-245 [PMID: 8964016 DOI: 10.1016/S1089-9472(96)80023-2]</w:t>
      </w:r>
    </w:p>
    <w:p w14:paraId="006C1FE9"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10 </w:t>
      </w:r>
      <w:r w:rsidRPr="002D569F">
        <w:rPr>
          <w:rFonts w:ascii="Book Antiqua" w:eastAsia="宋体" w:hAnsi="Book Antiqua" w:cs="宋体"/>
          <w:b/>
          <w:bCs/>
          <w:color w:val="000000"/>
          <w:sz w:val="24"/>
          <w:szCs w:val="24"/>
          <w:lang w:eastAsia="zh-CN"/>
        </w:rPr>
        <w:t>Smith DW</w:t>
      </w:r>
      <w:r w:rsidRPr="002D569F">
        <w:rPr>
          <w:rFonts w:ascii="Book Antiqua" w:eastAsia="宋体" w:hAnsi="Book Antiqua" w:cs="宋体"/>
          <w:color w:val="000000"/>
          <w:sz w:val="24"/>
          <w:szCs w:val="24"/>
          <w:lang w:eastAsia="zh-CN"/>
        </w:rPr>
        <w:t xml:space="preserve">, Wiegeshaus E, Navalkar R, Grover AA. </w:t>
      </w:r>
      <w:proofErr w:type="gramStart"/>
      <w:r w:rsidRPr="002D569F">
        <w:rPr>
          <w:rFonts w:ascii="Book Antiqua" w:eastAsia="宋体" w:hAnsi="Book Antiqua" w:cs="宋体"/>
          <w:color w:val="000000"/>
          <w:sz w:val="24"/>
          <w:szCs w:val="24"/>
          <w:lang w:eastAsia="zh-CN"/>
        </w:rPr>
        <w:t>Host-parasite relationships in experimental airborne tuberculosis.</w:t>
      </w:r>
      <w:proofErr w:type="gramEnd"/>
      <w:r w:rsidRPr="002D569F">
        <w:rPr>
          <w:rFonts w:ascii="Book Antiqua" w:eastAsia="宋体" w:hAnsi="Book Antiqua" w:cs="宋体"/>
          <w:color w:val="000000"/>
          <w:sz w:val="24"/>
          <w:szCs w:val="24"/>
          <w:lang w:eastAsia="zh-CN"/>
        </w:rPr>
        <w:t xml:space="preserve"> I. Preliminary studies in BCG-vaccinated and nonvaccinated animals.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1966; </w:t>
      </w:r>
      <w:r w:rsidRPr="002D569F">
        <w:rPr>
          <w:rFonts w:ascii="Book Antiqua" w:eastAsia="宋体" w:hAnsi="Book Antiqua" w:cs="宋体"/>
          <w:b/>
          <w:bCs/>
          <w:color w:val="000000"/>
          <w:sz w:val="24"/>
          <w:szCs w:val="24"/>
          <w:lang w:eastAsia="zh-CN"/>
        </w:rPr>
        <w:t>91</w:t>
      </w:r>
      <w:r w:rsidRPr="002D569F">
        <w:rPr>
          <w:rFonts w:ascii="Book Antiqua" w:eastAsia="宋体" w:hAnsi="Book Antiqua" w:cs="宋体"/>
          <w:color w:val="000000"/>
          <w:sz w:val="24"/>
          <w:szCs w:val="24"/>
          <w:lang w:eastAsia="zh-CN"/>
        </w:rPr>
        <w:t>: 718-724 [PMID: 4956758]</w:t>
      </w:r>
    </w:p>
    <w:p w14:paraId="4F10DE59"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11 </w:t>
      </w:r>
      <w:r w:rsidRPr="002D569F">
        <w:rPr>
          <w:rFonts w:ascii="Book Antiqua" w:eastAsia="宋体" w:hAnsi="Book Antiqua" w:cs="宋体"/>
          <w:b/>
          <w:bCs/>
          <w:color w:val="000000"/>
          <w:sz w:val="24"/>
          <w:szCs w:val="24"/>
          <w:lang w:eastAsia="zh-CN"/>
        </w:rPr>
        <w:t>Filley EA</w:t>
      </w:r>
      <w:r w:rsidRPr="002D569F">
        <w:rPr>
          <w:rFonts w:ascii="Book Antiqua" w:eastAsia="宋体" w:hAnsi="Book Antiqua" w:cs="宋体"/>
          <w:color w:val="000000"/>
          <w:sz w:val="24"/>
          <w:szCs w:val="24"/>
          <w:lang w:eastAsia="zh-CN"/>
        </w:rPr>
        <w:t>, Rook GA. Effect of mycobacteria on sensitivity to the cytotoxic effects of tumor necrosis factor.</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Infect Immun</w:t>
      </w:r>
      <w:r w:rsidRPr="002D569F">
        <w:rPr>
          <w:rFonts w:ascii="Book Antiqua" w:eastAsia="宋体" w:hAnsi="Book Antiqua" w:cs="宋体"/>
          <w:color w:val="000000"/>
          <w:sz w:val="24"/>
          <w:szCs w:val="24"/>
          <w:lang w:eastAsia="zh-CN"/>
        </w:rPr>
        <w:t> 1991; </w:t>
      </w:r>
      <w:r w:rsidRPr="002D569F">
        <w:rPr>
          <w:rFonts w:ascii="Book Antiqua" w:eastAsia="宋体" w:hAnsi="Book Antiqua" w:cs="宋体"/>
          <w:b/>
          <w:bCs/>
          <w:color w:val="000000"/>
          <w:sz w:val="24"/>
          <w:szCs w:val="24"/>
          <w:lang w:eastAsia="zh-CN"/>
        </w:rPr>
        <w:t>59</w:t>
      </w:r>
      <w:r w:rsidRPr="002D569F">
        <w:rPr>
          <w:rFonts w:ascii="Book Antiqua" w:eastAsia="宋体" w:hAnsi="Book Antiqua" w:cs="宋体"/>
          <w:color w:val="000000"/>
          <w:sz w:val="24"/>
          <w:szCs w:val="24"/>
          <w:lang w:eastAsia="zh-CN"/>
        </w:rPr>
        <w:t>: 2567-2572 [PMID: 1906841]</w:t>
      </w:r>
    </w:p>
    <w:p w14:paraId="552ED8B8" w14:textId="0D1CFB0C"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 xml:space="preserve">12 </w:t>
      </w:r>
      <w:r w:rsidRPr="00E43AF3">
        <w:rPr>
          <w:rFonts w:ascii="Book Antiqua" w:eastAsia="宋体" w:hAnsi="Book Antiqua" w:cs="宋体"/>
          <w:b/>
          <w:color w:val="000000"/>
          <w:sz w:val="24"/>
          <w:szCs w:val="24"/>
          <w:lang w:eastAsia="zh-CN"/>
        </w:rPr>
        <w:t>Schlesinger LS</w:t>
      </w:r>
      <w:r w:rsidRPr="002D569F">
        <w:rPr>
          <w:rFonts w:ascii="Book Antiqua" w:eastAsia="宋体" w:hAnsi="Book Antiqua" w:cs="宋体"/>
          <w:color w:val="000000"/>
          <w:sz w:val="24"/>
          <w:szCs w:val="24"/>
          <w:lang w:eastAsia="zh-CN"/>
        </w:rPr>
        <w:t>, DesJardin LE.</w:t>
      </w:r>
      <w:proofErr w:type="gramEnd"/>
      <w:r w:rsidRPr="002D569F">
        <w:rPr>
          <w:rFonts w:ascii="Book Antiqua" w:eastAsia="宋体" w:hAnsi="Book Antiqua" w:cs="宋体"/>
          <w:color w:val="000000"/>
          <w:sz w:val="24"/>
          <w:szCs w:val="24"/>
          <w:lang w:eastAsia="zh-CN"/>
        </w:rPr>
        <w:t xml:space="preserve"> Tub</w:t>
      </w:r>
      <w:r w:rsidR="00E43AF3">
        <w:rPr>
          <w:rFonts w:ascii="Book Antiqua" w:eastAsia="宋体" w:hAnsi="Book Antiqua" w:cs="宋体"/>
          <w:color w:val="000000"/>
          <w:sz w:val="24"/>
          <w:szCs w:val="24"/>
          <w:lang w:eastAsia="zh-CN"/>
        </w:rPr>
        <w:t>erculosis</w:t>
      </w:r>
      <w:r w:rsidRPr="002D569F">
        <w:rPr>
          <w:rFonts w:ascii="Book Antiqua" w:eastAsia="宋体" w:hAnsi="Book Antiqua" w:cs="宋体"/>
          <w:color w:val="000000"/>
          <w:sz w:val="24"/>
          <w:szCs w:val="24"/>
          <w:lang w:eastAsia="zh-CN"/>
        </w:rPr>
        <w:t>: the microbe host interface. Wymondham, UK: Horizon Bioscience</w:t>
      </w:r>
      <w:r w:rsidR="00E43AF3">
        <w:rPr>
          <w:rFonts w:ascii="Book Antiqua" w:eastAsia="宋体" w:hAnsi="Book Antiqua" w:cs="宋体" w:hint="eastAsia"/>
          <w:color w:val="000000"/>
          <w:sz w:val="24"/>
          <w:szCs w:val="24"/>
          <w:lang w:eastAsia="zh-CN"/>
        </w:rPr>
        <w:t>,</w:t>
      </w:r>
      <w:r w:rsidRPr="002D569F">
        <w:rPr>
          <w:rFonts w:ascii="Book Antiqua" w:eastAsia="宋体" w:hAnsi="Book Antiqua" w:cs="宋体"/>
          <w:color w:val="000000"/>
          <w:sz w:val="24"/>
          <w:szCs w:val="24"/>
          <w:lang w:eastAsia="zh-CN"/>
        </w:rPr>
        <w:t xml:space="preserve"> 2004</w:t>
      </w:r>
    </w:p>
    <w:p w14:paraId="013CEEBA" w14:textId="29E3EF9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13 </w:t>
      </w:r>
      <w:r w:rsidRPr="002D569F">
        <w:rPr>
          <w:rFonts w:ascii="Book Antiqua" w:eastAsia="宋体" w:hAnsi="Book Antiqua" w:cs="宋体"/>
          <w:b/>
          <w:bCs/>
          <w:color w:val="000000"/>
          <w:sz w:val="24"/>
          <w:szCs w:val="24"/>
          <w:lang w:eastAsia="zh-CN"/>
        </w:rPr>
        <w:t>Hossain MM</w:t>
      </w:r>
      <w:r w:rsidRPr="002D569F">
        <w:rPr>
          <w:rFonts w:ascii="Book Antiqua" w:eastAsia="宋体" w:hAnsi="Book Antiqua" w:cs="宋体"/>
          <w:color w:val="000000"/>
          <w:sz w:val="24"/>
          <w:szCs w:val="24"/>
          <w:lang w:eastAsia="zh-CN"/>
        </w:rPr>
        <w:t xml:space="preserve">, Norazmi MN. </w:t>
      </w:r>
      <w:proofErr w:type="gramStart"/>
      <w:r w:rsidRPr="002D569F">
        <w:rPr>
          <w:rFonts w:ascii="Book Antiqua" w:eastAsia="宋体" w:hAnsi="Book Antiqua" w:cs="宋体"/>
          <w:color w:val="000000"/>
          <w:sz w:val="24"/>
          <w:szCs w:val="24"/>
          <w:lang w:eastAsia="zh-CN"/>
        </w:rPr>
        <w:t>Pattern recognition receptors and cytokines in Mycobacterium tuberculosis infection--the double-edged sword?</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Biomed Res Int</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2013</w:t>
      </w:r>
      <w:r w:rsidRPr="002D569F">
        <w:rPr>
          <w:rFonts w:ascii="Book Antiqua" w:eastAsia="宋体" w:hAnsi="Book Antiqua" w:cs="宋体"/>
          <w:color w:val="000000"/>
          <w:sz w:val="24"/>
          <w:szCs w:val="24"/>
          <w:lang w:eastAsia="zh-CN"/>
        </w:rPr>
        <w:t>: 179174 [PMID: 2435</w:t>
      </w:r>
      <w:r w:rsidR="00E43AF3">
        <w:rPr>
          <w:rFonts w:ascii="Book Antiqua" w:eastAsia="宋体" w:hAnsi="Book Antiqua" w:cs="宋体"/>
          <w:color w:val="000000"/>
          <w:sz w:val="24"/>
          <w:szCs w:val="24"/>
          <w:lang w:eastAsia="zh-CN"/>
        </w:rPr>
        <w:t>0246 DOI: 10.1155/2013/179174]</w:t>
      </w:r>
    </w:p>
    <w:p w14:paraId="199F0DEB" w14:textId="64DA66C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14 </w:t>
      </w:r>
      <w:r w:rsidRPr="002D569F">
        <w:rPr>
          <w:rFonts w:ascii="Book Antiqua" w:eastAsia="宋体" w:hAnsi="Book Antiqua" w:cs="宋体"/>
          <w:b/>
          <w:bCs/>
          <w:color w:val="000000"/>
          <w:sz w:val="24"/>
          <w:szCs w:val="24"/>
          <w:lang w:eastAsia="zh-CN"/>
        </w:rPr>
        <w:t>Korbel DS</w:t>
      </w:r>
      <w:r w:rsidRPr="002D569F">
        <w:rPr>
          <w:rFonts w:ascii="Book Antiqua" w:eastAsia="宋体" w:hAnsi="Book Antiqua" w:cs="宋体"/>
          <w:color w:val="000000"/>
          <w:sz w:val="24"/>
          <w:szCs w:val="24"/>
          <w:lang w:eastAsia="zh-CN"/>
        </w:rPr>
        <w:t>, Schneider BE, Schaible UE. Innate immunity in tuberculosis: myths and truth. </w:t>
      </w:r>
      <w:r w:rsidRPr="002D569F">
        <w:rPr>
          <w:rFonts w:ascii="Book Antiqua" w:eastAsia="宋体" w:hAnsi="Book Antiqua" w:cs="宋体"/>
          <w:i/>
          <w:iCs/>
          <w:color w:val="000000"/>
          <w:sz w:val="24"/>
          <w:szCs w:val="24"/>
          <w:lang w:eastAsia="zh-CN"/>
        </w:rPr>
        <w:t>Microbes Infect</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10</w:t>
      </w:r>
      <w:r w:rsidRPr="002D569F">
        <w:rPr>
          <w:rFonts w:ascii="Book Antiqua" w:eastAsia="宋体" w:hAnsi="Book Antiqua" w:cs="宋体"/>
          <w:color w:val="000000"/>
          <w:sz w:val="24"/>
          <w:szCs w:val="24"/>
          <w:lang w:eastAsia="zh-CN"/>
        </w:rPr>
        <w:t>: 995-1004 [PMID: 18762264 DOI:</w:t>
      </w:r>
      <w:r w:rsidR="00E43AF3">
        <w:rPr>
          <w:rFonts w:ascii="Book Antiqua" w:eastAsia="宋体" w:hAnsi="Book Antiqua" w:cs="宋体"/>
          <w:color w:val="000000"/>
          <w:sz w:val="24"/>
          <w:szCs w:val="24"/>
          <w:lang w:eastAsia="zh-CN"/>
        </w:rPr>
        <w:t xml:space="preserve"> 10.1016/j.micinf.2008.07.039]</w:t>
      </w:r>
    </w:p>
    <w:p w14:paraId="05E5BAA1" w14:textId="051FC11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15 </w:t>
      </w:r>
      <w:r w:rsidRPr="002D569F">
        <w:rPr>
          <w:rFonts w:ascii="Book Antiqua" w:eastAsia="宋体" w:hAnsi="Book Antiqua" w:cs="宋体"/>
          <w:b/>
          <w:bCs/>
          <w:color w:val="000000"/>
          <w:sz w:val="24"/>
          <w:szCs w:val="24"/>
          <w:lang w:eastAsia="zh-CN"/>
        </w:rPr>
        <w:t>North RJ</w:t>
      </w:r>
      <w:r w:rsidRPr="002D569F">
        <w:rPr>
          <w:rFonts w:ascii="Book Antiqua" w:eastAsia="宋体" w:hAnsi="Book Antiqua" w:cs="宋体"/>
          <w:color w:val="000000"/>
          <w:sz w:val="24"/>
          <w:szCs w:val="24"/>
          <w:lang w:eastAsia="zh-CN"/>
        </w:rPr>
        <w:t xml:space="preserve">, Jung YJ. </w:t>
      </w:r>
      <w:proofErr w:type="gramStart"/>
      <w:r w:rsidRPr="002D569F">
        <w:rPr>
          <w:rFonts w:ascii="Book Antiqua" w:eastAsia="宋体" w:hAnsi="Book Antiqua" w:cs="宋体"/>
          <w:color w:val="000000"/>
          <w:sz w:val="24"/>
          <w:szCs w:val="24"/>
          <w:lang w:eastAsia="zh-CN"/>
        </w:rPr>
        <w:t>Immunity to tuberculosis.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Annu Rev Immunol</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22</w:t>
      </w:r>
      <w:r w:rsidRPr="002D569F">
        <w:rPr>
          <w:rFonts w:ascii="Book Antiqua" w:eastAsia="宋体" w:hAnsi="Book Antiqua" w:cs="宋体"/>
          <w:color w:val="000000"/>
          <w:sz w:val="24"/>
          <w:szCs w:val="24"/>
          <w:lang w:eastAsia="zh-CN"/>
        </w:rPr>
        <w:t>: 599-623 [PMID: 15032590 DOI: 10.1146/ann</w:t>
      </w:r>
      <w:r w:rsidR="00E43AF3">
        <w:rPr>
          <w:rFonts w:ascii="Book Antiqua" w:eastAsia="宋体" w:hAnsi="Book Antiqua" w:cs="宋体"/>
          <w:color w:val="000000"/>
          <w:sz w:val="24"/>
          <w:szCs w:val="24"/>
          <w:lang w:eastAsia="zh-CN"/>
        </w:rPr>
        <w:t>urev.immunol.22.012703.104635]</w:t>
      </w:r>
    </w:p>
    <w:p w14:paraId="593571B0"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16 </w:t>
      </w:r>
      <w:r w:rsidRPr="002D569F">
        <w:rPr>
          <w:rFonts w:ascii="Book Antiqua" w:eastAsia="宋体" w:hAnsi="Book Antiqua" w:cs="宋体"/>
          <w:b/>
          <w:bCs/>
          <w:color w:val="000000"/>
          <w:sz w:val="24"/>
          <w:szCs w:val="24"/>
          <w:lang w:eastAsia="zh-CN"/>
        </w:rPr>
        <w:t>Boros DL</w:t>
      </w:r>
      <w:r w:rsidRPr="002D569F">
        <w:rPr>
          <w:rFonts w:ascii="Book Antiqua" w:eastAsia="宋体" w:hAnsi="Book Antiqua" w:cs="宋体"/>
          <w:color w:val="000000"/>
          <w:sz w:val="24"/>
          <w:szCs w:val="24"/>
          <w:lang w:eastAsia="zh-CN"/>
        </w:rPr>
        <w:t>.</w:t>
      </w:r>
      <w:proofErr w:type="gramEnd"/>
      <w:r w:rsidRPr="002D569F">
        <w:rPr>
          <w:rFonts w:ascii="Book Antiqua" w:eastAsia="宋体" w:hAnsi="Book Antiqua" w:cs="宋体"/>
          <w:color w:val="000000"/>
          <w:sz w:val="24"/>
          <w:szCs w:val="24"/>
          <w:lang w:eastAsia="zh-CN"/>
        </w:rPr>
        <w:t xml:space="preserve"> Granulomatous inflammations. </w:t>
      </w:r>
      <w:r w:rsidRPr="002D569F">
        <w:rPr>
          <w:rFonts w:ascii="Book Antiqua" w:eastAsia="宋体" w:hAnsi="Book Antiqua" w:cs="宋体"/>
          <w:i/>
          <w:iCs/>
          <w:color w:val="000000"/>
          <w:sz w:val="24"/>
          <w:szCs w:val="24"/>
          <w:lang w:eastAsia="zh-CN"/>
        </w:rPr>
        <w:t>Prog Allergy</w:t>
      </w:r>
      <w:r w:rsidRPr="002D569F">
        <w:rPr>
          <w:rFonts w:ascii="Book Antiqua" w:eastAsia="宋体" w:hAnsi="Book Antiqua" w:cs="宋体"/>
          <w:color w:val="000000"/>
          <w:sz w:val="24"/>
          <w:szCs w:val="24"/>
          <w:lang w:eastAsia="zh-CN"/>
        </w:rPr>
        <w:t> 1978; </w:t>
      </w:r>
      <w:r w:rsidRPr="002D569F">
        <w:rPr>
          <w:rFonts w:ascii="Book Antiqua" w:eastAsia="宋体" w:hAnsi="Book Antiqua" w:cs="宋体"/>
          <w:b/>
          <w:bCs/>
          <w:color w:val="000000"/>
          <w:sz w:val="24"/>
          <w:szCs w:val="24"/>
          <w:lang w:eastAsia="zh-CN"/>
        </w:rPr>
        <w:t>24</w:t>
      </w:r>
      <w:r w:rsidRPr="002D569F">
        <w:rPr>
          <w:rFonts w:ascii="Book Antiqua" w:eastAsia="宋体" w:hAnsi="Book Antiqua" w:cs="宋体"/>
          <w:color w:val="000000"/>
          <w:sz w:val="24"/>
          <w:szCs w:val="24"/>
          <w:lang w:eastAsia="zh-CN"/>
        </w:rPr>
        <w:t>: 183-267 [PMID: 351629 DOI: 10.1159/000401230]</w:t>
      </w:r>
    </w:p>
    <w:p w14:paraId="72576229" w14:textId="2E3EA123"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17 </w:t>
      </w:r>
      <w:r w:rsidRPr="002D569F">
        <w:rPr>
          <w:rFonts w:ascii="Book Antiqua" w:eastAsia="宋体" w:hAnsi="Book Antiqua" w:cs="宋体"/>
          <w:b/>
          <w:bCs/>
          <w:color w:val="000000"/>
          <w:sz w:val="24"/>
          <w:szCs w:val="24"/>
          <w:lang w:eastAsia="zh-CN"/>
        </w:rPr>
        <w:t>Mariano M</w:t>
      </w:r>
      <w:r w:rsidRPr="002D569F">
        <w:rPr>
          <w:rFonts w:ascii="Book Antiqua" w:eastAsia="宋体" w:hAnsi="Book Antiqua" w:cs="宋体"/>
          <w:color w:val="000000"/>
          <w:sz w:val="24"/>
          <w:szCs w:val="24"/>
          <w:lang w:eastAsia="zh-CN"/>
        </w:rPr>
        <w:t>.</w:t>
      </w:r>
      <w:proofErr w:type="gramEnd"/>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The experimental granuloma.</w:t>
      </w:r>
      <w:proofErr w:type="gramEnd"/>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A hypothesis to explain the persistence of the lesion.</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Rev Inst Med Trop Sao Paulo</w:t>
      </w:r>
      <w:r w:rsidRPr="002D569F">
        <w:rPr>
          <w:rFonts w:ascii="Book Antiqua" w:eastAsia="宋体" w:hAnsi="Book Antiqua" w:cs="宋体"/>
          <w:color w:val="000000"/>
          <w:sz w:val="24"/>
          <w:szCs w:val="24"/>
          <w:lang w:eastAsia="zh-CN"/>
        </w:rPr>
        <w:t> </w:t>
      </w:r>
      <w:r w:rsidR="00E43AF3">
        <w:rPr>
          <w:rFonts w:ascii="Book Antiqua" w:eastAsia="宋体" w:hAnsi="Book Antiqua" w:cs="宋体" w:hint="eastAsia"/>
          <w:color w:val="000000"/>
          <w:sz w:val="24"/>
          <w:szCs w:val="24"/>
          <w:lang w:eastAsia="zh-CN"/>
        </w:rPr>
        <w:t>1995</w:t>
      </w:r>
      <w:r w:rsidRPr="002D569F">
        <w:rPr>
          <w:rFonts w:ascii="Book Antiqua" w:eastAsia="宋体" w:hAnsi="Book Antiqua" w:cs="宋体"/>
          <w:color w:val="000000"/>
          <w:sz w:val="24"/>
          <w:szCs w:val="24"/>
          <w:lang w:eastAsia="zh-CN"/>
        </w:rPr>
        <w:t>; </w:t>
      </w:r>
      <w:r w:rsidRPr="002D569F">
        <w:rPr>
          <w:rFonts w:ascii="Book Antiqua" w:eastAsia="宋体" w:hAnsi="Book Antiqua" w:cs="宋体"/>
          <w:b/>
          <w:bCs/>
          <w:color w:val="000000"/>
          <w:sz w:val="24"/>
          <w:szCs w:val="24"/>
          <w:lang w:eastAsia="zh-CN"/>
        </w:rPr>
        <w:t>37</w:t>
      </w:r>
      <w:r w:rsidRPr="002D569F">
        <w:rPr>
          <w:rFonts w:ascii="Book Antiqua" w:eastAsia="宋体" w:hAnsi="Book Antiqua" w:cs="宋体"/>
          <w:color w:val="000000"/>
          <w:sz w:val="24"/>
          <w:szCs w:val="24"/>
          <w:lang w:eastAsia="zh-CN"/>
        </w:rPr>
        <w:t>: 161-176 [PMID: 7481473 DOI: 10.1590/S0036-46651995000200012]</w:t>
      </w:r>
    </w:p>
    <w:p w14:paraId="1D5DB2BC" w14:textId="3326134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18 </w:t>
      </w:r>
      <w:r w:rsidRPr="002D569F">
        <w:rPr>
          <w:rFonts w:ascii="Book Antiqua" w:eastAsia="宋体" w:hAnsi="Book Antiqua" w:cs="宋体"/>
          <w:b/>
          <w:bCs/>
          <w:color w:val="000000"/>
          <w:sz w:val="24"/>
          <w:szCs w:val="24"/>
          <w:lang w:eastAsia="zh-CN"/>
        </w:rPr>
        <w:t>Ulrichs T</w:t>
      </w:r>
      <w:r w:rsidRPr="002D569F">
        <w:rPr>
          <w:rFonts w:ascii="Book Antiqua" w:eastAsia="宋体" w:hAnsi="Book Antiqua" w:cs="宋体"/>
          <w:color w:val="000000"/>
          <w:sz w:val="24"/>
          <w:szCs w:val="24"/>
          <w:lang w:eastAsia="zh-CN"/>
        </w:rPr>
        <w:t xml:space="preserve">, Kaufmann SH. </w:t>
      </w:r>
      <w:proofErr w:type="gramStart"/>
      <w:r w:rsidRPr="002D569F">
        <w:rPr>
          <w:rFonts w:ascii="Book Antiqua" w:eastAsia="宋体" w:hAnsi="Book Antiqua" w:cs="宋体"/>
          <w:color w:val="000000"/>
          <w:sz w:val="24"/>
          <w:szCs w:val="24"/>
          <w:lang w:eastAsia="zh-CN"/>
        </w:rPr>
        <w:t>New insights into the function of granulomas in human tuberculosis.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Pathol</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208</w:t>
      </w:r>
      <w:r w:rsidRPr="002D569F">
        <w:rPr>
          <w:rFonts w:ascii="Book Antiqua" w:eastAsia="宋体" w:hAnsi="Book Antiqua" w:cs="宋体"/>
          <w:color w:val="000000"/>
          <w:sz w:val="24"/>
          <w:szCs w:val="24"/>
          <w:lang w:eastAsia="zh-CN"/>
        </w:rPr>
        <w:t>: 261-269 [PMID: 16</w:t>
      </w:r>
      <w:r w:rsidR="00E43AF3">
        <w:rPr>
          <w:rFonts w:ascii="Book Antiqua" w:eastAsia="宋体" w:hAnsi="Book Antiqua" w:cs="宋体"/>
          <w:color w:val="000000"/>
          <w:sz w:val="24"/>
          <w:szCs w:val="24"/>
          <w:lang w:eastAsia="zh-CN"/>
        </w:rPr>
        <w:t>362982 DOI: 10.1002/Path.1906]</w:t>
      </w:r>
    </w:p>
    <w:p w14:paraId="2E9EA918"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19 </w:t>
      </w:r>
      <w:r w:rsidRPr="002D569F">
        <w:rPr>
          <w:rFonts w:ascii="Book Antiqua" w:eastAsia="宋体" w:hAnsi="Book Antiqua" w:cs="宋体"/>
          <w:b/>
          <w:bCs/>
          <w:color w:val="000000"/>
          <w:sz w:val="24"/>
          <w:szCs w:val="24"/>
          <w:lang w:eastAsia="zh-CN"/>
        </w:rPr>
        <w:t>Feldman WH</w:t>
      </w:r>
      <w:r w:rsidRPr="002D569F">
        <w:rPr>
          <w:rFonts w:ascii="Book Antiqua" w:eastAsia="宋体" w:hAnsi="Book Antiqua" w:cs="宋体"/>
          <w:color w:val="000000"/>
          <w:sz w:val="24"/>
          <w:szCs w:val="24"/>
          <w:lang w:eastAsia="zh-CN"/>
        </w:rPr>
        <w:t xml:space="preserve">, Baggenstoss AH. </w:t>
      </w:r>
      <w:proofErr w:type="gramStart"/>
      <w:r w:rsidRPr="002D569F">
        <w:rPr>
          <w:rFonts w:ascii="Book Antiqua" w:eastAsia="宋体" w:hAnsi="Book Antiqua" w:cs="宋体"/>
          <w:color w:val="000000"/>
          <w:sz w:val="24"/>
          <w:szCs w:val="24"/>
          <w:lang w:eastAsia="zh-CN"/>
        </w:rPr>
        <w:t>The occurrence of virulent tubercle bacilli in presumably non-tuberculous lung tissue.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Am J Pathol</w:t>
      </w:r>
      <w:r w:rsidRPr="002D569F">
        <w:rPr>
          <w:rFonts w:ascii="Book Antiqua" w:eastAsia="宋体" w:hAnsi="Book Antiqua" w:cs="宋体"/>
          <w:color w:val="000000"/>
          <w:sz w:val="24"/>
          <w:szCs w:val="24"/>
          <w:lang w:eastAsia="zh-CN"/>
        </w:rPr>
        <w:t> 1939; </w:t>
      </w:r>
      <w:r w:rsidRPr="002D569F">
        <w:rPr>
          <w:rFonts w:ascii="Book Antiqua" w:eastAsia="宋体" w:hAnsi="Book Antiqua" w:cs="宋体"/>
          <w:b/>
          <w:bCs/>
          <w:color w:val="000000"/>
          <w:sz w:val="24"/>
          <w:szCs w:val="24"/>
          <w:lang w:eastAsia="zh-CN"/>
        </w:rPr>
        <w:t>15</w:t>
      </w:r>
      <w:r w:rsidRPr="002D569F">
        <w:rPr>
          <w:rFonts w:ascii="Book Antiqua" w:eastAsia="宋体" w:hAnsi="Book Antiqua" w:cs="宋体"/>
          <w:color w:val="000000"/>
          <w:sz w:val="24"/>
          <w:szCs w:val="24"/>
          <w:lang w:eastAsia="zh-CN"/>
        </w:rPr>
        <w:t>: 501-515 [PMID: 19970467]</w:t>
      </w:r>
    </w:p>
    <w:p w14:paraId="17C9CC8C" w14:textId="0F77B4E0"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20 </w:t>
      </w:r>
      <w:r w:rsidRPr="002D569F">
        <w:rPr>
          <w:rFonts w:ascii="Book Antiqua" w:eastAsia="宋体" w:hAnsi="Book Antiqua" w:cs="宋体"/>
          <w:b/>
          <w:bCs/>
          <w:color w:val="000000"/>
          <w:sz w:val="24"/>
          <w:szCs w:val="24"/>
          <w:lang w:eastAsia="zh-CN"/>
        </w:rPr>
        <w:t>Ulrichs T</w:t>
      </w:r>
      <w:r w:rsidRPr="002D569F">
        <w:rPr>
          <w:rFonts w:ascii="Book Antiqua" w:eastAsia="宋体" w:hAnsi="Book Antiqua" w:cs="宋体"/>
          <w:color w:val="000000"/>
          <w:sz w:val="24"/>
          <w:szCs w:val="24"/>
          <w:lang w:eastAsia="zh-CN"/>
        </w:rPr>
        <w:t>, Lefmann M, Reich M, Morawietz L, Roth A, Brinkmann V, Kosmiadi GA, Seiler P, Aichele P, Hahn H, Krenn V, Göbel UB, Kaufmann SH. Modified immunohistological staining allows detection of Ziehl-Neelsen-negative Mycobacterium tuberculosis organisms and their precise localization in human tissue. </w:t>
      </w:r>
      <w:r w:rsidRPr="002D569F">
        <w:rPr>
          <w:rFonts w:ascii="Book Antiqua" w:eastAsia="宋体" w:hAnsi="Book Antiqua" w:cs="宋体"/>
          <w:i/>
          <w:iCs/>
          <w:color w:val="000000"/>
          <w:sz w:val="24"/>
          <w:szCs w:val="24"/>
          <w:lang w:eastAsia="zh-CN"/>
        </w:rPr>
        <w:t>J Pathol</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205</w:t>
      </w:r>
      <w:r w:rsidRPr="002D569F">
        <w:rPr>
          <w:rFonts w:ascii="Book Antiqua" w:eastAsia="宋体" w:hAnsi="Book Antiqua" w:cs="宋体"/>
          <w:color w:val="000000"/>
          <w:sz w:val="24"/>
          <w:szCs w:val="24"/>
          <w:lang w:eastAsia="zh-CN"/>
        </w:rPr>
        <w:t>: 633-640 [PMID: 15</w:t>
      </w:r>
      <w:r w:rsidR="00E43AF3">
        <w:rPr>
          <w:rFonts w:ascii="Book Antiqua" w:eastAsia="宋体" w:hAnsi="Book Antiqua" w:cs="宋体"/>
          <w:color w:val="000000"/>
          <w:sz w:val="24"/>
          <w:szCs w:val="24"/>
          <w:lang w:eastAsia="zh-CN"/>
        </w:rPr>
        <w:t>776475 DOI: 10.1002/path.1728]</w:t>
      </w:r>
    </w:p>
    <w:p w14:paraId="33B8CDA2" w14:textId="098CA38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21 </w:t>
      </w:r>
      <w:r w:rsidRPr="002D569F">
        <w:rPr>
          <w:rFonts w:ascii="Book Antiqua" w:eastAsia="宋体" w:hAnsi="Book Antiqua" w:cs="宋体"/>
          <w:b/>
          <w:bCs/>
          <w:color w:val="000000"/>
          <w:sz w:val="24"/>
          <w:szCs w:val="24"/>
          <w:lang w:eastAsia="zh-CN"/>
        </w:rPr>
        <w:t>Ulrichs T</w:t>
      </w:r>
      <w:r w:rsidRPr="002D569F">
        <w:rPr>
          <w:rFonts w:ascii="Book Antiqua" w:eastAsia="宋体" w:hAnsi="Book Antiqua" w:cs="宋体"/>
          <w:color w:val="000000"/>
          <w:sz w:val="24"/>
          <w:szCs w:val="24"/>
          <w:lang w:eastAsia="zh-CN"/>
        </w:rPr>
        <w:t>, Kosmiadi GA, Trusov V, Jörg S, Pradl L, Titukhina M, Mishenko V, Gushina N, Kaufmann SH. Human tuberculous granulomas induce peripheral lymphoid follicle-like structures to orchestrate local host defence in the lung. </w:t>
      </w:r>
      <w:r w:rsidRPr="002D569F">
        <w:rPr>
          <w:rFonts w:ascii="Book Antiqua" w:eastAsia="宋体" w:hAnsi="Book Antiqua" w:cs="宋体"/>
          <w:i/>
          <w:iCs/>
          <w:color w:val="000000"/>
          <w:sz w:val="24"/>
          <w:szCs w:val="24"/>
          <w:lang w:eastAsia="zh-CN"/>
        </w:rPr>
        <w:t>J Pathol</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204</w:t>
      </w:r>
      <w:r w:rsidRPr="002D569F">
        <w:rPr>
          <w:rFonts w:ascii="Book Antiqua" w:eastAsia="宋体" w:hAnsi="Book Antiqua" w:cs="宋体"/>
          <w:color w:val="000000"/>
          <w:sz w:val="24"/>
          <w:szCs w:val="24"/>
          <w:lang w:eastAsia="zh-CN"/>
        </w:rPr>
        <w:t>: 217-228 [PMID: 15</w:t>
      </w:r>
      <w:r w:rsidR="00E43AF3">
        <w:rPr>
          <w:rFonts w:ascii="Book Antiqua" w:eastAsia="宋体" w:hAnsi="Book Antiqua" w:cs="宋体"/>
          <w:color w:val="000000"/>
          <w:sz w:val="24"/>
          <w:szCs w:val="24"/>
          <w:lang w:eastAsia="zh-CN"/>
        </w:rPr>
        <w:t>376257 DOI: 10.1002/path.1628]</w:t>
      </w:r>
    </w:p>
    <w:p w14:paraId="53B59139"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22 </w:t>
      </w:r>
      <w:r w:rsidRPr="002D569F">
        <w:rPr>
          <w:rFonts w:ascii="Book Antiqua" w:eastAsia="宋体" w:hAnsi="Book Antiqua" w:cs="宋体"/>
          <w:b/>
          <w:bCs/>
          <w:color w:val="000000"/>
          <w:sz w:val="24"/>
          <w:szCs w:val="24"/>
          <w:lang w:eastAsia="zh-CN"/>
        </w:rPr>
        <w:t>Fenhalls G</w:t>
      </w:r>
      <w:r w:rsidRPr="002D569F">
        <w:rPr>
          <w:rFonts w:ascii="Book Antiqua" w:eastAsia="宋体" w:hAnsi="Book Antiqua" w:cs="宋体"/>
          <w:color w:val="000000"/>
          <w:sz w:val="24"/>
          <w:szCs w:val="24"/>
          <w:lang w:eastAsia="zh-CN"/>
        </w:rPr>
        <w:t xml:space="preserve">, Wong A, Bezuidenhout J, van Helden P, Bardin P, Lukey PT. </w:t>
      </w:r>
      <w:proofErr w:type="gramStart"/>
      <w:r w:rsidRPr="002D569F">
        <w:rPr>
          <w:rFonts w:ascii="Book Antiqua" w:eastAsia="宋体" w:hAnsi="Book Antiqua" w:cs="宋体"/>
          <w:color w:val="000000"/>
          <w:sz w:val="24"/>
          <w:szCs w:val="24"/>
          <w:lang w:eastAsia="zh-CN"/>
        </w:rPr>
        <w:t>In situ production of gamma interferon, interleukin-4, and tumor necrosis factor alpha mRNA in human lung tuberculous granulomas.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Infect Immun</w:t>
      </w:r>
      <w:r w:rsidRPr="002D569F">
        <w:rPr>
          <w:rFonts w:ascii="Book Antiqua" w:eastAsia="宋体" w:hAnsi="Book Antiqua" w:cs="宋体"/>
          <w:color w:val="000000"/>
          <w:sz w:val="24"/>
          <w:szCs w:val="24"/>
          <w:lang w:eastAsia="zh-CN"/>
        </w:rPr>
        <w:t> 2000; </w:t>
      </w:r>
      <w:r w:rsidRPr="002D569F">
        <w:rPr>
          <w:rFonts w:ascii="Book Antiqua" w:eastAsia="宋体" w:hAnsi="Book Antiqua" w:cs="宋体"/>
          <w:b/>
          <w:bCs/>
          <w:color w:val="000000"/>
          <w:sz w:val="24"/>
          <w:szCs w:val="24"/>
          <w:lang w:eastAsia="zh-CN"/>
        </w:rPr>
        <w:t>68</w:t>
      </w:r>
      <w:r w:rsidRPr="002D569F">
        <w:rPr>
          <w:rFonts w:ascii="Book Antiqua" w:eastAsia="宋体" w:hAnsi="Book Antiqua" w:cs="宋体"/>
          <w:color w:val="000000"/>
          <w:sz w:val="24"/>
          <w:szCs w:val="24"/>
          <w:lang w:eastAsia="zh-CN"/>
        </w:rPr>
        <w:t>: 2827-2836 [PMID: 10768979]</w:t>
      </w:r>
    </w:p>
    <w:p w14:paraId="77911B95" w14:textId="74ED1AA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23 </w:t>
      </w:r>
      <w:r w:rsidRPr="002D569F">
        <w:rPr>
          <w:rFonts w:ascii="Book Antiqua" w:eastAsia="宋体" w:hAnsi="Book Antiqua" w:cs="宋体"/>
          <w:b/>
          <w:bCs/>
          <w:color w:val="000000"/>
          <w:sz w:val="24"/>
          <w:szCs w:val="24"/>
          <w:lang w:eastAsia="zh-CN"/>
        </w:rPr>
        <w:t>Ulrichs T</w:t>
      </w:r>
      <w:r w:rsidRPr="002D569F">
        <w:rPr>
          <w:rFonts w:ascii="Book Antiqua" w:eastAsia="宋体" w:hAnsi="Book Antiqua" w:cs="宋体"/>
          <w:color w:val="000000"/>
          <w:sz w:val="24"/>
          <w:szCs w:val="24"/>
          <w:lang w:eastAsia="zh-CN"/>
        </w:rPr>
        <w:t>, Kosmiadi GA, Jörg S, Pradl L, Titukhina M, Mishenko V, Gushina N, Kaufmann SH. Differential organization of the local immune response in patients with active cavitary tuberculosis or with nonprogressive tuberculoma. </w:t>
      </w:r>
      <w:r w:rsidRPr="002D569F">
        <w:rPr>
          <w:rFonts w:ascii="Book Antiqua" w:eastAsia="宋体" w:hAnsi="Book Antiqua" w:cs="宋体"/>
          <w:i/>
          <w:iCs/>
          <w:color w:val="000000"/>
          <w:sz w:val="24"/>
          <w:szCs w:val="24"/>
          <w:lang w:eastAsia="zh-CN"/>
        </w:rPr>
        <w:t>J Infect Dis</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192</w:t>
      </w:r>
      <w:r w:rsidRPr="002D569F">
        <w:rPr>
          <w:rFonts w:ascii="Book Antiqua" w:eastAsia="宋体" w:hAnsi="Book Antiqua" w:cs="宋体"/>
          <w:color w:val="000000"/>
          <w:sz w:val="24"/>
          <w:szCs w:val="24"/>
          <w:lang w:eastAsia="zh-CN"/>
        </w:rPr>
        <w:t>: 89-97 [PMID:</w:t>
      </w:r>
      <w:r w:rsidR="00E43AF3">
        <w:rPr>
          <w:rFonts w:ascii="Book Antiqua" w:eastAsia="宋体" w:hAnsi="Book Antiqua" w:cs="宋体"/>
          <w:color w:val="000000"/>
          <w:sz w:val="24"/>
          <w:szCs w:val="24"/>
          <w:lang w:eastAsia="zh-CN"/>
        </w:rPr>
        <w:t xml:space="preserve"> 15942898 DOI: 10.1086/430621]</w:t>
      </w:r>
    </w:p>
    <w:p w14:paraId="14DC2834" w14:textId="442B563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24 </w:t>
      </w:r>
      <w:r w:rsidRPr="002D569F">
        <w:rPr>
          <w:rFonts w:ascii="Book Antiqua" w:eastAsia="宋体" w:hAnsi="Book Antiqua" w:cs="宋体"/>
          <w:b/>
          <w:bCs/>
          <w:color w:val="000000"/>
          <w:sz w:val="24"/>
          <w:szCs w:val="24"/>
          <w:lang w:eastAsia="zh-CN"/>
        </w:rPr>
        <w:t>Koul A</w:t>
      </w:r>
      <w:r w:rsidRPr="002D569F">
        <w:rPr>
          <w:rFonts w:ascii="Book Antiqua" w:eastAsia="宋体" w:hAnsi="Book Antiqua" w:cs="宋体"/>
          <w:color w:val="000000"/>
          <w:sz w:val="24"/>
          <w:szCs w:val="24"/>
          <w:lang w:eastAsia="zh-CN"/>
        </w:rPr>
        <w:t>, Herget T, Klebl B, Ullrich A. Interplay between mycobacteria and host signalling pathways. </w:t>
      </w:r>
      <w:r w:rsidRPr="002D569F">
        <w:rPr>
          <w:rFonts w:ascii="Book Antiqua" w:eastAsia="宋体" w:hAnsi="Book Antiqua" w:cs="宋体"/>
          <w:i/>
          <w:iCs/>
          <w:color w:val="000000"/>
          <w:sz w:val="24"/>
          <w:szCs w:val="24"/>
          <w:lang w:eastAsia="zh-CN"/>
        </w:rPr>
        <w:t>Nat Rev Microbiol</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2</w:t>
      </w:r>
      <w:r w:rsidRPr="002D569F">
        <w:rPr>
          <w:rFonts w:ascii="Book Antiqua" w:eastAsia="宋体" w:hAnsi="Book Antiqua" w:cs="宋体"/>
          <w:color w:val="000000"/>
          <w:sz w:val="24"/>
          <w:szCs w:val="24"/>
          <w:lang w:eastAsia="zh-CN"/>
        </w:rPr>
        <w:t>: 189-202 [PMID: 150</w:t>
      </w:r>
      <w:r w:rsidR="00E43AF3">
        <w:rPr>
          <w:rFonts w:ascii="Book Antiqua" w:eastAsia="宋体" w:hAnsi="Book Antiqua" w:cs="宋体"/>
          <w:color w:val="000000"/>
          <w:sz w:val="24"/>
          <w:szCs w:val="24"/>
          <w:lang w:eastAsia="zh-CN"/>
        </w:rPr>
        <w:t>83155 DOI: 10.1038/Nrmicro840]</w:t>
      </w:r>
    </w:p>
    <w:p w14:paraId="5CFF1D25"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25 </w:t>
      </w:r>
      <w:r w:rsidRPr="002D569F">
        <w:rPr>
          <w:rFonts w:ascii="Book Antiqua" w:eastAsia="宋体" w:hAnsi="Book Antiqua" w:cs="宋体"/>
          <w:b/>
          <w:bCs/>
          <w:color w:val="000000"/>
          <w:sz w:val="24"/>
          <w:szCs w:val="24"/>
          <w:lang w:eastAsia="zh-CN"/>
        </w:rPr>
        <w:t>Chan J</w:t>
      </w:r>
      <w:r w:rsidRPr="002D569F">
        <w:rPr>
          <w:rFonts w:ascii="Book Antiqua" w:eastAsia="宋体" w:hAnsi="Book Antiqua" w:cs="宋体"/>
          <w:color w:val="000000"/>
          <w:sz w:val="24"/>
          <w:szCs w:val="24"/>
          <w:lang w:eastAsia="zh-CN"/>
        </w:rPr>
        <w:t>, Xing Y, Magliozzo RS, Bloom BR. Killing of virulent Mycobacterium tuberculosis by reactive nitrogen intermediates produced by activated murine macrophages. </w:t>
      </w:r>
      <w:r w:rsidRPr="002D569F">
        <w:rPr>
          <w:rFonts w:ascii="Book Antiqua" w:eastAsia="宋体" w:hAnsi="Book Antiqua" w:cs="宋体"/>
          <w:i/>
          <w:iCs/>
          <w:color w:val="000000"/>
          <w:sz w:val="24"/>
          <w:szCs w:val="24"/>
          <w:lang w:eastAsia="zh-CN"/>
        </w:rPr>
        <w:t>J Exp Med</w:t>
      </w:r>
      <w:r w:rsidRPr="002D569F">
        <w:rPr>
          <w:rFonts w:ascii="Book Antiqua" w:eastAsia="宋体" w:hAnsi="Book Antiqua" w:cs="宋体"/>
          <w:color w:val="000000"/>
          <w:sz w:val="24"/>
          <w:szCs w:val="24"/>
          <w:lang w:eastAsia="zh-CN"/>
        </w:rPr>
        <w:t> 1992; </w:t>
      </w:r>
      <w:r w:rsidRPr="002D569F">
        <w:rPr>
          <w:rFonts w:ascii="Book Antiqua" w:eastAsia="宋体" w:hAnsi="Book Antiqua" w:cs="宋体"/>
          <w:b/>
          <w:bCs/>
          <w:color w:val="000000"/>
          <w:sz w:val="24"/>
          <w:szCs w:val="24"/>
          <w:lang w:eastAsia="zh-CN"/>
        </w:rPr>
        <w:t>175</w:t>
      </w:r>
      <w:r w:rsidRPr="002D569F">
        <w:rPr>
          <w:rFonts w:ascii="Book Antiqua" w:eastAsia="宋体" w:hAnsi="Book Antiqua" w:cs="宋体"/>
          <w:color w:val="000000"/>
          <w:sz w:val="24"/>
          <w:szCs w:val="24"/>
          <w:lang w:eastAsia="zh-CN"/>
        </w:rPr>
        <w:t>: 1111-1122 [PMID: 1552282 DOI: 10.1084/jem.175.4.1111]</w:t>
      </w:r>
    </w:p>
    <w:p w14:paraId="420DEE81"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26 </w:t>
      </w:r>
      <w:r w:rsidRPr="002D569F">
        <w:rPr>
          <w:rFonts w:ascii="Book Antiqua" w:eastAsia="宋体" w:hAnsi="Book Antiqua" w:cs="宋体"/>
          <w:b/>
          <w:bCs/>
          <w:color w:val="000000"/>
          <w:sz w:val="24"/>
          <w:szCs w:val="24"/>
          <w:lang w:eastAsia="zh-CN"/>
        </w:rPr>
        <w:t>Denis M</w:t>
      </w:r>
      <w:r w:rsidRPr="002D569F">
        <w:rPr>
          <w:rFonts w:ascii="Book Antiqua" w:eastAsia="宋体" w:hAnsi="Book Antiqua" w:cs="宋体"/>
          <w:color w:val="000000"/>
          <w:sz w:val="24"/>
          <w:szCs w:val="24"/>
          <w:lang w:eastAsia="zh-CN"/>
        </w:rPr>
        <w:t>. Interferon-gamma-treated murine macrophages inhibit growth of tubercle bacilli via the generation of reactive nitrogen intermediates. </w:t>
      </w:r>
      <w:r w:rsidRPr="002D569F">
        <w:rPr>
          <w:rFonts w:ascii="Book Antiqua" w:eastAsia="宋体" w:hAnsi="Book Antiqua" w:cs="宋体"/>
          <w:i/>
          <w:iCs/>
          <w:color w:val="000000"/>
          <w:sz w:val="24"/>
          <w:szCs w:val="24"/>
          <w:lang w:eastAsia="zh-CN"/>
        </w:rPr>
        <w:t>Cell Immunol</w:t>
      </w:r>
      <w:r w:rsidRPr="002D569F">
        <w:rPr>
          <w:rFonts w:ascii="Book Antiqua" w:eastAsia="宋体" w:hAnsi="Book Antiqua" w:cs="宋体"/>
          <w:color w:val="000000"/>
          <w:sz w:val="24"/>
          <w:szCs w:val="24"/>
          <w:lang w:eastAsia="zh-CN"/>
        </w:rPr>
        <w:t> 1991; </w:t>
      </w:r>
      <w:r w:rsidRPr="002D569F">
        <w:rPr>
          <w:rFonts w:ascii="Book Antiqua" w:eastAsia="宋体" w:hAnsi="Book Antiqua" w:cs="宋体"/>
          <w:b/>
          <w:bCs/>
          <w:color w:val="000000"/>
          <w:sz w:val="24"/>
          <w:szCs w:val="24"/>
          <w:lang w:eastAsia="zh-CN"/>
        </w:rPr>
        <w:t>132</w:t>
      </w:r>
      <w:r w:rsidRPr="002D569F">
        <w:rPr>
          <w:rFonts w:ascii="Book Antiqua" w:eastAsia="宋体" w:hAnsi="Book Antiqua" w:cs="宋体"/>
          <w:color w:val="000000"/>
          <w:sz w:val="24"/>
          <w:szCs w:val="24"/>
          <w:lang w:eastAsia="zh-CN"/>
        </w:rPr>
        <w:t>: 150-157 [PMID: 1905984 DOI: 10.1016/0008-8749(91)90014-3]</w:t>
      </w:r>
    </w:p>
    <w:p w14:paraId="2B83B171"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27 </w:t>
      </w:r>
      <w:r w:rsidRPr="002D569F">
        <w:rPr>
          <w:rFonts w:ascii="Book Antiqua" w:eastAsia="宋体" w:hAnsi="Book Antiqua" w:cs="宋体"/>
          <w:b/>
          <w:bCs/>
          <w:color w:val="000000"/>
          <w:sz w:val="24"/>
          <w:szCs w:val="24"/>
          <w:lang w:eastAsia="zh-CN"/>
        </w:rPr>
        <w:t>Sturgill-Koszycki S</w:t>
      </w:r>
      <w:r w:rsidRPr="002D569F">
        <w:rPr>
          <w:rFonts w:ascii="Book Antiqua" w:eastAsia="宋体" w:hAnsi="Book Antiqua" w:cs="宋体"/>
          <w:color w:val="000000"/>
          <w:sz w:val="24"/>
          <w:szCs w:val="24"/>
          <w:lang w:eastAsia="zh-CN"/>
        </w:rPr>
        <w:t xml:space="preserve">, Schlesinger PH, Chakraborty P, Haddix PL, Collins HL, Fok AK, Allen RD, Gluck SL, Heuser J, Russell DG. </w:t>
      </w:r>
      <w:proofErr w:type="gramStart"/>
      <w:r w:rsidRPr="002D569F">
        <w:rPr>
          <w:rFonts w:ascii="Book Antiqua" w:eastAsia="宋体" w:hAnsi="Book Antiqua" w:cs="宋体"/>
          <w:color w:val="000000"/>
          <w:sz w:val="24"/>
          <w:szCs w:val="24"/>
          <w:lang w:eastAsia="zh-CN"/>
        </w:rPr>
        <w:t>Lack of acidification in Mycobacterium phagosomes produced by exclusion of the vesicular proton-ATPase.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Science</w:t>
      </w:r>
      <w:r w:rsidRPr="002D569F">
        <w:rPr>
          <w:rFonts w:ascii="Book Antiqua" w:eastAsia="宋体" w:hAnsi="Book Antiqua" w:cs="宋体"/>
          <w:color w:val="000000"/>
          <w:sz w:val="24"/>
          <w:szCs w:val="24"/>
          <w:lang w:eastAsia="zh-CN"/>
        </w:rPr>
        <w:t> 1994; </w:t>
      </w:r>
      <w:r w:rsidRPr="002D569F">
        <w:rPr>
          <w:rFonts w:ascii="Book Antiqua" w:eastAsia="宋体" w:hAnsi="Book Antiqua" w:cs="宋体"/>
          <w:b/>
          <w:bCs/>
          <w:color w:val="000000"/>
          <w:sz w:val="24"/>
          <w:szCs w:val="24"/>
          <w:lang w:eastAsia="zh-CN"/>
        </w:rPr>
        <w:t>263</w:t>
      </w:r>
      <w:r w:rsidRPr="002D569F">
        <w:rPr>
          <w:rFonts w:ascii="Book Antiqua" w:eastAsia="宋体" w:hAnsi="Book Antiqua" w:cs="宋体"/>
          <w:color w:val="000000"/>
          <w:sz w:val="24"/>
          <w:szCs w:val="24"/>
          <w:lang w:eastAsia="zh-CN"/>
        </w:rPr>
        <w:t>: 678-681 [PMID: 8303277 DOI: 10.1126/science.8303277]</w:t>
      </w:r>
    </w:p>
    <w:p w14:paraId="763B0913"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28 </w:t>
      </w:r>
      <w:r w:rsidRPr="002D569F">
        <w:rPr>
          <w:rFonts w:ascii="Book Antiqua" w:eastAsia="宋体" w:hAnsi="Book Antiqua" w:cs="宋体"/>
          <w:b/>
          <w:bCs/>
          <w:color w:val="000000"/>
          <w:sz w:val="24"/>
          <w:szCs w:val="24"/>
          <w:lang w:eastAsia="zh-CN"/>
        </w:rPr>
        <w:t>Kuehnel MP</w:t>
      </w:r>
      <w:r w:rsidRPr="002D569F">
        <w:rPr>
          <w:rFonts w:ascii="Book Antiqua" w:eastAsia="宋体" w:hAnsi="Book Antiqua" w:cs="宋体"/>
          <w:color w:val="000000"/>
          <w:sz w:val="24"/>
          <w:szCs w:val="24"/>
          <w:lang w:eastAsia="zh-CN"/>
        </w:rPr>
        <w:t>, Goethe R, Habermann A, Mueller E, Rohde M, Griffiths G, Valentin-Weigand P. Characterization of the intracellular survival of Mycobacterium avium ssp. paratuberculosis: phagosomal pH and fusogenicity in J774 macrophages compared with other mycobacteria. </w:t>
      </w:r>
      <w:r w:rsidRPr="002D569F">
        <w:rPr>
          <w:rFonts w:ascii="Book Antiqua" w:eastAsia="宋体" w:hAnsi="Book Antiqua" w:cs="宋体"/>
          <w:i/>
          <w:iCs/>
          <w:color w:val="000000"/>
          <w:sz w:val="24"/>
          <w:szCs w:val="24"/>
          <w:lang w:eastAsia="zh-CN"/>
        </w:rPr>
        <w:t>Cell Microbiol</w:t>
      </w:r>
      <w:r w:rsidRPr="002D569F">
        <w:rPr>
          <w:rFonts w:ascii="Book Antiqua" w:eastAsia="宋体" w:hAnsi="Book Antiqua" w:cs="宋体"/>
          <w:color w:val="000000"/>
          <w:sz w:val="24"/>
          <w:szCs w:val="24"/>
          <w:lang w:eastAsia="zh-CN"/>
        </w:rPr>
        <w:t> 2001; </w:t>
      </w:r>
      <w:r w:rsidRPr="002D569F">
        <w:rPr>
          <w:rFonts w:ascii="Book Antiqua" w:eastAsia="宋体" w:hAnsi="Book Antiqua" w:cs="宋体"/>
          <w:b/>
          <w:bCs/>
          <w:color w:val="000000"/>
          <w:sz w:val="24"/>
          <w:szCs w:val="24"/>
          <w:lang w:eastAsia="zh-CN"/>
        </w:rPr>
        <w:t>3</w:t>
      </w:r>
      <w:r w:rsidRPr="002D569F">
        <w:rPr>
          <w:rFonts w:ascii="Book Antiqua" w:eastAsia="宋体" w:hAnsi="Book Antiqua" w:cs="宋体"/>
          <w:color w:val="000000"/>
          <w:sz w:val="24"/>
          <w:szCs w:val="24"/>
          <w:lang w:eastAsia="zh-CN"/>
        </w:rPr>
        <w:t>: 551-566 [PMID: 11488816 DOI: 10.1046/j.1462-5822.2001.00139.x]</w:t>
      </w:r>
    </w:p>
    <w:p w14:paraId="51D8139D" w14:textId="3F93F1F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29 </w:t>
      </w:r>
      <w:r w:rsidRPr="002D569F">
        <w:rPr>
          <w:rFonts w:ascii="Book Antiqua" w:eastAsia="宋体" w:hAnsi="Book Antiqua" w:cs="宋体"/>
          <w:b/>
          <w:bCs/>
          <w:color w:val="000000"/>
          <w:sz w:val="24"/>
          <w:szCs w:val="24"/>
          <w:lang w:eastAsia="zh-CN"/>
        </w:rPr>
        <w:t>Rohde K</w:t>
      </w:r>
      <w:r w:rsidRPr="002D569F">
        <w:rPr>
          <w:rFonts w:ascii="Book Antiqua" w:eastAsia="宋体" w:hAnsi="Book Antiqua" w:cs="宋体"/>
          <w:color w:val="000000"/>
          <w:sz w:val="24"/>
          <w:szCs w:val="24"/>
          <w:lang w:eastAsia="zh-CN"/>
        </w:rPr>
        <w:t xml:space="preserve">, Yates RM, Purdy GE, Russell DG. </w:t>
      </w:r>
      <w:proofErr w:type="gramStart"/>
      <w:r w:rsidRPr="002D569F">
        <w:rPr>
          <w:rFonts w:ascii="Book Antiqua" w:eastAsia="宋体" w:hAnsi="Book Antiqua" w:cs="宋体"/>
          <w:color w:val="000000"/>
          <w:sz w:val="24"/>
          <w:szCs w:val="24"/>
          <w:lang w:eastAsia="zh-CN"/>
        </w:rPr>
        <w:t>Mycobacterium tuberculosis and the environment within the phagosome.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Immunol Rev</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219</w:t>
      </w:r>
      <w:r w:rsidRPr="002D569F">
        <w:rPr>
          <w:rFonts w:ascii="Book Antiqua" w:eastAsia="宋体" w:hAnsi="Book Antiqua" w:cs="宋体"/>
          <w:color w:val="000000"/>
          <w:sz w:val="24"/>
          <w:szCs w:val="24"/>
          <w:lang w:eastAsia="zh-CN"/>
        </w:rPr>
        <w:t>: 37-54 [PMID: 17850480 DOI: 10.</w:t>
      </w:r>
      <w:r w:rsidR="00E43AF3">
        <w:rPr>
          <w:rFonts w:ascii="Book Antiqua" w:eastAsia="宋体" w:hAnsi="Book Antiqua" w:cs="宋体"/>
          <w:color w:val="000000"/>
          <w:sz w:val="24"/>
          <w:szCs w:val="24"/>
          <w:lang w:eastAsia="zh-CN"/>
        </w:rPr>
        <w:t>1111/j.1600-065X.2007.00547.x]</w:t>
      </w:r>
    </w:p>
    <w:p w14:paraId="697555A9"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30 </w:t>
      </w:r>
      <w:r w:rsidRPr="002D569F">
        <w:rPr>
          <w:rFonts w:ascii="Book Antiqua" w:eastAsia="宋体" w:hAnsi="Book Antiqua" w:cs="宋体"/>
          <w:b/>
          <w:bCs/>
          <w:color w:val="000000"/>
          <w:sz w:val="24"/>
          <w:szCs w:val="24"/>
          <w:lang w:eastAsia="zh-CN"/>
        </w:rPr>
        <w:t>Via LE</w:t>
      </w:r>
      <w:r w:rsidRPr="002D569F">
        <w:rPr>
          <w:rFonts w:ascii="Book Antiqua" w:eastAsia="宋体" w:hAnsi="Book Antiqua" w:cs="宋体"/>
          <w:color w:val="000000"/>
          <w:sz w:val="24"/>
          <w:szCs w:val="24"/>
          <w:lang w:eastAsia="zh-CN"/>
        </w:rPr>
        <w:t>, Deretic D, Ulmer RJ, Hibler NS, Huber LA, Deretic V. Arrest of mycobacterial phagosome maturation is caused by a block in vesicle fusion between stages controlled by rab5 and rab7. </w:t>
      </w:r>
      <w:r w:rsidRPr="002D569F">
        <w:rPr>
          <w:rFonts w:ascii="Book Antiqua" w:eastAsia="宋体" w:hAnsi="Book Antiqua" w:cs="宋体"/>
          <w:i/>
          <w:iCs/>
          <w:color w:val="000000"/>
          <w:sz w:val="24"/>
          <w:szCs w:val="24"/>
          <w:lang w:eastAsia="zh-CN"/>
        </w:rPr>
        <w:t>J Biol Chem</w:t>
      </w:r>
      <w:r w:rsidRPr="002D569F">
        <w:rPr>
          <w:rFonts w:ascii="Book Antiqua" w:eastAsia="宋体" w:hAnsi="Book Antiqua" w:cs="宋体"/>
          <w:color w:val="000000"/>
          <w:sz w:val="24"/>
          <w:szCs w:val="24"/>
          <w:lang w:eastAsia="zh-CN"/>
        </w:rPr>
        <w:t> 1997; </w:t>
      </w:r>
      <w:r w:rsidRPr="002D569F">
        <w:rPr>
          <w:rFonts w:ascii="Book Antiqua" w:eastAsia="宋体" w:hAnsi="Book Antiqua" w:cs="宋体"/>
          <w:b/>
          <w:bCs/>
          <w:color w:val="000000"/>
          <w:sz w:val="24"/>
          <w:szCs w:val="24"/>
          <w:lang w:eastAsia="zh-CN"/>
        </w:rPr>
        <w:t>272</w:t>
      </w:r>
      <w:r w:rsidRPr="002D569F">
        <w:rPr>
          <w:rFonts w:ascii="Book Antiqua" w:eastAsia="宋体" w:hAnsi="Book Antiqua" w:cs="宋体"/>
          <w:color w:val="000000"/>
          <w:sz w:val="24"/>
          <w:szCs w:val="24"/>
          <w:lang w:eastAsia="zh-CN"/>
        </w:rPr>
        <w:t>: 13326-13331 [PMID: 9148954 DOI: 10.1074/jbc.272.20.13326]</w:t>
      </w:r>
    </w:p>
    <w:p w14:paraId="55641640" w14:textId="7896F51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31 </w:t>
      </w:r>
      <w:r w:rsidRPr="002D569F">
        <w:rPr>
          <w:rFonts w:ascii="Book Antiqua" w:eastAsia="宋体" w:hAnsi="Book Antiqua" w:cs="宋体"/>
          <w:b/>
          <w:bCs/>
          <w:color w:val="000000"/>
          <w:sz w:val="24"/>
          <w:szCs w:val="24"/>
          <w:lang w:eastAsia="zh-CN"/>
        </w:rPr>
        <w:t>Vergne I</w:t>
      </w:r>
      <w:r w:rsidRPr="002D569F">
        <w:rPr>
          <w:rFonts w:ascii="Book Antiqua" w:eastAsia="宋体" w:hAnsi="Book Antiqua" w:cs="宋体"/>
          <w:color w:val="000000"/>
          <w:sz w:val="24"/>
          <w:szCs w:val="24"/>
          <w:lang w:eastAsia="zh-CN"/>
        </w:rPr>
        <w:t>, Chua J, Singh SB, Deretic V. Cell biology of mycobacterium tuberculosis phagosome. </w:t>
      </w:r>
      <w:r w:rsidRPr="002D569F">
        <w:rPr>
          <w:rFonts w:ascii="Book Antiqua" w:eastAsia="宋体" w:hAnsi="Book Antiqua" w:cs="宋体"/>
          <w:i/>
          <w:iCs/>
          <w:color w:val="000000"/>
          <w:sz w:val="24"/>
          <w:szCs w:val="24"/>
          <w:lang w:eastAsia="zh-CN"/>
        </w:rPr>
        <w:t>Annu Rev Cell Dev Biol</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20</w:t>
      </w:r>
      <w:r w:rsidRPr="002D569F">
        <w:rPr>
          <w:rFonts w:ascii="Book Antiqua" w:eastAsia="宋体" w:hAnsi="Book Antiqua" w:cs="宋体"/>
          <w:color w:val="000000"/>
          <w:sz w:val="24"/>
          <w:szCs w:val="24"/>
          <w:lang w:eastAsia="zh-CN"/>
        </w:rPr>
        <w:t>: 367-394 [PMID: 15473845 DOI: 10.1146/ann</w:t>
      </w:r>
      <w:r w:rsidR="00E43AF3">
        <w:rPr>
          <w:rFonts w:ascii="Book Antiqua" w:eastAsia="宋体" w:hAnsi="Book Antiqua" w:cs="宋体"/>
          <w:color w:val="000000"/>
          <w:sz w:val="24"/>
          <w:szCs w:val="24"/>
          <w:lang w:eastAsia="zh-CN"/>
        </w:rPr>
        <w:t>urev.cellbio.20.010403.114015]</w:t>
      </w:r>
    </w:p>
    <w:p w14:paraId="7BB677A1"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32 </w:t>
      </w:r>
      <w:r w:rsidRPr="002D569F">
        <w:rPr>
          <w:rFonts w:ascii="Book Antiqua" w:eastAsia="宋体" w:hAnsi="Book Antiqua" w:cs="宋体"/>
          <w:b/>
          <w:bCs/>
          <w:color w:val="000000"/>
          <w:sz w:val="24"/>
          <w:szCs w:val="24"/>
          <w:lang w:eastAsia="zh-CN"/>
        </w:rPr>
        <w:t>Vergne I</w:t>
      </w:r>
      <w:r w:rsidRPr="002D569F">
        <w:rPr>
          <w:rFonts w:ascii="Book Antiqua" w:eastAsia="宋体" w:hAnsi="Book Antiqua" w:cs="宋体"/>
          <w:color w:val="000000"/>
          <w:sz w:val="24"/>
          <w:szCs w:val="24"/>
          <w:lang w:eastAsia="zh-CN"/>
        </w:rPr>
        <w:t>, Chua J, Deretic V. Mycobacterium tuberculosis phagosome maturation arrest: selective targeting of PI3P-dependent membrane trafficking. </w:t>
      </w:r>
      <w:r w:rsidRPr="002D569F">
        <w:rPr>
          <w:rFonts w:ascii="Book Antiqua" w:eastAsia="宋体" w:hAnsi="Book Antiqua" w:cs="宋体"/>
          <w:i/>
          <w:iCs/>
          <w:color w:val="000000"/>
          <w:sz w:val="24"/>
          <w:szCs w:val="24"/>
          <w:lang w:eastAsia="zh-CN"/>
        </w:rPr>
        <w:t>Traffic</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4</w:t>
      </w:r>
      <w:r w:rsidRPr="002D569F">
        <w:rPr>
          <w:rFonts w:ascii="Book Antiqua" w:eastAsia="宋体" w:hAnsi="Book Antiqua" w:cs="宋体"/>
          <w:color w:val="000000"/>
          <w:sz w:val="24"/>
          <w:szCs w:val="24"/>
          <w:lang w:eastAsia="zh-CN"/>
        </w:rPr>
        <w:t>: 600-606 [PMID: 12911814 DOI: 10.1034/j.1600-0854.2003.00120.x]</w:t>
      </w:r>
    </w:p>
    <w:p w14:paraId="22184849" w14:textId="28D26B4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33 </w:t>
      </w:r>
      <w:r w:rsidRPr="002D569F">
        <w:rPr>
          <w:rFonts w:ascii="Book Antiqua" w:eastAsia="宋体" w:hAnsi="Book Antiqua" w:cs="宋体"/>
          <w:b/>
          <w:bCs/>
          <w:color w:val="000000"/>
          <w:sz w:val="24"/>
          <w:szCs w:val="24"/>
          <w:lang w:eastAsia="zh-CN"/>
        </w:rPr>
        <w:t>Tan T</w:t>
      </w:r>
      <w:r w:rsidRPr="002D569F">
        <w:rPr>
          <w:rFonts w:ascii="Book Antiqua" w:eastAsia="宋体" w:hAnsi="Book Antiqua" w:cs="宋体"/>
          <w:color w:val="000000"/>
          <w:sz w:val="24"/>
          <w:szCs w:val="24"/>
          <w:lang w:eastAsia="zh-CN"/>
        </w:rPr>
        <w:t>, Lee WL, Alexander DC, Grinstein S, Liu J. The ESAT-6/CFP-10 secretion system of Mycobacterium marinum modulates phagosome maturation. </w:t>
      </w:r>
      <w:r w:rsidRPr="002D569F">
        <w:rPr>
          <w:rFonts w:ascii="Book Antiqua" w:eastAsia="宋体" w:hAnsi="Book Antiqua" w:cs="宋体"/>
          <w:i/>
          <w:iCs/>
          <w:color w:val="000000"/>
          <w:sz w:val="24"/>
          <w:szCs w:val="24"/>
          <w:lang w:eastAsia="zh-CN"/>
        </w:rPr>
        <w:t>Cell Microbiol</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1417-1429 [PMID: 16922861 DOI: 10.</w:t>
      </w:r>
      <w:r w:rsidR="00E43AF3">
        <w:rPr>
          <w:rFonts w:ascii="Book Antiqua" w:eastAsia="宋体" w:hAnsi="Book Antiqua" w:cs="宋体"/>
          <w:color w:val="000000"/>
          <w:sz w:val="24"/>
          <w:szCs w:val="24"/>
          <w:lang w:eastAsia="zh-CN"/>
        </w:rPr>
        <w:t>1111/j.1462-5822.2006.00721.x]</w:t>
      </w:r>
    </w:p>
    <w:p w14:paraId="1899E879"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34 </w:t>
      </w:r>
      <w:r w:rsidRPr="002D569F">
        <w:rPr>
          <w:rFonts w:ascii="Book Antiqua" w:eastAsia="宋体" w:hAnsi="Book Antiqua" w:cs="宋体"/>
          <w:b/>
          <w:bCs/>
          <w:color w:val="000000"/>
          <w:sz w:val="24"/>
          <w:szCs w:val="24"/>
          <w:lang w:eastAsia="zh-CN"/>
        </w:rPr>
        <w:t>Gatfield J</w:t>
      </w:r>
      <w:r w:rsidRPr="002D569F">
        <w:rPr>
          <w:rFonts w:ascii="Book Antiqua" w:eastAsia="宋体" w:hAnsi="Book Antiqua" w:cs="宋体"/>
          <w:color w:val="000000"/>
          <w:sz w:val="24"/>
          <w:szCs w:val="24"/>
          <w:lang w:eastAsia="zh-CN"/>
        </w:rPr>
        <w:t>, Pieters J. Essential role for cholesterol in entry of mycobacteria into macrophages.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Science</w:t>
      </w:r>
      <w:r w:rsidRPr="002D569F">
        <w:rPr>
          <w:rFonts w:ascii="Book Antiqua" w:eastAsia="宋体" w:hAnsi="Book Antiqua" w:cs="宋体"/>
          <w:color w:val="000000"/>
          <w:sz w:val="24"/>
          <w:szCs w:val="24"/>
          <w:lang w:eastAsia="zh-CN"/>
        </w:rPr>
        <w:t> 2000; </w:t>
      </w:r>
      <w:r w:rsidRPr="002D569F">
        <w:rPr>
          <w:rFonts w:ascii="Book Antiqua" w:eastAsia="宋体" w:hAnsi="Book Antiqua" w:cs="宋体"/>
          <w:b/>
          <w:bCs/>
          <w:color w:val="000000"/>
          <w:sz w:val="24"/>
          <w:szCs w:val="24"/>
          <w:lang w:eastAsia="zh-CN"/>
        </w:rPr>
        <w:t>288</w:t>
      </w:r>
      <w:r w:rsidRPr="002D569F">
        <w:rPr>
          <w:rFonts w:ascii="Book Antiqua" w:eastAsia="宋体" w:hAnsi="Book Antiqua" w:cs="宋体"/>
          <w:color w:val="000000"/>
          <w:sz w:val="24"/>
          <w:szCs w:val="24"/>
          <w:lang w:eastAsia="zh-CN"/>
        </w:rPr>
        <w:t>: 1647-1650 [PMID: 10834844 DOI: 10.1126/science.288.5471.1647]</w:t>
      </w:r>
    </w:p>
    <w:p w14:paraId="6378162A"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35 </w:t>
      </w:r>
      <w:r w:rsidRPr="002D569F">
        <w:rPr>
          <w:rFonts w:ascii="Book Antiqua" w:eastAsia="宋体" w:hAnsi="Book Antiqua" w:cs="宋体"/>
          <w:b/>
          <w:bCs/>
          <w:color w:val="000000"/>
          <w:sz w:val="24"/>
          <w:szCs w:val="24"/>
          <w:lang w:eastAsia="zh-CN"/>
        </w:rPr>
        <w:t>Ferrari G</w:t>
      </w:r>
      <w:r w:rsidRPr="002D569F">
        <w:rPr>
          <w:rFonts w:ascii="Book Antiqua" w:eastAsia="宋体" w:hAnsi="Book Antiqua" w:cs="宋体"/>
          <w:color w:val="000000"/>
          <w:sz w:val="24"/>
          <w:szCs w:val="24"/>
          <w:lang w:eastAsia="zh-CN"/>
        </w:rPr>
        <w:t>, Langen H, Naito M, Pieters J. A coat protein on phagosomes involved in the intracellular survival of mycobacteria. </w:t>
      </w:r>
      <w:r w:rsidRPr="002D569F">
        <w:rPr>
          <w:rFonts w:ascii="Book Antiqua" w:eastAsia="宋体" w:hAnsi="Book Antiqua" w:cs="宋体"/>
          <w:i/>
          <w:iCs/>
          <w:color w:val="000000"/>
          <w:sz w:val="24"/>
          <w:szCs w:val="24"/>
          <w:lang w:eastAsia="zh-CN"/>
        </w:rPr>
        <w:t>Cell</w:t>
      </w:r>
      <w:r w:rsidRPr="002D569F">
        <w:rPr>
          <w:rFonts w:ascii="Book Antiqua" w:eastAsia="宋体" w:hAnsi="Book Antiqua" w:cs="宋体"/>
          <w:color w:val="000000"/>
          <w:sz w:val="24"/>
          <w:szCs w:val="24"/>
          <w:lang w:eastAsia="zh-CN"/>
        </w:rPr>
        <w:t> 1999; </w:t>
      </w:r>
      <w:r w:rsidRPr="002D569F">
        <w:rPr>
          <w:rFonts w:ascii="Book Antiqua" w:eastAsia="宋体" w:hAnsi="Book Antiqua" w:cs="宋体"/>
          <w:b/>
          <w:bCs/>
          <w:color w:val="000000"/>
          <w:sz w:val="24"/>
          <w:szCs w:val="24"/>
          <w:lang w:eastAsia="zh-CN"/>
        </w:rPr>
        <w:t>97</w:t>
      </w:r>
      <w:r w:rsidRPr="002D569F">
        <w:rPr>
          <w:rFonts w:ascii="Book Antiqua" w:eastAsia="宋体" w:hAnsi="Book Antiqua" w:cs="宋体"/>
          <w:color w:val="000000"/>
          <w:sz w:val="24"/>
          <w:szCs w:val="24"/>
          <w:lang w:eastAsia="zh-CN"/>
        </w:rPr>
        <w:t>: 435-447 [PMID: 10338208 DOI: 10.1016/S0092-8674(00)80754-0]</w:t>
      </w:r>
    </w:p>
    <w:p w14:paraId="10F7298B"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36 </w:t>
      </w:r>
      <w:r w:rsidRPr="002D569F">
        <w:rPr>
          <w:rFonts w:ascii="Book Antiqua" w:eastAsia="宋体" w:hAnsi="Book Antiqua" w:cs="宋体"/>
          <w:b/>
          <w:bCs/>
          <w:color w:val="000000"/>
          <w:sz w:val="24"/>
          <w:szCs w:val="24"/>
          <w:lang w:eastAsia="zh-CN"/>
        </w:rPr>
        <w:t>Anand PK</w:t>
      </w:r>
      <w:r w:rsidRPr="002D569F">
        <w:rPr>
          <w:rFonts w:ascii="Book Antiqua" w:eastAsia="宋体" w:hAnsi="Book Antiqua" w:cs="宋体"/>
          <w:color w:val="000000"/>
          <w:sz w:val="24"/>
          <w:szCs w:val="24"/>
          <w:lang w:eastAsia="zh-CN"/>
        </w:rPr>
        <w:t>, Kaul D. Vitamin D3-dependent pathway regulates TACO gene transcription. </w:t>
      </w:r>
      <w:r w:rsidRPr="002D569F">
        <w:rPr>
          <w:rFonts w:ascii="Book Antiqua" w:eastAsia="宋体" w:hAnsi="Book Antiqua" w:cs="宋体"/>
          <w:i/>
          <w:iCs/>
          <w:color w:val="000000"/>
          <w:sz w:val="24"/>
          <w:szCs w:val="24"/>
          <w:lang w:eastAsia="zh-CN"/>
        </w:rPr>
        <w:t>Biochem Biophys Res Commun</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310</w:t>
      </w:r>
      <w:r w:rsidRPr="002D569F">
        <w:rPr>
          <w:rFonts w:ascii="Book Antiqua" w:eastAsia="宋体" w:hAnsi="Book Antiqua" w:cs="宋体"/>
          <w:color w:val="000000"/>
          <w:sz w:val="24"/>
          <w:szCs w:val="24"/>
          <w:lang w:eastAsia="zh-CN"/>
        </w:rPr>
        <w:t>: 876-877 [PMID: 14550285 DOI: 10.1016/j.bbrc.2003.09.087]</w:t>
      </w:r>
    </w:p>
    <w:p w14:paraId="75017CA1"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37 </w:t>
      </w:r>
      <w:r w:rsidRPr="002D569F">
        <w:rPr>
          <w:rFonts w:ascii="Book Antiqua" w:eastAsia="宋体" w:hAnsi="Book Antiqua" w:cs="宋体"/>
          <w:b/>
          <w:bCs/>
          <w:color w:val="000000"/>
          <w:sz w:val="24"/>
          <w:szCs w:val="24"/>
          <w:lang w:eastAsia="zh-CN"/>
        </w:rPr>
        <w:t>Kaul D</w:t>
      </w:r>
      <w:r w:rsidRPr="002D569F">
        <w:rPr>
          <w:rFonts w:ascii="Book Antiqua" w:eastAsia="宋体" w:hAnsi="Book Antiqua" w:cs="宋体"/>
          <w:color w:val="000000"/>
          <w:sz w:val="24"/>
          <w:szCs w:val="24"/>
          <w:lang w:eastAsia="zh-CN"/>
        </w:rPr>
        <w:t>, Anand PK, Verma I. Cholesterol-sensor initiates M. tuberculosis entry into human macrophages. </w:t>
      </w:r>
      <w:r w:rsidRPr="002D569F">
        <w:rPr>
          <w:rFonts w:ascii="Book Antiqua" w:eastAsia="宋体" w:hAnsi="Book Antiqua" w:cs="宋体"/>
          <w:i/>
          <w:iCs/>
          <w:color w:val="000000"/>
          <w:sz w:val="24"/>
          <w:szCs w:val="24"/>
          <w:lang w:eastAsia="zh-CN"/>
        </w:rPr>
        <w:t>Mol Cell Biochem</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258</w:t>
      </w:r>
      <w:r w:rsidRPr="002D569F">
        <w:rPr>
          <w:rFonts w:ascii="Book Antiqua" w:eastAsia="宋体" w:hAnsi="Book Antiqua" w:cs="宋体"/>
          <w:color w:val="000000"/>
          <w:sz w:val="24"/>
          <w:szCs w:val="24"/>
          <w:lang w:eastAsia="zh-CN"/>
        </w:rPr>
        <w:t>: 219-222 [PMID: 15030187 DOI: 10.1023/B: MCBI.0000012851.42642.be]</w:t>
      </w:r>
    </w:p>
    <w:p w14:paraId="55172319" w14:textId="3545BD6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38 </w:t>
      </w:r>
      <w:r w:rsidRPr="002D569F">
        <w:rPr>
          <w:rFonts w:ascii="Book Antiqua" w:eastAsia="宋体" w:hAnsi="Book Antiqua" w:cs="宋体"/>
          <w:b/>
          <w:bCs/>
          <w:color w:val="000000"/>
          <w:sz w:val="24"/>
          <w:szCs w:val="24"/>
          <w:lang w:eastAsia="zh-CN"/>
        </w:rPr>
        <w:t>Pandey AK</w:t>
      </w:r>
      <w:r w:rsidRPr="002D569F">
        <w:rPr>
          <w:rFonts w:ascii="Book Antiqua" w:eastAsia="宋体" w:hAnsi="Book Antiqua" w:cs="宋体"/>
          <w:color w:val="000000"/>
          <w:sz w:val="24"/>
          <w:szCs w:val="24"/>
          <w:lang w:eastAsia="zh-CN"/>
        </w:rPr>
        <w:t>, Sassetti CM. Mycobacterial persistence requires the utilization of host cholesterol. </w:t>
      </w:r>
      <w:r w:rsidRPr="002D569F">
        <w:rPr>
          <w:rFonts w:ascii="Book Antiqua" w:eastAsia="宋体" w:hAnsi="Book Antiqua" w:cs="宋体"/>
          <w:i/>
          <w:iCs/>
          <w:color w:val="000000"/>
          <w:sz w:val="24"/>
          <w:szCs w:val="24"/>
          <w:lang w:eastAsia="zh-CN"/>
        </w:rPr>
        <w:t>Proc Natl Acad Sci U S A</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105</w:t>
      </w:r>
      <w:r w:rsidRPr="002D569F">
        <w:rPr>
          <w:rFonts w:ascii="Book Antiqua" w:eastAsia="宋体" w:hAnsi="Book Antiqua" w:cs="宋体"/>
          <w:color w:val="000000"/>
          <w:sz w:val="24"/>
          <w:szCs w:val="24"/>
          <w:lang w:eastAsia="zh-CN"/>
        </w:rPr>
        <w:t>: 4376-4380 [PMID: 18334639 DOI: 10.10</w:t>
      </w:r>
      <w:r w:rsidR="00E43AF3">
        <w:rPr>
          <w:rFonts w:ascii="Book Antiqua" w:eastAsia="宋体" w:hAnsi="Book Antiqua" w:cs="宋体"/>
          <w:color w:val="000000"/>
          <w:sz w:val="24"/>
          <w:szCs w:val="24"/>
          <w:lang w:eastAsia="zh-CN"/>
        </w:rPr>
        <w:t>73/pnas.0711159105]</w:t>
      </w:r>
    </w:p>
    <w:p w14:paraId="73AA6499" w14:textId="51318BB8"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39 </w:t>
      </w:r>
      <w:r w:rsidRPr="002D569F">
        <w:rPr>
          <w:rFonts w:ascii="Book Antiqua" w:eastAsia="宋体" w:hAnsi="Book Antiqua" w:cs="宋体"/>
          <w:b/>
          <w:bCs/>
          <w:color w:val="000000"/>
          <w:sz w:val="24"/>
          <w:szCs w:val="24"/>
          <w:lang w:eastAsia="zh-CN"/>
        </w:rPr>
        <w:t>Muñoz-Elías EJ</w:t>
      </w:r>
      <w:r w:rsidRPr="002D569F">
        <w:rPr>
          <w:rFonts w:ascii="Book Antiqua" w:eastAsia="宋体" w:hAnsi="Book Antiqua" w:cs="宋体"/>
          <w:color w:val="000000"/>
          <w:sz w:val="24"/>
          <w:szCs w:val="24"/>
          <w:lang w:eastAsia="zh-CN"/>
        </w:rPr>
        <w:t>, McKinney JD.</w:t>
      </w:r>
      <w:proofErr w:type="gramEnd"/>
      <w:r w:rsidRPr="002D569F">
        <w:rPr>
          <w:rFonts w:ascii="Book Antiqua" w:eastAsia="宋体" w:hAnsi="Book Antiqua" w:cs="宋体"/>
          <w:color w:val="000000"/>
          <w:sz w:val="24"/>
          <w:szCs w:val="24"/>
          <w:lang w:eastAsia="zh-CN"/>
        </w:rPr>
        <w:t xml:space="preserve"> Mycobacterium tuberculosis isocitrate lyases 1 and 2 are jointly required for in vivo growth and virulence. </w:t>
      </w:r>
      <w:r w:rsidRPr="002D569F">
        <w:rPr>
          <w:rFonts w:ascii="Book Antiqua" w:eastAsia="宋体" w:hAnsi="Book Antiqua" w:cs="宋体"/>
          <w:i/>
          <w:iCs/>
          <w:color w:val="000000"/>
          <w:sz w:val="24"/>
          <w:szCs w:val="24"/>
          <w:lang w:eastAsia="zh-CN"/>
        </w:rPr>
        <w:t>Nat Med</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11</w:t>
      </w:r>
      <w:r w:rsidRPr="002D569F">
        <w:rPr>
          <w:rFonts w:ascii="Book Antiqua" w:eastAsia="宋体" w:hAnsi="Book Antiqua" w:cs="宋体"/>
          <w:color w:val="000000"/>
          <w:sz w:val="24"/>
          <w:szCs w:val="24"/>
          <w:lang w:eastAsia="zh-CN"/>
        </w:rPr>
        <w:t>: 638-644 [PMID:</w:t>
      </w:r>
      <w:r w:rsidR="00E43AF3">
        <w:rPr>
          <w:rFonts w:ascii="Book Antiqua" w:eastAsia="宋体" w:hAnsi="Book Antiqua" w:cs="宋体"/>
          <w:color w:val="000000"/>
          <w:sz w:val="24"/>
          <w:szCs w:val="24"/>
          <w:lang w:eastAsia="zh-CN"/>
        </w:rPr>
        <w:t xml:space="preserve"> 15895072 DOI: 10.1038/nm1252]</w:t>
      </w:r>
    </w:p>
    <w:p w14:paraId="6AE23EB6" w14:textId="23472AA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40 </w:t>
      </w:r>
      <w:r w:rsidRPr="002D569F">
        <w:rPr>
          <w:rFonts w:ascii="Book Antiqua" w:eastAsia="宋体" w:hAnsi="Book Antiqua" w:cs="宋体"/>
          <w:b/>
          <w:bCs/>
          <w:color w:val="000000"/>
          <w:sz w:val="24"/>
          <w:szCs w:val="24"/>
          <w:lang w:eastAsia="zh-CN"/>
        </w:rPr>
        <w:t>Forrellad MA</w:t>
      </w:r>
      <w:r w:rsidRPr="002D569F">
        <w:rPr>
          <w:rFonts w:ascii="Book Antiqua" w:eastAsia="宋体" w:hAnsi="Book Antiqua" w:cs="宋体"/>
          <w:color w:val="000000"/>
          <w:sz w:val="24"/>
          <w:szCs w:val="24"/>
          <w:lang w:eastAsia="zh-CN"/>
        </w:rPr>
        <w:t>, Klepp LI, Gioffré A, Sabio y García J, Morbidoni HR, de la Paz Santangelo M, Cataldi AA, Bigi F. Virulence factors of the Mycobacterium tuberculosis complex. </w:t>
      </w:r>
      <w:r w:rsidRPr="002D569F">
        <w:rPr>
          <w:rFonts w:ascii="Book Antiqua" w:eastAsia="宋体" w:hAnsi="Book Antiqua" w:cs="宋体"/>
          <w:i/>
          <w:iCs/>
          <w:color w:val="000000"/>
          <w:sz w:val="24"/>
          <w:szCs w:val="24"/>
          <w:lang w:eastAsia="zh-CN"/>
        </w:rPr>
        <w:t>Virulence</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4</w:t>
      </w:r>
      <w:r w:rsidRPr="002D569F">
        <w:rPr>
          <w:rFonts w:ascii="Book Antiqua" w:eastAsia="宋体" w:hAnsi="Book Antiqua" w:cs="宋体"/>
          <w:color w:val="000000"/>
          <w:sz w:val="24"/>
          <w:szCs w:val="24"/>
          <w:lang w:eastAsia="zh-CN"/>
        </w:rPr>
        <w:t>: 3-66 [PMID: 230</w:t>
      </w:r>
      <w:r w:rsidR="00E43AF3">
        <w:rPr>
          <w:rFonts w:ascii="Book Antiqua" w:eastAsia="宋体" w:hAnsi="Book Antiqua" w:cs="宋体"/>
          <w:color w:val="000000"/>
          <w:sz w:val="24"/>
          <w:szCs w:val="24"/>
          <w:lang w:eastAsia="zh-CN"/>
        </w:rPr>
        <w:t>76359 DOI: 10.4161/viru.22329]</w:t>
      </w:r>
    </w:p>
    <w:p w14:paraId="048CB2FF"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41 </w:t>
      </w:r>
      <w:r w:rsidRPr="002D569F">
        <w:rPr>
          <w:rFonts w:ascii="Book Antiqua" w:eastAsia="宋体" w:hAnsi="Book Antiqua" w:cs="宋体"/>
          <w:b/>
          <w:bCs/>
          <w:color w:val="000000"/>
          <w:sz w:val="24"/>
          <w:szCs w:val="24"/>
          <w:lang w:eastAsia="zh-CN"/>
        </w:rPr>
        <w:t>Miner MD</w:t>
      </w:r>
      <w:r w:rsidRPr="002D569F">
        <w:rPr>
          <w:rFonts w:ascii="Book Antiqua" w:eastAsia="宋体" w:hAnsi="Book Antiqua" w:cs="宋体"/>
          <w:color w:val="000000"/>
          <w:sz w:val="24"/>
          <w:szCs w:val="24"/>
          <w:lang w:eastAsia="zh-CN"/>
        </w:rPr>
        <w:t>, Chang JC, Pandey AK, Sassetti CM, Sherman DR. Role of cholesterol in Mycobacterium tuberculosis infection. </w:t>
      </w:r>
      <w:r w:rsidRPr="002D569F">
        <w:rPr>
          <w:rFonts w:ascii="Book Antiqua" w:eastAsia="宋体" w:hAnsi="Book Antiqua" w:cs="宋体"/>
          <w:i/>
          <w:iCs/>
          <w:color w:val="000000"/>
          <w:sz w:val="24"/>
          <w:szCs w:val="24"/>
          <w:lang w:eastAsia="zh-CN"/>
        </w:rPr>
        <w:t>Indian J Exp Biol</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47</w:t>
      </w:r>
      <w:r w:rsidRPr="002D569F">
        <w:rPr>
          <w:rFonts w:ascii="Book Antiqua" w:eastAsia="宋体" w:hAnsi="Book Antiqua" w:cs="宋体"/>
          <w:color w:val="000000"/>
          <w:sz w:val="24"/>
          <w:szCs w:val="24"/>
          <w:lang w:eastAsia="zh-CN"/>
        </w:rPr>
        <w:t>: 407-411 [PMID: 19634704]</w:t>
      </w:r>
    </w:p>
    <w:p w14:paraId="24BBA340" w14:textId="056772C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42 </w:t>
      </w:r>
      <w:r w:rsidRPr="002D569F">
        <w:rPr>
          <w:rFonts w:ascii="Book Antiqua" w:eastAsia="宋体" w:hAnsi="Book Antiqua" w:cs="宋体"/>
          <w:b/>
          <w:bCs/>
          <w:color w:val="000000"/>
          <w:sz w:val="24"/>
          <w:szCs w:val="24"/>
          <w:lang w:eastAsia="zh-CN"/>
        </w:rPr>
        <w:t>Van der Geize R</w:t>
      </w:r>
      <w:r w:rsidRPr="002D569F">
        <w:rPr>
          <w:rFonts w:ascii="Book Antiqua" w:eastAsia="宋体" w:hAnsi="Book Antiqua" w:cs="宋体"/>
          <w:color w:val="000000"/>
          <w:sz w:val="24"/>
          <w:szCs w:val="24"/>
          <w:lang w:eastAsia="zh-CN"/>
        </w:rPr>
        <w:t>, Yam K, Heuser T, Wilbrink MH, Hara H, Anderton MC, Sim E, Dijkhuizen L, Davies JE, Mohn WW, Eltis LD. A gene cluster encoding cholesterol catabolism in a soil actinomycete provides insight into Mycobacterium tuberculosis survival in macrophages. </w:t>
      </w:r>
      <w:r w:rsidR="00E43AF3">
        <w:rPr>
          <w:rFonts w:ascii="Book Antiqua" w:eastAsia="宋体" w:hAnsi="Book Antiqua" w:cs="宋体"/>
          <w:i/>
          <w:iCs/>
          <w:color w:val="000000"/>
          <w:sz w:val="24"/>
          <w:szCs w:val="24"/>
          <w:lang w:eastAsia="zh-CN"/>
        </w:rPr>
        <w:t>Proc Natl Acad Sci US</w:t>
      </w:r>
      <w:r w:rsidRPr="002D569F">
        <w:rPr>
          <w:rFonts w:ascii="Book Antiqua" w:eastAsia="宋体" w:hAnsi="Book Antiqua" w:cs="宋体"/>
          <w:i/>
          <w:iCs/>
          <w:color w:val="000000"/>
          <w:sz w:val="24"/>
          <w:szCs w:val="24"/>
          <w:lang w:eastAsia="zh-CN"/>
        </w:rPr>
        <w:t>A</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104</w:t>
      </w:r>
      <w:r w:rsidRPr="002D569F">
        <w:rPr>
          <w:rFonts w:ascii="Book Antiqua" w:eastAsia="宋体" w:hAnsi="Book Antiqua" w:cs="宋体"/>
          <w:color w:val="000000"/>
          <w:sz w:val="24"/>
          <w:szCs w:val="24"/>
          <w:lang w:eastAsia="zh-CN"/>
        </w:rPr>
        <w:t>: 1947-1952 [PMID: 17264217</w:t>
      </w:r>
      <w:r w:rsidR="00E43AF3">
        <w:rPr>
          <w:rFonts w:ascii="Book Antiqua" w:eastAsia="宋体" w:hAnsi="Book Antiqua" w:cs="宋体"/>
          <w:color w:val="000000"/>
          <w:sz w:val="24"/>
          <w:szCs w:val="24"/>
          <w:lang w:eastAsia="zh-CN"/>
        </w:rPr>
        <w:t xml:space="preserve"> DOI: 10.1073/pnas.0605728104]</w:t>
      </w:r>
    </w:p>
    <w:p w14:paraId="4D729415"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43 </w:t>
      </w:r>
      <w:r w:rsidRPr="002D569F">
        <w:rPr>
          <w:rFonts w:ascii="Book Antiqua" w:eastAsia="宋体" w:hAnsi="Book Antiqua" w:cs="宋体"/>
          <w:b/>
          <w:bCs/>
          <w:color w:val="000000"/>
          <w:sz w:val="24"/>
          <w:szCs w:val="24"/>
          <w:lang w:eastAsia="zh-CN"/>
        </w:rPr>
        <w:t>Arruda S</w:t>
      </w:r>
      <w:r w:rsidRPr="002D569F">
        <w:rPr>
          <w:rFonts w:ascii="Book Antiqua" w:eastAsia="宋体" w:hAnsi="Book Antiqua" w:cs="宋体"/>
          <w:color w:val="000000"/>
          <w:sz w:val="24"/>
          <w:szCs w:val="24"/>
          <w:lang w:eastAsia="zh-CN"/>
        </w:rPr>
        <w:t>, Bomfim G, Knights R, Huima-Byron T, Riley LW.</w:t>
      </w:r>
      <w:proofErr w:type="gramEnd"/>
      <w:r w:rsidRPr="002D569F">
        <w:rPr>
          <w:rFonts w:ascii="Book Antiqua" w:eastAsia="宋体" w:hAnsi="Book Antiqua" w:cs="宋体"/>
          <w:color w:val="000000"/>
          <w:sz w:val="24"/>
          <w:szCs w:val="24"/>
          <w:lang w:eastAsia="zh-CN"/>
        </w:rPr>
        <w:t xml:space="preserve"> Cloning of an M. tuberculosis DNA fragment associated with entry and survival inside cells. </w:t>
      </w:r>
      <w:r w:rsidRPr="002D569F">
        <w:rPr>
          <w:rFonts w:ascii="Book Antiqua" w:eastAsia="宋体" w:hAnsi="Book Antiqua" w:cs="宋体"/>
          <w:i/>
          <w:iCs/>
          <w:color w:val="000000"/>
          <w:sz w:val="24"/>
          <w:szCs w:val="24"/>
          <w:lang w:eastAsia="zh-CN"/>
        </w:rPr>
        <w:t>Science</w:t>
      </w:r>
      <w:r w:rsidRPr="002D569F">
        <w:rPr>
          <w:rFonts w:ascii="Book Antiqua" w:eastAsia="宋体" w:hAnsi="Book Antiqua" w:cs="宋体"/>
          <w:color w:val="000000"/>
          <w:sz w:val="24"/>
          <w:szCs w:val="24"/>
          <w:lang w:eastAsia="zh-CN"/>
        </w:rPr>
        <w:t> 1993; </w:t>
      </w:r>
      <w:r w:rsidRPr="002D569F">
        <w:rPr>
          <w:rFonts w:ascii="Book Antiqua" w:eastAsia="宋体" w:hAnsi="Book Antiqua" w:cs="宋体"/>
          <w:b/>
          <w:bCs/>
          <w:color w:val="000000"/>
          <w:sz w:val="24"/>
          <w:szCs w:val="24"/>
          <w:lang w:eastAsia="zh-CN"/>
        </w:rPr>
        <w:t>261</w:t>
      </w:r>
      <w:r w:rsidRPr="002D569F">
        <w:rPr>
          <w:rFonts w:ascii="Book Antiqua" w:eastAsia="宋体" w:hAnsi="Book Antiqua" w:cs="宋体"/>
          <w:color w:val="000000"/>
          <w:sz w:val="24"/>
          <w:szCs w:val="24"/>
          <w:lang w:eastAsia="zh-CN"/>
        </w:rPr>
        <w:t>: 1454-1457 [PMID: 8367727 DOI: 10.1126/science.8367727]</w:t>
      </w:r>
    </w:p>
    <w:p w14:paraId="3FA7CE8F"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44 </w:t>
      </w:r>
      <w:r w:rsidRPr="002D569F">
        <w:rPr>
          <w:rFonts w:ascii="Book Antiqua" w:eastAsia="宋体" w:hAnsi="Book Antiqua" w:cs="宋体"/>
          <w:b/>
          <w:bCs/>
          <w:color w:val="000000"/>
          <w:sz w:val="24"/>
          <w:szCs w:val="24"/>
          <w:lang w:eastAsia="zh-CN"/>
        </w:rPr>
        <w:t>Flesselles B</w:t>
      </w:r>
      <w:r w:rsidRPr="002D569F">
        <w:rPr>
          <w:rFonts w:ascii="Book Antiqua" w:eastAsia="宋体" w:hAnsi="Book Antiqua" w:cs="宋体"/>
          <w:color w:val="000000"/>
          <w:sz w:val="24"/>
          <w:szCs w:val="24"/>
          <w:lang w:eastAsia="zh-CN"/>
        </w:rPr>
        <w:t>, Anand NN, Remani J, Loosmore SM, Klein MH. Disruption of the mycobacterial cell entry gene of Mycobacterium bovis BCG results in a mutant that exhibits a reduced invasiveness for epithelial cells. </w:t>
      </w:r>
      <w:r w:rsidRPr="002D569F">
        <w:rPr>
          <w:rFonts w:ascii="Book Antiqua" w:eastAsia="宋体" w:hAnsi="Book Antiqua" w:cs="宋体"/>
          <w:i/>
          <w:iCs/>
          <w:color w:val="000000"/>
          <w:sz w:val="24"/>
          <w:szCs w:val="24"/>
          <w:lang w:eastAsia="zh-CN"/>
        </w:rPr>
        <w:t>FEMS Microbiol Lett</w:t>
      </w:r>
      <w:r w:rsidRPr="002D569F">
        <w:rPr>
          <w:rFonts w:ascii="Book Antiqua" w:eastAsia="宋体" w:hAnsi="Book Antiqua" w:cs="宋体"/>
          <w:color w:val="000000"/>
          <w:sz w:val="24"/>
          <w:szCs w:val="24"/>
          <w:lang w:eastAsia="zh-CN"/>
        </w:rPr>
        <w:t> 1999; </w:t>
      </w:r>
      <w:r w:rsidRPr="002D569F">
        <w:rPr>
          <w:rFonts w:ascii="Book Antiqua" w:eastAsia="宋体" w:hAnsi="Book Antiqua" w:cs="宋体"/>
          <w:b/>
          <w:bCs/>
          <w:color w:val="000000"/>
          <w:sz w:val="24"/>
          <w:szCs w:val="24"/>
          <w:lang w:eastAsia="zh-CN"/>
        </w:rPr>
        <w:t>177</w:t>
      </w:r>
      <w:r w:rsidRPr="002D569F">
        <w:rPr>
          <w:rFonts w:ascii="Book Antiqua" w:eastAsia="宋体" w:hAnsi="Book Antiqua" w:cs="宋体"/>
          <w:color w:val="000000"/>
          <w:sz w:val="24"/>
          <w:szCs w:val="24"/>
          <w:lang w:eastAsia="zh-CN"/>
        </w:rPr>
        <w:t>: 237-242 [PMID: 10474190 DOI: 10.1016/S0378-1097(99)00301-8]</w:t>
      </w:r>
    </w:p>
    <w:p w14:paraId="23AC1121" w14:textId="0A03F1A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45 </w:t>
      </w:r>
      <w:r w:rsidRPr="002D569F">
        <w:rPr>
          <w:rFonts w:ascii="Book Antiqua" w:eastAsia="宋体" w:hAnsi="Book Antiqua" w:cs="宋体"/>
          <w:b/>
          <w:bCs/>
          <w:color w:val="000000"/>
          <w:sz w:val="24"/>
          <w:szCs w:val="24"/>
          <w:lang w:eastAsia="zh-CN"/>
        </w:rPr>
        <w:t>Senaratne RH</w:t>
      </w:r>
      <w:r w:rsidRPr="002D569F">
        <w:rPr>
          <w:rFonts w:ascii="Book Antiqua" w:eastAsia="宋体" w:hAnsi="Book Antiqua" w:cs="宋体"/>
          <w:color w:val="000000"/>
          <w:sz w:val="24"/>
          <w:szCs w:val="24"/>
          <w:lang w:eastAsia="zh-CN"/>
        </w:rPr>
        <w:t>, Sidders B, Sequeira P, Saunders G, Dunphy K, Marjanovic O, Reader JR, Lima P, Chan S, Kendall S, McFadden J, Riley LW. Mycobacterium tuberculosis strains disrupted in mce3 and mce4 operons are attenuated in mice. </w:t>
      </w:r>
      <w:r w:rsidRPr="002D569F">
        <w:rPr>
          <w:rFonts w:ascii="Book Antiqua" w:eastAsia="宋体" w:hAnsi="Book Antiqua" w:cs="宋体"/>
          <w:i/>
          <w:iCs/>
          <w:color w:val="000000"/>
          <w:sz w:val="24"/>
          <w:szCs w:val="24"/>
          <w:lang w:eastAsia="zh-CN"/>
        </w:rPr>
        <w:t>J Med Microbiol</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57</w:t>
      </w:r>
      <w:r w:rsidRPr="002D569F">
        <w:rPr>
          <w:rFonts w:ascii="Book Antiqua" w:eastAsia="宋体" w:hAnsi="Book Antiqua" w:cs="宋体"/>
          <w:color w:val="000000"/>
          <w:sz w:val="24"/>
          <w:szCs w:val="24"/>
          <w:lang w:eastAsia="zh-CN"/>
        </w:rPr>
        <w:t>: 164-170 [PMID: 182019</w:t>
      </w:r>
      <w:r w:rsidR="008F20D9">
        <w:rPr>
          <w:rFonts w:ascii="Book Antiqua" w:eastAsia="宋体" w:hAnsi="Book Antiqua" w:cs="宋体"/>
          <w:color w:val="000000"/>
          <w:sz w:val="24"/>
          <w:szCs w:val="24"/>
          <w:lang w:eastAsia="zh-CN"/>
        </w:rPr>
        <w:t>81 DOI: 10.1099/jmm.0.47454-0]</w:t>
      </w:r>
    </w:p>
    <w:p w14:paraId="1B19D5EA" w14:textId="59A051E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46 </w:t>
      </w:r>
      <w:r w:rsidRPr="002D569F">
        <w:rPr>
          <w:rFonts w:ascii="Book Antiqua" w:eastAsia="宋体" w:hAnsi="Book Antiqua" w:cs="宋体"/>
          <w:b/>
          <w:bCs/>
          <w:color w:val="000000"/>
          <w:sz w:val="24"/>
          <w:szCs w:val="24"/>
          <w:lang w:eastAsia="zh-CN"/>
        </w:rPr>
        <w:t>Cole ST</w:t>
      </w:r>
      <w:r w:rsidRPr="002D569F">
        <w:rPr>
          <w:rFonts w:ascii="Book Antiqua" w:eastAsia="宋体" w:hAnsi="Book Antiqua" w:cs="宋体"/>
          <w:color w:val="000000"/>
          <w:sz w:val="24"/>
          <w:szCs w:val="24"/>
          <w:lang w:eastAsia="zh-CN"/>
        </w:rPr>
        <w:t>, Brosch R, Parkhill J, Garnier T, Churcher C, Harris D, Gordon SV, Eiglmeier K, Gas S, Barry CE, Tekaia F, Badcock K, Basham D, Brown D, Chillingworth T, Connor R, Davies R, Devlin K, Feltwell T, Gentles S, Hamlin N, Holroyd S, Hornsby T, Jagels K, Krogh A, McLean J, Moule S, Murphy L, Oliver K, Osborne J, Quail MA, Rajandream MA, Rogers J, Rutter S, Seeger K, Skelton J, Squares R, Squares S, Sulston JE, Taylor K, Whitehead S, Barrell BG. Deciphering the biology of Mycobacterium tuberculosis from the complete genome sequence. </w:t>
      </w:r>
      <w:r w:rsidRPr="002D569F">
        <w:rPr>
          <w:rFonts w:ascii="Book Antiqua" w:eastAsia="宋体" w:hAnsi="Book Antiqua" w:cs="宋体"/>
          <w:i/>
          <w:iCs/>
          <w:color w:val="000000"/>
          <w:sz w:val="24"/>
          <w:szCs w:val="24"/>
          <w:lang w:eastAsia="zh-CN"/>
        </w:rPr>
        <w:t>Nature</w:t>
      </w:r>
      <w:r w:rsidRPr="002D569F">
        <w:rPr>
          <w:rFonts w:ascii="Book Antiqua" w:eastAsia="宋体" w:hAnsi="Book Antiqua" w:cs="宋体"/>
          <w:color w:val="000000"/>
          <w:sz w:val="24"/>
          <w:szCs w:val="24"/>
          <w:lang w:eastAsia="zh-CN"/>
        </w:rPr>
        <w:t> 1998; </w:t>
      </w:r>
      <w:r w:rsidRPr="002D569F">
        <w:rPr>
          <w:rFonts w:ascii="Book Antiqua" w:eastAsia="宋体" w:hAnsi="Book Antiqua" w:cs="宋体"/>
          <w:b/>
          <w:bCs/>
          <w:color w:val="000000"/>
          <w:sz w:val="24"/>
          <w:szCs w:val="24"/>
          <w:lang w:eastAsia="zh-CN"/>
        </w:rPr>
        <w:t>393</w:t>
      </w:r>
      <w:r w:rsidRPr="002D569F">
        <w:rPr>
          <w:rFonts w:ascii="Book Antiqua" w:eastAsia="宋体" w:hAnsi="Book Antiqua" w:cs="宋体"/>
          <w:color w:val="000000"/>
          <w:sz w:val="24"/>
          <w:szCs w:val="24"/>
          <w:lang w:eastAsia="zh-CN"/>
        </w:rPr>
        <w:t>: 537-544 [PMI</w:t>
      </w:r>
      <w:r w:rsidR="008F20D9">
        <w:rPr>
          <w:rFonts w:ascii="Book Antiqua" w:eastAsia="宋体" w:hAnsi="Book Antiqua" w:cs="宋体"/>
          <w:color w:val="000000"/>
          <w:sz w:val="24"/>
          <w:szCs w:val="24"/>
          <w:lang w:eastAsia="zh-CN"/>
        </w:rPr>
        <w:t>D: 9634230 DOI: 10.1038/31159]</w:t>
      </w:r>
    </w:p>
    <w:p w14:paraId="49302AF4" w14:textId="170CC1E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47 </w:t>
      </w:r>
      <w:r w:rsidRPr="002D569F">
        <w:rPr>
          <w:rFonts w:ascii="Book Antiqua" w:eastAsia="宋体" w:hAnsi="Book Antiqua" w:cs="宋体"/>
          <w:b/>
          <w:bCs/>
          <w:color w:val="000000"/>
          <w:sz w:val="24"/>
          <w:szCs w:val="24"/>
          <w:lang w:eastAsia="zh-CN"/>
        </w:rPr>
        <w:t>Casali N</w:t>
      </w:r>
      <w:r w:rsidRPr="002D569F">
        <w:rPr>
          <w:rFonts w:ascii="Book Antiqua" w:eastAsia="宋体" w:hAnsi="Book Antiqua" w:cs="宋体"/>
          <w:color w:val="000000"/>
          <w:sz w:val="24"/>
          <w:szCs w:val="24"/>
          <w:lang w:eastAsia="zh-CN"/>
        </w:rPr>
        <w:t xml:space="preserve">, Riley LW. </w:t>
      </w:r>
      <w:proofErr w:type="gramStart"/>
      <w:r w:rsidRPr="002D569F">
        <w:rPr>
          <w:rFonts w:ascii="Book Antiqua" w:eastAsia="宋体" w:hAnsi="Book Antiqua" w:cs="宋体"/>
          <w:color w:val="000000"/>
          <w:sz w:val="24"/>
          <w:szCs w:val="24"/>
          <w:lang w:eastAsia="zh-CN"/>
        </w:rPr>
        <w:t>A phylogenomic analysis of the Actinomycetales mce operons.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BMC Genomics</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60 [PMID: 1732428</w:t>
      </w:r>
      <w:r w:rsidR="008F20D9">
        <w:rPr>
          <w:rFonts w:ascii="Book Antiqua" w:eastAsia="宋体" w:hAnsi="Book Antiqua" w:cs="宋体"/>
          <w:color w:val="000000"/>
          <w:sz w:val="24"/>
          <w:szCs w:val="24"/>
          <w:lang w:eastAsia="zh-CN"/>
        </w:rPr>
        <w:t>7 DOI: 10.1186/1471-2164-8-60]</w:t>
      </w:r>
    </w:p>
    <w:p w14:paraId="57ECAE47"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48 </w:t>
      </w:r>
      <w:r w:rsidRPr="002D569F">
        <w:rPr>
          <w:rFonts w:ascii="Book Antiqua" w:eastAsia="宋体" w:hAnsi="Book Antiqua" w:cs="宋体"/>
          <w:b/>
          <w:bCs/>
          <w:color w:val="000000"/>
          <w:sz w:val="24"/>
          <w:szCs w:val="24"/>
          <w:lang w:eastAsia="zh-CN"/>
        </w:rPr>
        <w:t>Liu PQ</w:t>
      </w:r>
      <w:r w:rsidRPr="002D569F">
        <w:rPr>
          <w:rFonts w:ascii="Book Antiqua" w:eastAsia="宋体" w:hAnsi="Book Antiqua" w:cs="宋体"/>
          <w:color w:val="000000"/>
          <w:sz w:val="24"/>
          <w:szCs w:val="24"/>
          <w:lang w:eastAsia="zh-CN"/>
        </w:rPr>
        <w:t>, Liu CE, Ames GF.</w:t>
      </w:r>
      <w:proofErr w:type="gramEnd"/>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Modulation of ATPase activity by physical disengagement of the ATP-binding domains of an ABC transporter, the histidine permease.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Biol Chem</w:t>
      </w:r>
      <w:r w:rsidRPr="002D569F">
        <w:rPr>
          <w:rFonts w:ascii="Book Antiqua" w:eastAsia="宋体" w:hAnsi="Book Antiqua" w:cs="宋体"/>
          <w:color w:val="000000"/>
          <w:sz w:val="24"/>
          <w:szCs w:val="24"/>
          <w:lang w:eastAsia="zh-CN"/>
        </w:rPr>
        <w:t> 1999; </w:t>
      </w:r>
      <w:r w:rsidRPr="002D569F">
        <w:rPr>
          <w:rFonts w:ascii="Book Antiqua" w:eastAsia="宋体" w:hAnsi="Book Antiqua" w:cs="宋体"/>
          <w:b/>
          <w:bCs/>
          <w:color w:val="000000"/>
          <w:sz w:val="24"/>
          <w:szCs w:val="24"/>
          <w:lang w:eastAsia="zh-CN"/>
        </w:rPr>
        <w:t>274</w:t>
      </w:r>
      <w:r w:rsidRPr="002D569F">
        <w:rPr>
          <w:rFonts w:ascii="Book Antiqua" w:eastAsia="宋体" w:hAnsi="Book Antiqua" w:cs="宋体"/>
          <w:color w:val="000000"/>
          <w:sz w:val="24"/>
          <w:szCs w:val="24"/>
          <w:lang w:eastAsia="zh-CN"/>
        </w:rPr>
        <w:t>: 18310-18318 [PMID: 10373434 DOI: 10.1074/jbc.274.26.18310]</w:t>
      </w:r>
    </w:p>
    <w:p w14:paraId="2DE6B941"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49 </w:t>
      </w:r>
      <w:r w:rsidRPr="002D569F">
        <w:rPr>
          <w:rFonts w:ascii="Book Antiqua" w:eastAsia="宋体" w:hAnsi="Book Antiqua" w:cs="宋体"/>
          <w:b/>
          <w:bCs/>
          <w:color w:val="000000"/>
          <w:sz w:val="24"/>
          <w:szCs w:val="24"/>
          <w:lang w:eastAsia="zh-CN"/>
        </w:rPr>
        <w:t>Das AK</w:t>
      </w:r>
      <w:r w:rsidRPr="002D569F">
        <w:rPr>
          <w:rFonts w:ascii="Book Antiqua" w:eastAsia="宋体" w:hAnsi="Book Antiqua" w:cs="宋体"/>
          <w:color w:val="000000"/>
          <w:sz w:val="24"/>
          <w:szCs w:val="24"/>
          <w:lang w:eastAsia="zh-CN"/>
        </w:rPr>
        <w:t>, Mitra D, Harboe M, Nandi B, Harkness RE, Das D, Wiker HG. Predicted molecular structure of the mammalian cell entry protein Mce1A of Mycobacterium tuberculosis. </w:t>
      </w:r>
      <w:r w:rsidRPr="002D569F">
        <w:rPr>
          <w:rFonts w:ascii="Book Antiqua" w:eastAsia="宋体" w:hAnsi="Book Antiqua" w:cs="宋体"/>
          <w:i/>
          <w:iCs/>
          <w:color w:val="000000"/>
          <w:sz w:val="24"/>
          <w:szCs w:val="24"/>
          <w:lang w:eastAsia="zh-CN"/>
        </w:rPr>
        <w:t>Biochem Biophys Res Commun</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302</w:t>
      </w:r>
      <w:r w:rsidRPr="002D569F">
        <w:rPr>
          <w:rFonts w:ascii="Book Antiqua" w:eastAsia="宋体" w:hAnsi="Book Antiqua" w:cs="宋体"/>
          <w:color w:val="000000"/>
          <w:sz w:val="24"/>
          <w:szCs w:val="24"/>
          <w:lang w:eastAsia="zh-CN"/>
        </w:rPr>
        <w:t>: 442-447 [PMID: 12615052]</w:t>
      </w:r>
    </w:p>
    <w:p w14:paraId="075DB5D4" w14:textId="09D0570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50 </w:t>
      </w:r>
      <w:r w:rsidRPr="002D569F">
        <w:rPr>
          <w:rFonts w:ascii="Book Antiqua" w:eastAsia="宋体" w:hAnsi="Book Antiqua" w:cs="宋体"/>
          <w:b/>
          <w:bCs/>
          <w:color w:val="000000"/>
          <w:sz w:val="24"/>
          <w:szCs w:val="24"/>
          <w:lang w:eastAsia="zh-CN"/>
        </w:rPr>
        <w:t>Mitra D</w:t>
      </w:r>
      <w:r w:rsidRPr="002D569F">
        <w:rPr>
          <w:rFonts w:ascii="Book Antiqua" w:eastAsia="宋体" w:hAnsi="Book Antiqua" w:cs="宋体"/>
          <w:color w:val="000000"/>
          <w:sz w:val="24"/>
          <w:szCs w:val="24"/>
          <w:lang w:eastAsia="zh-CN"/>
        </w:rPr>
        <w:t>, Saha B, Das D, Wiker HG, Das AK. Correlating sequential homology of Mce1A, Mce2A, Mce3A and Mce4A with their possible functions in mammalian cell entry of Mycobacterium tuberculosis performing homology modeling. </w:t>
      </w:r>
      <w:r w:rsidRPr="002D569F">
        <w:rPr>
          <w:rFonts w:ascii="Book Antiqua" w:eastAsia="宋体" w:hAnsi="Book Antiqua" w:cs="宋体"/>
          <w:i/>
          <w:iCs/>
          <w:color w:val="000000"/>
          <w:sz w:val="24"/>
          <w:szCs w:val="24"/>
          <w:lang w:eastAsia="zh-CN"/>
        </w:rPr>
        <w:t xml:space="preserve">Tuberculosis </w:t>
      </w:r>
      <w:r w:rsidRPr="00D00BCC">
        <w:rPr>
          <w:rFonts w:ascii="Book Antiqua" w:eastAsia="宋体" w:hAnsi="Book Antiqua" w:cs="宋体"/>
          <w:iCs/>
          <w:color w:val="000000"/>
          <w:sz w:val="24"/>
          <w:szCs w:val="24"/>
          <w:lang w:eastAsia="zh-CN"/>
        </w:rPr>
        <w:t>(Edinb)</w:t>
      </w:r>
      <w:r w:rsidRPr="002D569F">
        <w:rPr>
          <w:rFonts w:ascii="Book Antiqua" w:eastAsia="宋体" w:hAnsi="Book Antiqua" w:cs="宋体"/>
          <w:color w:val="000000"/>
          <w:sz w:val="24"/>
          <w:szCs w:val="24"/>
          <w:lang w:eastAsia="zh-CN"/>
        </w:rPr>
        <w:t> </w:t>
      </w:r>
      <w:r w:rsidR="00D00BCC">
        <w:rPr>
          <w:rFonts w:ascii="Book Antiqua" w:eastAsia="宋体" w:hAnsi="Book Antiqua" w:cs="宋体" w:hint="eastAsia"/>
          <w:color w:val="000000"/>
          <w:sz w:val="24"/>
          <w:szCs w:val="24"/>
          <w:lang w:eastAsia="zh-CN"/>
        </w:rPr>
        <w:t>2005</w:t>
      </w:r>
      <w:r w:rsidRPr="002D569F">
        <w:rPr>
          <w:rFonts w:ascii="Book Antiqua" w:eastAsia="宋体" w:hAnsi="Book Antiqua" w:cs="宋体"/>
          <w:color w:val="000000"/>
          <w:sz w:val="24"/>
          <w:szCs w:val="24"/>
          <w:lang w:eastAsia="zh-CN"/>
        </w:rPr>
        <w:t>; </w:t>
      </w:r>
      <w:r w:rsidRPr="002D569F">
        <w:rPr>
          <w:rFonts w:ascii="Book Antiqua" w:eastAsia="宋体" w:hAnsi="Book Antiqua" w:cs="宋体"/>
          <w:b/>
          <w:bCs/>
          <w:color w:val="000000"/>
          <w:sz w:val="24"/>
          <w:szCs w:val="24"/>
          <w:lang w:eastAsia="zh-CN"/>
        </w:rPr>
        <w:t>85</w:t>
      </w:r>
      <w:r w:rsidRPr="002D569F">
        <w:rPr>
          <w:rFonts w:ascii="Book Antiqua" w:eastAsia="宋体" w:hAnsi="Book Antiqua" w:cs="宋体"/>
          <w:color w:val="000000"/>
          <w:sz w:val="24"/>
          <w:szCs w:val="24"/>
          <w:lang w:eastAsia="zh-CN"/>
        </w:rPr>
        <w:t>: 337-345 [PMID: 16256439 DO</w:t>
      </w:r>
      <w:r w:rsidR="008F20D9">
        <w:rPr>
          <w:rFonts w:ascii="Book Antiqua" w:eastAsia="宋体" w:hAnsi="Book Antiqua" w:cs="宋体"/>
          <w:color w:val="000000"/>
          <w:sz w:val="24"/>
          <w:szCs w:val="24"/>
          <w:lang w:eastAsia="zh-CN"/>
        </w:rPr>
        <w:t>I: 10.1016/j.tube.2005.08.010]</w:t>
      </w:r>
    </w:p>
    <w:p w14:paraId="311536DF" w14:textId="1C00C942"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51 </w:t>
      </w:r>
      <w:r w:rsidRPr="002D569F">
        <w:rPr>
          <w:rFonts w:ascii="Book Antiqua" w:eastAsia="宋体" w:hAnsi="Book Antiqua" w:cs="宋体"/>
          <w:b/>
          <w:bCs/>
          <w:color w:val="000000"/>
          <w:sz w:val="24"/>
          <w:szCs w:val="24"/>
          <w:lang w:eastAsia="zh-CN"/>
        </w:rPr>
        <w:t>Harboe M</w:t>
      </w:r>
      <w:r w:rsidRPr="002D569F">
        <w:rPr>
          <w:rFonts w:ascii="Book Antiqua" w:eastAsia="宋体" w:hAnsi="Book Antiqua" w:cs="宋体"/>
          <w:color w:val="000000"/>
          <w:sz w:val="24"/>
          <w:szCs w:val="24"/>
          <w:lang w:eastAsia="zh-CN"/>
        </w:rPr>
        <w:t xml:space="preserve">, Christensen A, Ahmad S, Ulvund G, Harkness RE, Mustafa AS, Wiker HG. </w:t>
      </w:r>
      <w:proofErr w:type="gramStart"/>
      <w:r w:rsidRPr="002D569F">
        <w:rPr>
          <w:rFonts w:ascii="Book Antiqua" w:eastAsia="宋体" w:hAnsi="Book Antiqua" w:cs="宋体"/>
          <w:color w:val="000000"/>
          <w:sz w:val="24"/>
          <w:szCs w:val="24"/>
          <w:lang w:eastAsia="zh-CN"/>
        </w:rPr>
        <w:t>Cross-reaction between mammalian cell entry (Mce) proteins of Mycobacterium tuberculosis.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Scand J Immunol</w:t>
      </w:r>
      <w:r w:rsidRPr="002D569F">
        <w:rPr>
          <w:rFonts w:ascii="Book Antiqua" w:eastAsia="宋体" w:hAnsi="Book Antiqua" w:cs="宋体"/>
          <w:color w:val="000000"/>
          <w:sz w:val="24"/>
          <w:szCs w:val="24"/>
          <w:lang w:eastAsia="zh-CN"/>
        </w:rPr>
        <w:t> 2002; </w:t>
      </w:r>
      <w:r w:rsidRPr="002D569F">
        <w:rPr>
          <w:rFonts w:ascii="Book Antiqua" w:eastAsia="宋体" w:hAnsi="Book Antiqua" w:cs="宋体"/>
          <w:b/>
          <w:bCs/>
          <w:color w:val="000000"/>
          <w:sz w:val="24"/>
          <w:szCs w:val="24"/>
          <w:lang w:eastAsia="zh-CN"/>
        </w:rPr>
        <w:t>56</w:t>
      </w:r>
      <w:r w:rsidRPr="002D569F">
        <w:rPr>
          <w:rFonts w:ascii="Book Antiqua" w:eastAsia="宋体" w:hAnsi="Book Antiqua" w:cs="宋体"/>
          <w:color w:val="000000"/>
          <w:sz w:val="24"/>
          <w:szCs w:val="24"/>
          <w:lang w:eastAsia="zh-CN"/>
        </w:rPr>
        <w:t>: 580-587 [PMID: 12472669 DOI: 10.</w:t>
      </w:r>
      <w:r w:rsidR="008F20D9">
        <w:rPr>
          <w:rFonts w:ascii="Book Antiqua" w:eastAsia="宋体" w:hAnsi="Book Antiqua" w:cs="宋体"/>
          <w:color w:val="000000"/>
          <w:sz w:val="24"/>
          <w:szCs w:val="24"/>
          <w:lang w:eastAsia="zh-CN"/>
        </w:rPr>
        <w:t>1046/j.1365-3083.2002.01172.x]</w:t>
      </w:r>
    </w:p>
    <w:p w14:paraId="15E6CCF9" w14:textId="65AC6DF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52 </w:t>
      </w:r>
      <w:r w:rsidRPr="002D569F">
        <w:rPr>
          <w:rFonts w:ascii="Book Antiqua" w:eastAsia="宋体" w:hAnsi="Book Antiqua" w:cs="宋体"/>
          <w:b/>
          <w:bCs/>
          <w:color w:val="000000"/>
          <w:sz w:val="24"/>
          <w:szCs w:val="24"/>
          <w:lang w:eastAsia="zh-CN"/>
        </w:rPr>
        <w:t>Zhang F</w:t>
      </w:r>
      <w:r w:rsidRPr="002D569F">
        <w:rPr>
          <w:rFonts w:ascii="Book Antiqua" w:eastAsia="宋体" w:hAnsi="Book Antiqua" w:cs="宋体"/>
          <w:color w:val="000000"/>
          <w:sz w:val="24"/>
          <w:szCs w:val="24"/>
          <w:lang w:eastAsia="zh-CN"/>
        </w:rPr>
        <w:t xml:space="preserve">, Xie JP. </w:t>
      </w:r>
      <w:proofErr w:type="gramStart"/>
      <w:r w:rsidRPr="002D569F">
        <w:rPr>
          <w:rFonts w:ascii="Book Antiqua" w:eastAsia="宋体" w:hAnsi="Book Antiqua" w:cs="宋体"/>
          <w:color w:val="000000"/>
          <w:sz w:val="24"/>
          <w:szCs w:val="24"/>
          <w:lang w:eastAsia="zh-CN"/>
        </w:rPr>
        <w:t>Mammalian cell entry gene family of Mycobacterium tuberculosis.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Mol Cell Biochem</w:t>
      </w:r>
      <w:r w:rsidRPr="002D569F">
        <w:rPr>
          <w:rFonts w:ascii="Book Antiqua" w:eastAsia="宋体" w:hAnsi="Book Antiqua" w:cs="宋体"/>
          <w:color w:val="000000"/>
          <w:sz w:val="24"/>
          <w:szCs w:val="24"/>
          <w:lang w:eastAsia="zh-CN"/>
        </w:rPr>
        <w:t> 2011; </w:t>
      </w:r>
      <w:r w:rsidRPr="002D569F">
        <w:rPr>
          <w:rFonts w:ascii="Book Antiqua" w:eastAsia="宋体" w:hAnsi="Book Antiqua" w:cs="宋体"/>
          <w:b/>
          <w:bCs/>
          <w:color w:val="000000"/>
          <w:sz w:val="24"/>
          <w:szCs w:val="24"/>
          <w:lang w:eastAsia="zh-CN"/>
        </w:rPr>
        <w:t>352</w:t>
      </w:r>
      <w:r w:rsidRPr="002D569F">
        <w:rPr>
          <w:rFonts w:ascii="Book Antiqua" w:eastAsia="宋体" w:hAnsi="Book Antiqua" w:cs="宋体"/>
          <w:color w:val="000000"/>
          <w:sz w:val="24"/>
          <w:szCs w:val="24"/>
          <w:lang w:eastAsia="zh-CN"/>
        </w:rPr>
        <w:t>: 1-10 [PMID: 21258845 D</w:t>
      </w:r>
      <w:r w:rsidR="008F20D9">
        <w:rPr>
          <w:rFonts w:ascii="Book Antiqua" w:eastAsia="宋体" w:hAnsi="Book Antiqua" w:cs="宋体"/>
          <w:color w:val="000000"/>
          <w:sz w:val="24"/>
          <w:szCs w:val="24"/>
          <w:lang w:eastAsia="zh-CN"/>
        </w:rPr>
        <w:t>OI: 10.1007/s11010-011-0733-5]</w:t>
      </w:r>
    </w:p>
    <w:p w14:paraId="52523CA1" w14:textId="5B5A682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53 </w:t>
      </w:r>
      <w:r w:rsidRPr="002D569F">
        <w:rPr>
          <w:rFonts w:ascii="Book Antiqua" w:eastAsia="宋体" w:hAnsi="Book Antiqua" w:cs="宋体"/>
          <w:b/>
          <w:bCs/>
          <w:color w:val="000000"/>
          <w:sz w:val="24"/>
          <w:szCs w:val="24"/>
          <w:lang w:eastAsia="zh-CN"/>
        </w:rPr>
        <w:t>Tekaia F</w:t>
      </w:r>
      <w:r w:rsidRPr="002D569F">
        <w:rPr>
          <w:rFonts w:ascii="Book Antiqua" w:eastAsia="宋体" w:hAnsi="Book Antiqua" w:cs="宋体"/>
          <w:color w:val="000000"/>
          <w:sz w:val="24"/>
          <w:szCs w:val="24"/>
          <w:lang w:eastAsia="zh-CN"/>
        </w:rPr>
        <w:t>, Gordon SV, Garnier T, Brosch R, Barrell BG, Cole ST. Analysis of the proteome of Mycobacterium tuberculosis in silico. </w:t>
      </w:r>
      <w:r w:rsidRPr="002D569F">
        <w:rPr>
          <w:rFonts w:ascii="Book Antiqua" w:eastAsia="宋体" w:hAnsi="Book Antiqua" w:cs="宋体"/>
          <w:i/>
          <w:iCs/>
          <w:color w:val="000000"/>
          <w:sz w:val="24"/>
          <w:szCs w:val="24"/>
          <w:lang w:eastAsia="zh-CN"/>
        </w:rPr>
        <w:t>Tuber Lung Dis</w:t>
      </w:r>
      <w:r w:rsidRPr="002D569F">
        <w:rPr>
          <w:rFonts w:ascii="Book Antiqua" w:eastAsia="宋体" w:hAnsi="Book Antiqua" w:cs="宋体"/>
          <w:color w:val="000000"/>
          <w:sz w:val="24"/>
          <w:szCs w:val="24"/>
          <w:lang w:eastAsia="zh-CN"/>
        </w:rPr>
        <w:t> 1999; </w:t>
      </w:r>
      <w:r w:rsidRPr="002D569F">
        <w:rPr>
          <w:rFonts w:ascii="Book Antiqua" w:eastAsia="宋体" w:hAnsi="Book Antiqua" w:cs="宋体"/>
          <w:b/>
          <w:bCs/>
          <w:color w:val="000000"/>
          <w:sz w:val="24"/>
          <w:szCs w:val="24"/>
          <w:lang w:eastAsia="zh-CN"/>
        </w:rPr>
        <w:t>79</w:t>
      </w:r>
      <w:r w:rsidRPr="002D569F">
        <w:rPr>
          <w:rFonts w:ascii="Book Antiqua" w:eastAsia="宋体" w:hAnsi="Book Antiqua" w:cs="宋体"/>
          <w:color w:val="000000"/>
          <w:sz w:val="24"/>
          <w:szCs w:val="24"/>
          <w:lang w:eastAsia="zh-CN"/>
        </w:rPr>
        <w:t>: 329-342 [PMID: 1069497</w:t>
      </w:r>
      <w:r w:rsidR="008F20D9">
        <w:rPr>
          <w:rFonts w:ascii="Book Antiqua" w:eastAsia="宋体" w:hAnsi="Book Antiqua" w:cs="宋体"/>
          <w:color w:val="000000"/>
          <w:sz w:val="24"/>
          <w:szCs w:val="24"/>
          <w:lang w:eastAsia="zh-CN"/>
        </w:rPr>
        <w:t>7 DOI: 10.1054/tuld.1999.0220]</w:t>
      </w:r>
    </w:p>
    <w:p w14:paraId="37ECD3F7"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54 </w:t>
      </w:r>
      <w:r w:rsidRPr="002D569F">
        <w:rPr>
          <w:rFonts w:ascii="Book Antiqua" w:eastAsia="宋体" w:hAnsi="Book Antiqua" w:cs="宋体"/>
          <w:b/>
          <w:bCs/>
          <w:color w:val="000000"/>
          <w:sz w:val="24"/>
          <w:szCs w:val="24"/>
          <w:lang w:eastAsia="zh-CN"/>
        </w:rPr>
        <w:t>Ahmad S</w:t>
      </w:r>
      <w:r w:rsidRPr="002D569F">
        <w:rPr>
          <w:rFonts w:ascii="Book Antiqua" w:eastAsia="宋体" w:hAnsi="Book Antiqua" w:cs="宋体"/>
          <w:color w:val="000000"/>
          <w:sz w:val="24"/>
          <w:szCs w:val="24"/>
          <w:lang w:eastAsia="zh-CN"/>
        </w:rPr>
        <w:t>, Akbar PK, Wiker HG, Harboe M, Mustafa AS. Cloning, expression and immunological reactivity of two mammalian cell entry proteins encoded by the mce1 operon of Mycobacterium tuberculosis. </w:t>
      </w:r>
      <w:r w:rsidRPr="002D569F">
        <w:rPr>
          <w:rFonts w:ascii="Book Antiqua" w:eastAsia="宋体" w:hAnsi="Book Antiqua" w:cs="宋体"/>
          <w:i/>
          <w:iCs/>
          <w:color w:val="000000"/>
          <w:sz w:val="24"/>
          <w:szCs w:val="24"/>
          <w:lang w:eastAsia="zh-CN"/>
        </w:rPr>
        <w:t>Scand J Immunol</w:t>
      </w:r>
      <w:r w:rsidRPr="002D569F">
        <w:rPr>
          <w:rFonts w:ascii="Book Antiqua" w:eastAsia="宋体" w:hAnsi="Book Antiqua" w:cs="宋体"/>
          <w:color w:val="000000"/>
          <w:sz w:val="24"/>
          <w:szCs w:val="24"/>
          <w:lang w:eastAsia="zh-CN"/>
        </w:rPr>
        <w:t> 1999; </w:t>
      </w:r>
      <w:r w:rsidRPr="002D569F">
        <w:rPr>
          <w:rFonts w:ascii="Book Antiqua" w:eastAsia="宋体" w:hAnsi="Book Antiqua" w:cs="宋体"/>
          <w:b/>
          <w:bCs/>
          <w:color w:val="000000"/>
          <w:sz w:val="24"/>
          <w:szCs w:val="24"/>
          <w:lang w:eastAsia="zh-CN"/>
        </w:rPr>
        <w:t>50</w:t>
      </w:r>
      <w:r w:rsidRPr="002D569F">
        <w:rPr>
          <w:rFonts w:ascii="Book Antiqua" w:eastAsia="宋体" w:hAnsi="Book Antiqua" w:cs="宋体"/>
          <w:color w:val="000000"/>
          <w:sz w:val="24"/>
          <w:szCs w:val="24"/>
          <w:lang w:eastAsia="zh-CN"/>
        </w:rPr>
        <w:t>: 510-518 [PMID: 10564554 DOI: 10.1046/j.1365-3083.1999.00631.x]</w:t>
      </w:r>
    </w:p>
    <w:p w14:paraId="138C7EA7"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55 </w:t>
      </w:r>
      <w:r w:rsidRPr="002D569F">
        <w:rPr>
          <w:rFonts w:ascii="Book Antiqua" w:eastAsia="宋体" w:hAnsi="Book Antiqua" w:cs="宋体"/>
          <w:b/>
          <w:bCs/>
          <w:color w:val="000000"/>
          <w:sz w:val="24"/>
          <w:szCs w:val="24"/>
          <w:lang w:eastAsia="zh-CN"/>
        </w:rPr>
        <w:t>Kumar A</w:t>
      </w:r>
      <w:r w:rsidRPr="002D569F">
        <w:rPr>
          <w:rFonts w:ascii="Book Antiqua" w:eastAsia="宋体" w:hAnsi="Book Antiqua" w:cs="宋体"/>
          <w:color w:val="000000"/>
          <w:sz w:val="24"/>
          <w:szCs w:val="24"/>
          <w:lang w:eastAsia="zh-CN"/>
        </w:rPr>
        <w:t>, Bose M, Brahmachari V. Analysis of expression profile of mammalian cell entry (mce) operons of Mycobacterium tuberculosis. </w:t>
      </w:r>
      <w:r w:rsidRPr="002D569F">
        <w:rPr>
          <w:rFonts w:ascii="Book Antiqua" w:eastAsia="宋体" w:hAnsi="Book Antiqua" w:cs="宋体"/>
          <w:i/>
          <w:iCs/>
          <w:color w:val="000000"/>
          <w:sz w:val="24"/>
          <w:szCs w:val="24"/>
          <w:lang w:eastAsia="zh-CN"/>
        </w:rPr>
        <w:t>Infect Immun</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71</w:t>
      </w:r>
      <w:r w:rsidRPr="002D569F">
        <w:rPr>
          <w:rFonts w:ascii="Book Antiqua" w:eastAsia="宋体" w:hAnsi="Book Antiqua" w:cs="宋体"/>
          <w:color w:val="000000"/>
          <w:sz w:val="24"/>
          <w:szCs w:val="24"/>
          <w:lang w:eastAsia="zh-CN"/>
        </w:rPr>
        <w:t>: 6083-6087 [PMID: 14500535 DOI: 10.1128/IAI.71.10.6083-6087.2003]</w:t>
      </w:r>
    </w:p>
    <w:p w14:paraId="0FE390EE" w14:textId="7C26AEA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56 </w:t>
      </w:r>
      <w:r w:rsidRPr="002D569F">
        <w:rPr>
          <w:rFonts w:ascii="Book Antiqua" w:eastAsia="宋体" w:hAnsi="Book Antiqua" w:cs="宋体"/>
          <w:b/>
          <w:bCs/>
          <w:color w:val="000000"/>
          <w:sz w:val="24"/>
          <w:szCs w:val="24"/>
          <w:lang w:eastAsia="zh-CN"/>
        </w:rPr>
        <w:t>Gioffré A</w:t>
      </w:r>
      <w:r w:rsidRPr="002D569F">
        <w:rPr>
          <w:rFonts w:ascii="Book Antiqua" w:eastAsia="宋体" w:hAnsi="Book Antiqua" w:cs="宋体"/>
          <w:color w:val="000000"/>
          <w:sz w:val="24"/>
          <w:szCs w:val="24"/>
          <w:lang w:eastAsia="zh-CN"/>
        </w:rPr>
        <w:t>, Infante E, Aguilar D, Santangelo MP, Klepp L, Amadio A, Meikle V, Etchechoury I, Romano MI, Cataldi A, Hernández RP, Bigi F. Mutation in mce operons attenuates Mycobacterium tuberculosis virulence. </w:t>
      </w:r>
      <w:r w:rsidRPr="002D569F">
        <w:rPr>
          <w:rFonts w:ascii="Book Antiqua" w:eastAsia="宋体" w:hAnsi="Book Antiqua" w:cs="宋体"/>
          <w:i/>
          <w:iCs/>
          <w:color w:val="000000"/>
          <w:sz w:val="24"/>
          <w:szCs w:val="24"/>
          <w:lang w:eastAsia="zh-CN"/>
        </w:rPr>
        <w:t>Microbes Infect</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7</w:t>
      </w:r>
      <w:r w:rsidRPr="002D569F">
        <w:rPr>
          <w:rFonts w:ascii="Book Antiqua" w:eastAsia="宋体" w:hAnsi="Book Antiqua" w:cs="宋体"/>
          <w:color w:val="000000"/>
          <w:sz w:val="24"/>
          <w:szCs w:val="24"/>
          <w:lang w:eastAsia="zh-CN"/>
        </w:rPr>
        <w:t>: 325-334 [PMID: 15804490 DOI:</w:t>
      </w:r>
      <w:r w:rsidR="008F20D9">
        <w:rPr>
          <w:rFonts w:ascii="Book Antiqua" w:eastAsia="宋体" w:hAnsi="Book Antiqua" w:cs="宋体"/>
          <w:color w:val="000000"/>
          <w:sz w:val="24"/>
          <w:szCs w:val="24"/>
          <w:lang w:eastAsia="zh-CN"/>
        </w:rPr>
        <w:t xml:space="preserve"> 10.1016/j.micinf.2004.11.007]</w:t>
      </w:r>
    </w:p>
    <w:p w14:paraId="283BC025" w14:textId="502090F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57 </w:t>
      </w:r>
      <w:r w:rsidRPr="002D569F">
        <w:rPr>
          <w:rFonts w:ascii="Book Antiqua" w:eastAsia="宋体" w:hAnsi="Book Antiqua" w:cs="宋体"/>
          <w:b/>
          <w:bCs/>
          <w:color w:val="000000"/>
          <w:sz w:val="24"/>
          <w:szCs w:val="24"/>
          <w:lang w:eastAsia="zh-CN"/>
        </w:rPr>
        <w:t>Sassetti CM</w:t>
      </w:r>
      <w:r w:rsidRPr="002D569F">
        <w:rPr>
          <w:rFonts w:ascii="Book Antiqua" w:eastAsia="宋体" w:hAnsi="Book Antiqua" w:cs="宋体"/>
          <w:color w:val="000000"/>
          <w:sz w:val="24"/>
          <w:szCs w:val="24"/>
          <w:lang w:eastAsia="zh-CN"/>
        </w:rPr>
        <w:t xml:space="preserve">, Rubin EJ. </w:t>
      </w:r>
      <w:proofErr w:type="gramStart"/>
      <w:r w:rsidRPr="002D569F">
        <w:rPr>
          <w:rFonts w:ascii="Book Antiqua" w:eastAsia="宋体" w:hAnsi="Book Antiqua" w:cs="宋体"/>
          <w:color w:val="000000"/>
          <w:sz w:val="24"/>
          <w:szCs w:val="24"/>
          <w:lang w:eastAsia="zh-CN"/>
        </w:rPr>
        <w:t>Genetic requirements for mycobacterial survival during infection.</w:t>
      </w:r>
      <w:proofErr w:type="gramEnd"/>
      <w:r w:rsidRPr="002D569F">
        <w:rPr>
          <w:rFonts w:ascii="Book Antiqua" w:eastAsia="宋体" w:hAnsi="Book Antiqua" w:cs="宋体"/>
          <w:color w:val="000000"/>
          <w:sz w:val="24"/>
          <w:szCs w:val="24"/>
          <w:lang w:eastAsia="zh-CN"/>
        </w:rPr>
        <w:t> </w:t>
      </w:r>
      <w:r w:rsidR="008F20D9">
        <w:rPr>
          <w:rFonts w:ascii="Book Antiqua" w:eastAsia="宋体" w:hAnsi="Book Antiqua" w:cs="宋体"/>
          <w:i/>
          <w:iCs/>
          <w:color w:val="000000"/>
          <w:sz w:val="24"/>
          <w:szCs w:val="24"/>
          <w:lang w:eastAsia="zh-CN"/>
        </w:rPr>
        <w:t>Proc Natl Acad Sci US</w:t>
      </w:r>
      <w:r w:rsidRPr="002D569F">
        <w:rPr>
          <w:rFonts w:ascii="Book Antiqua" w:eastAsia="宋体" w:hAnsi="Book Antiqua" w:cs="宋体"/>
          <w:i/>
          <w:iCs/>
          <w:color w:val="000000"/>
          <w:sz w:val="24"/>
          <w:szCs w:val="24"/>
          <w:lang w:eastAsia="zh-CN"/>
        </w:rPr>
        <w:t>A</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100</w:t>
      </w:r>
      <w:r w:rsidRPr="002D569F">
        <w:rPr>
          <w:rFonts w:ascii="Book Antiqua" w:eastAsia="宋体" w:hAnsi="Book Antiqua" w:cs="宋体"/>
          <w:color w:val="000000"/>
          <w:sz w:val="24"/>
          <w:szCs w:val="24"/>
          <w:lang w:eastAsia="zh-CN"/>
        </w:rPr>
        <w:t>: 12989-12994 [PMID: 14569030</w:t>
      </w:r>
      <w:r w:rsidR="008F20D9">
        <w:rPr>
          <w:rFonts w:ascii="Book Antiqua" w:eastAsia="宋体" w:hAnsi="Book Antiqua" w:cs="宋体"/>
          <w:color w:val="000000"/>
          <w:sz w:val="24"/>
          <w:szCs w:val="24"/>
          <w:lang w:eastAsia="zh-CN"/>
        </w:rPr>
        <w:t xml:space="preserve"> DOI: 10.1073/pnas.2134250100]</w:t>
      </w:r>
    </w:p>
    <w:p w14:paraId="17472270" w14:textId="5936F585"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58 </w:t>
      </w:r>
      <w:r w:rsidRPr="002D569F">
        <w:rPr>
          <w:rFonts w:ascii="Book Antiqua" w:eastAsia="宋体" w:hAnsi="Book Antiqua" w:cs="宋体"/>
          <w:b/>
          <w:bCs/>
          <w:color w:val="000000"/>
          <w:sz w:val="24"/>
          <w:szCs w:val="24"/>
          <w:lang w:eastAsia="zh-CN"/>
        </w:rPr>
        <w:t>Shimono N</w:t>
      </w:r>
      <w:r w:rsidRPr="002D569F">
        <w:rPr>
          <w:rFonts w:ascii="Book Antiqua" w:eastAsia="宋体" w:hAnsi="Book Antiqua" w:cs="宋体"/>
          <w:color w:val="000000"/>
          <w:sz w:val="24"/>
          <w:szCs w:val="24"/>
          <w:lang w:eastAsia="zh-CN"/>
        </w:rPr>
        <w:t xml:space="preserve">, Morici L, Casali N, Cantrell S, Sidders B, Ehrt S, Riley LW. </w:t>
      </w:r>
      <w:proofErr w:type="gramStart"/>
      <w:r w:rsidRPr="002D569F">
        <w:rPr>
          <w:rFonts w:ascii="Book Antiqua" w:eastAsia="宋体" w:hAnsi="Book Antiqua" w:cs="宋体"/>
          <w:color w:val="000000"/>
          <w:sz w:val="24"/>
          <w:szCs w:val="24"/>
          <w:lang w:eastAsia="zh-CN"/>
        </w:rPr>
        <w:t>Hypervirulent mutant of Mycobacterium tuberculosis resulting from disruption of the mce1 operon.</w:t>
      </w:r>
      <w:proofErr w:type="gramEnd"/>
      <w:r w:rsidRPr="002D569F">
        <w:rPr>
          <w:rFonts w:ascii="Book Antiqua" w:eastAsia="宋体" w:hAnsi="Book Antiqua" w:cs="宋体"/>
          <w:color w:val="000000"/>
          <w:sz w:val="24"/>
          <w:szCs w:val="24"/>
          <w:lang w:eastAsia="zh-CN"/>
        </w:rPr>
        <w:t> </w:t>
      </w:r>
      <w:r w:rsidR="008F20D9">
        <w:rPr>
          <w:rFonts w:ascii="Book Antiqua" w:eastAsia="宋体" w:hAnsi="Book Antiqua" w:cs="宋体"/>
          <w:i/>
          <w:iCs/>
          <w:color w:val="000000"/>
          <w:sz w:val="24"/>
          <w:szCs w:val="24"/>
          <w:lang w:eastAsia="zh-CN"/>
        </w:rPr>
        <w:t>Proc Natl Acad Sci US</w:t>
      </w:r>
      <w:r w:rsidRPr="002D569F">
        <w:rPr>
          <w:rFonts w:ascii="Book Antiqua" w:eastAsia="宋体" w:hAnsi="Book Antiqua" w:cs="宋体"/>
          <w:i/>
          <w:iCs/>
          <w:color w:val="000000"/>
          <w:sz w:val="24"/>
          <w:szCs w:val="24"/>
          <w:lang w:eastAsia="zh-CN"/>
        </w:rPr>
        <w:t>A</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100</w:t>
      </w:r>
      <w:r w:rsidRPr="002D569F">
        <w:rPr>
          <w:rFonts w:ascii="Book Antiqua" w:eastAsia="宋体" w:hAnsi="Book Antiqua" w:cs="宋体"/>
          <w:color w:val="000000"/>
          <w:sz w:val="24"/>
          <w:szCs w:val="24"/>
          <w:lang w:eastAsia="zh-CN"/>
        </w:rPr>
        <w:t>: 15918-15923 [PMID: 14663145</w:t>
      </w:r>
      <w:r w:rsidR="008F20D9">
        <w:rPr>
          <w:rFonts w:ascii="Book Antiqua" w:eastAsia="宋体" w:hAnsi="Book Antiqua" w:cs="宋体"/>
          <w:color w:val="000000"/>
          <w:sz w:val="24"/>
          <w:szCs w:val="24"/>
          <w:lang w:eastAsia="zh-CN"/>
        </w:rPr>
        <w:t xml:space="preserve"> DOI: 10.1073/pnas.2433882100]</w:t>
      </w:r>
    </w:p>
    <w:p w14:paraId="1F00D1BF" w14:textId="684581A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59 </w:t>
      </w:r>
      <w:r w:rsidRPr="002D569F">
        <w:rPr>
          <w:rFonts w:ascii="Book Antiqua" w:eastAsia="宋体" w:hAnsi="Book Antiqua" w:cs="宋体"/>
          <w:b/>
          <w:bCs/>
          <w:color w:val="000000"/>
          <w:sz w:val="24"/>
          <w:szCs w:val="24"/>
          <w:lang w:eastAsia="zh-CN"/>
        </w:rPr>
        <w:t>Lima P</w:t>
      </w:r>
      <w:r w:rsidRPr="002D569F">
        <w:rPr>
          <w:rFonts w:ascii="Book Antiqua" w:eastAsia="宋体" w:hAnsi="Book Antiqua" w:cs="宋体"/>
          <w:color w:val="000000"/>
          <w:sz w:val="24"/>
          <w:szCs w:val="24"/>
          <w:lang w:eastAsia="zh-CN"/>
        </w:rPr>
        <w:t>, Sidders B, Morici L, Reader R, Senaratne R, Casali N, Riley LW. Enhanced mortality despite control of lung infection in mice aerogenically infected with a Mycobacterium tuberculosis mce1 operon mutant. </w:t>
      </w:r>
      <w:r w:rsidRPr="002D569F">
        <w:rPr>
          <w:rFonts w:ascii="Book Antiqua" w:eastAsia="宋体" w:hAnsi="Book Antiqua" w:cs="宋体"/>
          <w:i/>
          <w:iCs/>
          <w:color w:val="000000"/>
          <w:sz w:val="24"/>
          <w:szCs w:val="24"/>
          <w:lang w:eastAsia="zh-CN"/>
        </w:rPr>
        <w:t>Microbes Infect</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9</w:t>
      </w:r>
      <w:r w:rsidRPr="002D569F">
        <w:rPr>
          <w:rFonts w:ascii="Book Antiqua" w:eastAsia="宋体" w:hAnsi="Book Antiqua" w:cs="宋体"/>
          <w:color w:val="000000"/>
          <w:sz w:val="24"/>
          <w:szCs w:val="24"/>
          <w:lang w:eastAsia="zh-CN"/>
        </w:rPr>
        <w:t>: 1285-1290 [PMID: 17890119 DOI:</w:t>
      </w:r>
      <w:r w:rsidR="008F20D9">
        <w:rPr>
          <w:rFonts w:ascii="Book Antiqua" w:eastAsia="宋体" w:hAnsi="Book Antiqua" w:cs="宋体"/>
          <w:color w:val="000000"/>
          <w:sz w:val="24"/>
          <w:szCs w:val="24"/>
          <w:lang w:eastAsia="zh-CN"/>
        </w:rPr>
        <w:t xml:space="preserve"> 10.1016/j.micinf.2007.05.020]</w:t>
      </w:r>
    </w:p>
    <w:p w14:paraId="7D7B428E" w14:textId="52C8CC2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60 </w:t>
      </w:r>
      <w:r w:rsidRPr="002D569F">
        <w:rPr>
          <w:rFonts w:ascii="Book Antiqua" w:eastAsia="宋体" w:hAnsi="Book Antiqua" w:cs="宋体"/>
          <w:b/>
          <w:bCs/>
          <w:color w:val="000000"/>
          <w:sz w:val="24"/>
          <w:szCs w:val="24"/>
          <w:lang w:eastAsia="zh-CN"/>
        </w:rPr>
        <w:t>Joshi SM</w:t>
      </w:r>
      <w:r w:rsidRPr="002D569F">
        <w:rPr>
          <w:rFonts w:ascii="Book Antiqua" w:eastAsia="宋体" w:hAnsi="Book Antiqua" w:cs="宋体"/>
          <w:color w:val="000000"/>
          <w:sz w:val="24"/>
          <w:szCs w:val="24"/>
          <w:lang w:eastAsia="zh-CN"/>
        </w:rPr>
        <w:t>, Pandey AK, Capite N, Fortune SM, Rubin EJ, Sassetti CM. Characterization of mycobacterial virulence genes through genetic interaction mapping. </w:t>
      </w:r>
      <w:r w:rsidR="008F20D9">
        <w:rPr>
          <w:rFonts w:ascii="Book Antiqua" w:eastAsia="宋体" w:hAnsi="Book Antiqua" w:cs="宋体"/>
          <w:i/>
          <w:iCs/>
          <w:color w:val="000000"/>
          <w:sz w:val="24"/>
          <w:szCs w:val="24"/>
          <w:lang w:eastAsia="zh-CN"/>
        </w:rPr>
        <w:t>Proc Natl Acad Sci US</w:t>
      </w:r>
      <w:r w:rsidRPr="002D569F">
        <w:rPr>
          <w:rFonts w:ascii="Book Antiqua" w:eastAsia="宋体" w:hAnsi="Book Antiqua" w:cs="宋体"/>
          <w:i/>
          <w:iCs/>
          <w:color w:val="000000"/>
          <w:sz w:val="24"/>
          <w:szCs w:val="24"/>
          <w:lang w:eastAsia="zh-CN"/>
        </w:rPr>
        <w:t>A</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103</w:t>
      </w:r>
      <w:r w:rsidRPr="002D569F">
        <w:rPr>
          <w:rFonts w:ascii="Book Antiqua" w:eastAsia="宋体" w:hAnsi="Book Antiqua" w:cs="宋体"/>
          <w:color w:val="000000"/>
          <w:sz w:val="24"/>
          <w:szCs w:val="24"/>
          <w:lang w:eastAsia="zh-CN"/>
        </w:rPr>
        <w:t>: 11760-11765 [PMID: 16868085</w:t>
      </w:r>
      <w:r w:rsidR="008F20D9">
        <w:rPr>
          <w:rFonts w:ascii="Book Antiqua" w:eastAsia="宋体" w:hAnsi="Book Antiqua" w:cs="宋体"/>
          <w:color w:val="000000"/>
          <w:sz w:val="24"/>
          <w:szCs w:val="24"/>
          <w:lang w:eastAsia="zh-CN"/>
        </w:rPr>
        <w:t xml:space="preserve"> DOI: 10.1073/pnas.0603179103]</w:t>
      </w:r>
    </w:p>
    <w:p w14:paraId="7CB54E4C" w14:textId="18A7EC4F"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61 </w:t>
      </w:r>
      <w:r w:rsidRPr="002D569F">
        <w:rPr>
          <w:rFonts w:ascii="Book Antiqua" w:eastAsia="宋体" w:hAnsi="Book Antiqua" w:cs="宋体"/>
          <w:b/>
          <w:bCs/>
          <w:color w:val="000000"/>
          <w:sz w:val="24"/>
          <w:szCs w:val="24"/>
          <w:lang w:eastAsia="zh-CN"/>
        </w:rPr>
        <w:t>Chandolia A</w:t>
      </w:r>
      <w:r w:rsidRPr="002D569F">
        <w:rPr>
          <w:rFonts w:ascii="Book Antiqua" w:eastAsia="宋体" w:hAnsi="Book Antiqua" w:cs="宋体"/>
          <w:color w:val="000000"/>
          <w:sz w:val="24"/>
          <w:szCs w:val="24"/>
          <w:lang w:eastAsia="zh-CN"/>
        </w:rPr>
        <w:t>, Rathor N, Sharma M, Saini NK, Sinha R, Malhotra P, Brahmachari V, Bose M. Functional analysis of mce4A gene of Mycobacterium tuberculosis H37Rv using antisense approach. </w:t>
      </w:r>
      <w:r w:rsidRPr="002D569F">
        <w:rPr>
          <w:rFonts w:ascii="Book Antiqua" w:eastAsia="宋体" w:hAnsi="Book Antiqua" w:cs="宋体"/>
          <w:i/>
          <w:iCs/>
          <w:color w:val="000000"/>
          <w:sz w:val="24"/>
          <w:szCs w:val="24"/>
          <w:lang w:eastAsia="zh-CN"/>
        </w:rPr>
        <w:t>Microbiol Res</w:t>
      </w:r>
      <w:r w:rsidRPr="002D569F">
        <w:rPr>
          <w:rFonts w:ascii="Book Antiqua" w:eastAsia="宋体" w:hAnsi="Book Antiqua" w:cs="宋体"/>
          <w:color w:val="000000"/>
          <w:sz w:val="24"/>
          <w:szCs w:val="24"/>
          <w:lang w:eastAsia="zh-CN"/>
        </w:rPr>
        <w:t> </w:t>
      </w:r>
      <w:r w:rsidR="008F20D9">
        <w:rPr>
          <w:rFonts w:ascii="Book Antiqua" w:eastAsia="宋体" w:hAnsi="Book Antiqua" w:cs="宋体" w:hint="eastAsia"/>
          <w:color w:val="000000"/>
          <w:sz w:val="24"/>
          <w:szCs w:val="24"/>
          <w:lang w:eastAsia="zh-CN"/>
        </w:rPr>
        <w:t>2014</w:t>
      </w:r>
      <w:r w:rsidRPr="002D569F">
        <w:rPr>
          <w:rFonts w:ascii="Book Antiqua" w:eastAsia="宋体" w:hAnsi="Book Antiqua" w:cs="宋体"/>
          <w:color w:val="000000"/>
          <w:sz w:val="24"/>
          <w:szCs w:val="24"/>
          <w:lang w:eastAsia="zh-CN"/>
        </w:rPr>
        <w:t>; </w:t>
      </w:r>
      <w:r w:rsidRPr="002D569F">
        <w:rPr>
          <w:rFonts w:ascii="Book Antiqua" w:eastAsia="宋体" w:hAnsi="Book Antiqua" w:cs="宋体"/>
          <w:b/>
          <w:bCs/>
          <w:color w:val="000000"/>
          <w:sz w:val="24"/>
          <w:szCs w:val="24"/>
          <w:lang w:eastAsia="zh-CN"/>
        </w:rPr>
        <w:t>169</w:t>
      </w:r>
      <w:r w:rsidRPr="002D569F">
        <w:rPr>
          <w:rFonts w:ascii="Book Antiqua" w:eastAsia="宋体" w:hAnsi="Book Antiqua" w:cs="宋体"/>
          <w:color w:val="000000"/>
          <w:sz w:val="24"/>
          <w:szCs w:val="24"/>
          <w:lang w:eastAsia="zh-CN"/>
        </w:rPr>
        <w:t>: 780-787 [PMID: 24556072 DOI: 10.1016/j.micres.2013.12.008]</w:t>
      </w:r>
    </w:p>
    <w:p w14:paraId="5289BE75" w14:textId="2897C9A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62 </w:t>
      </w:r>
      <w:r w:rsidRPr="002D569F">
        <w:rPr>
          <w:rFonts w:ascii="Book Antiqua" w:eastAsia="宋体" w:hAnsi="Book Antiqua" w:cs="宋体"/>
          <w:b/>
          <w:bCs/>
          <w:color w:val="000000"/>
          <w:sz w:val="24"/>
          <w:szCs w:val="24"/>
          <w:lang w:eastAsia="zh-CN"/>
        </w:rPr>
        <w:t>Saini NK</w:t>
      </w:r>
      <w:r w:rsidRPr="002D569F">
        <w:rPr>
          <w:rFonts w:ascii="Book Antiqua" w:eastAsia="宋体" w:hAnsi="Book Antiqua" w:cs="宋体"/>
          <w:color w:val="000000"/>
          <w:sz w:val="24"/>
          <w:szCs w:val="24"/>
          <w:lang w:eastAsia="zh-CN"/>
        </w:rPr>
        <w:t>, Sharma M, Chandolia A, Pasricha R, Brahmachari V, Bose M. Characterization of Mce4A protein of Mycobacterium tuberculosis: role in invasion and survival. </w:t>
      </w:r>
      <w:r w:rsidRPr="002D569F">
        <w:rPr>
          <w:rFonts w:ascii="Book Antiqua" w:eastAsia="宋体" w:hAnsi="Book Antiqua" w:cs="宋体"/>
          <w:i/>
          <w:iCs/>
          <w:color w:val="000000"/>
          <w:sz w:val="24"/>
          <w:szCs w:val="24"/>
          <w:lang w:eastAsia="zh-CN"/>
        </w:rPr>
        <w:t>BMC Microbiol</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200 [PMID: 19019220</w:t>
      </w:r>
      <w:r w:rsidR="008F20D9">
        <w:rPr>
          <w:rFonts w:ascii="Book Antiqua" w:eastAsia="宋体" w:hAnsi="Book Antiqua" w:cs="宋体"/>
          <w:color w:val="000000"/>
          <w:sz w:val="24"/>
          <w:szCs w:val="24"/>
          <w:lang w:eastAsia="zh-CN"/>
        </w:rPr>
        <w:t xml:space="preserve"> DOI: 10.1186/1471-2180-8-200]</w:t>
      </w:r>
    </w:p>
    <w:p w14:paraId="095C6A4B" w14:textId="37BE628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63 </w:t>
      </w:r>
      <w:r w:rsidRPr="002D569F">
        <w:rPr>
          <w:rFonts w:ascii="Book Antiqua" w:eastAsia="宋体" w:hAnsi="Book Antiqua" w:cs="宋体"/>
          <w:b/>
          <w:bCs/>
          <w:color w:val="000000"/>
          <w:sz w:val="24"/>
          <w:szCs w:val="24"/>
          <w:lang w:eastAsia="zh-CN"/>
        </w:rPr>
        <w:t>Niederweis M</w:t>
      </w:r>
      <w:r w:rsidRPr="002D569F">
        <w:rPr>
          <w:rFonts w:ascii="Book Antiqua" w:eastAsia="宋体" w:hAnsi="Book Antiqua" w:cs="宋体"/>
          <w:color w:val="000000"/>
          <w:sz w:val="24"/>
          <w:szCs w:val="24"/>
          <w:lang w:eastAsia="zh-CN"/>
        </w:rPr>
        <w:t>, Danilchanka O, Huff J, Hoffmann C, Engelhardt H. Mycobacterial outer membranes: in search of proteins. </w:t>
      </w:r>
      <w:r w:rsidRPr="002D569F">
        <w:rPr>
          <w:rFonts w:ascii="Book Antiqua" w:eastAsia="宋体" w:hAnsi="Book Antiqua" w:cs="宋体"/>
          <w:i/>
          <w:iCs/>
          <w:color w:val="000000"/>
          <w:sz w:val="24"/>
          <w:szCs w:val="24"/>
          <w:lang w:eastAsia="zh-CN"/>
        </w:rPr>
        <w:t>Trends Microbiol</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18</w:t>
      </w:r>
      <w:r w:rsidRPr="002D569F">
        <w:rPr>
          <w:rFonts w:ascii="Book Antiqua" w:eastAsia="宋体" w:hAnsi="Book Antiqua" w:cs="宋体"/>
          <w:color w:val="000000"/>
          <w:sz w:val="24"/>
          <w:szCs w:val="24"/>
          <w:lang w:eastAsia="zh-CN"/>
        </w:rPr>
        <w:t>: 109-116 [PMID: 20060722 D</w:t>
      </w:r>
      <w:r w:rsidR="008F20D9">
        <w:rPr>
          <w:rFonts w:ascii="Book Antiqua" w:eastAsia="宋体" w:hAnsi="Book Antiqua" w:cs="宋体"/>
          <w:color w:val="000000"/>
          <w:sz w:val="24"/>
          <w:szCs w:val="24"/>
          <w:lang w:eastAsia="zh-CN"/>
        </w:rPr>
        <w:t>OI: 10.1016/j.tim.2009.12.005]</w:t>
      </w:r>
    </w:p>
    <w:p w14:paraId="39668647" w14:textId="6A18437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64 </w:t>
      </w:r>
      <w:r w:rsidRPr="002D569F">
        <w:rPr>
          <w:rFonts w:ascii="Book Antiqua" w:eastAsia="宋体" w:hAnsi="Book Antiqua" w:cs="宋体"/>
          <w:b/>
          <w:bCs/>
          <w:color w:val="000000"/>
          <w:sz w:val="24"/>
          <w:szCs w:val="24"/>
          <w:lang w:eastAsia="zh-CN"/>
        </w:rPr>
        <w:t>Rathor N</w:t>
      </w:r>
      <w:r w:rsidRPr="002D569F">
        <w:rPr>
          <w:rFonts w:ascii="Book Antiqua" w:eastAsia="宋体" w:hAnsi="Book Antiqua" w:cs="宋体"/>
          <w:color w:val="000000"/>
          <w:sz w:val="24"/>
          <w:szCs w:val="24"/>
          <w:lang w:eastAsia="zh-CN"/>
        </w:rPr>
        <w:t xml:space="preserve">, Chandolia A, Saini NK, Sinha R, Pathak R, Garima K, Singh S, Varma-Basil M, Bose M. </w:t>
      </w:r>
      <w:proofErr w:type="gramStart"/>
      <w:r w:rsidRPr="002D569F">
        <w:rPr>
          <w:rFonts w:ascii="Book Antiqua" w:eastAsia="宋体" w:hAnsi="Book Antiqua" w:cs="宋体"/>
          <w:color w:val="000000"/>
          <w:sz w:val="24"/>
          <w:szCs w:val="24"/>
          <w:lang w:eastAsia="zh-CN"/>
        </w:rPr>
        <w:t>An insight into the regulation of mce4 operon of Mycobacterium tuberculosis.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 xml:space="preserve">Tuberculosis </w:t>
      </w:r>
      <w:r w:rsidRPr="008F20D9">
        <w:rPr>
          <w:rFonts w:ascii="Book Antiqua" w:eastAsia="宋体" w:hAnsi="Book Antiqua" w:cs="宋体"/>
          <w:iCs/>
          <w:color w:val="000000"/>
          <w:sz w:val="24"/>
          <w:szCs w:val="24"/>
          <w:lang w:eastAsia="zh-CN"/>
        </w:rPr>
        <w:t>(Edinb)</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93</w:t>
      </w:r>
      <w:r w:rsidRPr="002D569F">
        <w:rPr>
          <w:rFonts w:ascii="Book Antiqua" w:eastAsia="宋体" w:hAnsi="Book Antiqua" w:cs="宋体"/>
          <w:color w:val="000000"/>
          <w:sz w:val="24"/>
          <w:szCs w:val="24"/>
          <w:lang w:eastAsia="zh-CN"/>
        </w:rPr>
        <w:t>: 389-397 [PMID: 23622789 DO</w:t>
      </w:r>
      <w:r w:rsidR="008F20D9">
        <w:rPr>
          <w:rFonts w:ascii="Book Antiqua" w:eastAsia="宋体" w:hAnsi="Book Antiqua" w:cs="宋体"/>
          <w:color w:val="000000"/>
          <w:sz w:val="24"/>
          <w:szCs w:val="24"/>
          <w:lang w:eastAsia="zh-CN"/>
        </w:rPr>
        <w:t>I: 10.1016/j.tube.2013.03.007]</w:t>
      </w:r>
    </w:p>
    <w:p w14:paraId="2D3A3320" w14:textId="04C54D2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65 </w:t>
      </w:r>
      <w:r w:rsidRPr="002D569F">
        <w:rPr>
          <w:rFonts w:ascii="Book Antiqua" w:eastAsia="宋体" w:hAnsi="Book Antiqua" w:cs="宋体"/>
          <w:b/>
          <w:bCs/>
          <w:color w:val="000000"/>
          <w:sz w:val="24"/>
          <w:szCs w:val="24"/>
          <w:lang w:eastAsia="zh-CN"/>
        </w:rPr>
        <w:t>McClure R</w:t>
      </w:r>
      <w:r w:rsidRPr="002D569F">
        <w:rPr>
          <w:rFonts w:ascii="Book Antiqua" w:eastAsia="宋体" w:hAnsi="Book Antiqua" w:cs="宋体"/>
          <w:color w:val="000000"/>
          <w:sz w:val="24"/>
          <w:szCs w:val="24"/>
          <w:lang w:eastAsia="zh-CN"/>
        </w:rPr>
        <w:t>, Tjaden B, Genco C. Identification of sRNAs expressed by the human pathogen Neisseria gonorrhoeae under disparate growth conditions. </w:t>
      </w:r>
      <w:r w:rsidRPr="002D569F">
        <w:rPr>
          <w:rFonts w:ascii="Book Antiqua" w:eastAsia="宋体" w:hAnsi="Book Antiqua" w:cs="宋体"/>
          <w:i/>
          <w:iCs/>
          <w:color w:val="000000"/>
          <w:sz w:val="24"/>
          <w:szCs w:val="24"/>
          <w:lang w:eastAsia="zh-CN"/>
        </w:rPr>
        <w:t>Front Microbiol</w:t>
      </w:r>
      <w:r w:rsidRPr="002D569F">
        <w:rPr>
          <w:rFonts w:ascii="Book Antiqua" w:eastAsia="宋体" w:hAnsi="Book Antiqua" w:cs="宋体"/>
          <w:color w:val="000000"/>
          <w:sz w:val="24"/>
          <w:szCs w:val="24"/>
          <w:lang w:eastAsia="zh-CN"/>
        </w:rPr>
        <w:t> 2014; </w:t>
      </w:r>
      <w:r w:rsidRPr="002D569F">
        <w:rPr>
          <w:rFonts w:ascii="Book Antiqua" w:eastAsia="宋体" w:hAnsi="Book Antiqua" w:cs="宋体"/>
          <w:b/>
          <w:bCs/>
          <w:color w:val="000000"/>
          <w:sz w:val="24"/>
          <w:szCs w:val="24"/>
          <w:lang w:eastAsia="zh-CN"/>
        </w:rPr>
        <w:t>5</w:t>
      </w:r>
      <w:r w:rsidRPr="002D569F">
        <w:rPr>
          <w:rFonts w:ascii="Book Antiqua" w:eastAsia="宋体" w:hAnsi="Book Antiqua" w:cs="宋体"/>
          <w:color w:val="000000"/>
          <w:sz w:val="24"/>
          <w:szCs w:val="24"/>
          <w:lang w:eastAsia="zh-CN"/>
        </w:rPr>
        <w:t xml:space="preserve">: 456 [PMID: 25221548 </w:t>
      </w:r>
      <w:r w:rsidR="008F20D9">
        <w:rPr>
          <w:rFonts w:ascii="Book Antiqua" w:eastAsia="宋体" w:hAnsi="Book Antiqua" w:cs="宋体"/>
          <w:color w:val="000000"/>
          <w:sz w:val="24"/>
          <w:szCs w:val="24"/>
          <w:lang w:eastAsia="zh-CN"/>
        </w:rPr>
        <w:t>DOI: 10.3389/fmicb.2014.00456]</w:t>
      </w:r>
    </w:p>
    <w:p w14:paraId="2CC82A98" w14:textId="4492597E"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66 </w:t>
      </w:r>
      <w:r w:rsidRPr="002D569F">
        <w:rPr>
          <w:rFonts w:ascii="Book Antiqua" w:eastAsia="宋体" w:hAnsi="Book Antiqua" w:cs="宋体"/>
          <w:b/>
          <w:bCs/>
          <w:color w:val="000000"/>
          <w:sz w:val="24"/>
          <w:szCs w:val="24"/>
          <w:lang w:eastAsia="zh-CN"/>
        </w:rPr>
        <w:t>Papenfort K</w:t>
      </w:r>
      <w:r w:rsidRPr="002D569F">
        <w:rPr>
          <w:rFonts w:ascii="Book Antiqua" w:eastAsia="宋体" w:hAnsi="Book Antiqua" w:cs="宋体"/>
          <w:color w:val="000000"/>
          <w:sz w:val="24"/>
          <w:szCs w:val="24"/>
          <w:lang w:eastAsia="zh-CN"/>
        </w:rPr>
        <w:t>, Vogel J. Multiple target regulation by small noncoding RNAs rewires gene expression at the post-transcriptional level. </w:t>
      </w:r>
      <w:r w:rsidRPr="002D569F">
        <w:rPr>
          <w:rFonts w:ascii="Book Antiqua" w:eastAsia="宋体" w:hAnsi="Book Antiqua" w:cs="宋体"/>
          <w:i/>
          <w:iCs/>
          <w:color w:val="000000"/>
          <w:sz w:val="24"/>
          <w:szCs w:val="24"/>
          <w:lang w:eastAsia="zh-CN"/>
        </w:rPr>
        <w:t>Res Microbiol</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160</w:t>
      </w:r>
      <w:r w:rsidRPr="002D569F">
        <w:rPr>
          <w:rFonts w:ascii="Book Antiqua" w:eastAsia="宋体" w:hAnsi="Book Antiqua" w:cs="宋体"/>
          <w:color w:val="000000"/>
          <w:sz w:val="24"/>
          <w:szCs w:val="24"/>
          <w:lang w:eastAsia="zh-CN"/>
        </w:rPr>
        <w:t>: 278-287 [PMID: 19366629 DOI:</w:t>
      </w:r>
      <w:r w:rsidR="008F20D9">
        <w:rPr>
          <w:rFonts w:ascii="Book Antiqua" w:eastAsia="宋体" w:hAnsi="Book Antiqua" w:cs="宋体"/>
          <w:color w:val="000000"/>
          <w:sz w:val="24"/>
          <w:szCs w:val="24"/>
          <w:lang w:eastAsia="zh-CN"/>
        </w:rPr>
        <w:t xml:space="preserve"> 10.1016/j.resmic.2009.03.004]</w:t>
      </w:r>
    </w:p>
    <w:p w14:paraId="1616C623" w14:textId="597471D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67 </w:t>
      </w:r>
      <w:r w:rsidRPr="002D569F">
        <w:rPr>
          <w:rFonts w:ascii="Book Antiqua" w:eastAsia="宋体" w:hAnsi="Book Antiqua" w:cs="宋体"/>
          <w:b/>
          <w:bCs/>
          <w:color w:val="000000"/>
          <w:sz w:val="24"/>
          <w:szCs w:val="24"/>
          <w:lang w:eastAsia="zh-CN"/>
        </w:rPr>
        <w:t>Waters LS</w:t>
      </w:r>
      <w:r w:rsidRPr="002D569F">
        <w:rPr>
          <w:rFonts w:ascii="Book Antiqua" w:eastAsia="宋体" w:hAnsi="Book Antiqua" w:cs="宋体"/>
          <w:color w:val="000000"/>
          <w:sz w:val="24"/>
          <w:szCs w:val="24"/>
          <w:lang w:eastAsia="zh-CN"/>
        </w:rPr>
        <w:t>, Storz G. Regulatory RNAs in bacteria. </w:t>
      </w:r>
      <w:r w:rsidRPr="002D569F">
        <w:rPr>
          <w:rFonts w:ascii="Book Antiqua" w:eastAsia="宋体" w:hAnsi="Book Antiqua" w:cs="宋体"/>
          <w:i/>
          <w:iCs/>
          <w:color w:val="000000"/>
          <w:sz w:val="24"/>
          <w:szCs w:val="24"/>
          <w:lang w:eastAsia="zh-CN"/>
        </w:rPr>
        <w:t>Cell</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136</w:t>
      </w:r>
      <w:r w:rsidRPr="002D569F">
        <w:rPr>
          <w:rFonts w:ascii="Book Antiqua" w:eastAsia="宋体" w:hAnsi="Book Antiqua" w:cs="宋体"/>
          <w:color w:val="000000"/>
          <w:sz w:val="24"/>
          <w:szCs w:val="24"/>
          <w:lang w:eastAsia="zh-CN"/>
        </w:rPr>
        <w:t>: 615-628 [PMID: 19239884 DO</w:t>
      </w:r>
      <w:r w:rsidR="008F20D9">
        <w:rPr>
          <w:rFonts w:ascii="Book Antiqua" w:eastAsia="宋体" w:hAnsi="Book Antiqua" w:cs="宋体"/>
          <w:color w:val="000000"/>
          <w:sz w:val="24"/>
          <w:szCs w:val="24"/>
          <w:lang w:eastAsia="zh-CN"/>
        </w:rPr>
        <w:t>I: 10.1016/j.cell.2009.01.043]</w:t>
      </w:r>
    </w:p>
    <w:p w14:paraId="02BBFA0B" w14:textId="7E70240D"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68 </w:t>
      </w:r>
      <w:r w:rsidRPr="002D569F">
        <w:rPr>
          <w:rFonts w:ascii="Book Antiqua" w:eastAsia="宋体" w:hAnsi="Book Antiqua" w:cs="宋体"/>
          <w:b/>
          <w:bCs/>
          <w:color w:val="000000"/>
          <w:sz w:val="24"/>
          <w:szCs w:val="24"/>
          <w:lang w:eastAsia="zh-CN"/>
        </w:rPr>
        <w:t>Aiba H</w:t>
      </w:r>
      <w:r w:rsidRPr="002D569F">
        <w:rPr>
          <w:rFonts w:ascii="Book Antiqua" w:eastAsia="宋体" w:hAnsi="Book Antiqua" w:cs="宋体"/>
          <w:color w:val="000000"/>
          <w:sz w:val="24"/>
          <w:szCs w:val="24"/>
          <w:lang w:eastAsia="zh-CN"/>
        </w:rPr>
        <w:t>. Mechanism of RNA silencing by Hfq-binding small RNAs.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Curr Opin Microbiol</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10</w:t>
      </w:r>
      <w:r w:rsidRPr="002D569F">
        <w:rPr>
          <w:rFonts w:ascii="Book Antiqua" w:eastAsia="宋体" w:hAnsi="Book Antiqua" w:cs="宋体"/>
          <w:color w:val="000000"/>
          <w:sz w:val="24"/>
          <w:szCs w:val="24"/>
          <w:lang w:eastAsia="zh-CN"/>
        </w:rPr>
        <w:t>: 134-139 [PMID: 17383928 D</w:t>
      </w:r>
      <w:r w:rsidR="008F20D9">
        <w:rPr>
          <w:rFonts w:ascii="Book Antiqua" w:eastAsia="宋体" w:hAnsi="Book Antiqua" w:cs="宋体"/>
          <w:color w:val="000000"/>
          <w:sz w:val="24"/>
          <w:szCs w:val="24"/>
          <w:lang w:eastAsia="zh-CN"/>
        </w:rPr>
        <w:t>OI: 10.1016/j.mib.2007.03.010]</w:t>
      </w:r>
    </w:p>
    <w:p w14:paraId="00743CDC" w14:textId="71F3497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69 </w:t>
      </w:r>
      <w:r w:rsidRPr="002D569F">
        <w:rPr>
          <w:rFonts w:ascii="Book Antiqua" w:eastAsia="宋体" w:hAnsi="Book Antiqua" w:cs="宋体"/>
          <w:b/>
          <w:bCs/>
          <w:color w:val="000000"/>
          <w:sz w:val="24"/>
          <w:szCs w:val="24"/>
          <w:lang w:eastAsia="zh-CN"/>
        </w:rPr>
        <w:t>Toledo-Arana A</w:t>
      </w:r>
      <w:r w:rsidRPr="002D569F">
        <w:rPr>
          <w:rFonts w:ascii="Book Antiqua" w:eastAsia="宋体" w:hAnsi="Book Antiqua" w:cs="宋体"/>
          <w:color w:val="000000"/>
          <w:sz w:val="24"/>
          <w:szCs w:val="24"/>
          <w:lang w:eastAsia="zh-CN"/>
        </w:rPr>
        <w:t xml:space="preserve">, Dussurget O, Nikitas G, Sesto N, Guet-Revillet H, Balestrino D, Loh E, Gripenland J, Tiensuu T, Vaitkevicius K, Barthelemy M, Vergassola M, Nahori MA, Soubigou G, Régnault B, Coppée JY, Lecuit M, Johansson J, Cossart P. </w:t>
      </w:r>
      <w:proofErr w:type="gramStart"/>
      <w:r w:rsidRPr="002D569F">
        <w:rPr>
          <w:rFonts w:ascii="Book Antiqua" w:eastAsia="宋体" w:hAnsi="Book Antiqua" w:cs="宋体"/>
          <w:color w:val="000000"/>
          <w:sz w:val="24"/>
          <w:szCs w:val="24"/>
          <w:lang w:eastAsia="zh-CN"/>
        </w:rPr>
        <w:t>The Listeria transcriptional landscape from saprophytism to virulence.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Nature</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459</w:t>
      </w:r>
      <w:r w:rsidRPr="002D569F">
        <w:rPr>
          <w:rFonts w:ascii="Book Antiqua" w:eastAsia="宋体" w:hAnsi="Book Antiqua" w:cs="宋体"/>
          <w:color w:val="000000"/>
          <w:sz w:val="24"/>
          <w:szCs w:val="24"/>
          <w:lang w:eastAsia="zh-CN"/>
        </w:rPr>
        <w:t>: 950-956 [PMID: 1944</w:t>
      </w:r>
      <w:r w:rsidR="008F20D9">
        <w:rPr>
          <w:rFonts w:ascii="Book Antiqua" w:eastAsia="宋体" w:hAnsi="Book Antiqua" w:cs="宋体"/>
          <w:color w:val="000000"/>
          <w:sz w:val="24"/>
          <w:szCs w:val="24"/>
          <w:lang w:eastAsia="zh-CN"/>
        </w:rPr>
        <w:t>8609 DOI: 10.1038/nature08080]</w:t>
      </w:r>
    </w:p>
    <w:p w14:paraId="064F74A2"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70 </w:t>
      </w:r>
      <w:r w:rsidRPr="002D569F">
        <w:rPr>
          <w:rFonts w:ascii="Book Antiqua" w:eastAsia="宋体" w:hAnsi="Book Antiqua" w:cs="宋体"/>
          <w:b/>
          <w:bCs/>
          <w:color w:val="000000"/>
          <w:sz w:val="24"/>
          <w:szCs w:val="24"/>
          <w:lang w:eastAsia="zh-CN"/>
        </w:rPr>
        <w:t>Simons RW</w:t>
      </w:r>
      <w:r w:rsidRPr="002D569F">
        <w:rPr>
          <w:rFonts w:ascii="Book Antiqua" w:eastAsia="宋体" w:hAnsi="Book Antiqua" w:cs="宋体"/>
          <w:color w:val="000000"/>
          <w:sz w:val="24"/>
          <w:szCs w:val="24"/>
          <w:lang w:eastAsia="zh-CN"/>
        </w:rPr>
        <w:t>, Kleckner N. Translational control of IS10 transposition. </w:t>
      </w:r>
      <w:r w:rsidRPr="002D569F">
        <w:rPr>
          <w:rFonts w:ascii="Book Antiqua" w:eastAsia="宋体" w:hAnsi="Book Antiqua" w:cs="宋体"/>
          <w:i/>
          <w:iCs/>
          <w:color w:val="000000"/>
          <w:sz w:val="24"/>
          <w:szCs w:val="24"/>
          <w:lang w:eastAsia="zh-CN"/>
        </w:rPr>
        <w:t>Cell</w:t>
      </w:r>
      <w:r w:rsidRPr="002D569F">
        <w:rPr>
          <w:rFonts w:ascii="Book Antiqua" w:eastAsia="宋体" w:hAnsi="Book Antiqua" w:cs="宋体"/>
          <w:color w:val="000000"/>
          <w:sz w:val="24"/>
          <w:szCs w:val="24"/>
          <w:lang w:eastAsia="zh-CN"/>
        </w:rPr>
        <w:t> 1983; </w:t>
      </w:r>
      <w:r w:rsidRPr="002D569F">
        <w:rPr>
          <w:rFonts w:ascii="Book Antiqua" w:eastAsia="宋体" w:hAnsi="Book Antiqua" w:cs="宋体"/>
          <w:b/>
          <w:bCs/>
          <w:color w:val="000000"/>
          <w:sz w:val="24"/>
          <w:szCs w:val="24"/>
          <w:lang w:eastAsia="zh-CN"/>
        </w:rPr>
        <w:t>34</w:t>
      </w:r>
      <w:r w:rsidRPr="002D569F">
        <w:rPr>
          <w:rFonts w:ascii="Book Antiqua" w:eastAsia="宋体" w:hAnsi="Book Antiqua" w:cs="宋体"/>
          <w:color w:val="000000"/>
          <w:sz w:val="24"/>
          <w:szCs w:val="24"/>
          <w:lang w:eastAsia="zh-CN"/>
        </w:rPr>
        <w:t>: 683-691 [PMID: 6311438 DOI: 10.1016/0092-8674(83)90401-4]</w:t>
      </w:r>
    </w:p>
    <w:p w14:paraId="313A1183" w14:textId="1C590D8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71 </w:t>
      </w:r>
      <w:r w:rsidRPr="002D569F">
        <w:rPr>
          <w:rFonts w:ascii="Book Antiqua" w:eastAsia="宋体" w:hAnsi="Book Antiqua" w:cs="宋体"/>
          <w:b/>
          <w:bCs/>
          <w:color w:val="000000"/>
          <w:sz w:val="24"/>
          <w:szCs w:val="24"/>
          <w:lang w:eastAsia="zh-CN"/>
        </w:rPr>
        <w:t>Padalon-Brauch G</w:t>
      </w:r>
      <w:r w:rsidRPr="002D569F">
        <w:rPr>
          <w:rFonts w:ascii="Book Antiqua" w:eastAsia="宋体" w:hAnsi="Book Antiqua" w:cs="宋体"/>
          <w:color w:val="000000"/>
          <w:sz w:val="24"/>
          <w:szCs w:val="24"/>
          <w:lang w:eastAsia="zh-CN"/>
        </w:rPr>
        <w:t>, Hershberg R, Elgrably-Weiss M, Baruch K, Rosenshine I, Margalit H, Altuvia S. Small RNAs encoded within genetic islands of Salmonella typhimurium show host-induced expression and role in virulence.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36</w:t>
      </w:r>
      <w:r w:rsidRPr="002D569F">
        <w:rPr>
          <w:rFonts w:ascii="Book Antiqua" w:eastAsia="宋体" w:hAnsi="Book Antiqua" w:cs="宋体"/>
          <w:color w:val="000000"/>
          <w:sz w:val="24"/>
          <w:szCs w:val="24"/>
          <w:lang w:eastAsia="zh-CN"/>
        </w:rPr>
        <w:t>: 1913-1927 [PMID: 182</w:t>
      </w:r>
      <w:r w:rsidR="008F20D9">
        <w:rPr>
          <w:rFonts w:ascii="Book Antiqua" w:eastAsia="宋体" w:hAnsi="Book Antiqua" w:cs="宋体"/>
          <w:color w:val="000000"/>
          <w:sz w:val="24"/>
          <w:szCs w:val="24"/>
          <w:lang w:eastAsia="zh-CN"/>
        </w:rPr>
        <w:t>67966 DOI: 10.1093/Nar/Gkn050]</w:t>
      </w:r>
    </w:p>
    <w:p w14:paraId="1BBE8AD1" w14:textId="1F695E45"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72 </w:t>
      </w:r>
      <w:r w:rsidRPr="002D569F">
        <w:rPr>
          <w:rFonts w:ascii="Book Antiqua" w:eastAsia="宋体" w:hAnsi="Book Antiqua" w:cs="宋体"/>
          <w:b/>
          <w:bCs/>
          <w:color w:val="000000"/>
          <w:sz w:val="24"/>
          <w:szCs w:val="24"/>
          <w:lang w:eastAsia="zh-CN"/>
        </w:rPr>
        <w:t>Sittka A</w:t>
      </w:r>
      <w:r w:rsidRPr="002D569F">
        <w:rPr>
          <w:rFonts w:ascii="Book Antiqua" w:eastAsia="宋体" w:hAnsi="Book Antiqua" w:cs="宋体"/>
          <w:color w:val="000000"/>
          <w:sz w:val="24"/>
          <w:szCs w:val="24"/>
          <w:lang w:eastAsia="zh-CN"/>
        </w:rPr>
        <w:t>, Lucchini S, Papenfort K, Sharma CM, Rolle K, Binnewies TT, Hinton JC, Vogel J. Deep sequencing analysis of small noncoding RNA and mRNA targets of the global post-transcriptional regulator, Hfq. </w:t>
      </w:r>
      <w:r w:rsidRPr="002D569F">
        <w:rPr>
          <w:rFonts w:ascii="Book Antiqua" w:eastAsia="宋体" w:hAnsi="Book Antiqua" w:cs="宋体"/>
          <w:i/>
          <w:iCs/>
          <w:color w:val="000000"/>
          <w:sz w:val="24"/>
          <w:szCs w:val="24"/>
          <w:lang w:eastAsia="zh-CN"/>
        </w:rPr>
        <w:t>PLoS Genet</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4</w:t>
      </w:r>
      <w:r w:rsidRPr="002D569F">
        <w:rPr>
          <w:rFonts w:ascii="Book Antiqua" w:eastAsia="宋体" w:hAnsi="Book Antiqua" w:cs="宋体"/>
          <w:color w:val="000000"/>
          <w:sz w:val="24"/>
          <w:szCs w:val="24"/>
          <w:lang w:eastAsia="zh-CN"/>
        </w:rPr>
        <w:t>: e1000163 [PMID: 18725932]</w:t>
      </w:r>
    </w:p>
    <w:p w14:paraId="77E030C4" w14:textId="31AF7A5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73 </w:t>
      </w:r>
      <w:r w:rsidRPr="002D569F">
        <w:rPr>
          <w:rFonts w:ascii="Book Antiqua" w:eastAsia="宋体" w:hAnsi="Book Antiqua" w:cs="宋体"/>
          <w:b/>
          <w:bCs/>
          <w:color w:val="000000"/>
          <w:sz w:val="24"/>
          <w:szCs w:val="24"/>
          <w:lang w:eastAsia="zh-CN"/>
        </w:rPr>
        <w:t>Landt SG</w:t>
      </w:r>
      <w:r w:rsidRPr="002D569F">
        <w:rPr>
          <w:rFonts w:ascii="Book Antiqua" w:eastAsia="宋体" w:hAnsi="Book Antiqua" w:cs="宋体"/>
          <w:color w:val="000000"/>
          <w:sz w:val="24"/>
          <w:szCs w:val="24"/>
          <w:lang w:eastAsia="zh-CN"/>
        </w:rPr>
        <w:t>, Abeliuk E, McGrath PT, Lesley JA, McAdams HH, Shapiro L. Small non-coding RNAs in Caulobacter crescentus.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68</w:t>
      </w:r>
      <w:r w:rsidRPr="002D569F">
        <w:rPr>
          <w:rFonts w:ascii="Book Antiqua" w:eastAsia="宋体" w:hAnsi="Book Antiqua" w:cs="宋体"/>
          <w:color w:val="000000"/>
          <w:sz w:val="24"/>
          <w:szCs w:val="24"/>
          <w:lang w:eastAsia="zh-CN"/>
        </w:rPr>
        <w:t>: 600-614 [PMID: 18373523 DOI: 10.</w:t>
      </w:r>
      <w:r w:rsidR="008F20D9">
        <w:rPr>
          <w:rFonts w:ascii="Book Antiqua" w:eastAsia="宋体" w:hAnsi="Book Antiqua" w:cs="宋体"/>
          <w:color w:val="000000"/>
          <w:sz w:val="24"/>
          <w:szCs w:val="24"/>
          <w:lang w:eastAsia="zh-CN"/>
        </w:rPr>
        <w:t>1111/j.1365-2958.2008.06172.x]</w:t>
      </w:r>
    </w:p>
    <w:p w14:paraId="6EBBBBEC" w14:textId="7B6FDB8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74 </w:t>
      </w:r>
      <w:r w:rsidRPr="002D569F">
        <w:rPr>
          <w:rFonts w:ascii="Book Antiqua" w:eastAsia="宋体" w:hAnsi="Book Antiqua" w:cs="宋体"/>
          <w:b/>
          <w:bCs/>
          <w:color w:val="000000"/>
          <w:sz w:val="24"/>
          <w:szCs w:val="24"/>
          <w:lang w:eastAsia="zh-CN"/>
        </w:rPr>
        <w:t>Malone CD</w:t>
      </w:r>
      <w:r w:rsidRPr="002D569F">
        <w:rPr>
          <w:rFonts w:ascii="Book Antiqua" w:eastAsia="宋体" w:hAnsi="Book Antiqua" w:cs="宋体"/>
          <w:color w:val="000000"/>
          <w:sz w:val="24"/>
          <w:szCs w:val="24"/>
          <w:lang w:eastAsia="zh-CN"/>
        </w:rPr>
        <w:t xml:space="preserve">, Hannon GJ. </w:t>
      </w:r>
      <w:proofErr w:type="gramStart"/>
      <w:r w:rsidRPr="002D569F">
        <w:rPr>
          <w:rFonts w:ascii="Book Antiqua" w:eastAsia="宋体" w:hAnsi="Book Antiqua" w:cs="宋体"/>
          <w:color w:val="000000"/>
          <w:sz w:val="24"/>
          <w:szCs w:val="24"/>
          <w:lang w:eastAsia="zh-CN"/>
        </w:rPr>
        <w:t>Small RNAs as guardians of the genome.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Cell</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136</w:t>
      </w:r>
      <w:r w:rsidRPr="002D569F">
        <w:rPr>
          <w:rFonts w:ascii="Book Antiqua" w:eastAsia="宋体" w:hAnsi="Book Antiqua" w:cs="宋体"/>
          <w:color w:val="000000"/>
          <w:sz w:val="24"/>
          <w:szCs w:val="24"/>
          <w:lang w:eastAsia="zh-CN"/>
        </w:rPr>
        <w:t>: 656-668 [PMID: 19239887 DOI: 10.1</w:t>
      </w:r>
      <w:r w:rsidR="008F20D9">
        <w:rPr>
          <w:rFonts w:ascii="Book Antiqua" w:eastAsia="宋体" w:hAnsi="Book Antiqua" w:cs="宋体"/>
          <w:color w:val="000000"/>
          <w:sz w:val="24"/>
          <w:szCs w:val="24"/>
          <w:lang w:eastAsia="zh-CN"/>
        </w:rPr>
        <w:t>016/j.cell.2009.01.045]</w:t>
      </w:r>
    </w:p>
    <w:p w14:paraId="33253C27" w14:textId="6C97766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75 </w:t>
      </w:r>
      <w:r w:rsidRPr="002D569F">
        <w:rPr>
          <w:rFonts w:ascii="Book Antiqua" w:eastAsia="宋体" w:hAnsi="Book Antiqua" w:cs="宋体"/>
          <w:b/>
          <w:bCs/>
          <w:color w:val="000000"/>
          <w:sz w:val="24"/>
          <w:szCs w:val="24"/>
          <w:lang w:eastAsia="zh-CN"/>
        </w:rPr>
        <w:t>Fozo EM</w:t>
      </w:r>
      <w:r w:rsidRPr="002D569F">
        <w:rPr>
          <w:rFonts w:ascii="Book Antiqua" w:eastAsia="宋体" w:hAnsi="Book Antiqua" w:cs="宋体"/>
          <w:color w:val="000000"/>
          <w:sz w:val="24"/>
          <w:szCs w:val="24"/>
          <w:lang w:eastAsia="zh-CN"/>
        </w:rPr>
        <w:t>, Makarova KS, Shabalina SA, Yutin N, Koonin EV, Storz G. Abundance of type I toxin-antitoxin systems in bacteria: searches for new candidates and discovery of novel families.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38</w:t>
      </w:r>
      <w:r w:rsidRPr="002D569F">
        <w:rPr>
          <w:rFonts w:ascii="Book Antiqua" w:eastAsia="宋体" w:hAnsi="Book Antiqua" w:cs="宋体"/>
          <w:color w:val="000000"/>
          <w:sz w:val="24"/>
          <w:szCs w:val="24"/>
          <w:lang w:eastAsia="zh-CN"/>
        </w:rPr>
        <w:t>: 3743-3759 [PMID: 201</w:t>
      </w:r>
      <w:r w:rsidR="008F20D9">
        <w:rPr>
          <w:rFonts w:ascii="Book Antiqua" w:eastAsia="宋体" w:hAnsi="Book Antiqua" w:cs="宋体"/>
          <w:color w:val="000000"/>
          <w:sz w:val="24"/>
          <w:szCs w:val="24"/>
          <w:lang w:eastAsia="zh-CN"/>
        </w:rPr>
        <w:t>56992 DOI: 10.1093/Nar/Gkq054]</w:t>
      </w:r>
    </w:p>
    <w:p w14:paraId="368181E7" w14:textId="63AB8215"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76 </w:t>
      </w:r>
      <w:r w:rsidRPr="002D569F">
        <w:rPr>
          <w:rFonts w:ascii="Book Antiqua" w:eastAsia="宋体" w:hAnsi="Book Antiqua" w:cs="宋体"/>
          <w:b/>
          <w:bCs/>
          <w:color w:val="000000"/>
          <w:sz w:val="24"/>
          <w:szCs w:val="24"/>
          <w:lang w:eastAsia="zh-CN"/>
        </w:rPr>
        <w:t>Gerdes K</w:t>
      </w:r>
      <w:r w:rsidRPr="002D569F">
        <w:rPr>
          <w:rFonts w:ascii="Book Antiqua" w:eastAsia="宋体" w:hAnsi="Book Antiqua" w:cs="宋体"/>
          <w:color w:val="000000"/>
          <w:sz w:val="24"/>
          <w:szCs w:val="24"/>
          <w:lang w:eastAsia="zh-CN"/>
        </w:rPr>
        <w:t>, Wagner EG.</w:t>
      </w:r>
      <w:proofErr w:type="gramEnd"/>
      <w:r w:rsidRPr="002D569F">
        <w:rPr>
          <w:rFonts w:ascii="Book Antiqua" w:eastAsia="宋体" w:hAnsi="Book Antiqua" w:cs="宋体"/>
          <w:color w:val="000000"/>
          <w:sz w:val="24"/>
          <w:szCs w:val="24"/>
          <w:lang w:eastAsia="zh-CN"/>
        </w:rPr>
        <w:t xml:space="preserve"> RNA antitoxins. </w:t>
      </w:r>
      <w:r w:rsidRPr="002D569F">
        <w:rPr>
          <w:rFonts w:ascii="Book Antiqua" w:eastAsia="宋体" w:hAnsi="Book Antiqua" w:cs="宋体"/>
          <w:i/>
          <w:iCs/>
          <w:color w:val="000000"/>
          <w:sz w:val="24"/>
          <w:szCs w:val="24"/>
          <w:lang w:eastAsia="zh-CN"/>
        </w:rPr>
        <w:t>Curr Opin Microbiol</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10</w:t>
      </w:r>
      <w:r w:rsidRPr="002D569F">
        <w:rPr>
          <w:rFonts w:ascii="Book Antiqua" w:eastAsia="宋体" w:hAnsi="Book Antiqua" w:cs="宋体"/>
          <w:color w:val="000000"/>
          <w:sz w:val="24"/>
          <w:szCs w:val="24"/>
          <w:lang w:eastAsia="zh-CN"/>
        </w:rPr>
        <w:t>: 117-124 [PMID: 17376733 D</w:t>
      </w:r>
      <w:r w:rsidR="008F20D9">
        <w:rPr>
          <w:rFonts w:ascii="Book Antiqua" w:eastAsia="宋体" w:hAnsi="Book Antiqua" w:cs="宋体"/>
          <w:color w:val="000000"/>
          <w:sz w:val="24"/>
          <w:szCs w:val="24"/>
          <w:lang w:eastAsia="zh-CN"/>
        </w:rPr>
        <w:t>OI: 10.1016/j.mib.2007.03.003]</w:t>
      </w:r>
    </w:p>
    <w:p w14:paraId="21615DAD" w14:textId="03AE782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77 </w:t>
      </w:r>
      <w:r w:rsidRPr="002D569F">
        <w:rPr>
          <w:rFonts w:ascii="Book Antiqua" w:eastAsia="宋体" w:hAnsi="Book Antiqua" w:cs="宋体"/>
          <w:b/>
          <w:bCs/>
          <w:color w:val="000000"/>
          <w:sz w:val="24"/>
          <w:szCs w:val="24"/>
          <w:lang w:eastAsia="zh-CN"/>
        </w:rPr>
        <w:t>Kawano M</w:t>
      </w:r>
      <w:r w:rsidRPr="002D569F">
        <w:rPr>
          <w:rFonts w:ascii="Book Antiqua" w:eastAsia="宋体" w:hAnsi="Book Antiqua" w:cs="宋体"/>
          <w:color w:val="000000"/>
          <w:sz w:val="24"/>
          <w:szCs w:val="24"/>
          <w:lang w:eastAsia="zh-CN"/>
        </w:rPr>
        <w:t>, Aravind L, Storz G. An antisense RNA controls synthesis of an SOS-induced toxin evolved from an antitoxin.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64</w:t>
      </w:r>
      <w:r w:rsidRPr="002D569F">
        <w:rPr>
          <w:rFonts w:ascii="Book Antiqua" w:eastAsia="宋体" w:hAnsi="Book Antiqua" w:cs="宋体"/>
          <w:color w:val="000000"/>
          <w:sz w:val="24"/>
          <w:szCs w:val="24"/>
          <w:lang w:eastAsia="zh-CN"/>
        </w:rPr>
        <w:t>: 738-754 [PMID: 17462020 DOI: 10.</w:t>
      </w:r>
      <w:r w:rsidR="008F20D9">
        <w:rPr>
          <w:rFonts w:ascii="Book Antiqua" w:eastAsia="宋体" w:hAnsi="Book Antiqua" w:cs="宋体"/>
          <w:color w:val="000000"/>
          <w:sz w:val="24"/>
          <w:szCs w:val="24"/>
          <w:lang w:eastAsia="zh-CN"/>
        </w:rPr>
        <w:t>1111/j.1365-2958.2007.05688.x]</w:t>
      </w:r>
    </w:p>
    <w:p w14:paraId="2F5378C3" w14:textId="1EEA2475"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78 </w:t>
      </w:r>
      <w:r w:rsidRPr="002D569F">
        <w:rPr>
          <w:rFonts w:ascii="Book Antiqua" w:eastAsia="宋体" w:hAnsi="Book Antiqua" w:cs="宋体"/>
          <w:b/>
          <w:bCs/>
          <w:color w:val="000000"/>
          <w:sz w:val="24"/>
          <w:szCs w:val="24"/>
          <w:lang w:eastAsia="zh-CN"/>
        </w:rPr>
        <w:t>Opdyke JA</w:t>
      </w:r>
      <w:r w:rsidRPr="002D569F">
        <w:rPr>
          <w:rFonts w:ascii="Book Antiqua" w:eastAsia="宋体" w:hAnsi="Book Antiqua" w:cs="宋体"/>
          <w:color w:val="000000"/>
          <w:sz w:val="24"/>
          <w:szCs w:val="24"/>
          <w:lang w:eastAsia="zh-CN"/>
        </w:rPr>
        <w:t>, Kang JG, Storz G. GadY, a small-RNA regulator of acid response genes in Escherichia coli.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186</w:t>
      </w:r>
      <w:r w:rsidRPr="002D569F">
        <w:rPr>
          <w:rFonts w:ascii="Book Antiqua" w:eastAsia="宋体" w:hAnsi="Book Antiqua" w:cs="宋体"/>
          <w:color w:val="000000"/>
          <w:sz w:val="24"/>
          <w:szCs w:val="24"/>
          <w:lang w:eastAsia="zh-CN"/>
        </w:rPr>
        <w:t>: 6698-6705 [PMID: 15466020 DOI: 10.</w:t>
      </w:r>
      <w:r w:rsidR="008F20D9">
        <w:rPr>
          <w:rFonts w:ascii="Book Antiqua" w:eastAsia="宋体" w:hAnsi="Book Antiqua" w:cs="宋体"/>
          <w:color w:val="000000"/>
          <w:sz w:val="24"/>
          <w:szCs w:val="24"/>
          <w:lang w:eastAsia="zh-CN"/>
        </w:rPr>
        <w:t>1128/Jb.186.20.6698-6705.2004]</w:t>
      </w:r>
    </w:p>
    <w:p w14:paraId="304C8C2F" w14:textId="34831C5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79 </w:t>
      </w:r>
      <w:r w:rsidRPr="002D569F">
        <w:rPr>
          <w:rFonts w:ascii="Book Antiqua" w:eastAsia="宋体" w:hAnsi="Book Antiqua" w:cs="宋体"/>
          <w:b/>
          <w:bCs/>
          <w:color w:val="000000"/>
          <w:sz w:val="24"/>
          <w:szCs w:val="24"/>
          <w:lang w:eastAsia="zh-CN"/>
        </w:rPr>
        <w:t>Tramonti A</w:t>
      </w:r>
      <w:r w:rsidRPr="002D569F">
        <w:rPr>
          <w:rFonts w:ascii="Book Antiqua" w:eastAsia="宋体" w:hAnsi="Book Antiqua" w:cs="宋体"/>
          <w:color w:val="000000"/>
          <w:sz w:val="24"/>
          <w:szCs w:val="24"/>
          <w:lang w:eastAsia="zh-CN"/>
        </w:rPr>
        <w:t>, De Canio M, De Biase D. GadX/GadW-dependent regulation of the Escherichia coli acid fitness island: transcriptional control at the gadY-gadW divergent promoters and identification of four novel 42 bp GadX/GadW-specific binding sites.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70</w:t>
      </w:r>
      <w:r w:rsidRPr="002D569F">
        <w:rPr>
          <w:rFonts w:ascii="Book Antiqua" w:eastAsia="宋体" w:hAnsi="Book Antiqua" w:cs="宋体"/>
          <w:color w:val="000000"/>
          <w:sz w:val="24"/>
          <w:szCs w:val="24"/>
          <w:lang w:eastAsia="zh-CN"/>
        </w:rPr>
        <w:t>: 965-982 [PMID: 18808381 DOI: 10.</w:t>
      </w:r>
      <w:r w:rsidR="008F20D9">
        <w:rPr>
          <w:rFonts w:ascii="Book Antiqua" w:eastAsia="宋体" w:hAnsi="Book Antiqua" w:cs="宋体"/>
          <w:color w:val="000000"/>
          <w:sz w:val="24"/>
          <w:szCs w:val="24"/>
          <w:lang w:eastAsia="zh-CN"/>
        </w:rPr>
        <w:t>1111/j.1365-2958.2008.06458.x]</w:t>
      </w:r>
    </w:p>
    <w:p w14:paraId="03AABB86" w14:textId="682771F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80 </w:t>
      </w:r>
      <w:r w:rsidRPr="002D569F">
        <w:rPr>
          <w:rFonts w:ascii="Book Antiqua" w:eastAsia="宋体" w:hAnsi="Book Antiqua" w:cs="宋体"/>
          <w:b/>
          <w:bCs/>
          <w:color w:val="000000"/>
          <w:sz w:val="24"/>
          <w:szCs w:val="24"/>
          <w:lang w:eastAsia="zh-CN"/>
        </w:rPr>
        <w:t>Hernández JA</w:t>
      </w:r>
      <w:r w:rsidRPr="002D569F">
        <w:rPr>
          <w:rFonts w:ascii="Book Antiqua" w:eastAsia="宋体" w:hAnsi="Book Antiqua" w:cs="宋体"/>
          <w:color w:val="000000"/>
          <w:sz w:val="24"/>
          <w:szCs w:val="24"/>
          <w:lang w:eastAsia="zh-CN"/>
        </w:rPr>
        <w:t xml:space="preserve">, Muro-Pastor AM, Flores E, Bes MT, Peleato ML, Fillat MF. </w:t>
      </w:r>
      <w:proofErr w:type="gramStart"/>
      <w:r w:rsidRPr="002D569F">
        <w:rPr>
          <w:rFonts w:ascii="Book Antiqua" w:eastAsia="宋体" w:hAnsi="Book Antiqua" w:cs="宋体"/>
          <w:color w:val="000000"/>
          <w:sz w:val="24"/>
          <w:szCs w:val="24"/>
          <w:lang w:eastAsia="zh-CN"/>
        </w:rPr>
        <w:t>Identification of a furA cis antisense RNA in the cyanobacterium Anabaena sp. PCC 7120.</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Mol Biol</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355</w:t>
      </w:r>
      <w:r w:rsidRPr="002D569F">
        <w:rPr>
          <w:rFonts w:ascii="Book Antiqua" w:eastAsia="宋体" w:hAnsi="Book Antiqua" w:cs="宋体"/>
          <w:color w:val="000000"/>
          <w:sz w:val="24"/>
          <w:szCs w:val="24"/>
          <w:lang w:eastAsia="zh-CN"/>
        </w:rPr>
        <w:t>: 325-334 [PMID: 16324715 D</w:t>
      </w:r>
      <w:r w:rsidR="008F20D9">
        <w:rPr>
          <w:rFonts w:ascii="Book Antiqua" w:eastAsia="宋体" w:hAnsi="Book Antiqua" w:cs="宋体"/>
          <w:color w:val="000000"/>
          <w:sz w:val="24"/>
          <w:szCs w:val="24"/>
          <w:lang w:eastAsia="zh-CN"/>
        </w:rPr>
        <w:t>OI: 10.1016/j.jmb.2005.10.079]</w:t>
      </w:r>
    </w:p>
    <w:p w14:paraId="47E8ABFE" w14:textId="0409BAB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81 </w:t>
      </w:r>
      <w:r w:rsidRPr="002D569F">
        <w:rPr>
          <w:rFonts w:ascii="Book Antiqua" w:eastAsia="宋体" w:hAnsi="Book Antiqua" w:cs="宋体"/>
          <w:b/>
          <w:bCs/>
          <w:color w:val="000000"/>
          <w:sz w:val="24"/>
          <w:szCs w:val="24"/>
          <w:lang w:eastAsia="zh-CN"/>
        </w:rPr>
        <w:t>Dühring U</w:t>
      </w:r>
      <w:r w:rsidRPr="002D569F">
        <w:rPr>
          <w:rFonts w:ascii="Book Antiqua" w:eastAsia="宋体" w:hAnsi="Book Antiqua" w:cs="宋体"/>
          <w:color w:val="000000"/>
          <w:sz w:val="24"/>
          <w:szCs w:val="24"/>
          <w:lang w:eastAsia="zh-CN"/>
        </w:rPr>
        <w:t>, Axmann IM, Hess WR, Wilde A. An internal antisense RNA regulates expression of the photosynthesis gene isiA. </w:t>
      </w:r>
      <w:r w:rsidRPr="002D569F">
        <w:rPr>
          <w:rFonts w:ascii="Book Antiqua" w:eastAsia="宋体" w:hAnsi="Book Antiqua" w:cs="宋体"/>
          <w:i/>
          <w:iCs/>
          <w:color w:val="000000"/>
          <w:sz w:val="24"/>
          <w:szCs w:val="24"/>
          <w:lang w:eastAsia="zh-CN"/>
        </w:rPr>
        <w:t>Proc Natl</w:t>
      </w:r>
      <w:r w:rsidR="008F20D9">
        <w:rPr>
          <w:rFonts w:ascii="Book Antiqua" w:eastAsia="宋体" w:hAnsi="Book Antiqua" w:cs="宋体"/>
          <w:i/>
          <w:iCs/>
          <w:color w:val="000000"/>
          <w:sz w:val="24"/>
          <w:szCs w:val="24"/>
          <w:lang w:eastAsia="zh-CN"/>
        </w:rPr>
        <w:t xml:space="preserve"> Acad Sci US</w:t>
      </w:r>
      <w:r w:rsidRPr="002D569F">
        <w:rPr>
          <w:rFonts w:ascii="Book Antiqua" w:eastAsia="宋体" w:hAnsi="Book Antiqua" w:cs="宋体"/>
          <w:i/>
          <w:iCs/>
          <w:color w:val="000000"/>
          <w:sz w:val="24"/>
          <w:szCs w:val="24"/>
          <w:lang w:eastAsia="zh-CN"/>
        </w:rPr>
        <w:t>A</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103</w:t>
      </w:r>
      <w:r w:rsidRPr="002D569F">
        <w:rPr>
          <w:rFonts w:ascii="Book Antiqua" w:eastAsia="宋体" w:hAnsi="Book Antiqua" w:cs="宋体"/>
          <w:color w:val="000000"/>
          <w:sz w:val="24"/>
          <w:szCs w:val="24"/>
          <w:lang w:eastAsia="zh-CN"/>
        </w:rPr>
        <w:t>: 7054-7058 [PMID: 16636284</w:t>
      </w:r>
      <w:r w:rsidR="008F20D9">
        <w:rPr>
          <w:rFonts w:ascii="Book Antiqua" w:eastAsia="宋体" w:hAnsi="Book Antiqua" w:cs="宋体"/>
          <w:color w:val="000000"/>
          <w:sz w:val="24"/>
          <w:szCs w:val="24"/>
          <w:lang w:eastAsia="zh-CN"/>
        </w:rPr>
        <w:t xml:space="preserve"> DOI: 10.1073/pnas.0600927103]</w:t>
      </w:r>
    </w:p>
    <w:p w14:paraId="441AFE79" w14:textId="3F007CC5"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82 </w:t>
      </w:r>
      <w:r w:rsidRPr="002D569F">
        <w:rPr>
          <w:rFonts w:ascii="Book Antiqua" w:eastAsia="宋体" w:hAnsi="Book Antiqua" w:cs="宋体"/>
          <w:b/>
          <w:bCs/>
          <w:color w:val="000000"/>
          <w:sz w:val="24"/>
          <w:szCs w:val="24"/>
          <w:lang w:eastAsia="zh-CN"/>
        </w:rPr>
        <w:t>Jackson LA</w:t>
      </w:r>
      <w:r w:rsidRPr="002D569F">
        <w:rPr>
          <w:rFonts w:ascii="Book Antiqua" w:eastAsia="宋体" w:hAnsi="Book Antiqua" w:cs="宋体"/>
          <w:color w:val="000000"/>
          <w:sz w:val="24"/>
          <w:szCs w:val="24"/>
          <w:lang w:eastAsia="zh-CN"/>
        </w:rPr>
        <w:t xml:space="preserve">, Pan JC, Day MW, Dyer DW. </w:t>
      </w:r>
      <w:proofErr w:type="gramStart"/>
      <w:r w:rsidRPr="002D569F">
        <w:rPr>
          <w:rFonts w:ascii="Book Antiqua" w:eastAsia="宋体" w:hAnsi="Book Antiqua" w:cs="宋体"/>
          <w:color w:val="000000"/>
          <w:sz w:val="24"/>
          <w:szCs w:val="24"/>
          <w:lang w:eastAsia="zh-CN"/>
        </w:rPr>
        <w:t>Control of RNA stability by NrrF, an iron-regulated small RNA in Neisseria gonorrhoeae.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195</w:t>
      </w:r>
      <w:r w:rsidRPr="002D569F">
        <w:rPr>
          <w:rFonts w:ascii="Book Antiqua" w:eastAsia="宋体" w:hAnsi="Book Antiqua" w:cs="宋体"/>
          <w:color w:val="000000"/>
          <w:sz w:val="24"/>
          <w:szCs w:val="24"/>
          <w:lang w:eastAsia="zh-CN"/>
        </w:rPr>
        <w:t>: 5166-5173 [PMID: 2403</w:t>
      </w:r>
      <w:r w:rsidR="008F20D9">
        <w:rPr>
          <w:rFonts w:ascii="Book Antiqua" w:eastAsia="宋体" w:hAnsi="Book Antiqua" w:cs="宋体"/>
          <w:color w:val="000000"/>
          <w:sz w:val="24"/>
          <w:szCs w:val="24"/>
          <w:lang w:eastAsia="zh-CN"/>
        </w:rPr>
        <w:t>9262 DOI: 10.1128/JB.00839-13]</w:t>
      </w:r>
    </w:p>
    <w:p w14:paraId="5AA14192" w14:textId="20C205C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83 </w:t>
      </w:r>
      <w:r w:rsidRPr="002D569F">
        <w:rPr>
          <w:rFonts w:ascii="Book Antiqua" w:eastAsia="宋体" w:hAnsi="Book Antiqua" w:cs="宋体"/>
          <w:b/>
          <w:bCs/>
          <w:color w:val="000000"/>
          <w:sz w:val="24"/>
          <w:szCs w:val="24"/>
          <w:lang w:eastAsia="zh-CN"/>
        </w:rPr>
        <w:t>Massé E</w:t>
      </w:r>
      <w:r w:rsidRPr="002D569F">
        <w:rPr>
          <w:rFonts w:ascii="Book Antiqua" w:eastAsia="宋体" w:hAnsi="Book Antiqua" w:cs="宋体"/>
          <w:color w:val="000000"/>
          <w:sz w:val="24"/>
          <w:szCs w:val="24"/>
          <w:lang w:eastAsia="zh-CN"/>
        </w:rPr>
        <w:t>, Salvail H, Desnoyers G, Arguin M. Small RNAs controlling iron metabolism. </w:t>
      </w:r>
      <w:r w:rsidRPr="002D569F">
        <w:rPr>
          <w:rFonts w:ascii="Book Antiqua" w:eastAsia="宋体" w:hAnsi="Book Antiqua" w:cs="宋体"/>
          <w:i/>
          <w:iCs/>
          <w:color w:val="000000"/>
          <w:sz w:val="24"/>
          <w:szCs w:val="24"/>
          <w:lang w:eastAsia="zh-CN"/>
        </w:rPr>
        <w:t>Curr Opin Microbiol</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10</w:t>
      </w:r>
      <w:r w:rsidRPr="002D569F">
        <w:rPr>
          <w:rFonts w:ascii="Book Antiqua" w:eastAsia="宋体" w:hAnsi="Book Antiqua" w:cs="宋体"/>
          <w:color w:val="000000"/>
          <w:sz w:val="24"/>
          <w:szCs w:val="24"/>
          <w:lang w:eastAsia="zh-CN"/>
        </w:rPr>
        <w:t>: 140-145 [PMID: 17383226 D</w:t>
      </w:r>
      <w:r w:rsidR="008F20D9">
        <w:rPr>
          <w:rFonts w:ascii="Book Antiqua" w:eastAsia="宋体" w:hAnsi="Book Antiqua" w:cs="宋体"/>
          <w:color w:val="000000"/>
          <w:sz w:val="24"/>
          <w:szCs w:val="24"/>
          <w:lang w:eastAsia="zh-CN"/>
        </w:rPr>
        <w:t>OI: 10.1016/j.mib.2007.03.013]</w:t>
      </w:r>
    </w:p>
    <w:p w14:paraId="775D612B" w14:textId="1D1E1DE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84 </w:t>
      </w:r>
      <w:r w:rsidRPr="002D569F">
        <w:rPr>
          <w:rFonts w:ascii="Book Antiqua" w:eastAsia="宋体" w:hAnsi="Book Antiqua" w:cs="宋体"/>
          <w:b/>
          <w:bCs/>
          <w:color w:val="000000"/>
          <w:sz w:val="24"/>
          <w:szCs w:val="24"/>
          <w:lang w:eastAsia="zh-CN"/>
        </w:rPr>
        <w:t>Patenge N</w:t>
      </w:r>
      <w:r w:rsidRPr="002D569F">
        <w:rPr>
          <w:rFonts w:ascii="Book Antiqua" w:eastAsia="宋体" w:hAnsi="Book Antiqua" w:cs="宋体"/>
          <w:color w:val="000000"/>
          <w:sz w:val="24"/>
          <w:szCs w:val="24"/>
          <w:lang w:eastAsia="zh-CN"/>
        </w:rPr>
        <w:t>, Billion A, Raasch P, Normann J, Wisniewska-Kucper A, Retey J, Boisguérin V, Hartsch T, Hain T, Kreikemeyer B. Identification of novel growth phase- and media-dependent small non-coding RNAs in Streptococcus pyogenes M49 using intergenic tiling arrays. </w:t>
      </w:r>
      <w:r w:rsidRPr="002D569F">
        <w:rPr>
          <w:rFonts w:ascii="Book Antiqua" w:eastAsia="宋体" w:hAnsi="Book Antiqua" w:cs="宋体"/>
          <w:i/>
          <w:iCs/>
          <w:color w:val="000000"/>
          <w:sz w:val="24"/>
          <w:szCs w:val="24"/>
          <w:lang w:eastAsia="zh-CN"/>
        </w:rPr>
        <w:t>BMC Genomics</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13</w:t>
      </w:r>
      <w:r w:rsidRPr="002D569F">
        <w:rPr>
          <w:rFonts w:ascii="Book Antiqua" w:eastAsia="宋体" w:hAnsi="Book Antiqua" w:cs="宋体"/>
          <w:color w:val="000000"/>
          <w:sz w:val="24"/>
          <w:szCs w:val="24"/>
          <w:lang w:eastAsia="zh-CN"/>
        </w:rPr>
        <w:t xml:space="preserve">: 550 [PMID: 23062031 </w:t>
      </w:r>
      <w:r w:rsidR="008F20D9">
        <w:rPr>
          <w:rFonts w:ascii="Book Antiqua" w:eastAsia="宋体" w:hAnsi="Book Antiqua" w:cs="宋体"/>
          <w:color w:val="000000"/>
          <w:sz w:val="24"/>
          <w:szCs w:val="24"/>
          <w:lang w:eastAsia="zh-CN"/>
        </w:rPr>
        <w:t>DOI: 10.1186/1471-2164-13-550]</w:t>
      </w:r>
    </w:p>
    <w:p w14:paraId="5465945F" w14:textId="555E5F2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85 </w:t>
      </w:r>
      <w:r w:rsidRPr="002D569F">
        <w:rPr>
          <w:rFonts w:ascii="Book Antiqua" w:eastAsia="宋体" w:hAnsi="Book Antiqua" w:cs="宋体"/>
          <w:b/>
          <w:bCs/>
          <w:color w:val="000000"/>
          <w:sz w:val="24"/>
          <w:szCs w:val="24"/>
          <w:lang w:eastAsia="zh-CN"/>
        </w:rPr>
        <w:t>Recalcati S</w:t>
      </w:r>
      <w:r w:rsidRPr="002D569F">
        <w:rPr>
          <w:rFonts w:ascii="Book Antiqua" w:eastAsia="宋体" w:hAnsi="Book Antiqua" w:cs="宋体"/>
          <w:color w:val="000000"/>
          <w:sz w:val="24"/>
          <w:szCs w:val="24"/>
          <w:lang w:eastAsia="zh-CN"/>
        </w:rPr>
        <w:t>, Minotti G, Cairo G. Iron regulatory proteins: from molecular mechanisms to drug development. </w:t>
      </w:r>
      <w:r w:rsidRPr="002D569F">
        <w:rPr>
          <w:rFonts w:ascii="Book Antiqua" w:eastAsia="宋体" w:hAnsi="Book Antiqua" w:cs="宋体"/>
          <w:i/>
          <w:iCs/>
          <w:color w:val="000000"/>
          <w:sz w:val="24"/>
          <w:szCs w:val="24"/>
          <w:lang w:eastAsia="zh-CN"/>
        </w:rPr>
        <w:t>Antioxid Redox Signal</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13</w:t>
      </w:r>
      <w:r w:rsidRPr="002D569F">
        <w:rPr>
          <w:rFonts w:ascii="Book Antiqua" w:eastAsia="宋体" w:hAnsi="Book Antiqua" w:cs="宋体"/>
          <w:color w:val="000000"/>
          <w:sz w:val="24"/>
          <w:szCs w:val="24"/>
          <w:lang w:eastAsia="zh-CN"/>
        </w:rPr>
        <w:t>: 1593-1616 [PMID: 202144</w:t>
      </w:r>
      <w:r w:rsidR="008F20D9">
        <w:rPr>
          <w:rFonts w:ascii="Book Antiqua" w:eastAsia="宋体" w:hAnsi="Book Antiqua" w:cs="宋体"/>
          <w:color w:val="000000"/>
          <w:sz w:val="24"/>
          <w:szCs w:val="24"/>
          <w:lang w:eastAsia="zh-CN"/>
        </w:rPr>
        <w:t>91 DOI: 10.1089/ars.2009.2983]</w:t>
      </w:r>
    </w:p>
    <w:p w14:paraId="57F9F3FA" w14:textId="3052B51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86 </w:t>
      </w:r>
      <w:r w:rsidRPr="002D569F">
        <w:rPr>
          <w:rFonts w:ascii="Book Antiqua" w:eastAsia="宋体" w:hAnsi="Book Antiqua" w:cs="宋体"/>
          <w:b/>
          <w:bCs/>
          <w:color w:val="000000"/>
          <w:sz w:val="24"/>
          <w:szCs w:val="24"/>
          <w:lang w:eastAsia="zh-CN"/>
        </w:rPr>
        <w:t>Rodionov DA</w:t>
      </w:r>
      <w:r w:rsidRPr="002D569F">
        <w:rPr>
          <w:rFonts w:ascii="Book Antiqua" w:eastAsia="宋体" w:hAnsi="Book Antiqua" w:cs="宋体"/>
          <w:color w:val="000000"/>
          <w:sz w:val="24"/>
          <w:szCs w:val="24"/>
          <w:lang w:eastAsia="zh-CN"/>
        </w:rPr>
        <w:t>, Vitreschak AG, Mironov AA, Gelfand MS. Comparative genomics of the methionine metabolism in Gram-positive bacteria: a variety of regulatory systems.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32</w:t>
      </w:r>
      <w:r w:rsidRPr="002D569F">
        <w:rPr>
          <w:rFonts w:ascii="Book Antiqua" w:eastAsia="宋体" w:hAnsi="Book Antiqua" w:cs="宋体"/>
          <w:color w:val="000000"/>
          <w:sz w:val="24"/>
          <w:szCs w:val="24"/>
          <w:lang w:eastAsia="zh-CN"/>
        </w:rPr>
        <w:t>: 3340-3353 [PMID: 152</w:t>
      </w:r>
      <w:r w:rsidR="008F20D9">
        <w:rPr>
          <w:rFonts w:ascii="Book Antiqua" w:eastAsia="宋体" w:hAnsi="Book Antiqua" w:cs="宋体"/>
          <w:color w:val="000000"/>
          <w:sz w:val="24"/>
          <w:szCs w:val="24"/>
          <w:lang w:eastAsia="zh-CN"/>
        </w:rPr>
        <w:t>15334 DOI: 10.1093/nar/gkh659]</w:t>
      </w:r>
    </w:p>
    <w:p w14:paraId="2B119424" w14:textId="3AC8AD1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87 </w:t>
      </w:r>
      <w:r w:rsidRPr="002D569F">
        <w:rPr>
          <w:rFonts w:ascii="Book Antiqua" w:eastAsia="宋体" w:hAnsi="Book Antiqua" w:cs="宋体"/>
          <w:b/>
          <w:bCs/>
          <w:color w:val="000000"/>
          <w:sz w:val="24"/>
          <w:szCs w:val="24"/>
          <w:lang w:eastAsia="zh-CN"/>
        </w:rPr>
        <w:t>Shioya K</w:t>
      </w:r>
      <w:r w:rsidRPr="002D569F">
        <w:rPr>
          <w:rFonts w:ascii="Book Antiqua" w:eastAsia="宋体" w:hAnsi="Book Antiqua" w:cs="宋体"/>
          <w:color w:val="000000"/>
          <w:sz w:val="24"/>
          <w:szCs w:val="24"/>
          <w:lang w:eastAsia="zh-CN"/>
        </w:rPr>
        <w:t xml:space="preserve">, Michaux C, Kuenne C, Hain T, Verneuil N, Budin-Verneuil A, Hartsch T, Hartke A, Giard JC. </w:t>
      </w:r>
      <w:proofErr w:type="gramStart"/>
      <w:r w:rsidRPr="002D569F">
        <w:rPr>
          <w:rFonts w:ascii="Book Antiqua" w:eastAsia="宋体" w:hAnsi="Book Antiqua" w:cs="宋体"/>
          <w:color w:val="000000"/>
          <w:sz w:val="24"/>
          <w:szCs w:val="24"/>
          <w:lang w:eastAsia="zh-CN"/>
        </w:rPr>
        <w:t>Genome-wide identification of small RNAs in the opportunistic pathogen Enterococcus faecalis V583.</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PLoS One</w:t>
      </w:r>
      <w:r w:rsidRPr="002D569F">
        <w:rPr>
          <w:rFonts w:ascii="Book Antiqua" w:eastAsia="宋体" w:hAnsi="Book Antiqua" w:cs="宋体"/>
          <w:color w:val="000000"/>
          <w:sz w:val="24"/>
          <w:szCs w:val="24"/>
          <w:lang w:eastAsia="zh-CN"/>
        </w:rPr>
        <w:t> 2011; </w:t>
      </w:r>
      <w:r w:rsidRPr="002D569F">
        <w:rPr>
          <w:rFonts w:ascii="Book Antiqua" w:eastAsia="宋体" w:hAnsi="Book Antiqua" w:cs="宋体"/>
          <w:b/>
          <w:bCs/>
          <w:color w:val="000000"/>
          <w:sz w:val="24"/>
          <w:szCs w:val="24"/>
          <w:lang w:eastAsia="zh-CN"/>
        </w:rPr>
        <w:t>6</w:t>
      </w:r>
      <w:r w:rsidRPr="002D569F">
        <w:rPr>
          <w:rFonts w:ascii="Book Antiqua" w:eastAsia="宋体" w:hAnsi="Book Antiqua" w:cs="宋体"/>
          <w:color w:val="000000"/>
          <w:sz w:val="24"/>
          <w:szCs w:val="24"/>
          <w:lang w:eastAsia="zh-CN"/>
        </w:rPr>
        <w:t>: e23948 [PMID: 21912655 DOI:</w:t>
      </w:r>
      <w:r w:rsidR="008F20D9">
        <w:rPr>
          <w:rFonts w:ascii="Book Antiqua" w:eastAsia="宋体" w:hAnsi="Book Antiqua" w:cs="宋体"/>
          <w:color w:val="000000"/>
          <w:sz w:val="24"/>
          <w:szCs w:val="24"/>
          <w:lang w:eastAsia="zh-CN"/>
        </w:rPr>
        <w:t xml:space="preserve"> 10.1371/journal.pone.0023948]</w:t>
      </w:r>
    </w:p>
    <w:p w14:paraId="5C6CE625" w14:textId="15A627F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88 </w:t>
      </w:r>
      <w:r w:rsidRPr="002D569F">
        <w:rPr>
          <w:rFonts w:ascii="Book Antiqua" w:eastAsia="宋体" w:hAnsi="Book Antiqua" w:cs="宋体"/>
          <w:b/>
          <w:bCs/>
          <w:color w:val="000000"/>
          <w:sz w:val="24"/>
          <w:szCs w:val="24"/>
          <w:lang w:eastAsia="zh-CN"/>
        </w:rPr>
        <w:t>Sesto N</w:t>
      </w:r>
      <w:r w:rsidRPr="002D569F">
        <w:rPr>
          <w:rFonts w:ascii="Book Antiqua" w:eastAsia="宋体" w:hAnsi="Book Antiqua" w:cs="宋体"/>
          <w:color w:val="000000"/>
          <w:sz w:val="24"/>
          <w:szCs w:val="24"/>
          <w:lang w:eastAsia="zh-CN"/>
        </w:rPr>
        <w:t>, Wurtzel O, Archambaud C, Sorek R, Cossart P. The excludon: a new concept in bacterial antisense RNA-mediated gene regulation. </w:t>
      </w:r>
      <w:r w:rsidRPr="002D569F">
        <w:rPr>
          <w:rFonts w:ascii="Book Antiqua" w:eastAsia="宋体" w:hAnsi="Book Antiqua" w:cs="宋体"/>
          <w:i/>
          <w:iCs/>
          <w:color w:val="000000"/>
          <w:sz w:val="24"/>
          <w:szCs w:val="24"/>
          <w:lang w:eastAsia="zh-CN"/>
        </w:rPr>
        <w:t>Nat Rev Microbiol</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11</w:t>
      </w:r>
      <w:r w:rsidRPr="002D569F">
        <w:rPr>
          <w:rFonts w:ascii="Book Antiqua" w:eastAsia="宋体" w:hAnsi="Book Antiqua" w:cs="宋体"/>
          <w:color w:val="000000"/>
          <w:sz w:val="24"/>
          <w:szCs w:val="24"/>
          <w:lang w:eastAsia="zh-CN"/>
        </w:rPr>
        <w:t>: 75-82 [PMID: 2326</w:t>
      </w:r>
      <w:r w:rsidR="008F20D9">
        <w:rPr>
          <w:rFonts w:ascii="Book Antiqua" w:eastAsia="宋体" w:hAnsi="Book Antiqua" w:cs="宋体"/>
          <w:color w:val="000000"/>
          <w:sz w:val="24"/>
          <w:szCs w:val="24"/>
          <w:lang w:eastAsia="zh-CN"/>
        </w:rPr>
        <w:t>8228 DOI: 10.1038/nrmicro2934]</w:t>
      </w:r>
    </w:p>
    <w:p w14:paraId="58C5F4B4" w14:textId="5752AC3E"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89 </w:t>
      </w:r>
      <w:r w:rsidRPr="002D569F">
        <w:rPr>
          <w:rFonts w:ascii="Book Antiqua" w:eastAsia="宋体" w:hAnsi="Book Antiqua" w:cs="宋体"/>
          <w:b/>
          <w:bCs/>
          <w:color w:val="000000"/>
          <w:sz w:val="24"/>
          <w:szCs w:val="24"/>
          <w:lang w:eastAsia="zh-CN"/>
        </w:rPr>
        <w:t>Lee EJ</w:t>
      </w:r>
      <w:r w:rsidRPr="002D569F">
        <w:rPr>
          <w:rFonts w:ascii="Book Antiqua" w:eastAsia="宋体" w:hAnsi="Book Antiqua" w:cs="宋体"/>
          <w:color w:val="000000"/>
          <w:sz w:val="24"/>
          <w:szCs w:val="24"/>
          <w:lang w:eastAsia="zh-CN"/>
        </w:rPr>
        <w:t>, Groisman EA. Tandem attenuators control expression of the Salmonella mgtCBR virulence operon.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86</w:t>
      </w:r>
      <w:r w:rsidRPr="002D569F">
        <w:rPr>
          <w:rFonts w:ascii="Book Antiqua" w:eastAsia="宋体" w:hAnsi="Book Antiqua" w:cs="宋体"/>
          <w:color w:val="000000"/>
          <w:sz w:val="24"/>
          <w:szCs w:val="24"/>
          <w:lang w:eastAsia="zh-CN"/>
        </w:rPr>
        <w:t>: 212-224 [PMID: 22857388 DOI: 10.</w:t>
      </w:r>
      <w:r w:rsidR="008F20D9">
        <w:rPr>
          <w:rFonts w:ascii="Book Antiqua" w:eastAsia="宋体" w:hAnsi="Book Antiqua" w:cs="宋体"/>
          <w:color w:val="000000"/>
          <w:sz w:val="24"/>
          <w:szCs w:val="24"/>
          <w:lang w:eastAsia="zh-CN"/>
        </w:rPr>
        <w:t>1111/j.1365-2958.2012.08188.x]</w:t>
      </w:r>
    </w:p>
    <w:p w14:paraId="3D49805F" w14:textId="32B1580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90 </w:t>
      </w:r>
      <w:r w:rsidRPr="002D569F">
        <w:rPr>
          <w:rFonts w:ascii="Book Antiqua" w:eastAsia="宋体" w:hAnsi="Book Antiqua" w:cs="宋体"/>
          <w:b/>
          <w:bCs/>
          <w:color w:val="000000"/>
          <w:sz w:val="24"/>
          <w:szCs w:val="24"/>
          <w:lang w:eastAsia="zh-CN"/>
        </w:rPr>
        <w:t>Shepherd DP</w:t>
      </w:r>
      <w:r w:rsidRPr="002D569F">
        <w:rPr>
          <w:rFonts w:ascii="Book Antiqua" w:eastAsia="宋体" w:hAnsi="Book Antiqua" w:cs="宋体"/>
          <w:color w:val="000000"/>
          <w:sz w:val="24"/>
          <w:szCs w:val="24"/>
          <w:lang w:eastAsia="zh-CN"/>
        </w:rPr>
        <w:t>, Li N, Micheva-Viteva SN, Munsky B, Hong-Geller E, Werner JH. Counting small RNA in pathogenic bacteria. </w:t>
      </w:r>
      <w:r w:rsidRPr="002D569F">
        <w:rPr>
          <w:rFonts w:ascii="Book Antiqua" w:eastAsia="宋体" w:hAnsi="Book Antiqua" w:cs="宋体"/>
          <w:i/>
          <w:iCs/>
          <w:color w:val="000000"/>
          <w:sz w:val="24"/>
          <w:szCs w:val="24"/>
          <w:lang w:eastAsia="zh-CN"/>
        </w:rPr>
        <w:t>Anal Chem</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85</w:t>
      </w:r>
      <w:r w:rsidRPr="002D569F">
        <w:rPr>
          <w:rFonts w:ascii="Book Antiqua" w:eastAsia="宋体" w:hAnsi="Book Antiqua" w:cs="宋体"/>
          <w:color w:val="000000"/>
          <w:sz w:val="24"/>
          <w:szCs w:val="24"/>
          <w:lang w:eastAsia="zh-CN"/>
        </w:rPr>
        <w:t>: 4938-4943 [PMID: 23</w:t>
      </w:r>
      <w:r w:rsidR="008F20D9">
        <w:rPr>
          <w:rFonts w:ascii="Book Antiqua" w:eastAsia="宋体" w:hAnsi="Book Antiqua" w:cs="宋体"/>
          <w:color w:val="000000"/>
          <w:sz w:val="24"/>
          <w:szCs w:val="24"/>
          <w:lang w:eastAsia="zh-CN"/>
        </w:rPr>
        <w:t>577771 DOI: 10.1021/ac303792p]</w:t>
      </w:r>
    </w:p>
    <w:p w14:paraId="47CE9454" w14:textId="198D7330"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91 </w:t>
      </w:r>
      <w:r w:rsidRPr="002D569F">
        <w:rPr>
          <w:rFonts w:ascii="Book Antiqua" w:eastAsia="宋体" w:hAnsi="Book Antiqua" w:cs="宋体"/>
          <w:b/>
          <w:bCs/>
          <w:color w:val="000000"/>
          <w:sz w:val="24"/>
          <w:szCs w:val="24"/>
          <w:lang w:eastAsia="zh-CN"/>
        </w:rPr>
        <w:t>Koo JT</w:t>
      </w:r>
      <w:r w:rsidRPr="002D569F">
        <w:rPr>
          <w:rFonts w:ascii="Book Antiqua" w:eastAsia="宋体" w:hAnsi="Book Antiqua" w:cs="宋体"/>
          <w:color w:val="000000"/>
          <w:sz w:val="24"/>
          <w:szCs w:val="24"/>
          <w:lang w:eastAsia="zh-CN"/>
        </w:rPr>
        <w:t xml:space="preserve">, Lathem WW. </w:t>
      </w:r>
      <w:proofErr w:type="gramStart"/>
      <w:r w:rsidRPr="002D569F">
        <w:rPr>
          <w:rFonts w:ascii="Book Antiqua" w:eastAsia="宋体" w:hAnsi="Book Antiqua" w:cs="宋体"/>
          <w:color w:val="000000"/>
          <w:sz w:val="24"/>
          <w:szCs w:val="24"/>
          <w:lang w:eastAsia="zh-CN"/>
        </w:rPr>
        <w:t>Global discovery of small noncoding RNAs in pathogenic Yersinia species.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Adv Exp Med Biol</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954</w:t>
      </w:r>
      <w:r w:rsidRPr="002D569F">
        <w:rPr>
          <w:rFonts w:ascii="Book Antiqua" w:eastAsia="宋体" w:hAnsi="Book Antiqua" w:cs="宋体"/>
          <w:color w:val="000000"/>
          <w:sz w:val="24"/>
          <w:szCs w:val="24"/>
          <w:lang w:eastAsia="zh-CN"/>
        </w:rPr>
        <w:t>: 305-314 [PMID: 22782777 DOI: 10.1007/978-1-4614-35</w:t>
      </w:r>
      <w:r w:rsidR="008F20D9">
        <w:rPr>
          <w:rFonts w:ascii="Book Antiqua" w:eastAsia="宋体" w:hAnsi="Book Antiqua" w:cs="宋体"/>
          <w:color w:val="000000"/>
          <w:sz w:val="24"/>
          <w:szCs w:val="24"/>
          <w:lang w:eastAsia="zh-CN"/>
        </w:rPr>
        <w:t>61-7_38]</w:t>
      </w:r>
    </w:p>
    <w:p w14:paraId="5B1D2FDC" w14:textId="4C9C783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92 </w:t>
      </w:r>
      <w:r w:rsidRPr="002D569F">
        <w:rPr>
          <w:rFonts w:ascii="Book Antiqua" w:eastAsia="宋体" w:hAnsi="Book Antiqua" w:cs="宋体"/>
          <w:b/>
          <w:bCs/>
          <w:color w:val="000000"/>
          <w:sz w:val="24"/>
          <w:szCs w:val="24"/>
          <w:lang w:eastAsia="zh-CN"/>
        </w:rPr>
        <w:t>Wadler CS</w:t>
      </w:r>
      <w:r w:rsidRPr="002D569F">
        <w:rPr>
          <w:rFonts w:ascii="Book Antiqua" w:eastAsia="宋体" w:hAnsi="Book Antiqua" w:cs="宋体"/>
          <w:color w:val="000000"/>
          <w:sz w:val="24"/>
          <w:szCs w:val="24"/>
          <w:lang w:eastAsia="zh-CN"/>
        </w:rPr>
        <w:t>, Vanderpool CK. Characterization of homologs of the small RNA SgrS reveals diversity in function.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37</w:t>
      </w:r>
      <w:r w:rsidRPr="002D569F">
        <w:rPr>
          <w:rFonts w:ascii="Book Antiqua" w:eastAsia="宋体" w:hAnsi="Book Antiqua" w:cs="宋体"/>
          <w:color w:val="000000"/>
          <w:sz w:val="24"/>
          <w:szCs w:val="24"/>
          <w:lang w:eastAsia="zh-CN"/>
        </w:rPr>
        <w:t>: 5477-5485 [PMID: 196</w:t>
      </w:r>
      <w:r w:rsidR="008F20D9">
        <w:rPr>
          <w:rFonts w:ascii="Book Antiqua" w:eastAsia="宋体" w:hAnsi="Book Antiqua" w:cs="宋体"/>
          <w:color w:val="000000"/>
          <w:sz w:val="24"/>
          <w:szCs w:val="24"/>
          <w:lang w:eastAsia="zh-CN"/>
        </w:rPr>
        <w:t>20214 DOI: 10.1093/nar/gkp591]</w:t>
      </w:r>
    </w:p>
    <w:p w14:paraId="09C1E07E" w14:textId="562E981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93 </w:t>
      </w:r>
      <w:r w:rsidRPr="002D569F">
        <w:rPr>
          <w:rFonts w:ascii="Book Antiqua" w:eastAsia="宋体" w:hAnsi="Book Antiqua" w:cs="宋体"/>
          <w:b/>
          <w:bCs/>
          <w:color w:val="000000"/>
          <w:sz w:val="24"/>
          <w:szCs w:val="24"/>
          <w:lang w:eastAsia="zh-CN"/>
        </w:rPr>
        <w:t>Heroven AK</w:t>
      </w:r>
      <w:r w:rsidRPr="002D569F">
        <w:rPr>
          <w:rFonts w:ascii="Book Antiqua" w:eastAsia="宋体" w:hAnsi="Book Antiqua" w:cs="宋体"/>
          <w:color w:val="000000"/>
          <w:sz w:val="24"/>
          <w:szCs w:val="24"/>
          <w:lang w:eastAsia="zh-CN"/>
        </w:rPr>
        <w:t>, Böhme K, Rohde M, Dersch P. A Csr-type regulatory system, including small non-coding RNAs, regulates the global virulence regulator RovA of Yersinia pseudotuberculosis through RovM.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68</w:t>
      </w:r>
      <w:r w:rsidRPr="002D569F">
        <w:rPr>
          <w:rFonts w:ascii="Book Antiqua" w:eastAsia="宋体" w:hAnsi="Book Antiqua" w:cs="宋体"/>
          <w:color w:val="000000"/>
          <w:sz w:val="24"/>
          <w:szCs w:val="24"/>
          <w:lang w:eastAsia="zh-CN"/>
        </w:rPr>
        <w:t>: 1179-1195 [PMID: 18430141 DOI: 10.</w:t>
      </w:r>
      <w:r w:rsidR="008F20D9">
        <w:rPr>
          <w:rFonts w:ascii="Book Antiqua" w:eastAsia="宋体" w:hAnsi="Book Antiqua" w:cs="宋体"/>
          <w:color w:val="000000"/>
          <w:sz w:val="24"/>
          <w:szCs w:val="24"/>
          <w:lang w:eastAsia="zh-CN"/>
        </w:rPr>
        <w:t>1111/j.1365-2958.2008.06218.x]</w:t>
      </w:r>
    </w:p>
    <w:p w14:paraId="6DCE05E1" w14:textId="4053411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94 </w:t>
      </w:r>
      <w:r w:rsidRPr="002D569F">
        <w:rPr>
          <w:rFonts w:ascii="Book Antiqua" w:eastAsia="宋体" w:hAnsi="Book Antiqua" w:cs="宋体"/>
          <w:b/>
          <w:bCs/>
          <w:color w:val="000000"/>
          <w:sz w:val="24"/>
          <w:szCs w:val="24"/>
          <w:lang w:eastAsia="zh-CN"/>
        </w:rPr>
        <w:t>Postic G</w:t>
      </w:r>
      <w:r w:rsidRPr="002D569F">
        <w:rPr>
          <w:rFonts w:ascii="Book Antiqua" w:eastAsia="宋体" w:hAnsi="Book Antiqua" w:cs="宋体"/>
          <w:color w:val="000000"/>
          <w:sz w:val="24"/>
          <w:szCs w:val="24"/>
          <w:lang w:eastAsia="zh-CN"/>
        </w:rPr>
        <w:t xml:space="preserve">, Dubail I, Frapy E, Dupuis M, Dieppedale J, Charbit A, Meibom KL. </w:t>
      </w:r>
      <w:proofErr w:type="gramStart"/>
      <w:r w:rsidRPr="002D569F">
        <w:rPr>
          <w:rFonts w:ascii="Book Antiqua" w:eastAsia="宋体" w:hAnsi="Book Antiqua" w:cs="宋体"/>
          <w:color w:val="000000"/>
          <w:sz w:val="24"/>
          <w:szCs w:val="24"/>
          <w:lang w:eastAsia="zh-CN"/>
        </w:rPr>
        <w:t>Identification of a novel small RNA modulating Francisella tularensis pathogenicity.</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PLoS One</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7</w:t>
      </w:r>
      <w:r w:rsidRPr="002D569F">
        <w:rPr>
          <w:rFonts w:ascii="Book Antiqua" w:eastAsia="宋体" w:hAnsi="Book Antiqua" w:cs="宋体"/>
          <w:color w:val="000000"/>
          <w:sz w:val="24"/>
          <w:szCs w:val="24"/>
          <w:lang w:eastAsia="zh-CN"/>
        </w:rPr>
        <w:t>: e41999 [PMID: 22848684 DOI:</w:t>
      </w:r>
      <w:r w:rsidR="008F20D9">
        <w:rPr>
          <w:rFonts w:ascii="Book Antiqua" w:eastAsia="宋体" w:hAnsi="Book Antiqua" w:cs="宋体"/>
          <w:color w:val="000000"/>
          <w:sz w:val="24"/>
          <w:szCs w:val="24"/>
          <w:lang w:eastAsia="zh-CN"/>
        </w:rPr>
        <w:t xml:space="preserve"> 10.1371/journal.pone.0041999]</w:t>
      </w:r>
    </w:p>
    <w:p w14:paraId="13C48D37" w14:textId="1CE3B5E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95 </w:t>
      </w:r>
      <w:r w:rsidRPr="002D569F">
        <w:rPr>
          <w:rFonts w:ascii="Book Antiqua" w:eastAsia="宋体" w:hAnsi="Book Antiqua" w:cs="宋体"/>
          <w:b/>
          <w:bCs/>
          <w:color w:val="000000"/>
          <w:sz w:val="24"/>
          <w:szCs w:val="24"/>
          <w:lang w:eastAsia="zh-CN"/>
        </w:rPr>
        <w:t>Caswell CC</w:t>
      </w:r>
      <w:r w:rsidRPr="002D569F">
        <w:rPr>
          <w:rFonts w:ascii="Book Antiqua" w:eastAsia="宋体" w:hAnsi="Book Antiqua" w:cs="宋体"/>
          <w:color w:val="000000"/>
          <w:sz w:val="24"/>
          <w:szCs w:val="24"/>
          <w:lang w:eastAsia="zh-CN"/>
        </w:rPr>
        <w:t>, Gaines JM, Ciborowski P, Smith D, Borchers CH, Roux CM, Sayood K, Dunman PM, Roop Ii RM. Identification of two small regulatory RNAs linked to virulence in Brucella abortus 2308.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85</w:t>
      </w:r>
      <w:r w:rsidRPr="002D569F">
        <w:rPr>
          <w:rFonts w:ascii="Book Antiqua" w:eastAsia="宋体" w:hAnsi="Book Antiqua" w:cs="宋体"/>
          <w:color w:val="000000"/>
          <w:sz w:val="24"/>
          <w:szCs w:val="24"/>
          <w:lang w:eastAsia="zh-CN"/>
        </w:rPr>
        <w:t>: 345-360 [PMID: 22690807 DOI: 10.</w:t>
      </w:r>
      <w:r w:rsidR="008F20D9">
        <w:rPr>
          <w:rFonts w:ascii="Book Antiqua" w:eastAsia="宋体" w:hAnsi="Book Antiqua" w:cs="宋体"/>
          <w:color w:val="000000"/>
          <w:sz w:val="24"/>
          <w:szCs w:val="24"/>
          <w:lang w:eastAsia="zh-CN"/>
        </w:rPr>
        <w:t>1111/j.1365-2958.2012.08117.x]</w:t>
      </w:r>
    </w:p>
    <w:p w14:paraId="766A2FD9" w14:textId="1B06450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96 </w:t>
      </w:r>
      <w:r w:rsidRPr="002D569F">
        <w:rPr>
          <w:rFonts w:ascii="Book Antiqua" w:eastAsia="宋体" w:hAnsi="Book Antiqua" w:cs="宋体"/>
          <w:b/>
          <w:bCs/>
          <w:color w:val="000000"/>
          <w:sz w:val="24"/>
          <w:szCs w:val="24"/>
          <w:lang w:eastAsia="zh-CN"/>
        </w:rPr>
        <w:t>Schmidtke C</w:t>
      </w:r>
      <w:r w:rsidRPr="002D569F">
        <w:rPr>
          <w:rFonts w:ascii="Book Antiqua" w:eastAsia="宋体" w:hAnsi="Book Antiqua" w:cs="宋体"/>
          <w:color w:val="000000"/>
          <w:sz w:val="24"/>
          <w:szCs w:val="24"/>
          <w:lang w:eastAsia="zh-CN"/>
        </w:rPr>
        <w:t>, Findeiss S, Sharma CM, Kuhfuss J, Hoffmann S, Vogel J, Stadler PF, Bonas U. Genome-wide transcriptome analysis of the plant pathogen Xanthomonas identifies sRNAs with putative virulence functions.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40</w:t>
      </w:r>
      <w:r w:rsidRPr="002D569F">
        <w:rPr>
          <w:rFonts w:ascii="Book Antiqua" w:eastAsia="宋体" w:hAnsi="Book Antiqua" w:cs="宋体"/>
          <w:color w:val="000000"/>
          <w:sz w:val="24"/>
          <w:szCs w:val="24"/>
          <w:lang w:eastAsia="zh-CN"/>
        </w:rPr>
        <w:t>: 2020-2031 [PMID: 2208055</w:t>
      </w:r>
      <w:r w:rsidR="008F20D9">
        <w:rPr>
          <w:rFonts w:ascii="Book Antiqua" w:eastAsia="宋体" w:hAnsi="Book Antiqua" w:cs="宋体"/>
          <w:color w:val="000000"/>
          <w:sz w:val="24"/>
          <w:szCs w:val="24"/>
          <w:lang w:eastAsia="zh-CN"/>
        </w:rPr>
        <w:t>7 DOI: 10.1093/nar/gkr904]</w:t>
      </w:r>
    </w:p>
    <w:p w14:paraId="62BA92DD" w14:textId="2D9C537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97 </w:t>
      </w:r>
      <w:r w:rsidRPr="002D569F">
        <w:rPr>
          <w:rFonts w:ascii="Book Antiqua" w:eastAsia="宋体" w:hAnsi="Book Antiqua" w:cs="宋体"/>
          <w:b/>
          <w:bCs/>
          <w:color w:val="000000"/>
          <w:sz w:val="24"/>
          <w:szCs w:val="24"/>
          <w:lang w:eastAsia="zh-CN"/>
        </w:rPr>
        <w:t>Zeng Q</w:t>
      </w:r>
      <w:r w:rsidRPr="002D569F">
        <w:rPr>
          <w:rFonts w:ascii="Book Antiqua" w:eastAsia="宋体" w:hAnsi="Book Antiqua" w:cs="宋体"/>
          <w:color w:val="000000"/>
          <w:sz w:val="24"/>
          <w:szCs w:val="24"/>
          <w:lang w:eastAsia="zh-CN"/>
        </w:rPr>
        <w:t>, McNally RR, Sundin GW. Global small RNA chaperone Hfq and regulatory small RNAs are important virulence regulators in Erwinia amylovora.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195</w:t>
      </w:r>
      <w:r w:rsidRPr="002D569F">
        <w:rPr>
          <w:rFonts w:ascii="Book Antiqua" w:eastAsia="宋体" w:hAnsi="Book Antiqua" w:cs="宋体"/>
          <w:color w:val="000000"/>
          <w:sz w:val="24"/>
          <w:szCs w:val="24"/>
          <w:lang w:eastAsia="zh-CN"/>
        </w:rPr>
        <w:t>: 1706-1717 [PMID: 2337</w:t>
      </w:r>
      <w:r w:rsidR="008F20D9">
        <w:rPr>
          <w:rFonts w:ascii="Book Antiqua" w:eastAsia="宋体" w:hAnsi="Book Antiqua" w:cs="宋体"/>
          <w:color w:val="000000"/>
          <w:sz w:val="24"/>
          <w:szCs w:val="24"/>
          <w:lang w:eastAsia="zh-CN"/>
        </w:rPr>
        <w:t>8513 DOI: 10.1128/JB.02056-12]</w:t>
      </w:r>
    </w:p>
    <w:p w14:paraId="2AA10BDE"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98 </w:t>
      </w:r>
      <w:r w:rsidRPr="002D569F">
        <w:rPr>
          <w:rFonts w:ascii="Book Antiqua" w:eastAsia="宋体" w:hAnsi="Book Antiqua" w:cs="宋体"/>
          <w:b/>
          <w:bCs/>
          <w:color w:val="000000"/>
          <w:sz w:val="24"/>
          <w:szCs w:val="24"/>
          <w:lang w:eastAsia="zh-CN"/>
        </w:rPr>
        <w:t>Torres-Quesada O</w:t>
      </w:r>
      <w:r w:rsidRPr="002D569F">
        <w:rPr>
          <w:rFonts w:ascii="Book Antiqua" w:eastAsia="宋体" w:hAnsi="Book Antiqua" w:cs="宋体"/>
          <w:color w:val="000000"/>
          <w:sz w:val="24"/>
          <w:szCs w:val="24"/>
          <w:lang w:eastAsia="zh-CN"/>
        </w:rPr>
        <w:t>, Reinkensmeier J, Schlüter JP, Robledo M, Peregrina A, Giegerich R, Toro N, Becker A, Jiménez-Zurdo JI. Genome-wide profiling of Hfq-binding RNAs uncovers extensive post-transcriptional rewiring of major stress response and symbiotic regulons in Sinorhizobium meliloti. </w:t>
      </w:r>
      <w:r w:rsidRPr="002D569F">
        <w:rPr>
          <w:rFonts w:ascii="Book Antiqua" w:eastAsia="宋体" w:hAnsi="Book Antiqua" w:cs="宋体"/>
          <w:i/>
          <w:iCs/>
          <w:color w:val="000000"/>
          <w:sz w:val="24"/>
          <w:szCs w:val="24"/>
          <w:lang w:eastAsia="zh-CN"/>
        </w:rPr>
        <w:t>RNA Biol</w:t>
      </w:r>
      <w:r w:rsidRPr="002D569F">
        <w:rPr>
          <w:rFonts w:ascii="Book Antiqua" w:eastAsia="宋体" w:hAnsi="Book Antiqua" w:cs="宋体"/>
          <w:color w:val="000000"/>
          <w:sz w:val="24"/>
          <w:szCs w:val="24"/>
          <w:lang w:eastAsia="zh-CN"/>
        </w:rPr>
        <w:t> 2014; </w:t>
      </w:r>
      <w:r w:rsidRPr="002D569F">
        <w:rPr>
          <w:rFonts w:ascii="Book Antiqua" w:eastAsia="宋体" w:hAnsi="Book Antiqua" w:cs="宋体"/>
          <w:b/>
          <w:bCs/>
          <w:color w:val="000000"/>
          <w:sz w:val="24"/>
          <w:szCs w:val="24"/>
          <w:lang w:eastAsia="zh-CN"/>
        </w:rPr>
        <w:t>11</w:t>
      </w:r>
      <w:r w:rsidRPr="002D569F">
        <w:rPr>
          <w:rFonts w:ascii="Book Antiqua" w:eastAsia="宋体" w:hAnsi="Book Antiqua" w:cs="宋体"/>
          <w:color w:val="000000"/>
          <w:sz w:val="24"/>
          <w:szCs w:val="24"/>
          <w:lang w:eastAsia="zh-CN"/>
        </w:rPr>
        <w:t>: 563-579 [PMID: 24786641]</w:t>
      </w:r>
    </w:p>
    <w:p w14:paraId="7F51067B" w14:textId="7DF1B05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99 </w:t>
      </w:r>
      <w:r w:rsidRPr="002D569F">
        <w:rPr>
          <w:rFonts w:ascii="Book Antiqua" w:eastAsia="宋体" w:hAnsi="Book Antiqua" w:cs="宋体"/>
          <w:b/>
          <w:bCs/>
          <w:color w:val="000000"/>
          <w:sz w:val="24"/>
          <w:szCs w:val="24"/>
          <w:lang w:eastAsia="zh-CN"/>
        </w:rPr>
        <w:t>Xiao B</w:t>
      </w:r>
      <w:r w:rsidRPr="002D569F">
        <w:rPr>
          <w:rFonts w:ascii="Book Antiqua" w:eastAsia="宋体" w:hAnsi="Book Antiqua" w:cs="宋体"/>
          <w:color w:val="000000"/>
          <w:sz w:val="24"/>
          <w:szCs w:val="24"/>
          <w:lang w:eastAsia="zh-CN"/>
        </w:rPr>
        <w:t>, Li W, Guo G, Li B, Liu Z, Jia K, Guo Y, Mao X, Zou Q. Identification of small noncoding RNAs in Helicobacter pylori by a bioinformatics-based approach. </w:t>
      </w:r>
      <w:r w:rsidRPr="002D569F">
        <w:rPr>
          <w:rFonts w:ascii="Book Antiqua" w:eastAsia="宋体" w:hAnsi="Book Antiqua" w:cs="宋体"/>
          <w:i/>
          <w:iCs/>
          <w:color w:val="000000"/>
          <w:sz w:val="24"/>
          <w:szCs w:val="24"/>
          <w:lang w:eastAsia="zh-CN"/>
        </w:rPr>
        <w:t>Curr Microbiol</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58</w:t>
      </w:r>
      <w:r w:rsidRPr="002D569F">
        <w:rPr>
          <w:rFonts w:ascii="Book Antiqua" w:eastAsia="宋体" w:hAnsi="Book Antiqua" w:cs="宋体"/>
          <w:color w:val="000000"/>
          <w:sz w:val="24"/>
          <w:szCs w:val="24"/>
          <w:lang w:eastAsia="zh-CN"/>
        </w:rPr>
        <w:t>: 258-263 [PMID: 19123032 D</w:t>
      </w:r>
      <w:r w:rsidR="008F20D9">
        <w:rPr>
          <w:rFonts w:ascii="Book Antiqua" w:eastAsia="宋体" w:hAnsi="Book Antiqua" w:cs="宋体"/>
          <w:color w:val="000000"/>
          <w:sz w:val="24"/>
          <w:szCs w:val="24"/>
          <w:lang w:eastAsia="zh-CN"/>
        </w:rPr>
        <w:t>OI: 10.1007/s00284-008-9318-2]</w:t>
      </w:r>
    </w:p>
    <w:p w14:paraId="62729DC9" w14:textId="78BF690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100 </w:t>
      </w:r>
      <w:r w:rsidRPr="002D569F">
        <w:rPr>
          <w:rFonts w:ascii="Book Antiqua" w:eastAsia="宋体" w:hAnsi="Book Antiqua" w:cs="宋体"/>
          <w:b/>
          <w:bCs/>
          <w:color w:val="000000"/>
          <w:sz w:val="24"/>
          <w:szCs w:val="24"/>
          <w:lang w:eastAsia="zh-CN"/>
        </w:rPr>
        <w:t>Wang Q</w:t>
      </w:r>
      <w:r w:rsidRPr="002D569F">
        <w:rPr>
          <w:rFonts w:ascii="Book Antiqua" w:eastAsia="宋体" w:hAnsi="Book Antiqua" w:cs="宋体"/>
          <w:color w:val="000000"/>
          <w:sz w:val="24"/>
          <w:szCs w:val="24"/>
          <w:lang w:eastAsia="zh-CN"/>
        </w:rPr>
        <w:t>, Harshey RM. Rcs signalling-activated transcription of rcsA induces strong anti-sense transcription of upstream fliPQR flagellar genes from a weak intergenic promoter: regulatory roles for the anti-sense transcript in virulence and motility.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74</w:t>
      </w:r>
      <w:r w:rsidRPr="002D569F">
        <w:rPr>
          <w:rFonts w:ascii="Book Antiqua" w:eastAsia="宋体" w:hAnsi="Book Antiqua" w:cs="宋体"/>
          <w:color w:val="000000"/>
          <w:sz w:val="24"/>
          <w:szCs w:val="24"/>
          <w:lang w:eastAsia="zh-CN"/>
        </w:rPr>
        <w:t>: 71-84 [PMID: 19703110 DOI: 10.</w:t>
      </w:r>
      <w:r w:rsidR="008F20D9">
        <w:rPr>
          <w:rFonts w:ascii="Book Antiqua" w:eastAsia="宋体" w:hAnsi="Book Antiqua" w:cs="宋体"/>
          <w:color w:val="000000"/>
          <w:sz w:val="24"/>
          <w:szCs w:val="24"/>
          <w:lang w:eastAsia="zh-CN"/>
        </w:rPr>
        <w:t>1111/j.1365-2958.2009.06851.x]</w:t>
      </w:r>
    </w:p>
    <w:p w14:paraId="621C00A8" w14:textId="7315A32C"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101 </w:t>
      </w:r>
      <w:r w:rsidRPr="002D569F">
        <w:rPr>
          <w:rFonts w:ascii="Book Antiqua" w:eastAsia="宋体" w:hAnsi="Book Antiqua" w:cs="宋体"/>
          <w:b/>
          <w:bCs/>
          <w:color w:val="000000"/>
          <w:sz w:val="24"/>
          <w:szCs w:val="24"/>
          <w:lang w:eastAsia="zh-CN"/>
        </w:rPr>
        <w:t>Arnvig KB</w:t>
      </w:r>
      <w:r w:rsidRPr="002D569F">
        <w:rPr>
          <w:rFonts w:ascii="Book Antiqua" w:eastAsia="宋体" w:hAnsi="Book Antiqua" w:cs="宋体"/>
          <w:color w:val="000000"/>
          <w:sz w:val="24"/>
          <w:szCs w:val="24"/>
          <w:lang w:eastAsia="zh-CN"/>
        </w:rPr>
        <w:t>, Young DB.</w:t>
      </w:r>
      <w:proofErr w:type="gramEnd"/>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Identification of small RNAs in Mycobacterium tuberculosis.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73</w:t>
      </w:r>
      <w:r w:rsidRPr="002D569F">
        <w:rPr>
          <w:rFonts w:ascii="Book Antiqua" w:eastAsia="宋体" w:hAnsi="Book Antiqua" w:cs="宋体"/>
          <w:color w:val="000000"/>
          <w:sz w:val="24"/>
          <w:szCs w:val="24"/>
          <w:lang w:eastAsia="zh-CN"/>
        </w:rPr>
        <w:t>: 397-408 [PMID: 19555452 DOI: 10.</w:t>
      </w:r>
      <w:r w:rsidR="008F20D9">
        <w:rPr>
          <w:rFonts w:ascii="Book Antiqua" w:eastAsia="宋体" w:hAnsi="Book Antiqua" w:cs="宋体"/>
          <w:color w:val="000000"/>
          <w:sz w:val="24"/>
          <w:szCs w:val="24"/>
          <w:lang w:eastAsia="zh-CN"/>
        </w:rPr>
        <w:t>1111/j.1365-2958.2009.06777.x]</w:t>
      </w:r>
    </w:p>
    <w:p w14:paraId="675228A9" w14:textId="4E840772"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102 </w:t>
      </w:r>
      <w:r w:rsidRPr="002D569F">
        <w:rPr>
          <w:rFonts w:ascii="Book Antiqua" w:eastAsia="宋体" w:hAnsi="Book Antiqua" w:cs="宋体"/>
          <w:b/>
          <w:bCs/>
          <w:color w:val="000000"/>
          <w:sz w:val="24"/>
          <w:szCs w:val="24"/>
          <w:lang w:eastAsia="zh-CN"/>
        </w:rPr>
        <w:t>Arnvig KB</w:t>
      </w:r>
      <w:r w:rsidRPr="002D569F">
        <w:rPr>
          <w:rFonts w:ascii="Book Antiqua" w:eastAsia="宋体" w:hAnsi="Book Antiqua" w:cs="宋体"/>
          <w:color w:val="000000"/>
          <w:sz w:val="24"/>
          <w:szCs w:val="24"/>
          <w:lang w:eastAsia="zh-CN"/>
        </w:rPr>
        <w:t>, Comas I, Thomson NR, Houghton J, Boshoff HI, Croucher NJ, Rose G, Perkins TT, Parkhill J, Dougan G, Young DB. Sequence-based analysis uncovers an abundance of non-coding RNA in the total transcriptome of Mycobacterium tuberculosis. </w:t>
      </w:r>
      <w:r w:rsidRPr="002D569F">
        <w:rPr>
          <w:rFonts w:ascii="Book Antiqua" w:eastAsia="宋体" w:hAnsi="Book Antiqua" w:cs="宋体"/>
          <w:i/>
          <w:iCs/>
          <w:color w:val="000000"/>
          <w:sz w:val="24"/>
          <w:szCs w:val="24"/>
          <w:lang w:eastAsia="zh-CN"/>
        </w:rPr>
        <w:t>PLoS Pathog</w:t>
      </w:r>
      <w:r w:rsidRPr="002D569F">
        <w:rPr>
          <w:rFonts w:ascii="Book Antiqua" w:eastAsia="宋体" w:hAnsi="Book Antiqua" w:cs="宋体"/>
          <w:color w:val="000000"/>
          <w:sz w:val="24"/>
          <w:szCs w:val="24"/>
          <w:lang w:eastAsia="zh-CN"/>
        </w:rPr>
        <w:t> 2011; </w:t>
      </w:r>
      <w:r w:rsidRPr="002D569F">
        <w:rPr>
          <w:rFonts w:ascii="Book Antiqua" w:eastAsia="宋体" w:hAnsi="Book Antiqua" w:cs="宋体"/>
          <w:b/>
          <w:bCs/>
          <w:color w:val="000000"/>
          <w:sz w:val="24"/>
          <w:szCs w:val="24"/>
          <w:lang w:eastAsia="zh-CN"/>
        </w:rPr>
        <w:t>7</w:t>
      </w:r>
      <w:r w:rsidRPr="002D569F">
        <w:rPr>
          <w:rFonts w:ascii="Book Antiqua" w:eastAsia="宋体" w:hAnsi="Book Antiqua" w:cs="宋体"/>
          <w:color w:val="000000"/>
          <w:sz w:val="24"/>
          <w:szCs w:val="24"/>
          <w:lang w:eastAsia="zh-CN"/>
        </w:rPr>
        <w:t>: e1002342 [PMID: 22072964 DOI:</w:t>
      </w:r>
      <w:r w:rsidR="008F20D9">
        <w:rPr>
          <w:rFonts w:ascii="Book Antiqua" w:eastAsia="宋体" w:hAnsi="Book Antiqua" w:cs="宋体"/>
          <w:color w:val="000000"/>
          <w:sz w:val="24"/>
          <w:szCs w:val="24"/>
          <w:lang w:eastAsia="zh-CN"/>
        </w:rPr>
        <w:t xml:space="preserve"> 10.1371/journal.ppat.1002342]</w:t>
      </w:r>
    </w:p>
    <w:p w14:paraId="55EED05B" w14:textId="62762BB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103 </w:t>
      </w:r>
      <w:r w:rsidRPr="002D569F">
        <w:rPr>
          <w:rFonts w:ascii="Book Antiqua" w:eastAsia="宋体" w:hAnsi="Book Antiqua" w:cs="宋体"/>
          <w:b/>
          <w:bCs/>
          <w:color w:val="000000"/>
          <w:sz w:val="24"/>
          <w:szCs w:val="24"/>
          <w:lang w:eastAsia="zh-CN"/>
        </w:rPr>
        <w:t>DiChiara JM</w:t>
      </w:r>
      <w:r w:rsidRPr="002D569F">
        <w:rPr>
          <w:rFonts w:ascii="Book Antiqua" w:eastAsia="宋体" w:hAnsi="Book Antiqua" w:cs="宋体"/>
          <w:color w:val="000000"/>
          <w:sz w:val="24"/>
          <w:szCs w:val="24"/>
          <w:lang w:eastAsia="zh-CN"/>
        </w:rPr>
        <w:t>, Contreras-Martinez LM, Livny J, Smith D, McDonough KA, Belfort M. Multiple small RNAs identified in Mycobacterium bovis BCG are also expressed in Mycobacterium tuberculosis and Mycobacterium smegmatis.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38</w:t>
      </w:r>
      <w:r w:rsidRPr="002D569F">
        <w:rPr>
          <w:rFonts w:ascii="Book Antiqua" w:eastAsia="宋体" w:hAnsi="Book Antiqua" w:cs="宋体"/>
          <w:color w:val="000000"/>
          <w:sz w:val="24"/>
          <w:szCs w:val="24"/>
          <w:lang w:eastAsia="zh-CN"/>
        </w:rPr>
        <w:t>: 4067-4078 [PMID: 201</w:t>
      </w:r>
      <w:r w:rsidR="008F20D9">
        <w:rPr>
          <w:rFonts w:ascii="Book Antiqua" w:eastAsia="宋体" w:hAnsi="Book Antiqua" w:cs="宋体"/>
          <w:color w:val="000000"/>
          <w:sz w:val="24"/>
          <w:szCs w:val="24"/>
          <w:lang w:eastAsia="zh-CN"/>
        </w:rPr>
        <w:t>81675 DOI: 10.1093/nar/gkq101]</w:t>
      </w:r>
    </w:p>
    <w:p w14:paraId="45BC21A7" w14:textId="6F4C1CF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104 </w:t>
      </w:r>
      <w:r w:rsidRPr="002D569F">
        <w:rPr>
          <w:rFonts w:ascii="Book Antiqua" w:eastAsia="宋体" w:hAnsi="Book Antiqua" w:cs="宋体"/>
          <w:b/>
          <w:bCs/>
          <w:color w:val="000000"/>
          <w:sz w:val="24"/>
          <w:szCs w:val="24"/>
          <w:lang w:eastAsia="zh-CN"/>
        </w:rPr>
        <w:t>Tsai CH</w:t>
      </w:r>
      <w:r w:rsidRPr="002D569F">
        <w:rPr>
          <w:rFonts w:ascii="Book Antiqua" w:eastAsia="宋体" w:hAnsi="Book Antiqua" w:cs="宋体"/>
          <w:color w:val="000000"/>
          <w:sz w:val="24"/>
          <w:szCs w:val="24"/>
          <w:lang w:eastAsia="zh-CN"/>
        </w:rPr>
        <w:t xml:space="preserve">, Baranowski C, Livny J, McDonough KA, Wade JT, Contreras LM. </w:t>
      </w:r>
      <w:proofErr w:type="gramStart"/>
      <w:r w:rsidRPr="002D569F">
        <w:rPr>
          <w:rFonts w:ascii="Book Antiqua" w:eastAsia="宋体" w:hAnsi="Book Antiqua" w:cs="宋体"/>
          <w:color w:val="000000"/>
          <w:sz w:val="24"/>
          <w:szCs w:val="24"/>
          <w:lang w:eastAsia="zh-CN"/>
        </w:rPr>
        <w:t>Identification of novel sRNAs in mycobacterial species.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PLoS One</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e79411 [PMID: 24244498 DOI:</w:t>
      </w:r>
      <w:r w:rsidR="008F20D9">
        <w:rPr>
          <w:rFonts w:ascii="Book Antiqua" w:eastAsia="宋体" w:hAnsi="Book Antiqua" w:cs="宋体"/>
          <w:color w:val="000000"/>
          <w:sz w:val="24"/>
          <w:szCs w:val="24"/>
          <w:lang w:eastAsia="zh-CN"/>
        </w:rPr>
        <w:t xml:space="preserve"> 10.1371/journal.pone.0079411]</w:t>
      </w:r>
    </w:p>
    <w:p w14:paraId="5D63E167" w14:textId="267BC36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105 </w:t>
      </w:r>
      <w:r w:rsidRPr="002D569F">
        <w:rPr>
          <w:rFonts w:ascii="Book Antiqua" w:eastAsia="宋体" w:hAnsi="Book Antiqua" w:cs="宋体"/>
          <w:b/>
          <w:bCs/>
          <w:color w:val="000000"/>
          <w:sz w:val="24"/>
          <w:szCs w:val="24"/>
          <w:lang w:eastAsia="zh-CN"/>
        </w:rPr>
        <w:t>Pelly S</w:t>
      </w:r>
      <w:r w:rsidRPr="002D569F">
        <w:rPr>
          <w:rFonts w:ascii="Book Antiqua" w:eastAsia="宋体" w:hAnsi="Book Antiqua" w:cs="宋体"/>
          <w:color w:val="000000"/>
          <w:sz w:val="24"/>
          <w:szCs w:val="24"/>
          <w:lang w:eastAsia="zh-CN"/>
        </w:rPr>
        <w:t>, Bishai WR, Lamichhane G. A screen for non-coding RNA in Mycobacterium tuberculosis reveals a cAMP-responsive RNA that is expressed during infection. </w:t>
      </w:r>
      <w:r w:rsidRPr="002D569F">
        <w:rPr>
          <w:rFonts w:ascii="Book Antiqua" w:eastAsia="宋体" w:hAnsi="Book Antiqua" w:cs="宋体"/>
          <w:i/>
          <w:iCs/>
          <w:color w:val="000000"/>
          <w:sz w:val="24"/>
          <w:szCs w:val="24"/>
          <w:lang w:eastAsia="zh-CN"/>
        </w:rPr>
        <w:t>Gene</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500</w:t>
      </w:r>
      <w:r w:rsidRPr="002D569F">
        <w:rPr>
          <w:rFonts w:ascii="Book Antiqua" w:eastAsia="宋体" w:hAnsi="Book Antiqua" w:cs="宋体"/>
          <w:color w:val="000000"/>
          <w:sz w:val="24"/>
          <w:szCs w:val="24"/>
          <w:lang w:eastAsia="zh-CN"/>
        </w:rPr>
        <w:t>: 85-92 [PMID: 22446041 DO</w:t>
      </w:r>
      <w:r w:rsidR="008F20D9">
        <w:rPr>
          <w:rFonts w:ascii="Book Antiqua" w:eastAsia="宋体" w:hAnsi="Book Antiqua" w:cs="宋体"/>
          <w:color w:val="000000"/>
          <w:sz w:val="24"/>
          <w:szCs w:val="24"/>
          <w:lang w:eastAsia="zh-CN"/>
        </w:rPr>
        <w:t>I: 10.1016/j.gene.2012.03.044]</w:t>
      </w:r>
    </w:p>
    <w:p w14:paraId="5BCB0F2C" w14:textId="49B956E0"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106 </w:t>
      </w:r>
      <w:r w:rsidRPr="002D569F">
        <w:rPr>
          <w:rFonts w:ascii="Book Antiqua" w:eastAsia="宋体" w:hAnsi="Book Antiqua" w:cs="宋体"/>
          <w:b/>
          <w:bCs/>
          <w:color w:val="000000"/>
          <w:sz w:val="24"/>
          <w:szCs w:val="24"/>
          <w:lang w:eastAsia="zh-CN"/>
        </w:rPr>
        <w:t>Warner DF</w:t>
      </w:r>
      <w:r w:rsidRPr="002D569F">
        <w:rPr>
          <w:rFonts w:ascii="Book Antiqua" w:eastAsia="宋体" w:hAnsi="Book Antiqua" w:cs="宋体"/>
          <w:color w:val="000000"/>
          <w:sz w:val="24"/>
          <w:szCs w:val="24"/>
          <w:lang w:eastAsia="zh-CN"/>
        </w:rPr>
        <w:t>, Savvi S, Mizrahi V, Dawes SS.</w:t>
      </w:r>
      <w:proofErr w:type="gramEnd"/>
      <w:r w:rsidRPr="002D569F">
        <w:rPr>
          <w:rFonts w:ascii="Book Antiqua" w:eastAsia="宋体" w:hAnsi="Book Antiqua" w:cs="宋体"/>
          <w:color w:val="000000"/>
          <w:sz w:val="24"/>
          <w:szCs w:val="24"/>
          <w:lang w:eastAsia="zh-CN"/>
        </w:rPr>
        <w:t xml:space="preserve"> A riboswitch regulates expression of the coenzyme B12-independent methionine synthase in Mycobacterium tuberculosis: implications for differential methionine synthase function in strains H37Rv and CDC1551.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189</w:t>
      </w:r>
      <w:r w:rsidRPr="002D569F">
        <w:rPr>
          <w:rFonts w:ascii="Book Antiqua" w:eastAsia="宋体" w:hAnsi="Book Antiqua" w:cs="宋体"/>
          <w:color w:val="000000"/>
          <w:sz w:val="24"/>
          <w:szCs w:val="24"/>
          <w:lang w:eastAsia="zh-CN"/>
        </w:rPr>
        <w:t>: 3655-3659 [PMID: 1730</w:t>
      </w:r>
      <w:r w:rsidR="008F20D9">
        <w:rPr>
          <w:rFonts w:ascii="Book Antiqua" w:eastAsia="宋体" w:hAnsi="Book Antiqua" w:cs="宋体"/>
          <w:color w:val="000000"/>
          <w:sz w:val="24"/>
          <w:szCs w:val="24"/>
          <w:lang w:eastAsia="zh-CN"/>
        </w:rPr>
        <w:t>7844 DOI: 10.1128/JB.00040-07]</w:t>
      </w:r>
    </w:p>
    <w:p w14:paraId="1811F443" w14:textId="318E3A7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107 </w:t>
      </w:r>
      <w:r w:rsidRPr="002D569F">
        <w:rPr>
          <w:rFonts w:ascii="Book Antiqua" w:eastAsia="宋体" w:hAnsi="Book Antiqua" w:cs="宋体"/>
          <w:b/>
          <w:bCs/>
          <w:color w:val="000000"/>
          <w:sz w:val="24"/>
          <w:szCs w:val="24"/>
          <w:lang w:eastAsia="zh-CN"/>
        </w:rPr>
        <w:t>Miotto P</w:t>
      </w:r>
      <w:r w:rsidRPr="002D569F">
        <w:rPr>
          <w:rFonts w:ascii="Book Antiqua" w:eastAsia="宋体" w:hAnsi="Book Antiqua" w:cs="宋体"/>
          <w:color w:val="000000"/>
          <w:sz w:val="24"/>
          <w:szCs w:val="24"/>
          <w:lang w:eastAsia="zh-CN"/>
        </w:rPr>
        <w:t>, Forti F, Ambrosi A, Pellin D, Veiga DF, Balazsi G, Gennaro ML, Di Serio C, Ghisotti D, Cirillo DM. Genome-wide discovery of small RNAs in Mycobacterium tuberculosis. </w:t>
      </w:r>
      <w:r w:rsidRPr="002D569F">
        <w:rPr>
          <w:rFonts w:ascii="Book Antiqua" w:eastAsia="宋体" w:hAnsi="Book Antiqua" w:cs="宋体"/>
          <w:i/>
          <w:iCs/>
          <w:color w:val="000000"/>
          <w:sz w:val="24"/>
          <w:szCs w:val="24"/>
          <w:lang w:eastAsia="zh-CN"/>
        </w:rPr>
        <w:t>PLoS One</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7</w:t>
      </w:r>
      <w:r w:rsidRPr="002D569F">
        <w:rPr>
          <w:rFonts w:ascii="Book Antiqua" w:eastAsia="宋体" w:hAnsi="Book Antiqua" w:cs="宋体"/>
          <w:color w:val="000000"/>
          <w:sz w:val="24"/>
          <w:szCs w:val="24"/>
          <w:lang w:eastAsia="zh-CN"/>
        </w:rPr>
        <w:t>: e51950 [PMID: 23284830 DOI:</w:t>
      </w:r>
      <w:r w:rsidR="008F20D9">
        <w:rPr>
          <w:rFonts w:ascii="Book Antiqua" w:eastAsia="宋体" w:hAnsi="Book Antiqua" w:cs="宋体"/>
          <w:color w:val="000000"/>
          <w:sz w:val="24"/>
          <w:szCs w:val="24"/>
          <w:lang w:eastAsia="zh-CN"/>
        </w:rPr>
        <w:t xml:space="preserve"> 10.1371/journal.pone.0051950]</w:t>
      </w:r>
    </w:p>
    <w:p w14:paraId="03D469B0" w14:textId="0F992A6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108 </w:t>
      </w:r>
      <w:r w:rsidRPr="002D569F">
        <w:rPr>
          <w:rFonts w:ascii="Book Antiqua" w:eastAsia="宋体" w:hAnsi="Book Antiqua" w:cs="宋体"/>
          <w:b/>
          <w:bCs/>
          <w:color w:val="000000"/>
          <w:sz w:val="24"/>
          <w:szCs w:val="24"/>
          <w:lang w:eastAsia="zh-CN"/>
        </w:rPr>
        <w:t>Hartkoorn RC</w:t>
      </w:r>
      <w:r w:rsidRPr="002D569F">
        <w:rPr>
          <w:rFonts w:ascii="Book Antiqua" w:eastAsia="宋体" w:hAnsi="Book Antiqua" w:cs="宋体"/>
          <w:color w:val="000000"/>
          <w:sz w:val="24"/>
          <w:szCs w:val="24"/>
          <w:lang w:eastAsia="zh-CN"/>
        </w:rPr>
        <w:t>, Sala C, Uplekar S, Busso P, Rougemont J, Cole ST. Genome-wide definition of the SigF regulon in Mycobacterium tuberculosis.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194</w:t>
      </w:r>
      <w:r w:rsidRPr="002D569F">
        <w:rPr>
          <w:rFonts w:ascii="Book Antiqua" w:eastAsia="宋体" w:hAnsi="Book Antiqua" w:cs="宋体"/>
          <w:color w:val="000000"/>
          <w:sz w:val="24"/>
          <w:szCs w:val="24"/>
          <w:lang w:eastAsia="zh-CN"/>
        </w:rPr>
        <w:t>: 2001-2009 [PMID: 2230</w:t>
      </w:r>
      <w:r w:rsidR="008F20D9">
        <w:rPr>
          <w:rFonts w:ascii="Book Antiqua" w:eastAsia="宋体" w:hAnsi="Book Antiqua" w:cs="宋体"/>
          <w:color w:val="000000"/>
          <w:sz w:val="24"/>
          <w:szCs w:val="24"/>
          <w:lang w:eastAsia="zh-CN"/>
        </w:rPr>
        <w:t>7756 DOI: 10.1128/JB.06692-11]</w:t>
      </w:r>
    </w:p>
    <w:p w14:paraId="06E73306" w14:textId="0C0F411F"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109 </w:t>
      </w:r>
      <w:r w:rsidRPr="002D569F">
        <w:rPr>
          <w:rFonts w:ascii="Book Antiqua" w:eastAsia="宋体" w:hAnsi="Book Antiqua" w:cs="宋体"/>
          <w:b/>
          <w:bCs/>
          <w:color w:val="000000"/>
          <w:sz w:val="24"/>
          <w:szCs w:val="24"/>
          <w:lang w:eastAsia="zh-CN"/>
        </w:rPr>
        <w:t>Houghton J</w:t>
      </w:r>
      <w:r w:rsidRPr="002D569F">
        <w:rPr>
          <w:rFonts w:ascii="Book Antiqua" w:eastAsia="宋体" w:hAnsi="Book Antiqua" w:cs="宋体"/>
          <w:color w:val="000000"/>
          <w:sz w:val="24"/>
          <w:szCs w:val="24"/>
          <w:lang w:eastAsia="zh-CN"/>
        </w:rPr>
        <w:t>, Cortes T, Schubert O, Rose G, Rodgers A, De Ste Croix M, Aebersold R, Young DB, Arnvig KB. A small RNA encoded in the Rv2660c locus of Mycobacterium tuberculosis is induced during starvation and infection. </w:t>
      </w:r>
      <w:r w:rsidRPr="002D569F">
        <w:rPr>
          <w:rFonts w:ascii="Book Antiqua" w:eastAsia="宋体" w:hAnsi="Book Antiqua" w:cs="宋体"/>
          <w:i/>
          <w:iCs/>
          <w:color w:val="000000"/>
          <w:sz w:val="24"/>
          <w:szCs w:val="24"/>
          <w:lang w:eastAsia="zh-CN"/>
        </w:rPr>
        <w:t>PLoS One</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e80047 [PMID: 24348997 DOI:</w:t>
      </w:r>
      <w:r w:rsidR="008F20D9">
        <w:rPr>
          <w:rFonts w:ascii="Book Antiqua" w:eastAsia="宋体" w:hAnsi="Book Antiqua" w:cs="宋体"/>
          <w:color w:val="000000"/>
          <w:sz w:val="24"/>
          <w:szCs w:val="24"/>
          <w:lang w:eastAsia="zh-CN"/>
        </w:rPr>
        <w:t xml:space="preserve"> 10.1371/journal.pone.0080047]</w:t>
      </w:r>
    </w:p>
    <w:p w14:paraId="6E9D157D" w14:textId="6BD72EA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110 </w:t>
      </w:r>
      <w:r w:rsidRPr="002D569F">
        <w:rPr>
          <w:rFonts w:ascii="Book Antiqua" w:eastAsia="宋体" w:hAnsi="Book Antiqua" w:cs="宋体"/>
          <w:b/>
          <w:bCs/>
          <w:color w:val="000000"/>
          <w:sz w:val="24"/>
          <w:szCs w:val="24"/>
          <w:lang w:eastAsia="zh-CN"/>
        </w:rPr>
        <w:t>McGuire AM</w:t>
      </w:r>
      <w:r w:rsidRPr="002D569F">
        <w:rPr>
          <w:rFonts w:ascii="Book Antiqua" w:eastAsia="宋体" w:hAnsi="Book Antiqua" w:cs="宋体"/>
          <w:color w:val="000000"/>
          <w:sz w:val="24"/>
          <w:szCs w:val="24"/>
          <w:lang w:eastAsia="zh-CN"/>
        </w:rPr>
        <w:t>, Weiner B, Park ST, Wapinski I, Raman S, Dolganov G, Peterson M, Riley R, Zucker J, Abeel T, White J, Sisk P, Stolte C, Koehrsen M, Yamamoto RT, Iacobelli-Martinez M, Kidd MJ, Maer AM, Schoolnik GK, Regev A, Galagan J. Comparative analysis of Mycobacterium and related Actinomycetes yields insight into the evolution of Mycobacterium tuberculosis pathogenesis. </w:t>
      </w:r>
      <w:r w:rsidRPr="002D569F">
        <w:rPr>
          <w:rFonts w:ascii="Book Antiqua" w:eastAsia="宋体" w:hAnsi="Book Antiqua" w:cs="宋体"/>
          <w:i/>
          <w:iCs/>
          <w:color w:val="000000"/>
          <w:sz w:val="24"/>
          <w:szCs w:val="24"/>
          <w:lang w:eastAsia="zh-CN"/>
        </w:rPr>
        <w:t>BMC Genomics</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13</w:t>
      </w:r>
      <w:r w:rsidRPr="002D569F">
        <w:rPr>
          <w:rFonts w:ascii="Book Antiqua" w:eastAsia="宋体" w:hAnsi="Book Antiqua" w:cs="宋体"/>
          <w:color w:val="000000"/>
          <w:sz w:val="24"/>
          <w:szCs w:val="24"/>
          <w:lang w:eastAsia="zh-CN"/>
        </w:rPr>
        <w:t xml:space="preserve">: 120 [PMID: 22452820 </w:t>
      </w:r>
      <w:r w:rsidR="008F20D9">
        <w:rPr>
          <w:rFonts w:ascii="Book Antiqua" w:eastAsia="宋体" w:hAnsi="Book Antiqua" w:cs="宋体"/>
          <w:color w:val="000000"/>
          <w:sz w:val="24"/>
          <w:szCs w:val="24"/>
          <w:lang w:eastAsia="zh-CN"/>
        </w:rPr>
        <w:t>DOI: 10.1186/1471-2164-13-120]</w:t>
      </w:r>
    </w:p>
    <w:p w14:paraId="1B4E51FA" w14:textId="3377AB6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111 </w:t>
      </w:r>
      <w:r w:rsidRPr="002D569F">
        <w:rPr>
          <w:rFonts w:ascii="Book Antiqua" w:eastAsia="宋体" w:hAnsi="Book Antiqua" w:cs="宋体"/>
          <w:b/>
          <w:bCs/>
          <w:color w:val="000000"/>
          <w:sz w:val="24"/>
          <w:szCs w:val="24"/>
          <w:lang w:eastAsia="zh-CN"/>
        </w:rPr>
        <w:t>Golby P</w:t>
      </w:r>
      <w:r w:rsidRPr="002D569F">
        <w:rPr>
          <w:rFonts w:ascii="Book Antiqua" w:eastAsia="宋体" w:hAnsi="Book Antiqua" w:cs="宋体"/>
          <w:color w:val="000000"/>
          <w:sz w:val="24"/>
          <w:szCs w:val="24"/>
          <w:lang w:eastAsia="zh-CN"/>
        </w:rPr>
        <w:t>, Nunez J, Witney A, Hinds J, Quail MA, Bentley S, Harris S, Smith N, Hewinson RG, Gordon SV. Genome-level analyses of Mycobacterium bovis lineages reveal the role of SNPs and antisense transcription in differential gene expression. </w:t>
      </w:r>
      <w:r w:rsidRPr="002D569F">
        <w:rPr>
          <w:rFonts w:ascii="Book Antiqua" w:eastAsia="宋体" w:hAnsi="Book Antiqua" w:cs="宋体"/>
          <w:i/>
          <w:iCs/>
          <w:color w:val="000000"/>
          <w:sz w:val="24"/>
          <w:szCs w:val="24"/>
          <w:lang w:eastAsia="zh-CN"/>
        </w:rPr>
        <w:t>BMC Genomics</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14</w:t>
      </w:r>
      <w:r w:rsidRPr="002D569F">
        <w:rPr>
          <w:rFonts w:ascii="Book Antiqua" w:eastAsia="宋体" w:hAnsi="Book Antiqua" w:cs="宋体"/>
          <w:color w:val="000000"/>
          <w:sz w:val="24"/>
          <w:szCs w:val="24"/>
          <w:lang w:eastAsia="zh-CN"/>
        </w:rPr>
        <w:t xml:space="preserve">: 710 [PMID: 24134787 </w:t>
      </w:r>
      <w:r w:rsidR="008F20D9">
        <w:rPr>
          <w:rFonts w:ascii="Book Antiqua" w:eastAsia="宋体" w:hAnsi="Book Antiqua" w:cs="宋体"/>
          <w:color w:val="000000"/>
          <w:sz w:val="24"/>
          <w:szCs w:val="24"/>
          <w:lang w:eastAsia="zh-CN"/>
        </w:rPr>
        <w:t>DOI: 10.1186/1471-2164-14-710]</w:t>
      </w:r>
    </w:p>
    <w:p w14:paraId="26AB9726" w14:textId="51C3147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112 </w:t>
      </w:r>
      <w:r w:rsidRPr="002D569F">
        <w:rPr>
          <w:rFonts w:ascii="Book Antiqua" w:eastAsia="宋体" w:hAnsi="Book Antiqua" w:cs="宋体"/>
          <w:b/>
          <w:bCs/>
          <w:color w:val="000000"/>
          <w:sz w:val="24"/>
          <w:szCs w:val="24"/>
          <w:lang w:eastAsia="zh-CN"/>
        </w:rPr>
        <w:t>Ignatov D</w:t>
      </w:r>
      <w:r w:rsidRPr="002D569F">
        <w:rPr>
          <w:rFonts w:ascii="Book Antiqua" w:eastAsia="宋体" w:hAnsi="Book Antiqua" w:cs="宋体"/>
          <w:color w:val="000000"/>
          <w:sz w:val="24"/>
          <w:szCs w:val="24"/>
          <w:lang w:eastAsia="zh-CN"/>
        </w:rPr>
        <w:t>, Malakho S, Majorov K, Skvortsov T, Apt A, Azhikina T. RNA-Seq analysis of Mycobacterium avium non-coding transcriptome. </w:t>
      </w:r>
      <w:r w:rsidRPr="002D569F">
        <w:rPr>
          <w:rFonts w:ascii="Book Antiqua" w:eastAsia="宋体" w:hAnsi="Book Antiqua" w:cs="宋体"/>
          <w:i/>
          <w:iCs/>
          <w:color w:val="000000"/>
          <w:sz w:val="24"/>
          <w:szCs w:val="24"/>
          <w:lang w:eastAsia="zh-CN"/>
        </w:rPr>
        <w:t>PLoS One</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e74209 [PMID: 24066122 DOI:</w:t>
      </w:r>
      <w:r w:rsidR="008F20D9">
        <w:rPr>
          <w:rFonts w:ascii="Book Antiqua" w:eastAsia="宋体" w:hAnsi="Book Antiqua" w:cs="宋体"/>
          <w:color w:val="000000"/>
          <w:sz w:val="24"/>
          <w:szCs w:val="24"/>
          <w:lang w:eastAsia="zh-CN"/>
        </w:rPr>
        <w:t xml:space="preserve"> 10.1371/journal.pone.0074209]</w:t>
      </w:r>
    </w:p>
    <w:p w14:paraId="1FD2508B" w14:textId="3695617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113 </w:t>
      </w:r>
      <w:r w:rsidRPr="002D569F">
        <w:rPr>
          <w:rFonts w:ascii="Book Antiqua" w:eastAsia="宋体" w:hAnsi="Book Antiqua" w:cs="宋体"/>
          <w:b/>
          <w:bCs/>
          <w:color w:val="000000"/>
          <w:sz w:val="24"/>
          <w:szCs w:val="24"/>
          <w:lang w:eastAsia="zh-CN"/>
        </w:rPr>
        <w:t>Li SK</w:t>
      </w:r>
      <w:r w:rsidRPr="002D569F">
        <w:rPr>
          <w:rFonts w:ascii="Book Antiqua" w:eastAsia="宋体" w:hAnsi="Book Antiqua" w:cs="宋体"/>
          <w:color w:val="000000"/>
          <w:sz w:val="24"/>
          <w:szCs w:val="24"/>
          <w:lang w:eastAsia="zh-CN"/>
        </w:rPr>
        <w:t>, Ng PK, Qin H, Lau JK, Lau JP, Tsui SK, Chan TF, Lau TC. Identification of small RNAs in Mycobacterium smegmatis using heterologous Hfq. </w:t>
      </w:r>
      <w:r w:rsidRPr="002D569F">
        <w:rPr>
          <w:rFonts w:ascii="Book Antiqua" w:eastAsia="宋体" w:hAnsi="Book Antiqua" w:cs="宋体"/>
          <w:i/>
          <w:iCs/>
          <w:color w:val="000000"/>
          <w:sz w:val="24"/>
          <w:szCs w:val="24"/>
          <w:lang w:eastAsia="zh-CN"/>
        </w:rPr>
        <w:t>RNA</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19</w:t>
      </w:r>
      <w:r w:rsidRPr="002D569F">
        <w:rPr>
          <w:rFonts w:ascii="Book Antiqua" w:eastAsia="宋体" w:hAnsi="Book Antiqua" w:cs="宋体"/>
          <w:color w:val="000000"/>
          <w:sz w:val="24"/>
          <w:szCs w:val="24"/>
          <w:lang w:eastAsia="zh-CN"/>
        </w:rPr>
        <w:t>: 74-84 [PMID: 2316979</w:t>
      </w:r>
      <w:r w:rsidR="008F20D9">
        <w:rPr>
          <w:rFonts w:ascii="Book Antiqua" w:eastAsia="宋体" w:hAnsi="Book Antiqua" w:cs="宋体"/>
          <w:color w:val="000000"/>
          <w:sz w:val="24"/>
          <w:szCs w:val="24"/>
          <w:lang w:eastAsia="zh-CN"/>
        </w:rPr>
        <w:t>9 DOI: 10.1261/rna.034116.112]</w:t>
      </w:r>
    </w:p>
    <w:p w14:paraId="62689FC3" w14:textId="281FF709"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114 </w:t>
      </w:r>
      <w:r w:rsidRPr="002D569F">
        <w:rPr>
          <w:rFonts w:ascii="Book Antiqua" w:eastAsia="宋体" w:hAnsi="Book Antiqua" w:cs="宋体"/>
          <w:b/>
          <w:bCs/>
          <w:color w:val="000000"/>
          <w:sz w:val="24"/>
          <w:szCs w:val="24"/>
          <w:lang w:eastAsia="zh-CN"/>
        </w:rPr>
        <w:t>Pandey SP</w:t>
      </w:r>
      <w:r w:rsidRPr="002D569F">
        <w:rPr>
          <w:rFonts w:ascii="Book Antiqua" w:eastAsia="宋体" w:hAnsi="Book Antiqua" w:cs="宋体"/>
          <w:color w:val="000000"/>
          <w:sz w:val="24"/>
          <w:szCs w:val="24"/>
          <w:lang w:eastAsia="zh-CN"/>
        </w:rPr>
        <w:t>, Minesinger BK, Kumar J, Walker GC.</w:t>
      </w:r>
      <w:proofErr w:type="gramEnd"/>
      <w:r w:rsidRPr="002D569F">
        <w:rPr>
          <w:rFonts w:ascii="Book Antiqua" w:eastAsia="宋体" w:hAnsi="Book Antiqua" w:cs="宋体"/>
          <w:color w:val="000000"/>
          <w:sz w:val="24"/>
          <w:szCs w:val="24"/>
          <w:lang w:eastAsia="zh-CN"/>
        </w:rPr>
        <w:t xml:space="preserve"> A highly conserved protein of unknown function in Sinorhizobium meliloti affects sRNA regulation similar to Hfq.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2011; </w:t>
      </w:r>
      <w:r w:rsidRPr="002D569F">
        <w:rPr>
          <w:rFonts w:ascii="Book Antiqua" w:eastAsia="宋体" w:hAnsi="Book Antiqua" w:cs="宋体"/>
          <w:b/>
          <w:bCs/>
          <w:color w:val="000000"/>
          <w:sz w:val="24"/>
          <w:szCs w:val="24"/>
          <w:lang w:eastAsia="zh-CN"/>
        </w:rPr>
        <w:t>39</w:t>
      </w:r>
      <w:r w:rsidRPr="002D569F">
        <w:rPr>
          <w:rFonts w:ascii="Book Antiqua" w:eastAsia="宋体" w:hAnsi="Book Antiqua" w:cs="宋体"/>
          <w:color w:val="000000"/>
          <w:sz w:val="24"/>
          <w:szCs w:val="24"/>
          <w:lang w:eastAsia="zh-CN"/>
        </w:rPr>
        <w:t>: 4691-4708 [PMID: 213</w:t>
      </w:r>
      <w:r w:rsidR="008F20D9">
        <w:rPr>
          <w:rFonts w:ascii="Book Antiqua" w:eastAsia="宋体" w:hAnsi="Book Antiqua" w:cs="宋体"/>
          <w:color w:val="000000"/>
          <w:sz w:val="24"/>
          <w:szCs w:val="24"/>
          <w:lang w:eastAsia="zh-CN"/>
        </w:rPr>
        <w:t>25267 DOI: 10.1093/nar/gkr060]</w:t>
      </w:r>
    </w:p>
    <w:p w14:paraId="62C5EFAD" w14:textId="69732B7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115 </w:t>
      </w:r>
      <w:r w:rsidRPr="002D569F">
        <w:rPr>
          <w:rFonts w:ascii="Book Antiqua" w:eastAsia="宋体" w:hAnsi="Book Antiqua" w:cs="宋体"/>
          <w:b/>
          <w:bCs/>
          <w:color w:val="000000"/>
          <w:sz w:val="24"/>
          <w:szCs w:val="24"/>
          <w:lang w:eastAsia="zh-CN"/>
        </w:rPr>
        <w:t>André G</w:t>
      </w:r>
      <w:r w:rsidRPr="002D569F">
        <w:rPr>
          <w:rFonts w:ascii="Book Antiqua" w:eastAsia="宋体" w:hAnsi="Book Antiqua" w:cs="宋体"/>
          <w:color w:val="000000"/>
          <w:sz w:val="24"/>
          <w:szCs w:val="24"/>
          <w:lang w:eastAsia="zh-CN"/>
        </w:rPr>
        <w:t>, Even S, Putzer H, Burguière P, Croux C, Danchin A, Martin-Verstraete I, Soutourina O. S-box and T-box riboswitches and antisense RNA control a sulfur metabolic operon of Clostridium acetobutylicum.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36</w:t>
      </w:r>
      <w:r w:rsidRPr="002D569F">
        <w:rPr>
          <w:rFonts w:ascii="Book Antiqua" w:eastAsia="宋体" w:hAnsi="Book Antiqua" w:cs="宋体"/>
          <w:color w:val="000000"/>
          <w:sz w:val="24"/>
          <w:szCs w:val="24"/>
          <w:lang w:eastAsia="zh-CN"/>
        </w:rPr>
        <w:t>: 5955-5969 [PMID: 188</w:t>
      </w:r>
      <w:r w:rsidR="008F20D9">
        <w:rPr>
          <w:rFonts w:ascii="Book Antiqua" w:eastAsia="宋体" w:hAnsi="Book Antiqua" w:cs="宋体"/>
          <w:color w:val="000000"/>
          <w:sz w:val="24"/>
          <w:szCs w:val="24"/>
          <w:lang w:eastAsia="zh-CN"/>
        </w:rPr>
        <w:t>12398 DOI: 10.1093/Nar/Gkn601]</w:t>
      </w:r>
    </w:p>
    <w:p w14:paraId="5E88B901" w14:textId="6D7AE6C2"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116 </w:t>
      </w:r>
      <w:r w:rsidRPr="002D569F">
        <w:rPr>
          <w:rFonts w:ascii="Book Antiqua" w:eastAsia="宋体" w:hAnsi="Book Antiqua" w:cs="宋体"/>
          <w:b/>
          <w:bCs/>
          <w:color w:val="000000"/>
          <w:sz w:val="24"/>
          <w:szCs w:val="24"/>
          <w:lang w:eastAsia="zh-CN"/>
        </w:rPr>
        <w:t>Callen BP</w:t>
      </w:r>
      <w:r w:rsidRPr="002D569F">
        <w:rPr>
          <w:rFonts w:ascii="Book Antiqua" w:eastAsia="宋体" w:hAnsi="Book Antiqua" w:cs="宋体"/>
          <w:color w:val="000000"/>
          <w:sz w:val="24"/>
          <w:szCs w:val="24"/>
          <w:lang w:eastAsia="zh-CN"/>
        </w:rPr>
        <w:t>, Shearwin KE, Egan JB. Transcriptional interference between convergent promoters caused by elongation over the promoter. </w:t>
      </w:r>
      <w:r w:rsidRPr="002D569F">
        <w:rPr>
          <w:rFonts w:ascii="Book Antiqua" w:eastAsia="宋体" w:hAnsi="Book Antiqua" w:cs="宋体"/>
          <w:i/>
          <w:iCs/>
          <w:color w:val="000000"/>
          <w:sz w:val="24"/>
          <w:szCs w:val="24"/>
          <w:lang w:eastAsia="zh-CN"/>
        </w:rPr>
        <w:t>Mol Cell</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14</w:t>
      </w:r>
      <w:r w:rsidRPr="002D569F">
        <w:rPr>
          <w:rFonts w:ascii="Book Antiqua" w:eastAsia="宋体" w:hAnsi="Book Antiqua" w:cs="宋体"/>
          <w:color w:val="000000"/>
          <w:sz w:val="24"/>
          <w:szCs w:val="24"/>
          <w:lang w:eastAsia="zh-CN"/>
        </w:rPr>
        <w:t>: 647-656 [PMID: 15175159 DOI:</w:t>
      </w:r>
      <w:r w:rsidR="008F20D9">
        <w:rPr>
          <w:rFonts w:ascii="Book Antiqua" w:eastAsia="宋体" w:hAnsi="Book Antiqua" w:cs="宋体"/>
          <w:color w:val="000000"/>
          <w:sz w:val="24"/>
          <w:szCs w:val="24"/>
          <w:lang w:eastAsia="zh-CN"/>
        </w:rPr>
        <w:t xml:space="preserve"> 10.1016/j.molcel.2004.05.010]</w:t>
      </w:r>
    </w:p>
    <w:p w14:paraId="3E2E508D" w14:textId="15F2A273"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117 </w:t>
      </w:r>
      <w:r w:rsidRPr="002D569F">
        <w:rPr>
          <w:rFonts w:ascii="Book Antiqua" w:eastAsia="宋体" w:hAnsi="Book Antiqua" w:cs="宋体"/>
          <w:b/>
          <w:bCs/>
          <w:color w:val="000000"/>
          <w:sz w:val="24"/>
          <w:szCs w:val="24"/>
          <w:lang w:eastAsia="zh-CN"/>
        </w:rPr>
        <w:t>Stork</w:t>
      </w:r>
      <w:proofErr w:type="gramEnd"/>
      <w:r w:rsidRPr="002D569F">
        <w:rPr>
          <w:rFonts w:ascii="Book Antiqua" w:eastAsia="宋体" w:hAnsi="Book Antiqua" w:cs="宋体"/>
          <w:b/>
          <w:bCs/>
          <w:color w:val="000000"/>
          <w:sz w:val="24"/>
          <w:szCs w:val="24"/>
          <w:lang w:eastAsia="zh-CN"/>
        </w:rPr>
        <w:t xml:space="preserve"> M</w:t>
      </w:r>
      <w:r w:rsidRPr="002D569F">
        <w:rPr>
          <w:rFonts w:ascii="Book Antiqua" w:eastAsia="宋体" w:hAnsi="Book Antiqua" w:cs="宋体"/>
          <w:color w:val="000000"/>
          <w:sz w:val="24"/>
          <w:szCs w:val="24"/>
          <w:lang w:eastAsia="zh-CN"/>
        </w:rPr>
        <w:t>, Di Lorenzo M, Welch TJ, Crosa JH. Transcription termination within the iron transport-biosynthesis operon of Vibrio anguillarum requires an antisense RNA.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189</w:t>
      </w:r>
      <w:r w:rsidRPr="002D569F">
        <w:rPr>
          <w:rFonts w:ascii="Book Antiqua" w:eastAsia="宋体" w:hAnsi="Book Antiqua" w:cs="宋体"/>
          <w:color w:val="000000"/>
          <w:sz w:val="24"/>
          <w:szCs w:val="24"/>
          <w:lang w:eastAsia="zh-CN"/>
        </w:rPr>
        <w:t>: 3479-3488 [PMID: 1733</w:t>
      </w:r>
      <w:r w:rsidR="008F20D9">
        <w:rPr>
          <w:rFonts w:ascii="Book Antiqua" w:eastAsia="宋体" w:hAnsi="Book Antiqua" w:cs="宋体"/>
          <w:color w:val="000000"/>
          <w:sz w:val="24"/>
          <w:szCs w:val="24"/>
          <w:lang w:eastAsia="zh-CN"/>
        </w:rPr>
        <w:t>7574 DOI: 10.1128/Jb.00619-06]</w:t>
      </w:r>
    </w:p>
    <w:p w14:paraId="11D50E5D"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118 </w:t>
      </w:r>
      <w:r w:rsidRPr="002D569F">
        <w:rPr>
          <w:rFonts w:ascii="Book Antiqua" w:eastAsia="宋体" w:hAnsi="Book Antiqua" w:cs="宋体"/>
          <w:b/>
          <w:bCs/>
          <w:color w:val="000000"/>
          <w:sz w:val="24"/>
          <w:szCs w:val="24"/>
          <w:lang w:eastAsia="zh-CN"/>
        </w:rPr>
        <w:t>Blomberg P</w:t>
      </w:r>
      <w:r w:rsidRPr="002D569F">
        <w:rPr>
          <w:rFonts w:ascii="Book Antiqua" w:eastAsia="宋体" w:hAnsi="Book Antiqua" w:cs="宋体"/>
          <w:color w:val="000000"/>
          <w:sz w:val="24"/>
          <w:szCs w:val="24"/>
          <w:lang w:eastAsia="zh-CN"/>
        </w:rPr>
        <w:t>, Wagner EG, Nordström K. Control of replication of plasmid R1: the duplex between the antisense RNA, CopA, and its target, CopT, is processed specifically in vivo and in vitro by RNase III. </w:t>
      </w:r>
      <w:r w:rsidRPr="002D569F">
        <w:rPr>
          <w:rFonts w:ascii="Book Antiqua" w:eastAsia="宋体" w:hAnsi="Book Antiqua" w:cs="宋体"/>
          <w:i/>
          <w:iCs/>
          <w:color w:val="000000"/>
          <w:sz w:val="24"/>
          <w:szCs w:val="24"/>
          <w:lang w:eastAsia="zh-CN"/>
        </w:rPr>
        <w:t>EMBO J</w:t>
      </w:r>
      <w:r w:rsidRPr="002D569F">
        <w:rPr>
          <w:rFonts w:ascii="Book Antiqua" w:eastAsia="宋体" w:hAnsi="Book Antiqua" w:cs="宋体"/>
          <w:color w:val="000000"/>
          <w:sz w:val="24"/>
          <w:szCs w:val="24"/>
          <w:lang w:eastAsia="zh-CN"/>
        </w:rPr>
        <w:t> 1990; </w:t>
      </w:r>
      <w:r w:rsidRPr="002D569F">
        <w:rPr>
          <w:rFonts w:ascii="Book Antiqua" w:eastAsia="宋体" w:hAnsi="Book Antiqua" w:cs="宋体"/>
          <w:b/>
          <w:bCs/>
          <w:color w:val="000000"/>
          <w:sz w:val="24"/>
          <w:szCs w:val="24"/>
          <w:lang w:eastAsia="zh-CN"/>
        </w:rPr>
        <w:t>9</w:t>
      </w:r>
      <w:r w:rsidRPr="002D569F">
        <w:rPr>
          <w:rFonts w:ascii="Book Antiqua" w:eastAsia="宋体" w:hAnsi="Book Antiqua" w:cs="宋体"/>
          <w:color w:val="000000"/>
          <w:sz w:val="24"/>
          <w:szCs w:val="24"/>
          <w:lang w:eastAsia="zh-CN"/>
        </w:rPr>
        <w:t>: 2331-2340 [PMID: 1694128]</w:t>
      </w:r>
    </w:p>
    <w:p w14:paraId="3594B0CC" w14:textId="438C895F"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119 </w:t>
      </w:r>
      <w:r w:rsidRPr="002D569F">
        <w:rPr>
          <w:rFonts w:ascii="Book Antiqua" w:eastAsia="宋体" w:hAnsi="Book Antiqua" w:cs="宋体"/>
          <w:b/>
          <w:bCs/>
          <w:color w:val="000000"/>
          <w:sz w:val="24"/>
          <w:szCs w:val="24"/>
          <w:lang w:eastAsia="zh-CN"/>
        </w:rPr>
        <w:t>Carpousis AJ</w:t>
      </w:r>
      <w:r w:rsidRPr="002D569F">
        <w:rPr>
          <w:rFonts w:ascii="Book Antiqua" w:eastAsia="宋体" w:hAnsi="Book Antiqua" w:cs="宋体"/>
          <w:color w:val="000000"/>
          <w:sz w:val="24"/>
          <w:szCs w:val="24"/>
          <w:lang w:eastAsia="zh-CN"/>
        </w:rPr>
        <w:t>, Luisi BF, McDowall KJ. Endonucleolytic initiation of mRNA decay in Escherichia coli. </w:t>
      </w:r>
      <w:r w:rsidRPr="002D569F">
        <w:rPr>
          <w:rFonts w:ascii="Book Antiqua" w:eastAsia="宋体" w:hAnsi="Book Antiqua" w:cs="宋体"/>
          <w:i/>
          <w:iCs/>
          <w:color w:val="000000"/>
          <w:sz w:val="24"/>
          <w:szCs w:val="24"/>
          <w:lang w:eastAsia="zh-CN"/>
        </w:rPr>
        <w:t>Prog Mol Biol Transl Sci</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85</w:t>
      </w:r>
      <w:r w:rsidRPr="002D569F">
        <w:rPr>
          <w:rFonts w:ascii="Book Antiqua" w:eastAsia="宋体" w:hAnsi="Book Antiqua" w:cs="宋体"/>
          <w:color w:val="000000"/>
          <w:sz w:val="24"/>
          <w:szCs w:val="24"/>
          <w:lang w:eastAsia="zh-CN"/>
        </w:rPr>
        <w:t>: 91-135 [PMID: 19215771 DOI: 10.1016/S00</w:t>
      </w:r>
      <w:r w:rsidR="008F20D9">
        <w:rPr>
          <w:rFonts w:ascii="Book Antiqua" w:eastAsia="宋体" w:hAnsi="Book Antiqua" w:cs="宋体"/>
          <w:color w:val="000000"/>
          <w:sz w:val="24"/>
          <w:szCs w:val="24"/>
          <w:lang w:eastAsia="zh-CN"/>
        </w:rPr>
        <w:t>79-6603(08)00803-9]</w:t>
      </w:r>
    </w:p>
    <w:p w14:paraId="244F3FA1"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120 </w:t>
      </w:r>
      <w:r w:rsidRPr="002D569F">
        <w:rPr>
          <w:rFonts w:ascii="Book Antiqua" w:eastAsia="宋体" w:hAnsi="Book Antiqua" w:cs="宋体"/>
          <w:b/>
          <w:bCs/>
          <w:color w:val="000000"/>
          <w:sz w:val="24"/>
          <w:szCs w:val="24"/>
          <w:lang w:eastAsia="zh-CN"/>
        </w:rPr>
        <w:t>Gerdes K</w:t>
      </w:r>
      <w:r w:rsidRPr="002D569F">
        <w:rPr>
          <w:rFonts w:ascii="Book Antiqua" w:eastAsia="宋体" w:hAnsi="Book Antiqua" w:cs="宋体"/>
          <w:color w:val="000000"/>
          <w:sz w:val="24"/>
          <w:szCs w:val="24"/>
          <w:lang w:eastAsia="zh-CN"/>
        </w:rPr>
        <w:t>, Nielsen A, Thorsted P, Wagner EG.</w:t>
      </w:r>
      <w:proofErr w:type="gramEnd"/>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Mechanism of killer gene activation.</w:t>
      </w:r>
      <w:proofErr w:type="gramEnd"/>
      <w:r w:rsidRPr="002D569F">
        <w:rPr>
          <w:rFonts w:ascii="Book Antiqua" w:eastAsia="宋体" w:hAnsi="Book Antiqua" w:cs="宋体"/>
          <w:color w:val="000000"/>
          <w:sz w:val="24"/>
          <w:szCs w:val="24"/>
          <w:lang w:eastAsia="zh-CN"/>
        </w:rPr>
        <w:t xml:space="preserve"> Antisense RNA-dependent RNase III cleavage ensures rapid turn-over of the stable hok, srnB and pndA effector messenger RNAs. </w:t>
      </w:r>
      <w:r w:rsidRPr="002D569F">
        <w:rPr>
          <w:rFonts w:ascii="Book Antiqua" w:eastAsia="宋体" w:hAnsi="Book Antiqua" w:cs="宋体"/>
          <w:i/>
          <w:iCs/>
          <w:color w:val="000000"/>
          <w:sz w:val="24"/>
          <w:szCs w:val="24"/>
          <w:lang w:eastAsia="zh-CN"/>
        </w:rPr>
        <w:t>J Mol Biol</w:t>
      </w:r>
      <w:r w:rsidRPr="002D569F">
        <w:rPr>
          <w:rFonts w:ascii="Book Antiqua" w:eastAsia="宋体" w:hAnsi="Book Antiqua" w:cs="宋体"/>
          <w:color w:val="000000"/>
          <w:sz w:val="24"/>
          <w:szCs w:val="24"/>
          <w:lang w:eastAsia="zh-CN"/>
        </w:rPr>
        <w:t> 1992; </w:t>
      </w:r>
      <w:r w:rsidRPr="002D569F">
        <w:rPr>
          <w:rFonts w:ascii="Book Antiqua" w:eastAsia="宋体" w:hAnsi="Book Antiqua" w:cs="宋体"/>
          <w:b/>
          <w:bCs/>
          <w:color w:val="000000"/>
          <w:sz w:val="24"/>
          <w:szCs w:val="24"/>
          <w:lang w:eastAsia="zh-CN"/>
        </w:rPr>
        <w:t>226</w:t>
      </w:r>
      <w:r w:rsidRPr="002D569F">
        <w:rPr>
          <w:rFonts w:ascii="Book Antiqua" w:eastAsia="宋体" w:hAnsi="Book Antiqua" w:cs="宋体"/>
          <w:color w:val="000000"/>
          <w:sz w:val="24"/>
          <w:szCs w:val="24"/>
          <w:lang w:eastAsia="zh-CN"/>
        </w:rPr>
        <w:t>: 637-649 [PMID: 1380562 DOI: 10.1016/0022-2836(92)90621-P]</w:t>
      </w:r>
    </w:p>
    <w:p w14:paraId="0F48BBD6"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121 </w:t>
      </w:r>
      <w:r w:rsidRPr="002D569F">
        <w:rPr>
          <w:rFonts w:ascii="Book Antiqua" w:eastAsia="宋体" w:hAnsi="Book Antiqua" w:cs="宋体"/>
          <w:b/>
          <w:bCs/>
          <w:color w:val="000000"/>
          <w:sz w:val="24"/>
          <w:szCs w:val="24"/>
          <w:lang w:eastAsia="zh-CN"/>
        </w:rPr>
        <w:t>Vogel J</w:t>
      </w:r>
      <w:r w:rsidRPr="002D569F">
        <w:rPr>
          <w:rFonts w:ascii="Book Antiqua" w:eastAsia="宋体" w:hAnsi="Book Antiqua" w:cs="宋体"/>
          <w:color w:val="000000"/>
          <w:sz w:val="24"/>
          <w:szCs w:val="24"/>
          <w:lang w:eastAsia="zh-CN"/>
        </w:rPr>
        <w:t>, Bartels V, Tang TH, Churakov G, Slagter-Jäger JG, Hüttenhofer A, Wagner EG. RNomics in Escherichia coli detects new sRNA species and indicates parallel transcriptional output in bacteria.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31</w:t>
      </w:r>
      <w:r w:rsidRPr="002D569F">
        <w:rPr>
          <w:rFonts w:ascii="Book Antiqua" w:eastAsia="宋体" w:hAnsi="Book Antiqua" w:cs="宋体"/>
          <w:color w:val="000000"/>
          <w:sz w:val="24"/>
          <w:szCs w:val="24"/>
          <w:lang w:eastAsia="zh-CN"/>
        </w:rPr>
        <w:t>: 6435-6443 [PMID: 14602901 DOI: 10.1093/nar/gkg867]</w:t>
      </w:r>
    </w:p>
    <w:p w14:paraId="745ACAFE" w14:textId="0E921890"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122 </w:t>
      </w:r>
      <w:r w:rsidRPr="002D569F">
        <w:rPr>
          <w:rFonts w:ascii="Book Antiqua" w:eastAsia="宋体" w:hAnsi="Book Antiqua" w:cs="宋体"/>
          <w:b/>
          <w:bCs/>
          <w:color w:val="000000"/>
          <w:sz w:val="24"/>
          <w:szCs w:val="24"/>
          <w:lang w:eastAsia="zh-CN"/>
        </w:rPr>
        <w:t>Saramago M</w:t>
      </w:r>
      <w:r w:rsidRPr="002D569F">
        <w:rPr>
          <w:rFonts w:ascii="Book Antiqua" w:eastAsia="宋体" w:hAnsi="Book Antiqua" w:cs="宋体"/>
          <w:color w:val="000000"/>
          <w:sz w:val="24"/>
          <w:szCs w:val="24"/>
          <w:lang w:eastAsia="zh-CN"/>
        </w:rPr>
        <w:t xml:space="preserve">, Bárria C, Dos Santos RF, Silva IJ, Pobre V, Domingues S, Andrade JM, Viegas SC, Arraiano CM. </w:t>
      </w:r>
      <w:proofErr w:type="gramStart"/>
      <w:r w:rsidRPr="002D569F">
        <w:rPr>
          <w:rFonts w:ascii="Book Antiqua" w:eastAsia="宋体" w:hAnsi="Book Antiqua" w:cs="宋体"/>
          <w:color w:val="000000"/>
          <w:sz w:val="24"/>
          <w:szCs w:val="24"/>
          <w:lang w:eastAsia="zh-CN"/>
        </w:rPr>
        <w:t>The role of RNases in the regulation of small RNAs.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Curr Opin Microbiol</w:t>
      </w:r>
      <w:r w:rsidRPr="002D569F">
        <w:rPr>
          <w:rFonts w:ascii="Book Antiqua" w:eastAsia="宋体" w:hAnsi="Book Antiqua" w:cs="宋体"/>
          <w:color w:val="000000"/>
          <w:sz w:val="24"/>
          <w:szCs w:val="24"/>
          <w:lang w:eastAsia="zh-CN"/>
        </w:rPr>
        <w:t> 2014; </w:t>
      </w:r>
      <w:r w:rsidRPr="002D569F">
        <w:rPr>
          <w:rFonts w:ascii="Book Antiqua" w:eastAsia="宋体" w:hAnsi="Book Antiqua" w:cs="宋体"/>
          <w:b/>
          <w:bCs/>
          <w:color w:val="000000"/>
          <w:sz w:val="24"/>
          <w:szCs w:val="24"/>
          <w:lang w:eastAsia="zh-CN"/>
        </w:rPr>
        <w:t>18</w:t>
      </w:r>
      <w:r w:rsidRPr="002D569F">
        <w:rPr>
          <w:rFonts w:ascii="Book Antiqua" w:eastAsia="宋体" w:hAnsi="Book Antiqua" w:cs="宋体"/>
          <w:color w:val="000000"/>
          <w:sz w:val="24"/>
          <w:szCs w:val="24"/>
          <w:lang w:eastAsia="zh-CN"/>
        </w:rPr>
        <w:t>: 105-115 [PMID: 24704578 D</w:t>
      </w:r>
      <w:r w:rsidR="008F20D9">
        <w:rPr>
          <w:rFonts w:ascii="Book Antiqua" w:eastAsia="宋体" w:hAnsi="Book Antiqua" w:cs="宋体"/>
          <w:color w:val="000000"/>
          <w:sz w:val="24"/>
          <w:szCs w:val="24"/>
          <w:lang w:eastAsia="zh-CN"/>
        </w:rPr>
        <w:t>OI: 10.1016/j.mib.2014.02.009]</w:t>
      </w:r>
    </w:p>
    <w:p w14:paraId="5A2A72B3" w14:textId="71A211D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123 </w:t>
      </w:r>
      <w:r w:rsidRPr="002D569F">
        <w:rPr>
          <w:rFonts w:ascii="Book Antiqua" w:eastAsia="宋体" w:hAnsi="Book Antiqua" w:cs="宋体"/>
          <w:b/>
          <w:bCs/>
          <w:color w:val="000000"/>
          <w:sz w:val="24"/>
          <w:szCs w:val="24"/>
          <w:lang w:eastAsia="zh-CN"/>
        </w:rPr>
        <w:t>Celesnik H</w:t>
      </w:r>
      <w:r w:rsidRPr="002D569F">
        <w:rPr>
          <w:rFonts w:ascii="Book Antiqua" w:eastAsia="宋体" w:hAnsi="Book Antiqua" w:cs="宋体"/>
          <w:color w:val="000000"/>
          <w:sz w:val="24"/>
          <w:szCs w:val="24"/>
          <w:lang w:eastAsia="zh-CN"/>
        </w:rPr>
        <w:t xml:space="preserve">, Deana A, Belasco JG. </w:t>
      </w:r>
      <w:proofErr w:type="gramStart"/>
      <w:r w:rsidRPr="002D569F">
        <w:rPr>
          <w:rFonts w:ascii="Book Antiqua" w:eastAsia="宋体" w:hAnsi="Book Antiqua" w:cs="宋体"/>
          <w:color w:val="000000"/>
          <w:sz w:val="24"/>
          <w:szCs w:val="24"/>
          <w:lang w:eastAsia="zh-CN"/>
        </w:rPr>
        <w:t>Initiation of RNA decay in Escherichia coli by 5' pyrophosphate removal.</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Mol Cell</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27</w:t>
      </w:r>
      <w:r w:rsidRPr="002D569F">
        <w:rPr>
          <w:rFonts w:ascii="Book Antiqua" w:eastAsia="宋体" w:hAnsi="Book Antiqua" w:cs="宋体"/>
          <w:color w:val="000000"/>
          <w:sz w:val="24"/>
          <w:szCs w:val="24"/>
          <w:lang w:eastAsia="zh-CN"/>
        </w:rPr>
        <w:t>: 79-90 [PMID: 17612492 DOI: 10.1016/j.molcel.2007.05.03</w:t>
      </w:r>
      <w:r w:rsidR="008F20D9">
        <w:rPr>
          <w:rFonts w:ascii="Book Antiqua" w:eastAsia="宋体" w:hAnsi="Book Antiqua" w:cs="宋体"/>
          <w:color w:val="000000"/>
          <w:sz w:val="24"/>
          <w:szCs w:val="24"/>
          <w:lang w:eastAsia="zh-CN"/>
        </w:rPr>
        <w:t>8]</w:t>
      </w:r>
    </w:p>
    <w:p w14:paraId="297F239B" w14:textId="65160D00"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124 </w:t>
      </w:r>
      <w:r w:rsidRPr="002D569F">
        <w:rPr>
          <w:rFonts w:ascii="Book Antiqua" w:eastAsia="宋体" w:hAnsi="Book Antiqua" w:cs="宋体"/>
          <w:b/>
          <w:bCs/>
          <w:color w:val="000000"/>
          <w:sz w:val="24"/>
          <w:szCs w:val="24"/>
          <w:lang w:eastAsia="zh-CN"/>
        </w:rPr>
        <w:t>Kaga N</w:t>
      </w:r>
      <w:r w:rsidRPr="002D569F">
        <w:rPr>
          <w:rFonts w:ascii="Book Antiqua" w:eastAsia="宋体" w:hAnsi="Book Antiqua" w:cs="宋体"/>
          <w:color w:val="000000"/>
          <w:sz w:val="24"/>
          <w:szCs w:val="24"/>
          <w:lang w:eastAsia="zh-CN"/>
        </w:rPr>
        <w:t>, Umitsuki G, Nagai K, Wachi M. RNase G-dependent degradation of the eno mRNA encoding a glycolysis enzyme enolase in Escherichia coli. </w:t>
      </w:r>
      <w:r w:rsidRPr="002D569F">
        <w:rPr>
          <w:rFonts w:ascii="Book Antiqua" w:eastAsia="宋体" w:hAnsi="Book Antiqua" w:cs="宋体"/>
          <w:i/>
          <w:iCs/>
          <w:color w:val="000000"/>
          <w:sz w:val="24"/>
          <w:szCs w:val="24"/>
          <w:lang w:eastAsia="zh-CN"/>
        </w:rPr>
        <w:t>Biosci Biotechnol Biochem</w:t>
      </w:r>
      <w:r w:rsidRPr="002D569F">
        <w:rPr>
          <w:rFonts w:ascii="Book Antiqua" w:eastAsia="宋体" w:hAnsi="Book Antiqua" w:cs="宋体"/>
          <w:color w:val="000000"/>
          <w:sz w:val="24"/>
          <w:szCs w:val="24"/>
          <w:lang w:eastAsia="zh-CN"/>
        </w:rPr>
        <w:t> 2002; </w:t>
      </w:r>
      <w:r w:rsidRPr="002D569F">
        <w:rPr>
          <w:rFonts w:ascii="Book Antiqua" w:eastAsia="宋体" w:hAnsi="Book Antiqua" w:cs="宋体"/>
          <w:b/>
          <w:bCs/>
          <w:color w:val="000000"/>
          <w:sz w:val="24"/>
          <w:szCs w:val="24"/>
          <w:lang w:eastAsia="zh-CN"/>
        </w:rPr>
        <w:t>66</w:t>
      </w:r>
      <w:r w:rsidRPr="002D569F">
        <w:rPr>
          <w:rFonts w:ascii="Book Antiqua" w:eastAsia="宋体" w:hAnsi="Book Antiqua" w:cs="宋体"/>
          <w:color w:val="000000"/>
          <w:sz w:val="24"/>
          <w:szCs w:val="24"/>
          <w:lang w:eastAsia="zh-CN"/>
        </w:rPr>
        <w:t>: 2216-2220 [PMID: 1245</w:t>
      </w:r>
      <w:r w:rsidR="008F20D9">
        <w:rPr>
          <w:rFonts w:ascii="Book Antiqua" w:eastAsia="宋体" w:hAnsi="Book Antiqua" w:cs="宋体"/>
          <w:color w:val="000000"/>
          <w:sz w:val="24"/>
          <w:szCs w:val="24"/>
          <w:lang w:eastAsia="zh-CN"/>
        </w:rPr>
        <w:t>0135 DOI: 10.1271/bbb.66.2216]</w:t>
      </w:r>
    </w:p>
    <w:p w14:paraId="0D85BE57"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125 </w:t>
      </w:r>
      <w:r w:rsidRPr="002D569F">
        <w:rPr>
          <w:rFonts w:ascii="Book Antiqua" w:eastAsia="宋体" w:hAnsi="Book Antiqua" w:cs="宋体"/>
          <w:b/>
          <w:bCs/>
          <w:color w:val="000000"/>
          <w:sz w:val="24"/>
          <w:szCs w:val="24"/>
          <w:lang w:eastAsia="zh-CN"/>
        </w:rPr>
        <w:t>Umitsuki G</w:t>
      </w:r>
      <w:r w:rsidRPr="002D569F">
        <w:rPr>
          <w:rFonts w:ascii="Book Antiqua" w:eastAsia="宋体" w:hAnsi="Book Antiqua" w:cs="宋体"/>
          <w:color w:val="000000"/>
          <w:sz w:val="24"/>
          <w:szCs w:val="24"/>
          <w:lang w:eastAsia="zh-CN"/>
        </w:rPr>
        <w:t>, Wachi M, Takada A, Hikichi T, Nagai K. Involvement of RNase G in in vivo mRNA metabolism in Escherichia coli. </w:t>
      </w:r>
      <w:r w:rsidRPr="002D569F">
        <w:rPr>
          <w:rFonts w:ascii="Book Antiqua" w:eastAsia="宋体" w:hAnsi="Book Antiqua" w:cs="宋体"/>
          <w:i/>
          <w:iCs/>
          <w:color w:val="000000"/>
          <w:sz w:val="24"/>
          <w:szCs w:val="24"/>
          <w:lang w:eastAsia="zh-CN"/>
        </w:rPr>
        <w:t>Genes Cells</w:t>
      </w:r>
      <w:r w:rsidRPr="002D569F">
        <w:rPr>
          <w:rFonts w:ascii="Book Antiqua" w:eastAsia="宋体" w:hAnsi="Book Antiqua" w:cs="宋体"/>
          <w:color w:val="000000"/>
          <w:sz w:val="24"/>
          <w:szCs w:val="24"/>
          <w:lang w:eastAsia="zh-CN"/>
        </w:rPr>
        <w:t> 2001; </w:t>
      </w:r>
      <w:r w:rsidRPr="002D569F">
        <w:rPr>
          <w:rFonts w:ascii="Book Antiqua" w:eastAsia="宋体" w:hAnsi="Book Antiqua" w:cs="宋体"/>
          <w:b/>
          <w:bCs/>
          <w:color w:val="000000"/>
          <w:sz w:val="24"/>
          <w:szCs w:val="24"/>
          <w:lang w:eastAsia="zh-CN"/>
        </w:rPr>
        <w:t>6</w:t>
      </w:r>
      <w:r w:rsidRPr="002D569F">
        <w:rPr>
          <w:rFonts w:ascii="Book Antiqua" w:eastAsia="宋体" w:hAnsi="Book Antiqua" w:cs="宋体"/>
          <w:color w:val="000000"/>
          <w:sz w:val="24"/>
          <w:szCs w:val="24"/>
          <w:lang w:eastAsia="zh-CN"/>
        </w:rPr>
        <w:t>: 403-410 [PMID: 11380618 DOI: 10.1046/j.1365-2443.2001.00430.x]</w:t>
      </w:r>
    </w:p>
    <w:p w14:paraId="5EE3B897"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126 </w:t>
      </w:r>
      <w:r w:rsidRPr="002D569F">
        <w:rPr>
          <w:rFonts w:ascii="Book Antiqua" w:eastAsia="宋体" w:hAnsi="Book Antiqua" w:cs="宋体"/>
          <w:b/>
          <w:bCs/>
          <w:color w:val="000000"/>
          <w:sz w:val="24"/>
          <w:szCs w:val="24"/>
          <w:lang w:eastAsia="zh-CN"/>
        </w:rPr>
        <w:t>Alifano P</w:t>
      </w:r>
      <w:r w:rsidRPr="002D569F">
        <w:rPr>
          <w:rFonts w:ascii="Book Antiqua" w:eastAsia="宋体" w:hAnsi="Book Antiqua" w:cs="宋体"/>
          <w:color w:val="000000"/>
          <w:sz w:val="24"/>
          <w:szCs w:val="24"/>
          <w:lang w:eastAsia="zh-CN"/>
        </w:rPr>
        <w:t>, Rivellini F, Piscitelli C, Arraiano CM, Bruni CB, Carlomagno MS. Ribonuclease E provides substrates for ribonuclease P-dependent processing of a polycistronic mRNA. </w:t>
      </w:r>
      <w:r w:rsidRPr="002D569F">
        <w:rPr>
          <w:rFonts w:ascii="Book Antiqua" w:eastAsia="宋体" w:hAnsi="Book Antiqua" w:cs="宋体"/>
          <w:i/>
          <w:iCs/>
          <w:color w:val="000000"/>
          <w:sz w:val="24"/>
          <w:szCs w:val="24"/>
          <w:lang w:eastAsia="zh-CN"/>
        </w:rPr>
        <w:t>Genes Dev</w:t>
      </w:r>
      <w:r w:rsidRPr="002D569F">
        <w:rPr>
          <w:rFonts w:ascii="Book Antiqua" w:eastAsia="宋体" w:hAnsi="Book Antiqua" w:cs="宋体"/>
          <w:color w:val="000000"/>
          <w:sz w:val="24"/>
          <w:szCs w:val="24"/>
          <w:lang w:eastAsia="zh-CN"/>
        </w:rPr>
        <w:t> 1994;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3021-3031 [PMID: 8001821 DOI: 10.1101/gad.8.24.3021]</w:t>
      </w:r>
    </w:p>
    <w:p w14:paraId="612D6068" w14:textId="1A12F03F"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127 </w:t>
      </w:r>
      <w:r w:rsidRPr="002D569F">
        <w:rPr>
          <w:rFonts w:ascii="Book Antiqua" w:eastAsia="宋体" w:hAnsi="Book Antiqua" w:cs="宋体"/>
          <w:b/>
          <w:bCs/>
          <w:color w:val="000000"/>
          <w:sz w:val="24"/>
          <w:szCs w:val="24"/>
          <w:lang w:eastAsia="zh-CN"/>
        </w:rPr>
        <w:t>Li Y</w:t>
      </w:r>
      <w:r w:rsidRPr="002D569F">
        <w:rPr>
          <w:rFonts w:ascii="Book Antiqua" w:eastAsia="宋体" w:hAnsi="Book Antiqua" w:cs="宋体"/>
          <w:color w:val="000000"/>
          <w:sz w:val="24"/>
          <w:szCs w:val="24"/>
          <w:lang w:eastAsia="zh-CN"/>
        </w:rPr>
        <w:t>, Altman S.</w:t>
      </w:r>
      <w:proofErr w:type="gramEnd"/>
      <w:r w:rsidRPr="002D569F">
        <w:rPr>
          <w:rFonts w:ascii="Book Antiqua" w:eastAsia="宋体" w:hAnsi="Book Antiqua" w:cs="宋体"/>
          <w:color w:val="000000"/>
          <w:sz w:val="24"/>
          <w:szCs w:val="24"/>
          <w:lang w:eastAsia="zh-CN"/>
        </w:rPr>
        <w:t xml:space="preserve"> A specific endoribonuclease, RNase P, affects gene expression of polycistronic operon mRNAs. </w:t>
      </w:r>
      <w:r w:rsidR="008F20D9">
        <w:rPr>
          <w:rFonts w:ascii="Book Antiqua" w:eastAsia="宋体" w:hAnsi="Book Antiqua" w:cs="宋体"/>
          <w:i/>
          <w:iCs/>
          <w:color w:val="000000"/>
          <w:sz w:val="24"/>
          <w:szCs w:val="24"/>
          <w:lang w:eastAsia="zh-CN"/>
        </w:rPr>
        <w:t>Proc Natl Acad Sci US</w:t>
      </w:r>
      <w:r w:rsidRPr="002D569F">
        <w:rPr>
          <w:rFonts w:ascii="Book Antiqua" w:eastAsia="宋体" w:hAnsi="Book Antiqua" w:cs="宋体"/>
          <w:i/>
          <w:iCs/>
          <w:color w:val="000000"/>
          <w:sz w:val="24"/>
          <w:szCs w:val="24"/>
          <w:lang w:eastAsia="zh-CN"/>
        </w:rPr>
        <w:t>A</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100</w:t>
      </w:r>
      <w:r w:rsidRPr="002D569F">
        <w:rPr>
          <w:rFonts w:ascii="Book Antiqua" w:eastAsia="宋体" w:hAnsi="Book Antiqua" w:cs="宋体"/>
          <w:color w:val="000000"/>
          <w:sz w:val="24"/>
          <w:szCs w:val="24"/>
          <w:lang w:eastAsia="zh-CN"/>
        </w:rPr>
        <w:t>: 13213-13218 [PMID: 14585931</w:t>
      </w:r>
      <w:r w:rsidR="008F20D9">
        <w:rPr>
          <w:rFonts w:ascii="Book Antiqua" w:eastAsia="宋体" w:hAnsi="Book Antiqua" w:cs="宋体"/>
          <w:color w:val="000000"/>
          <w:sz w:val="24"/>
          <w:szCs w:val="24"/>
          <w:lang w:eastAsia="zh-CN"/>
        </w:rPr>
        <w:t xml:space="preserve"> DOI: 10.1073/pnas.2235589100]</w:t>
      </w:r>
    </w:p>
    <w:p w14:paraId="24D850AC" w14:textId="12D20BDF"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128 </w:t>
      </w:r>
      <w:r w:rsidRPr="002D569F">
        <w:rPr>
          <w:rFonts w:ascii="Book Antiqua" w:eastAsia="宋体" w:hAnsi="Book Antiqua" w:cs="宋体"/>
          <w:b/>
          <w:bCs/>
          <w:color w:val="000000"/>
          <w:sz w:val="24"/>
          <w:szCs w:val="24"/>
          <w:lang w:eastAsia="zh-CN"/>
        </w:rPr>
        <w:t>Iwamoto A</w:t>
      </w:r>
      <w:r w:rsidRPr="002D569F">
        <w:rPr>
          <w:rFonts w:ascii="Book Antiqua" w:eastAsia="宋体" w:hAnsi="Book Antiqua" w:cs="宋体"/>
          <w:color w:val="000000"/>
          <w:sz w:val="24"/>
          <w:szCs w:val="24"/>
          <w:lang w:eastAsia="zh-CN"/>
        </w:rPr>
        <w:t>, Lemire S, Yonesaki T. Post-transcriptional control of Crp-cAMP by RNase LS in Escherichia coli.</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70</w:t>
      </w:r>
      <w:r w:rsidRPr="002D569F">
        <w:rPr>
          <w:rFonts w:ascii="Book Antiqua" w:eastAsia="宋体" w:hAnsi="Book Antiqua" w:cs="宋体"/>
          <w:color w:val="000000"/>
          <w:sz w:val="24"/>
          <w:szCs w:val="24"/>
          <w:lang w:eastAsia="zh-CN"/>
        </w:rPr>
        <w:t>: 1570-1578 [PMID: 19019153 DOI: 10.</w:t>
      </w:r>
      <w:r w:rsidR="008F20D9">
        <w:rPr>
          <w:rFonts w:ascii="Book Antiqua" w:eastAsia="宋体" w:hAnsi="Book Antiqua" w:cs="宋体"/>
          <w:color w:val="000000"/>
          <w:sz w:val="24"/>
          <w:szCs w:val="24"/>
          <w:lang w:eastAsia="zh-CN"/>
        </w:rPr>
        <w:t>1111/j.1365-2958.2008.06504.x]</w:t>
      </w:r>
    </w:p>
    <w:p w14:paraId="199B96A0" w14:textId="7A75440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129 </w:t>
      </w:r>
      <w:r w:rsidRPr="002D569F">
        <w:rPr>
          <w:rFonts w:ascii="Book Antiqua" w:eastAsia="宋体" w:hAnsi="Book Antiqua" w:cs="宋体"/>
          <w:b/>
          <w:bCs/>
          <w:color w:val="000000"/>
          <w:sz w:val="24"/>
          <w:szCs w:val="24"/>
          <w:lang w:eastAsia="zh-CN"/>
        </w:rPr>
        <w:t>Perwez T</w:t>
      </w:r>
      <w:r w:rsidRPr="002D569F">
        <w:rPr>
          <w:rFonts w:ascii="Book Antiqua" w:eastAsia="宋体" w:hAnsi="Book Antiqua" w:cs="宋体"/>
          <w:color w:val="000000"/>
          <w:sz w:val="24"/>
          <w:szCs w:val="24"/>
          <w:lang w:eastAsia="zh-CN"/>
        </w:rPr>
        <w:t>, Kushner SR. RNase Z in Escherichia coli plays a significant role in mRNA decay.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60</w:t>
      </w:r>
      <w:r w:rsidRPr="002D569F">
        <w:rPr>
          <w:rFonts w:ascii="Book Antiqua" w:eastAsia="宋体" w:hAnsi="Book Antiqua" w:cs="宋体"/>
          <w:color w:val="000000"/>
          <w:sz w:val="24"/>
          <w:szCs w:val="24"/>
          <w:lang w:eastAsia="zh-CN"/>
        </w:rPr>
        <w:t>: 723-737 [PMID: 16629673 DOI: 10.1111/j.1365-2958</w:t>
      </w:r>
      <w:r w:rsidR="008F20D9">
        <w:rPr>
          <w:rFonts w:ascii="Book Antiqua" w:eastAsia="宋体" w:hAnsi="Book Antiqua" w:cs="宋体"/>
          <w:color w:val="000000"/>
          <w:sz w:val="24"/>
          <w:szCs w:val="24"/>
          <w:lang w:eastAsia="zh-CN"/>
        </w:rPr>
        <w:t>.2006.05124.x]</w:t>
      </w:r>
    </w:p>
    <w:p w14:paraId="00EE3E30"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130 </w:t>
      </w:r>
      <w:r w:rsidRPr="002D569F">
        <w:rPr>
          <w:rFonts w:ascii="Book Antiqua" w:eastAsia="宋体" w:hAnsi="Book Antiqua" w:cs="宋体"/>
          <w:b/>
          <w:bCs/>
          <w:color w:val="000000"/>
          <w:sz w:val="24"/>
          <w:szCs w:val="24"/>
          <w:lang w:eastAsia="zh-CN"/>
        </w:rPr>
        <w:t>Schilling O</w:t>
      </w:r>
      <w:r w:rsidRPr="002D569F">
        <w:rPr>
          <w:rFonts w:ascii="Book Antiqua" w:eastAsia="宋体" w:hAnsi="Book Antiqua" w:cs="宋体"/>
          <w:color w:val="000000"/>
          <w:sz w:val="24"/>
          <w:szCs w:val="24"/>
          <w:lang w:eastAsia="zh-CN"/>
        </w:rPr>
        <w:t>, Rüggeberg S, Vogel A, Rittner N, Weichert S, Schmidt S, Doig S, Franz T, Benes V, Andrews SC, Baum M, Meyer-Klaucke W. Characterization of an Escherichia coli elaC deletion mutant. </w:t>
      </w:r>
      <w:r w:rsidRPr="002D569F">
        <w:rPr>
          <w:rFonts w:ascii="Book Antiqua" w:eastAsia="宋体" w:hAnsi="Book Antiqua" w:cs="宋体"/>
          <w:i/>
          <w:iCs/>
          <w:color w:val="000000"/>
          <w:sz w:val="24"/>
          <w:szCs w:val="24"/>
          <w:lang w:eastAsia="zh-CN"/>
        </w:rPr>
        <w:t>Biochem Biophys Res Commun</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320</w:t>
      </w:r>
      <w:r w:rsidRPr="002D569F">
        <w:rPr>
          <w:rFonts w:ascii="Book Antiqua" w:eastAsia="宋体" w:hAnsi="Book Antiqua" w:cs="宋体"/>
          <w:color w:val="000000"/>
          <w:sz w:val="24"/>
          <w:szCs w:val="24"/>
          <w:lang w:eastAsia="zh-CN"/>
        </w:rPr>
        <w:t>: 1365-1373 [PMID: 15303284 DOI: 10.1016/j.bbrc.2004.05.227]</w:t>
      </w:r>
    </w:p>
    <w:p w14:paraId="4ED4648B" w14:textId="63C6A38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131 </w:t>
      </w:r>
      <w:r w:rsidRPr="002D569F">
        <w:rPr>
          <w:rFonts w:ascii="Book Antiqua" w:eastAsia="宋体" w:hAnsi="Book Antiqua" w:cs="宋体"/>
          <w:b/>
          <w:bCs/>
          <w:color w:val="000000"/>
          <w:sz w:val="24"/>
          <w:szCs w:val="24"/>
          <w:lang w:eastAsia="zh-CN"/>
        </w:rPr>
        <w:t>Anupama K</w:t>
      </w:r>
      <w:r w:rsidRPr="002D569F">
        <w:rPr>
          <w:rFonts w:ascii="Book Antiqua" w:eastAsia="宋体" w:hAnsi="Book Antiqua" w:cs="宋体"/>
          <w:color w:val="000000"/>
          <w:sz w:val="24"/>
          <w:szCs w:val="24"/>
          <w:lang w:eastAsia="zh-CN"/>
        </w:rPr>
        <w:t xml:space="preserve">, Leela JK, Gowrishankar J. </w:t>
      </w:r>
      <w:proofErr w:type="gramStart"/>
      <w:r w:rsidRPr="002D569F">
        <w:rPr>
          <w:rFonts w:ascii="Book Antiqua" w:eastAsia="宋体" w:hAnsi="Book Antiqua" w:cs="宋体"/>
          <w:color w:val="000000"/>
          <w:sz w:val="24"/>
          <w:szCs w:val="24"/>
          <w:lang w:eastAsia="zh-CN"/>
        </w:rPr>
        <w:t>Two pathways for RNase E action in Escherichia coli in vivo and bypass of its essentiality in mutants defective for Rho-dependent transcription termination.</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2011; </w:t>
      </w:r>
      <w:r w:rsidRPr="002D569F">
        <w:rPr>
          <w:rFonts w:ascii="Book Antiqua" w:eastAsia="宋体" w:hAnsi="Book Antiqua" w:cs="宋体"/>
          <w:b/>
          <w:bCs/>
          <w:color w:val="000000"/>
          <w:sz w:val="24"/>
          <w:szCs w:val="24"/>
          <w:lang w:eastAsia="zh-CN"/>
        </w:rPr>
        <w:t>82</w:t>
      </w:r>
      <w:r w:rsidRPr="002D569F">
        <w:rPr>
          <w:rFonts w:ascii="Book Antiqua" w:eastAsia="宋体" w:hAnsi="Book Antiqua" w:cs="宋体"/>
          <w:color w:val="000000"/>
          <w:sz w:val="24"/>
          <w:szCs w:val="24"/>
          <w:lang w:eastAsia="zh-CN"/>
        </w:rPr>
        <w:t>: 1330-1348 [PMID: 22026368 DOI: 10.</w:t>
      </w:r>
      <w:r w:rsidR="008F20D9">
        <w:rPr>
          <w:rFonts w:ascii="Book Antiqua" w:eastAsia="宋体" w:hAnsi="Book Antiqua" w:cs="宋体"/>
          <w:color w:val="000000"/>
          <w:sz w:val="24"/>
          <w:szCs w:val="24"/>
          <w:lang w:eastAsia="zh-CN"/>
        </w:rPr>
        <w:t>1111/j.1365-2958.2011.07895.x]</w:t>
      </w:r>
    </w:p>
    <w:p w14:paraId="45220FAC" w14:textId="44C62AF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132 </w:t>
      </w:r>
      <w:r w:rsidRPr="002D569F">
        <w:rPr>
          <w:rFonts w:ascii="Book Antiqua" w:eastAsia="宋体" w:hAnsi="Book Antiqua" w:cs="宋体"/>
          <w:b/>
          <w:bCs/>
          <w:color w:val="000000"/>
          <w:sz w:val="24"/>
          <w:szCs w:val="24"/>
          <w:lang w:eastAsia="zh-CN"/>
        </w:rPr>
        <w:t>Even S</w:t>
      </w:r>
      <w:r w:rsidRPr="002D569F">
        <w:rPr>
          <w:rFonts w:ascii="Book Antiqua" w:eastAsia="宋体" w:hAnsi="Book Antiqua" w:cs="宋体"/>
          <w:color w:val="000000"/>
          <w:sz w:val="24"/>
          <w:szCs w:val="24"/>
          <w:lang w:eastAsia="zh-CN"/>
        </w:rPr>
        <w:t>, Pellegrini O, Zig L, Labas V, Vinh J, Bréchemmier-Baey D, Putzer H. Ribonucleases J1 and J2: two novel endoribonucleases in B.subtilis with functional homology to E.coli RNase E.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33</w:t>
      </w:r>
      <w:r w:rsidRPr="002D569F">
        <w:rPr>
          <w:rFonts w:ascii="Book Antiqua" w:eastAsia="宋体" w:hAnsi="Book Antiqua" w:cs="宋体"/>
          <w:color w:val="000000"/>
          <w:sz w:val="24"/>
          <w:szCs w:val="24"/>
          <w:lang w:eastAsia="zh-CN"/>
        </w:rPr>
        <w:t>: 2141-2152 [PMID: 158</w:t>
      </w:r>
      <w:r w:rsidR="008F20D9">
        <w:rPr>
          <w:rFonts w:ascii="Book Antiqua" w:eastAsia="宋体" w:hAnsi="Book Antiqua" w:cs="宋体"/>
          <w:color w:val="000000"/>
          <w:sz w:val="24"/>
          <w:szCs w:val="24"/>
          <w:lang w:eastAsia="zh-CN"/>
        </w:rPr>
        <w:t>31787 DOI: 10.1093/nar/gki505]</w:t>
      </w:r>
    </w:p>
    <w:p w14:paraId="46C0235C" w14:textId="2B36CAE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133 </w:t>
      </w:r>
      <w:r w:rsidRPr="002D569F">
        <w:rPr>
          <w:rFonts w:ascii="Book Antiqua" w:eastAsia="宋体" w:hAnsi="Book Antiqua" w:cs="宋体"/>
          <w:b/>
          <w:bCs/>
          <w:color w:val="000000"/>
          <w:sz w:val="24"/>
          <w:szCs w:val="24"/>
          <w:lang w:eastAsia="zh-CN"/>
        </w:rPr>
        <w:t>Shahbabian K</w:t>
      </w:r>
      <w:r w:rsidRPr="002D569F">
        <w:rPr>
          <w:rFonts w:ascii="Book Antiqua" w:eastAsia="宋体" w:hAnsi="Book Antiqua" w:cs="宋体"/>
          <w:color w:val="000000"/>
          <w:sz w:val="24"/>
          <w:szCs w:val="24"/>
          <w:lang w:eastAsia="zh-CN"/>
        </w:rPr>
        <w:t>, Jamalli A, Zig L, Putzer H. RNase Y, a novel endoribonuclease, initiates riboswitch turnover in Bacillus subtilis. </w:t>
      </w:r>
      <w:r w:rsidRPr="002D569F">
        <w:rPr>
          <w:rFonts w:ascii="Book Antiqua" w:eastAsia="宋体" w:hAnsi="Book Antiqua" w:cs="宋体"/>
          <w:i/>
          <w:iCs/>
          <w:color w:val="000000"/>
          <w:sz w:val="24"/>
          <w:szCs w:val="24"/>
          <w:lang w:eastAsia="zh-CN"/>
        </w:rPr>
        <w:t>EMBO J</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28</w:t>
      </w:r>
      <w:r w:rsidRPr="002D569F">
        <w:rPr>
          <w:rFonts w:ascii="Book Antiqua" w:eastAsia="宋体" w:hAnsi="Book Antiqua" w:cs="宋体"/>
          <w:color w:val="000000"/>
          <w:sz w:val="24"/>
          <w:szCs w:val="24"/>
          <w:lang w:eastAsia="zh-CN"/>
        </w:rPr>
        <w:t>: 3523-3533 [PMID: 1977946</w:t>
      </w:r>
      <w:r w:rsidR="008F20D9">
        <w:rPr>
          <w:rFonts w:ascii="Book Antiqua" w:eastAsia="宋体" w:hAnsi="Book Antiqua" w:cs="宋体"/>
          <w:color w:val="000000"/>
          <w:sz w:val="24"/>
          <w:szCs w:val="24"/>
          <w:lang w:eastAsia="zh-CN"/>
        </w:rPr>
        <w:t>1 DOI: 10.1038/emboj.2009.283]</w:t>
      </w:r>
    </w:p>
    <w:p w14:paraId="54194D26" w14:textId="5D3FE57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134 </w:t>
      </w:r>
      <w:r w:rsidRPr="002D569F">
        <w:rPr>
          <w:rFonts w:ascii="Book Antiqua" w:eastAsia="宋体" w:hAnsi="Book Antiqua" w:cs="宋体"/>
          <w:b/>
          <w:bCs/>
          <w:color w:val="000000"/>
          <w:sz w:val="24"/>
          <w:szCs w:val="24"/>
          <w:lang w:eastAsia="zh-CN"/>
        </w:rPr>
        <w:t>Herrmann B</w:t>
      </w:r>
      <w:r w:rsidRPr="002D569F">
        <w:rPr>
          <w:rFonts w:ascii="Book Antiqua" w:eastAsia="宋体" w:hAnsi="Book Antiqua" w:cs="宋体"/>
          <w:color w:val="000000"/>
          <w:sz w:val="24"/>
          <w:szCs w:val="24"/>
          <w:lang w:eastAsia="zh-CN"/>
        </w:rPr>
        <w:t>, Stolt P, Abdeldaim G, Rubin CJ, Kirsebom LA, Thollesson M. Differentiation and phylogenetic relationships in Mycobacterium spp with special reference to the RNase P RNA gene rnpB. </w:t>
      </w:r>
      <w:r w:rsidRPr="002D569F">
        <w:rPr>
          <w:rFonts w:ascii="Book Antiqua" w:eastAsia="宋体" w:hAnsi="Book Antiqua" w:cs="宋体"/>
          <w:i/>
          <w:iCs/>
          <w:color w:val="000000"/>
          <w:sz w:val="24"/>
          <w:szCs w:val="24"/>
          <w:lang w:eastAsia="zh-CN"/>
        </w:rPr>
        <w:t>Curr Microbiol</w:t>
      </w:r>
      <w:r w:rsidRPr="002D569F">
        <w:rPr>
          <w:rFonts w:ascii="Book Antiqua" w:eastAsia="宋体" w:hAnsi="Book Antiqua" w:cs="宋体"/>
          <w:color w:val="000000"/>
          <w:sz w:val="24"/>
          <w:szCs w:val="24"/>
          <w:lang w:eastAsia="zh-CN"/>
        </w:rPr>
        <w:t> 2014; </w:t>
      </w:r>
      <w:r w:rsidRPr="002D569F">
        <w:rPr>
          <w:rFonts w:ascii="Book Antiqua" w:eastAsia="宋体" w:hAnsi="Book Antiqua" w:cs="宋体"/>
          <w:b/>
          <w:bCs/>
          <w:color w:val="000000"/>
          <w:sz w:val="24"/>
          <w:szCs w:val="24"/>
          <w:lang w:eastAsia="zh-CN"/>
        </w:rPr>
        <w:t>69</w:t>
      </w:r>
      <w:r w:rsidRPr="002D569F">
        <w:rPr>
          <w:rFonts w:ascii="Book Antiqua" w:eastAsia="宋体" w:hAnsi="Book Antiqua" w:cs="宋体"/>
          <w:color w:val="000000"/>
          <w:sz w:val="24"/>
          <w:szCs w:val="24"/>
          <w:lang w:eastAsia="zh-CN"/>
        </w:rPr>
        <w:t>: 634-639 [PMID: 24962595 D</w:t>
      </w:r>
      <w:r w:rsidR="008F20D9">
        <w:rPr>
          <w:rFonts w:ascii="Book Antiqua" w:eastAsia="宋体" w:hAnsi="Book Antiqua" w:cs="宋体"/>
          <w:color w:val="000000"/>
          <w:sz w:val="24"/>
          <w:szCs w:val="24"/>
          <w:lang w:eastAsia="zh-CN"/>
        </w:rPr>
        <w:t>OI: 10.1007/s00284-014-0630-8]</w:t>
      </w:r>
    </w:p>
    <w:p w14:paraId="69B184A4" w14:textId="00FCCBE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135 </w:t>
      </w:r>
      <w:r w:rsidRPr="002D569F">
        <w:rPr>
          <w:rFonts w:ascii="Book Antiqua" w:eastAsia="宋体" w:hAnsi="Book Antiqua" w:cs="宋体"/>
          <w:b/>
          <w:bCs/>
          <w:color w:val="000000"/>
          <w:sz w:val="24"/>
          <w:szCs w:val="24"/>
          <w:lang w:eastAsia="zh-CN"/>
        </w:rPr>
        <w:t>Taverniti V</w:t>
      </w:r>
      <w:r w:rsidRPr="002D569F">
        <w:rPr>
          <w:rFonts w:ascii="Book Antiqua" w:eastAsia="宋体" w:hAnsi="Book Antiqua" w:cs="宋体"/>
          <w:color w:val="000000"/>
          <w:sz w:val="24"/>
          <w:szCs w:val="24"/>
          <w:lang w:eastAsia="zh-CN"/>
        </w:rPr>
        <w:t>, Forti F, Ghisotti D, Putzer H. Mycobacterium smegmatis RNase J is a 5'-3' exo-/endoribonuclease and both RNase J and RNase E are involved in ribosomal RNA maturation.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2011; </w:t>
      </w:r>
      <w:r w:rsidRPr="002D569F">
        <w:rPr>
          <w:rFonts w:ascii="Book Antiqua" w:eastAsia="宋体" w:hAnsi="Book Antiqua" w:cs="宋体"/>
          <w:b/>
          <w:bCs/>
          <w:color w:val="000000"/>
          <w:sz w:val="24"/>
          <w:szCs w:val="24"/>
          <w:lang w:eastAsia="zh-CN"/>
        </w:rPr>
        <w:t>82</w:t>
      </w:r>
      <w:r w:rsidRPr="002D569F">
        <w:rPr>
          <w:rFonts w:ascii="Book Antiqua" w:eastAsia="宋体" w:hAnsi="Book Antiqua" w:cs="宋体"/>
          <w:color w:val="000000"/>
          <w:sz w:val="24"/>
          <w:szCs w:val="24"/>
          <w:lang w:eastAsia="zh-CN"/>
        </w:rPr>
        <w:t>: 1260-1276 [PMID: 22014150 DOI: 10.</w:t>
      </w:r>
      <w:r w:rsidR="008F20D9">
        <w:rPr>
          <w:rFonts w:ascii="Book Antiqua" w:eastAsia="宋体" w:hAnsi="Book Antiqua" w:cs="宋体"/>
          <w:color w:val="000000"/>
          <w:sz w:val="24"/>
          <w:szCs w:val="24"/>
          <w:lang w:eastAsia="zh-CN"/>
        </w:rPr>
        <w:t>1111/j.1365-2958.2011.07888.x]</w:t>
      </w:r>
    </w:p>
    <w:p w14:paraId="5A3A7F9D" w14:textId="79F6B2C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136 </w:t>
      </w:r>
      <w:r w:rsidRPr="002D569F">
        <w:rPr>
          <w:rFonts w:ascii="Book Antiqua" w:eastAsia="宋体" w:hAnsi="Book Antiqua" w:cs="宋体"/>
          <w:b/>
          <w:bCs/>
          <w:color w:val="000000"/>
          <w:sz w:val="24"/>
          <w:szCs w:val="24"/>
          <w:lang w:eastAsia="zh-CN"/>
        </w:rPr>
        <w:t>Abendroth J</w:t>
      </w:r>
      <w:r w:rsidRPr="002D569F">
        <w:rPr>
          <w:rFonts w:ascii="Book Antiqua" w:eastAsia="宋体" w:hAnsi="Book Antiqua" w:cs="宋体"/>
          <w:color w:val="000000"/>
          <w:sz w:val="24"/>
          <w:szCs w:val="24"/>
          <w:lang w:eastAsia="zh-CN"/>
        </w:rPr>
        <w:t>, Ollodart A, Andrews ES, Myler PJ, Staker BL, Edwards TE, Arcus VL, Grundner C. Mycobacterium tuberculosis Rv2179c protein establishes a new exoribonuclease family with broad phylogenetic distribution. </w:t>
      </w:r>
      <w:r w:rsidRPr="002D569F">
        <w:rPr>
          <w:rFonts w:ascii="Book Antiqua" w:eastAsia="宋体" w:hAnsi="Book Antiqua" w:cs="宋体"/>
          <w:i/>
          <w:iCs/>
          <w:color w:val="000000"/>
          <w:sz w:val="24"/>
          <w:szCs w:val="24"/>
          <w:lang w:eastAsia="zh-CN"/>
        </w:rPr>
        <w:t>J Biol Chem</w:t>
      </w:r>
      <w:r w:rsidRPr="002D569F">
        <w:rPr>
          <w:rFonts w:ascii="Book Antiqua" w:eastAsia="宋体" w:hAnsi="Book Antiqua" w:cs="宋体"/>
          <w:color w:val="000000"/>
          <w:sz w:val="24"/>
          <w:szCs w:val="24"/>
          <w:lang w:eastAsia="zh-CN"/>
        </w:rPr>
        <w:t> 2014; </w:t>
      </w:r>
      <w:r w:rsidRPr="002D569F">
        <w:rPr>
          <w:rFonts w:ascii="Book Antiqua" w:eastAsia="宋体" w:hAnsi="Book Antiqua" w:cs="宋体"/>
          <w:b/>
          <w:bCs/>
          <w:color w:val="000000"/>
          <w:sz w:val="24"/>
          <w:szCs w:val="24"/>
          <w:lang w:eastAsia="zh-CN"/>
        </w:rPr>
        <w:t>289</w:t>
      </w:r>
      <w:r w:rsidRPr="002D569F">
        <w:rPr>
          <w:rFonts w:ascii="Book Antiqua" w:eastAsia="宋体" w:hAnsi="Book Antiqua" w:cs="宋体"/>
          <w:color w:val="000000"/>
          <w:sz w:val="24"/>
          <w:szCs w:val="24"/>
          <w:lang w:eastAsia="zh-CN"/>
        </w:rPr>
        <w:t>: 2139-2147 [PMID: 24311791</w:t>
      </w:r>
      <w:r w:rsidR="008F20D9">
        <w:rPr>
          <w:rFonts w:ascii="Book Antiqua" w:eastAsia="宋体" w:hAnsi="Book Antiqua" w:cs="宋体"/>
          <w:color w:val="000000"/>
          <w:sz w:val="24"/>
          <w:szCs w:val="24"/>
          <w:lang w:eastAsia="zh-CN"/>
        </w:rPr>
        <w:t xml:space="preserve"> DOI: 10.1074/jbc.M113.525683]</w:t>
      </w:r>
    </w:p>
    <w:p w14:paraId="113E836E" w14:textId="4B63466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137 </w:t>
      </w:r>
      <w:r w:rsidRPr="002D569F">
        <w:rPr>
          <w:rFonts w:ascii="Book Antiqua" w:eastAsia="宋体" w:hAnsi="Book Antiqua" w:cs="宋体"/>
          <w:b/>
          <w:bCs/>
          <w:color w:val="000000"/>
          <w:sz w:val="24"/>
          <w:szCs w:val="24"/>
          <w:lang w:eastAsia="zh-CN"/>
        </w:rPr>
        <w:t>Murdeshwar MS</w:t>
      </w:r>
      <w:r w:rsidRPr="002D569F">
        <w:rPr>
          <w:rFonts w:ascii="Book Antiqua" w:eastAsia="宋体" w:hAnsi="Book Antiqua" w:cs="宋体"/>
          <w:color w:val="000000"/>
          <w:sz w:val="24"/>
          <w:szCs w:val="24"/>
          <w:lang w:eastAsia="zh-CN"/>
        </w:rPr>
        <w:t>, Chatterji D. MS_RHII-RSD, a dual-function RNase HII-(p)ppGpp synthetase from Mycobacterium smegmatis.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194</w:t>
      </w:r>
      <w:r w:rsidRPr="002D569F">
        <w:rPr>
          <w:rFonts w:ascii="Book Antiqua" w:eastAsia="宋体" w:hAnsi="Book Antiqua" w:cs="宋体"/>
          <w:color w:val="000000"/>
          <w:sz w:val="24"/>
          <w:szCs w:val="24"/>
          <w:lang w:eastAsia="zh-CN"/>
        </w:rPr>
        <w:t>: 4003-4014 [PMID: 2263</w:t>
      </w:r>
      <w:r w:rsidR="008F20D9">
        <w:rPr>
          <w:rFonts w:ascii="Book Antiqua" w:eastAsia="宋体" w:hAnsi="Book Antiqua" w:cs="宋体"/>
          <w:color w:val="000000"/>
          <w:sz w:val="24"/>
          <w:szCs w:val="24"/>
          <w:lang w:eastAsia="zh-CN"/>
        </w:rPr>
        <w:t>6779 DOI: 10.1128/JB.00258-12]</w:t>
      </w:r>
    </w:p>
    <w:p w14:paraId="2644BAD3"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138 </w:t>
      </w:r>
      <w:r w:rsidRPr="002D569F">
        <w:rPr>
          <w:rFonts w:ascii="Book Antiqua" w:eastAsia="宋体" w:hAnsi="Book Antiqua" w:cs="宋体"/>
          <w:b/>
          <w:bCs/>
          <w:color w:val="000000"/>
          <w:sz w:val="24"/>
          <w:szCs w:val="24"/>
          <w:lang w:eastAsia="zh-CN"/>
        </w:rPr>
        <w:t>Kovacs L</w:t>
      </w:r>
      <w:r w:rsidRPr="002D569F">
        <w:rPr>
          <w:rFonts w:ascii="Book Antiqua" w:eastAsia="宋体" w:hAnsi="Book Antiqua" w:cs="宋体"/>
          <w:color w:val="000000"/>
          <w:sz w:val="24"/>
          <w:szCs w:val="24"/>
          <w:lang w:eastAsia="zh-CN"/>
        </w:rPr>
        <w:t>, Csanadi A, Megyeri K, Kaberdin VR, Miczak A. Mycobacterial RNase E-associated proteins. </w:t>
      </w:r>
      <w:r w:rsidRPr="002D569F">
        <w:rPr>
          <w:rFonts w:ascii="Book Antiqua" w:eastAsia="宋体" w:hAnsi="Book Antiqua" w:cs="宋体"/>
          <w:i/>
          <w:iCs/>
          <w:color w:val="000000"/>
          <w:sz w:val="24"/>
          <w:szCs w:val="24"/>
          <w:lang w:eastAsia="zh-CN"/>
        </w:rPr>
        <w:t>Microbiol Immunol</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49</w:t>
      </w:r>
      <w:r w:rsidRPr="002D569F">
        <w:rPr>
          <w:rFonts w:ascii="Book Antiqua" w:eastAsia="宋体" w:hAnsi="Book Antiqua" w:cs="宋体"/>
          <w:color w:val="000000"/>
          <w:sz w:val="24"/>
          <w:szCs w:val="24"/>
          <w:lang w:eastAsia="zh-CN"/>
        </w:rPr>
        <w:t>: 1003-1007 [PMID: 16301812 DOI: 10.1111/j.1348-0421.2005.tb03697.x]</w:t>
      </w:r>
    </w:p>
    <w:p w14:paraId="35BFFC68" w14:textId="5A0953AB"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139 </w:t>
      </w:r>
      <w:r w:rsidRPr="002D569F">
        <w:rPr>
          <w:rFonts w:ascii="Book Antiqua" w:eastAsia="宋体" w:hAnsi="Book Antiqua" w:cs="宋体"/>
          <w:b/>
          <w:bCs/>
          <w:color w:val="000000"/>
          <w:sz w:val="24"/>
          <w:szCs w:val="24"/>
          <w:lang w:eastAsia="zh-CN"/>
        </w:rPr>
        <w:t>Watkins HA</w:t>
      </w:r>
      <w:r w:rsidRPr="002D569F">
        <w:rPr>
          <w:rFonts w:ascii="Book Antiqua" w:eastAsia="宋体" w:hAnsi="Book Antiqua" w:cs="宋体"/>
          <w:color w:val="000000"/>
          <w:sz w:val="24"/>
          <w:szCs w:val="24"/>
          <w:lang w:eastAsia="zh-CN"/>
        </w:rPr>
        <w:t>, Baker EN.</w:t>
      </w:r>
      <w:proofErr w:type="gramEnd"/>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Structural and functional characterization of an RNase HI domain from the bifunctional protein Rv2228c from Mycobacterium tuberculosis.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192</w:t>
      </w:r>
      <w:r w:rsidRPr="002D569F">
        <w:rPr>
          <w:rFonts w:ascii="Book Antiqua" w:eastAsia="宋体" w:hAnsi="Book Antiqua" w:cs="宋体"/>
          <w:color w:val="000000"/>
          <w:sz w:val="24"/>
          <w:szCs w:val="24"/>
          <w:lang w:eastAsia="zh-CN"/>
        </w:rPr>
        <w:t>: 2878-2886 [PMID: 20363939 DOI: 10.1128/JB.01615</w:t>
      </w:r>
      <w:r w:rsidR="008F20D9">
        <w:rPr>
          <w:rFonts w:ascii="Book Antiqua" w:eastAsia="宋体" w:hAnsi="Book Antiqua" w:cs="宋体"/>
          <w:color w:val="000000"/>
          <w:sz w:val="24"/>
          <w:szCs w:val="24"/>
          <w:lang w:eastAsia="zh-CN"/>
        </w:rPr>
        <w:t>-09]</w:t>
      </w:r>
    </w:p>
    <w:p w14:paraId="2142EDC3" w14:textId="6E2CF5A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140 </w:t>
      </w:r>
      <w:r w:rsidRPr="002D569F">
        <w:rPr>
          <w:rFonts w:ascii="Book Antiqua" w:eastAsia="宋体" w:hAnsi="Book Antiqua" w:cs="宋体"/>
          <w:b/>
          <w:bCs/>
          <w:color w:val="000000"/>
          <w:sz w:val="24"/>
          <w:szCs w:val="24"/>
          <w:lang w:eastAsia="zh-CN"/>
        </w:rPr>
        <w:t>Csanadi A</w:t>
      </w:r>
      <w:r w:rsidRPr="002D569F">
        <w:rPr>
          <w:rFonts w:ascii="Book Antiqua" w:eastAsia="宋体" w:hAnsi="Book Antiqua" w:cs="宋体"/>
          <w:color w:val="000000"/>
          <w:sz w:val="24"/>
          <w:szCs w:val="24"/>
          <w:lang w:eastAsia="zh-CN"/>
        </w:rPr>
        <w:t>, Faludi I, Miczak A. MSMEG_4626 ribonuclease from Mycobacterium smegmatis. </w:t>
      </w:r>
      <w:r w:rsidRPr="002D569F">
        <w:rPr>
          <w:rFonts w:ascii="Book Antiqua" w:eastAsia="宋体" w:hAnsi="Book Antiqua" w:cs="宋体"/>
          <w:i/>
          <w:iCs/>
          <w:color w:val="000000"/>
          <w:sz w:val="24"/>
          <w:szCs w:val="24"/>
          <w:lang w:eastAsia="zh-CN"/>
        </w:rPr>
        <w:t>Mol Biol Rep</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36</w:t>
      </w:r>
      <w:r w:rsidRPr="002D569F">
        <w:rPr>
          <w:rFonts w:ascii="Book Antiqua" w:eastAsia="宋体" w:hAnsi="Book Antiqua" w:cs="宋体"/>
          <w:color w:val="000000"/>
          <w:sz w:val="24"/>
          <w:szCs w:val="24"/>
          <w:lang w:eastAsia="zh-CN"/>
        </w:rPr>
        <w:t>: 2341-2344 [PMID: 19153821 D</w:t>
      </w:r>
      <w:r w:rsidR="008F20D9">
        <w:rPr>
          <w:rFonts w:ascii="Book Antiqua" w:eastAsia="宋体" w:hAnsi="Book Antiqua" w:cs="宋体"/>
          <w:color w:val="000000"/>
          <w:sz w:val="24"/>
          <w:szCs w:val="24"/>
          <w:lang w:eastAsia="zh-CN"/>
        </w:rPr>
        <w:t>OI: 10.1007/s11033-009-9454-1]</w:t>
      </w:r>
    </w:p>
    <w:p w14:paraId="1FA80C5C" w14:textId="14F438C2"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141 </w:t>
      </w:r>
      <w:r w:rsidRPr="002D569F">
        <w:rPr>
          <w:rFonts w:ascii="Book Antiqua" w:eastAsia="宋体" w:hAnsi="Book Antiqua" w:cs="宋体"/>
          <w:b/>
          <w:bCs/>
          <w:color w:val="000000"/>
          <w:sz w:val="24"/>
          <w:szCs w:val="24"/>
          <w:lang w:eastAsia="zh-CN"/>
        </w:rPr>
        <w:t>Zeller ME</w:t>
      </w:r>
      <w:r w:rsidRPr="002D569F">
        <w:rPr>
          <w:rFonts w:ascii="Book Antiqua" w:eastAsia="宋体" w:hAnsi="Book Antiqua" w:cs="宋体"/>
          <w:color w:val="000000"/>
          <w:sz w:val="24"/>
          <w:szCs w:val="24"/>
          <w:lang w:eastAsia="zh-CN"/>
        </w:rPr>
        <w:t>, Csanadi A, Miczak A, Rose T, Bizebard T, Kaberdin VR. Quaternary structure and biochemical properties of mycobacterial RNase E/G. </w:t>
      </w:r>
      <w:r w:rsidRPr="002D569F">
        <w:rPr>
          <w:rFonts w:ascii="Book Antiqua" w:eastAsia="宋体" w:hAnsi="Book Antiqua" w:cs="宋体"/>
          <w:i/>
          <w:iCs/>
          <w:color w:val="000000"/>
          <w:sz w:val="24"/>
          <w:szCs w:val="24"/>
          <w:lang w:eastAsia="zh-CN"/>
        </w:rPr>
        <w:t>Biochem J</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403</w:t>
      </w:r>
      <w:r w:rsidRPr="002D569F">
        <w:rPr>
          <w:rFonts w:ascii="Book Antiqua" w:eastAsia="宋体" w:hAnsi="Book Antiqua" w:cs="宋体"/>
          <w:color w:val="000000"/>
          <w:sz w:val="24"/>
          <w:szCs w:val="24"/>
          <w:lang w:eastAsia="zh-CN"/>
        </w:rPr>
        <w:t>: 207-215 [PMID: 172</w:t>
      </w:r>
      <w:r w:rsidR="008F20D9">
        <w:rPr>
          <w:rFonts w:ascii="Book Antiqua" w:eastAsia="宋体" w:hAnsi="Book Antiqua" w:cs="宋体"/>
          <w:color w:val="000000"/>
          <w:sz w:val="24"/>
          <w:szCs w:val="24"/>
          <w:lang w:eastAsia="zh-CN"/>
        </w:rPr>
        <w:t>01693 DOI: 10.1042/BJ20061530]</w:t>
      </w:r>
    </w:p>
    <w:p w14:paraId="0CEEF9F2" w14:textId="67703009"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142 </w:t>
      </w:r>
      <w:r w:rsidRPr="002D569F">
        <w:rPr>
          <w:rFonts w:ascii="Book Antiqua" w:eastAsia="宋体" w:hAnsi="Book Antiqua" w:cs="宋体"/>
          <w:b/>
          <w:bCs/>
          <w:color w:val="000000"/>
          <w:sz w:val="24"/>
          <w:szCs w:val="24"/>
          <w:lang w:eastAsia="zh-CN"/>
        </w:rPr>
        <w:t>Akey DL</w:t>
      </w:r>
      <w:proofErr w:type="gramEnd"/>
      <w:r w:rsidRPr="002D569F">
        <w:rPr>
          <w:rFonts w:ascii="Book Antiqua" w:eastAsia="宋体" w:hAnsi="Book Antiqua" w:cs="宋体"/>
          <w:color w:val="000000"/>
          <w:sz w:val="24"/>
          <w:szCs w:val="24"/>
          <w:lang w:eastAsia="zh-CN"/>
        </w:rPr>
        <w:t>, Berger JM. Structure of the nuclease domain of ribonuclease III from M. tuberculosis at 2.1 A. </w:t>
      </w:r>
      <w:r w:rsidRPr="002D569F">
        <w:rPr>
          <w:rFonts w:ascii="Book Antiqua" w:eastAsia="宋体" w:hAnsi="Book Antiqua" w:cs="宋体"/>
          <w:i/>
          <w:iCs/>
          <w:color w:val="000000"/>
          <w:sz w:val="24"/>
          <w:szCs w:val="24"/>
          <w:lang w:eastAsia="zh-CN"/>
        </w:rPr>
        <w:t>Protein Sci</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14</w:t>
      </w:r>
      <w:r w:rsidRPr="002D569F">
        <w:rPr>
          <w:rFonts w:ascii="Book Antiqua" w:eastAsia="宋体" w:hAnsi="Book Antiqua" w:cs="宋体"/>
          <w:color w:val="000000"/>
          <w:sz w:val="24"/>
          <w:szCs w:val="24"/>
          <w:lang w:eastAsia="zh-CN"/>
        </w:rPr>
        <w:t>: 2744-2750 [PMID: 16155</w:t>
      </w:r>
      <w:r w:rsidR="008F20D9">
        <w:rPr>
          <w:rFonts w:ascii="Book Antiqua" w:eastAsia="宋体" w:hAnsi="Book Antiqua" w:cs="宋体"/>
          <w:color w:val="000000"/>
          <w:sz w:val="24"/>
          <w:szCs w:val="24"/>
          <w:lang w:eastAsia="zh-CN"/>
        </w:rPr>
        <w:t>207 DOI: 10.1110/ps.051665905]</w:t>
      </w:r>
    </w:p>
    <w:p w14:paraId="46F76832"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143 </w:t>
      </w:r>
      <w:r w:rsidRPr="002D569F">
        <w:rPr>
          <w:rFonts w:ascii="Book Antiqua" w:eastAsia="宋体" w:hAnsi="Book Antiqua" w:cs="宋体"/>
          <w:b/>
          <w:bCs/>
          <w:color w:val="000000"/>
          <w:sz w:val="24"/>
          <w:szCs w:val="24"/>
          <w:lang w:eastAsia="zh-CN"/>
        </w:rPr>
        <w:t>Kittle JD</w:t>
      </w:r>
      <w:r w:rsidRPr="002D569F">
        <w:rPr>
          <w:rFonts w:ascii="Book Antiqua" w:eastAsia="宋体" w:hAnsi="Book Antiqua" w:cs="宋体"/>
          <w:color w:val="000000"/>
          <w:sz w:val="24"/>
          <w:szCs w:val="24"/>
          <w:lang w:eastAsia="zh-CN"/>
        </w:rPr>
        <w:t>, Simons RW, Lee J, Kleckner N. Insertion sequence IS10 anti-sense pairing initiates by an interaction between the 5' end of the target RNA and a loop in the anti-sense RNA. </w:t>
      </w:r>
      <w:r w:rsidRPr="002D569F">
        <w:rPr>
          <w:rFonts w:ascii="Book Antiqua" w:eastAsia="宋体" w:hAnsi="Book Antiqua" w:cs="宋体"/>
          <w:i/>
          <w:iCs/>
          <w:color w:val="000000"/>
          <w:sz w:val="24"/>
          <w:szCs w:val="24"/>
          <w:lang w:eastAsia="zh-CN"/>
        </w:rPr>
        <w:t>J Mol Biol</w:t>
      </w:r>
      <w:r w:rsidRPr="002D569F">
        <w:rPr>
          <w:rFonts w:ascii="Book Antiqua" w:eastAsia="宋体" w:hAnsi="Book Antiqua" w:cs="宋体"/>
          <w:color w:val="000000"/>
          <w:sz w:val="24"/>
          <w:szCs w:val="24"/>
          <w:lang w:eastAsia="zh-CN"/>
        </w:rPr>
        <w:t> 1989; </w:t>
      </w:r>
      <w:r w:rsidRPr="002D569F">
        <w:rPr>
          <w:rFonts w:ascii="Book Antiqua" w:eastAsia="宋体" w:hAnsi="Book Antiqua" w:cs="宋体"/>
          <w:b/>
          <w:bCs/>
          <w:color w:val="000000"/>
          <w:sz w:val="24"/>
          <w:szCs w:val="24"/>
          <w:lang w:eastAsia="zh-CN"/>
        </w:rPr>
        <w:t>210</w:t>
      </w:r>
      <w:r w:rsidRPr="002D569F">
        <w:rPr>
          <w:rFonts w:ascii="Book Antiqua" w:eastAsia="宋体" w:hAnsi="Book Antiqua" w:cs="宋体"/>
          <w:color w:val="000000"/>
          <w:sz w:val="24"/>
          <w:szCs w:val="24"/>
          <w:lang w:eastAsia="zh-CN"/>
        </w:rPr>
        <w:t>: 561-572 [PMID: 2482367 DOI: 10.1016/0022-2836(89)90132-0]</w:t>
      </w:r>
    </w:p>
    <w:p w14:paraId="1C65113F"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144 </w:t>
      </w:r>
      <w:r w:rsidRPr="002D569F">
        <w:rPr>
          <w:rFonts w:ascii="Book Antiqua" w:eastAsia="宋体" w:hAnsi="Book Antiqua" w:cs="宋体"/>
          <w:b/>
          <w:bCs/>
          <w:color w:val="000000"/>
          <w:sz w:val="24"/>
          <w:szCs w:val="24"/>
          <w:lang w:eastAsia="zh-CN"/>
        </w:rPr>
        <w:t>Tomizawa J</w:t>
      </w:r>
      <w:r w:rsidRPr="002D569F">
        <w:rPr>
          <w:rFonts w:ascii="Book Antiqua" w:eastAsia="宋体" w:hAnsi="Book Antiqua" w:cs="宋体"/>
          <w:color w:val="000000"/>
          <w:sz w:val="24"/>
          <w:szCs w:val="24"/>
          <w:lang w:eastAsia="zh-CN"/>
        </w:rPr>
        <w:t>. Control of ColE1 plasmid replication.</w:t>
      </w:r>
      <w:proofErr w:type="gramEnd"/>
      <w:r w:rsidRPr="002D569F">
        <w:rPr>
          <w:rFonts w:ascii="Book Antiqua" w:eastAsia="宋体" w:hAnsi="Book Antiqua" w:cs="宋体"/>
          <w:color w:val="000000"/>
          <w:sz w:val="24"/>
          <w:szCs w:val="24"/>
          <w:lang w:eastAsia="zh-CN"/>
        </w:rPr>
        <w:t xml:space="preserve"> Interaction of Rom protein with an unstable complex formed by RNA </w:t>
      </w:r>
      <w:proofErr w:type="gramStart"/>
      <w:r w:rsidRPr="002D569F">
        <w:rPr>
          <w:rFonts w:ascii="Book Antiqua" w:eastAsia="宋体" w:hAnsi="Book Antiqua" w:cs="宋体"/>
          <w:color w:val="000000"/>
          <w:sz w:val="24"/>
          <w:szCs w:val="24"/>
          <w:lang w:eastAsia="zh-CN"/>
        </w:rPr>
        <w:t>I and RNA II</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Mol Biol</w:t>
      </w:r>
      <w:r w:rsidRPr="002D569F">
        <w:rPr>
          <w:rFonts w:ascii="Book Antiqua" w:eastAsia="宋体" w:hAnsi="Book Antiqua" w:cs="宋体"/>
          <w:color w:val="000000"/>
          <w:sz w:val="24"/>
          <w:szCs w:val="24"/>
          <w:lang w:eastAsia="zh-CN"/>
        </w:rPr>
        <w:t> 1990; </w:t>
      </w:r>
      <w:r w:rsidRPr="002D569F">
        <w:rPr>
          <w:rFonts w:ascii="Book Antiqua" w:eastAsia="宋体" w:hAnsi="Book Antiqua" w:cs="宋体"/>
          <w:b/>
          <w:bCs/>
          <w:color w:val="000000"/>
          <w:sz w:val="24"/>
          <w:szCs w:val="24"/>
          <w:lang w:eastAsia="zh-CN"/>
        </w:rPr>
        <w:t>212</w:t>
      </w:r>
      <w:r w:rsidRPr="002D569F">
        <w:rPr>
          <w:rFonts w:ascii="Book Antiqua" w:eastAsia="宋体" w:hAnsi="Book Antiqua" w:cs="宋体"/>
          <w:color w:val="000000"/>
          <w:sz w:val="24"/>
          <w:szCs w:val="24"/>
          <w:lang w:eastAsia="zh-CN"/>
        </w:rPr>
        <w:t>: 695-708 [PMID: 1691791]</w:t>
      </w:r>
    </w:p>
    <w:p w14:paraId="6C535183"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145 </w:t>
      </w:r>
      <w:r w:rsidRPr="002D569F">
        <w:rPr>
          <w:rFonts w:ascii="Book Antiqua" w:eastAsia="宋体" w:hAnsi="Book Antiqua" w:cs="宋体"/>
          <w:b/>
          <w:bCs/>
          <w:color w:val="000000"/>
          <w:sz w:val="24"/>
          <w:szCs w:val="24"/>
          <w:lang w:eastAsia="zh-CN"/>
        </w:rPr>
        <w:t>Tomizawa J</w:t>
      </w:r>
      <w:r w:rsidRPr="002D569F">
        <w:rPr>
          <w:rFonts w:ascii="Book Antiqua" w:eastAsia="宋体" w:hAnsi="Book Antiqua" w:cs="宋体"/>
          <w:color w:val="000000"/>
          <w:sz w:val="24"/>
          <w:szCs w:val="24"/>
          <w:lang w:eastAsia="zh-CN"/>
        </w:rPr>
        <w:t>. Control of ColE1 plasmid replication: the process of binding of RNA I to the primer transcript. </w:t>
      </w:r>
      <w:r w:rsidRPr="002D569F">
        <w:rPr>
          <w:rFonts w:ascii="Book Antiqua" w:eastAsia="宋体" w:hAnsi="Book Antiqua" w:cs="宋体"/>
          <w:i/>
          <w:iCs/>
          <w:color w:val="000000"/>
          <w:sz w:val="24"/>
          <w:szCs w:val="24"/>
          <w:lang w:eastAsia="zh-CN"/>
        </w:rPr>
        <w:t>Cell</w:t>
      </w:r>
      <w:r w:rsidRPr="002D569F">
        <w:rPr>
          <w:rFonts w:ascii="Book Antiqua" w:eastAsia="宋体" w:hAnsi="Book Antiqua" w:cs="宋体"/>
          <w:color w:val="000000"/>
          <w:sz w:val="24"/>
          <w:szCs w:val="24"/>
          <w:lang w:eastAsia="zh-CN"/>
        </w:rPr>
        <w:t> 1984; </w:t>
      </w:r>
      <w:r w:rsidRPr="002D569F">
        <w:rPr>
          <w:rFonts w:ascii="Book Antiqua" w:eastAsia="宋体" w:hAnsi="Book Antiqua" w:cs="宋体"/>
          <w:b/>
          <w:bCs/>
          <w:color w:val="000000"/>
          <w:sz w:val="24"/>
          <w:szCs w:val="24"/>
          <w:lang w:eastAsia="zh-CN"/>
        </w:rPr>
        <w:t>38</w:t>
      </w:r>
      <w:r w:rsidRPr="002D569F">
        <w:rPr>
          <w:rFonts w:ascii="Book Antiqua" w:eastAsia="宋体" w:hAnsi="Book Antiqua" w:cs="宋体"/>
          <w:color w:val="000000"/>
          <w:sz w:val="24"/>
          <w:szCs w:val="24"/>
          <w:lang w:eastAsia="zh-CN"/>
        </w:rPr>
        <w:t>: 861-870 [PMID: 6207934]</w:t>
      </w:r>
    </w:p>
    <w:p w14:paraId="536AEE33"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146 </w:t>
      </w:r>
      <w:r w:rsidRPr="002D569F">
        <w:rPr>
          <w:rFonts w:ascii="Book Antiqua" w:eastAsia="宋体" w:hAnsi="Book Antiqua" w:cs="宋体"/>
          <w:b/>
          <w:bCs/>
          <w:color w:val="000000"/>
          <w:sz w:val="24"/>
          <w:szCs w:val="24"/>
          <w:lang w:eastAsia="zh-CN"/>
        </w:rPr>
        <w:t>Franch T</w:t>
      </w:r>
      <w:r w:rsidRPr="002D569F">
        <w:rPr>
          <w:rFonts w:ascii="Book Antiqua" w:eastAsia="宋体" w:hAnsi="Book Antiqua" w:cs="宋体"/>
          <w:color w:val="000000"/>
          <w:sz w:val="24"/>
          <w:szCs w:val="24"/>
          <w:lang w:eastAsia="zh-CN"/>
        </w:rPr>
        <w:t>, Gerdes K. U-turns and regulatory RNAs.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Curr Opin Microbiol</w:t>
      </w:r>
      <w:r w:rsidRPr="002D569F">
        <w:rPr>
          <w:rFonts w:ascii="Book Antiqua" w:eastAsia="宋体" w:hAnsi="Book Antiqua" w:cs="宋体"/>
          <w:color w:val="000000"/>
          <w:sz w:val="24"/>
          <w:szCs w:val="24"/>
          <w:lang w:eastAsia="zh-CN"/>
        </w:rPr>
        <w:t> 2000; </w:t>
      </w:r>
      <w:r w:rsidRPr="002D569F">
        <w:rPr>
          <w:rFonts w:ascii="Book Antiqua" w:eastAsia="宋体" w:hAnsi="Book Antiqua" w:cs="宋体"/>
          <w:b/>
          <w:bCs/>
          <w:color w:val="000000"/>
          <w:sz w:val="24"/>
          <w:szCs w:val="24"/>
          <w:lang w:eastAsia="zh-CN"/>
        </w:rPr>
        <w:t>3</w:t>
      </w:r>
      <w:r w:rsidRPr="002D569F">
        <w:rPr>
          <w:rFonts w:ascii="Book Antiqua" w:eastAsia="宋体" w:hAnsi="Book Antiqua" w:cs="宋体"/>
          <w:color w:val="000000"/>
          <w:sz w:val="24"/>
          <w:szCs w:val="24"/>
          <w:lang w:eastAsia="zh-CN"/>
        </w:rPr>
        <w:t>: 159-164 [PMID: 10744992 DOI: 10.1016/S1369-5274(00)00069-2]</w:t>
      </w:r>
    </w:p>
    <w:p w14:paraId="4840EBAD" w14:textId="6B2980B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147 </w:t>
      </w:r>
      <w:r w:rsidRPr="002D569F">
        <w:rPr>
          <w:rFonts w:ascii="Book Antiqua" w:eastAsia="宋体" w:hAnsi="Book Antiqua" w:cs="宋体"/>
          <w:b/>
          <w:bCs/>
          <w:color w:val="000000"/>
          <w:sz w:val="24"/>
          <w:szCs w:val="24"/>
          <w:lang w:eastAsia="zh-CN"/>
        </w:rPr>
        <w:t>Nakashima N</w:t>
      </w:r>
      <w:r w:rsidRPr="002D569F">
        <w:rPr>
          <w:rFonts w:ascii="Book Antiqua" w:eastAsia="宋体" w:hAnsi="Book Antiqua" w:cs="宋体"/>
          <w:color w:val="000000"/>
          <w:sz w:val="24"/>
          <w:szCs w:val="24"/>
          <w:lang w:eastAsia="zh-CN"/>
        </w:rPr>
        <w:t>, Tamura T, Good L. Paired termini stabilize antisense RNAs and enhance conditional gene silencing in Escherichia coli.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34</w:t>
      </w:r>
      <w:r w:rsidRPr="002D569F">
        <w:rPr>
          <w:rFonts w:ascii="Book Antiqua" w:eastAsia="宋体" w:hAnsi="Book Antiqua" w:cs="宋体"/>
          <w:color w:val="000000"/>
          <w:sz w:val="24"/>
          <w:szCs w:val="24"/>
          <w:lang w:eastAsia="zh-CN"/>
        </w:rPr>
        <w:t>: e138 [PMID: 170</w:t>
      </w:r>
      <w:r w:rsidR="008F20D9">
        <w:rPr>
          <w:rFonts w:ascii="Book Antiqua" w:eastAsia="宋体" w:hAnsi="Book Antiqua" w:cs="宋体"/>
          <w:color w:val="000000"/>
          <w:sz w:val="24"/>
          <w:szCs w:val="24"/>
          <w:lang w:eastAsia="zh-CN"/>
        </w:rPr>
        <w:t>62631 DOI: 10.1093/nar/gkl697]</w:t>
      </w:r>
    </w:p>
    <w:p w14:paraId="7D9E1AD2" w14:textId="0E0BAA25"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148 </w:t>
      </w:r>
      <w:r w:rsidRPr="002D569F">
        <w:rPr>
          <w:rFonts w:ascii="Book Antiqua" w:eastAsia="宋体" w:hAnsi="Book Antiqua" w:cs="宋体"/>
          <w:b/>
          <w:bCs/>
          <w:color w:val="000000"/>
          <w:sz w:val="24"/>
          <w:szCs w:val="24"/>
          <w:lang w:eastAsia="zh-CN"/>
        </w:rPr>
        <w:t>Good L</w:t>
      </w:r>
      <w:r w:rsidRPr="002D569F">
        <w:rPr>
          <w:rFonts w:ascii="Book Antiqua" w:eastAsia="宋体" w:hAnsi="Book Antiqua" w:cs="宋体"/>
          <w:color w:val="000000"/>
          <w:sz w:val="24"/>
          <w:szCs w:val="24"/>
          <w:lang w:eastAsia="zh-CN"/>
        </w:rPr>
        <w:t>, Awasthi SK, Dryselius R, Larsson O, Nielsen PE.</w:t>
      </w:r>
      <w:proofErr w:type="gramEnd"/>
      <w:r w:rsidRPr="002D569F">
        <w:rPr>
          <w:rFonts w:ascii="Book Antiqua" w:eastAsia="宋体" w:hAnsi="Book Antiqua" w:cs="宋体"/>
          <w:color w:val="000000"/>
          <w:sz w:val="24"/>
          <w:szCs w:val="24"/>
          <w:lang w:eastAsia="zh-CN"/>
        </w:rPr>
        <w:t xml:space="preserve"> </w:t>
      </w:r>
      <w:proofErr w:type="gramStart"/>
      <w:r w:rsidRPr="002D569F">
        <w:rPr>
          <w:rFonts w:ascii="Book Antiqua" w:eastAsia="宋体" w:hAnsi="Book Antiqua" w:cs="宋体"/>
          <w:color w:val="000000"/>
          <w:sz w:val="24"/>
          <w:szCs w:val="24"/>
          <w:lang w:eastAsia="zh-CN"/>
        </w:rPr>
        <w:t>Bactericidal antisense effects of peptide-PNA conjugates.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Nat Biotechnol</w:t>
      </w:r>
      <w:r w:rsidRPr="002D569F">
        <w:rPr>
          <w:rFonts w:ascii="Book Antiqua" w:eastAsia="宋体" w:hAnsi="Book Antiqua" w:cs="宋体"/>
          <w:color w:val="000000"/>
          <w:sz w:val="24"/>
          <w:szCs w:val="24"/>
          <w:lang w:eastAsia="zh-CN"/>
        </w:rPr>
        <w:t> 2001; </w:t>
      </w:r>
      <w:r w:rsidRPr="002D569F">
        <w:rPr>
          <w:rFonts w:ascii="Book Antiqua" w:eastAsia="宋体" w:hAnsi="Book Antiqua" w:cs="宋体"/>
          <w:b/>
          <w:bCs/>
          <w:color w:val="000000"/>
          <w:sz w:val="24"/>
          <w:szCs w:val="24"/>
          <w:lang w:eastAsia="zh-CN"/>
        </w:rPr>
        <w:t>19</w:t>
      </w:r>
      <w:r w:rsidRPr="002D569F">
        <w:rPr>
          <w:rFonts w:ascii="Book Antiqua" w:eastAsia="宋体" w:hAnsi="Book Antiqua" w:cs="宋体"/>
          <w:color w:val="000000"/>
          <w:sz w:val="24"/>
          <w:szCs w:val="24"/>
          <w:lang w:eastAsia="zh-CN"/>
        </w:rPr>
        <w:t>: 360-364 [PMID</w:t>
      </w:r>
      <w:r w:rsidR="008F20D9">
        <w:rPr>
          <w:rFonts w:ascii="Book Antiqua" w:eastAsia="宋体" w:hAnsi="Book Antiqua" w:cs="宋体"/>
          <w:color w:val="000000"/>
          <w:sz w:val="24"/>
          <w:szCs w:val="24"/>
          <w:lang w:eastAsia="zh-CN"/>
        </w:rPr>
        <w:t>: 11283595 DOI: 10.1038/86753]</w:t>
      </w:r>
    </w:p>
    <w:p w14:paraId="3577D55D"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149 </w:t>
      </w:r>
      <w:r w:rsidRPr="002D569F">
        <w:rPr>
          <w:rFonts w:ascii="Book Antiqua" w:eastAsia="宋体" w:hAnsi="Book Antiqua" w:cs="宋体"/>
          <w:b/>
          <w:bCs/>
          <w:color w:val="000000"/>
          <w:sz w:val="24"/>
          <w:szCs w:val="24"/>
          <w:lang w:eastAsia="zh-CN"/>
        </w:rPr>
        <w:t>Nikravesh A</w:t>
      </w:r>
      <w:r w:rsidRPr="002D569F">
        <w:rPr>
          <w:rFonts w:ascii="Book Antiqua" w:eastAsia="宋体" w:hAnsi="Book Antiqua" w:cs="宋体"/>
          <w:color w:val="000000"/>
          <w:sz w:val="24"/>
          <w:szCs w:val="24"/>
          <w:lang w:eastAsia="zh-CN"/>
        </w:rPr>
        <w:t>, Dryselius R, Faridani OR, Goh S, Sadeghizadeh M, Behmanesh M, Ganyu A, Klok EJ, Zain R, Good L. Antisense PNA accumulates in Escherichia coli and mediates a long post-antibiotic effect. </w:t>
      </w:r>
      <w:r w:rsidRPr="002D569F">
        <w:rPr>
          <w:rFonts w:ascii="Book Antiqua" w:eastAsia="宋体" w:hAnsi="Book Antiqua" w:cs="宋体"/>
          <w:i/>
          <w:iCs/>
          <w:color w:val="000000"/>
          <w:sz w:val="24"/>
          <w:szCs w:val="24"/>
          <w:lang w:eastAsia="zh-CN"/>
        </w:rPr>
        <w:t>Mol Ther</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15</w:t>
      </w:r>
      <w:r w:rsidRPr="002D569F">
        <w:rPr>
          <w:rFonts w:ascii="Book Antiqua" w:eastAsia="宋体" w:hAnsi="Book Antiqua" w:cs="宋体"/>
          <w:color w:val="000000"/>
          <w:sz w:val="24"/>
          <w:szCs w:val="24"/>
          <w:lang w:eastAsia="zh-CN"/>
        </w:rPr>
        <w:t>: 1537-1542 [PMID: 17534267]</w:t>
      </w:r>
    </w:p>
    <w:p w14:paraId="514119FD" w14:textId="708B17EB"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150 </w:t>
      </w:r>
      <w:r w:rsidRPr="002D569F">
        <w:rPr>
          <w:rFonts w:ascii="Book Antiqua" w:eastAsia="宋体" w:hAnsi="Book Antiqua" w:cs="宋体"/>
          <w:b/>
          <w:bCs/>
          <w:color w:val="000000"/>
          <w:sz w:val="24"/>
          <w:szCs w:val="24"/>
          <w:lang w:eastAsia="zh-CN"/>
        </w:rPr>
        <w:t>Rasmussen LC</w:t>
      </w:r>
      <w:r w:rsidRPr="002D569F">
        <w:rPr>
          <w:rFonts w:ascii="Book Antiqua" w:eastAsia="宋体" w:hAnsi="Book Antiqua" w:cs="宋体"/>
          <w:color w:val="000000"/>
          <w:sz w:val="24"/>
          <w:szCs w:val="24"/>
          <w:lang w:eastAsia="zh-CN"/>
        </w:rPr>
        <w:t>, Sperling-Petersen HU, Mortensen KK.</w:t>
      </w:r>
      <w:proofErr w:type="gramEnd"/>
      <w:r w:rsidRPr="002D569F">
        <w:rPr>
          <w:rFonts w:ascii="Book Antiqua" w:eastAsia="宋体" w:hAnsi="Book Antiqua" w:cs="宋体"/>
          <w:color w:val="000000"/>
          <w:sz w:val="24"/>
          <w:szCs w:val="24"/>
          <w:lang w:eastAsia="zh-CN"/>
        </w:rPr>
        <w:t xml:space="preserve"> Hitting bacteria at the heart of the central dogma: sequence-specific inhibition. </w:t>
      </w:r>
      <w:r w:rsidRPr="002D569F">
        <w:rPr>
          <w:rFonts w:ascii="Book Antiqua" w:eastAsia="宋体" w:hAnsi="Book Antiqua" w:cs="宋体"/>
          <w:i/>
          <w:iCs/>
          <w:color w:val="000000"/>
          <w:sz w:val="24"/>
          <w:szCs w:val="24"/>
          <w:lang w:eastAsia="zh-CN"/>
        </w:rPr>
        <w:t>Microb Cell Fact</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6</w:t>
      </w:r>
      <w:r w:rsidRPr="002D569F">
        <w:rPr>
          <w:rFonts w:ascii="Book Antiqua" w:eastAsia="宋体" w:hAnsi="Book Antiqua" w:cs="宋体"/>
          <w:color w:val="000000"/>
          <w:sz w:val="24"/>
          <w:szCs w:val="24"/>
          <w:lang w:eastAsia="zh-CN"/>
        </w:rPr>
        <w:t>: 24 [PMID: 17692125]</w:t>
      </w:r>
    </w:p>
    <w:p w14:paraId="498EEA82"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151 </w:t>
      </w:r>
      <w:r w:rsidRPr="002D569F">
        <w:rPr>
          <w:rFonts w:ascii="Book Antiqua" w:eastAsia="宋体" w:hAnsi="Book Antiqua" w:cs="宋体"/>
          <w:b/>
          <w:bCs/>
          <w:color w:val="000000"/>
          <w:sz w:val="24"/>
          <w:szCs w:val="24"/>
          <w:lang w:eastAsia="zh-CN"/>
        </w:rPr>
        <w:t>Cao M</w:t>
      </w:r>
      <w:r w:rsidRPr="002D569F">
        <w:rPr>
          <w:rFonts w:ascii="Book Antiqua" w:eastAsia="宋体" w:hAnsi="Book Antiqua" w:cs="宋体"/>
          <w:color w:val="000000"/>
          <w:sz w:val="24"/>
          <w:szCs w:val="24"/>
          <w:lang w:eastAsia="zh-CN"/>
        </w:rPr>
        <w:t>, Ren H, Zhao P, Pan W, Zhao L, Qi Z. Small interfering RNA-mediated inhibition of hepatitis G virus gene expression in human hepatoma cell Huh-7. </w:t>
      </w:r>
      <w:r w:rsidRPr="002D569F">
        <w:rPr>
          <w:rFonts w:ascii="Book Antiqua" w:eastAsia="宋体" w:hAnsi="Book Antiqua" w:cs="宋体"/>
          <w:i/>
          <w:iCs/>
          <w:color w:val="000000"/>
          <w:sz w:val="24"/>
          <w:szCs w:val="24"/>
          <w:lang w:eastAsia="zh-CN"/>
        </w:rPr>
        <w:t>Sci China C Life Sci</w:t>
      </w:r>
      <w:r w:rsidRPr="002D569F">
        <w:rPr>
          <w:rFonts w:ascii="Book Antiqua" w:eastAsia="宋体" w:hAnsi="Book Antiqua" w:cs="宋体"/>
          <w:color w:val="000000"/>
          <w:sz w:val="24"/>
          <w:szCs w:val="24"/>
          <w:lang w:eastAsia="zh-CN"/>
        </w:rPr>
        <w:t> 2005; </w:t>
      </w:r>
      <w:r w:rsidRPr="002D569F">
        <w:rPr>
          <w:rFonts w:ascii="Book Antiqua" w:eastAsia="宋体" w:hAnsi="Book Antiqua" w:cs="宋体"/>
          <w:b/>
          <w:bCs/>
          <w:color w:val="000000"/>
          <w:sz w:val="24"/>
          <w:szCs w:val="24"/>
          <w:lang w:eastAsia="zh-CN"/>
        </w:rPr>
        <w:t>48</w:t>
      </w:r>
      <w:r w:rsidRPr="002D569F">
        <w:rPr>
          <w:rFonts w:ascii="Book Antiqua" w:eastAsia="宋体" w:hAnsi="Book Antiqua" w:cs="宋体"/>
          <w:color w:val="000000"/>
          <w:sz w:val="24"/>
          <w:szCs w:val="24"/>
          <w:lang w:eastAsia="zh-CN"/>
        </w:rPr>
        <w:t>: 61-69 [PMID: 15844358 DOI: 10.1360/03yc0233]</w:t>
      </w:r>
    </w:p>
    <w:p w14:paraId="0AC750C6" w14:textId="6B374BB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152 </w:t>
      </w:r>
      <w:r w:rsidRPr="002D569F">
        <w:rPr>
          <w:rFonts w:ascii="Book Antiqua" w:eastAsia="宋体" w:hAnsi="Book Antiqua" w:cs="宋体"/>
          <w:b/>
          <w:bCs/>
          <w:color w:val="000000"/>
          <w:sz w:val="24"/>
          <w:szCs w:val="24"/>
          <w:lang w:eastAsia="zh-CN"/>
        </w:rPr>
        <w:t>Ge Q</w:t>
      </w:r>
      <w:r w:rsidRPr="002D569F">
        <w:rPr>
          <w:rFonts w:ascii="Book Antiqua" w:eastAsia="宋体" w:hAnsi="Book Antiqua" w:cs="宋体"/>
          <w:color w:val="000000"/>
          <w:sz w:val="24"/>
          <w:szCs w:val="24"/>
          <w:lang w:eastAsia="zh-CN"/>
        </w:rPr>
        <w:t>, McManus MT, Nguyen T, Shen CH, Sharp PA, Eisen HN, Chen J. RNA interference of influenza virus production by directly targeting mRNA for degradation and indirectly inhibiting all viral RNA transcription. </w:t>
      </w:r>
      <w:r w:rsidRPr="002D569F">
        <w:rPr>
          <w:rFonts w:ascii="Book Antiqua" w:eastAsia="宋体" w:hAnsi="Book Antiqua" w:cs="宋体"/>
          <w:i/>
          <w:iCs/>
          <w:color w:val="000000"/>
          <w:sz w:val="24"/>
          <w:szCs w:val="24"/>
          <w:lang w:eastAsia="zh-CN"/>
        </w:rPr>
        <w:t>Proc Natl Acad Sci U S A</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100</w:t>
      </w:r>
      <w:r w:rsidRPr="002D569F">
        <w:rPr>
          <w:rFonts w:ascii="Book Antiqua" w:eastAsia="宋体" w:hAnsi="Book Antiqua" w:cs="宋体"/>
          <w:color w:val="000000"/>
          <w:sz w:val="24"/>
          <w:szCs w:val="24"/>
          <w:lang w:eastAsia="zh-CN"/>
        </w:rPr>
        <w:t>: 2718-2723 [PMID: 12594334</w:t>
      </w:r>
      <w:r w:rsidR="008F20D9">
        <w:rPr>
          <w:rFonts w:ascii="Book Antiqua" w:eastAsia="宋体" w:hAnsi="Book Antiqua" w:cs="宋体"/>
          <w:color w:val="000000"/>
          <w:sz w:val="24"/>
          <w:szCs w:val="24"/>
          <w:lang w:eastAsia="zh-CN"/>
        </w:rPr>
        <w:t xml:space="preserve"> DOI: 10.1073/pnas.0437841100]</w:t>
      </w:r>
    </w:p>
    <w:p w14:paraId="1B7283B7" w14:textId="776BF44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153 </w:t>
      </w:r>
      <w:r w:rsidRPr="002D569F">
        <w:rPr>
          <w:rFonts w:ascii="Book Antiqua" w:eastAsia="宋体" w:hAnsi="Book Antiqua" w:cs="宋体"/>
          <w:b/>
          <w:bCs/>
          <w:color w:val="000000"/>
          <w:sz w:val="24"/>
          <w:szCs w:val="24"/>
          <w:lang w:eastAsia="zh-CN"/>
        </w:rPr>
        <w:t>Lim T</w:t>
      </w:r>
      <w:r w:rsidRPr="002D569F">
        <w:rPr>
          <w:rFonts w:ascii="Book Antiqua" w:eastAsia="宋体" w:hAnsi="Book Antiqua" w:cs="宋体"/>
          <w:color w:val="000000"/>
          <w:sz w:val="24"/>
          <w:szCs w:val="24"/>
          <w:lang w:eastAsia="zh-CN"/>
        </w:rPr>
        <w:t>, Yuan J, Zhang HM, Sall A, Liu Z, Su Y, Yang D. Antisense DNA and RNA agents against picornaviruses. </w:t>
      </w:r>
      <w:r w:rsidRPr="002D569F">
        <w:rPr>
          <w:rFonts w:ascii="Book Antiqua" w:eastAsia="宋体" w:hAnsi="Book Antiqua" w:cs="宋体"/>
          <w:i/>
          <w:iCs/>
          <w:color w:val="000000"/>
          <w:sz w:val="24"/>
          <w:szCs w:val="24"/>
          <w:lang w:eastAsia="zh-CN"/>
        </w:rPr>
        <w:t>Front Biosci</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13</w:t>
      </w:r>
      <w:r w:rsidRPr="002D569F">
        <w:rPr>
          <w:rFonts w:ascii="Book Antiqua" w:eastAsia="宋体" w:hAnsi="Book Antiqua" w:cs="宋体"/>
          <w:color w:val="000000"/>
          <w:sz w:val="24"/>
          <w:szCs w:val="24"/>
          <w:lang w:eastAsia="zh-CN"/>
        </w:rPr>
        <w:t>: 4707-4725 [PMI</w:t>
      </w:r>
      <w:r w:rsidR="008F20D9">
        <w:rPr>
          <w:rFonts w:ascii="Book Antiqua" w:eastAsia="宋体" w:hAnsi="Book Antiqua" w:cs="宋体"/>
          <w:color w:val="000000"/>
          <w:sz w:val="24"/>
          <w:szCs w:val="24"/>
          <w:lang w:eastAsia="zh-CN"/>
        </w:rPr>
        <w:t>D: 18508540 DOI: 10.2741/3034]</w:t>
      </w:r>
    </w:p>
    <w:p w14:paraId="1333B769" w14:textId="0388324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154 </w:t>
      </w:r>
      <w:r w:rsidRPr="002D569F">
        <w:rPr>
          <w:rFonts w:ascii="Book Antiqua" w:eastAsia="宋体" w:hAnsi="Book Antiqua" w:cs="宋体"/>
          <w:b/>
          <w:bCs/>
          <w:color w:val="000000"/>
          <w:sz w:val="24"/>
          <w:szCs w:val="24"/>
          <w:lang w:eastAsia="zh-CN"/>
        </w:rPr>
        <w:t>Zhang JM</w:t>
      </w:r>
      <w:r w:rsidRPr="002D569F">
        <w:rPr>
          <w:rFonts w:ascii="Book Antiqua" w:eastAsia="宋体" w:hAnsi="Book Antiqua" w:cs="宋体"/>
          <w:color w:val="000000"/>
          <w:sz w:val="24"/>
          <w:szCs w:val="24"/>
          <w:lang w:eastAsia="zh-CN"/>
        </w:rPr>
        <w:t xml:space="preserve">, Guo J, Tu X, Shi ZH, Hao JJ, Ke YH, Guan JF, He JJ. [Protective effect of Huaxia shallot preparation on human umbilical vein endothelial cell injury induced by oxidized </w:t>
      </w:r>
      <w:proofErr w:type="gramStart"/>
      <w:r w:rsidRPr="002D569F">
        <w:rPr>
          <w:rFonts w:ascii="Book Antiqua" w:eastAsia="宋体" w:hAnsi="Book Antiqua" w:cs="宋体"/>
          <w:color w:val="000000"/>
          <w:sz w:val="24"/>
          <w:szCs w:val="24"/>
          <w:lang w:eastAsia="zh-CN"/>
        </w:rPr>
        <w:t>low density</w:t>
      </w:r>
      <w:proofErr w:type="gramEnd"/>
      <w:r w:rsidRPr="002D569F">
        <w:rPr>
          <w:rFonts w:ascii="Book Antiqua" w:eastAsia="宋体" w:hAnsi="Book Antiqua" w:cs="宋体"/>
          <w:color w:val="000000"/>
          <w:sz w:val="24"/>
          <w:szCs w:val="24"/>
          <w:lang w:eastAsia="zh-CN"/>
        </w:rPr>
        <w:t xml:space="preserve"> lipoprotein and its mechanism]. </w:t>
      </w:r>
      <w:r w:rsidRPr="002D569F">
        <w:rPr>
          <w:rFonts w:ascii="Book Antiqua" w:eastAsia="宋体" w:hAnsi="Book Antiqua" w:cs="宋体"/>
          <w:i/>
          <w:iCs/>
          <w:color w:val="000000"/>
          <w:sz w:val="24"/>
          <w:szCs w:val="24"/>
          <w:lang w:eastAsia="zh-CN"/>
        </w:rPr>
        <w:t>Zhong Xi Yi Jie He Xue Bao</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5</w:t>
      </w:r>
      <w:r w:rsidRPr="002D569F">
        <w:rPr>
          <w:rFonts w:ascii="Book Antiqua" w:eastAsia="宋体" w:hAnsi="Book Antiqua" w:cs="宋体"/>
          <w:color w:val="000000"/>
          <w:sz w:val="24"/>
          <w:szCs w:val="24"/>
          <w:lang w:eastAsia="zh-CN"/>
        </w:rPr>
        <w:t>: 675-680 [PMID: 17997945]</w:t>
      </w:r>
    </w:p>
    <w:p w14:paraId="420FE5E6" w14:textId="4DC461B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155 </w:t>
      </w:r>
      <w:r w:rsidRPr="002D569F">
        <w:rPr>
          <w:rFonts w:ascii="Book Antiqua" w:eastAsia="宋体" w:hAnsi="Book Antiqua" w:cs="宋体"/>
          <w:b/>
          <w:bCs/>
          <w:color w:val="000000"/>
          <w:sz w:val="24"/>
          <w:szCs w:val="24"/>
          <w:lang w:eastAsia="zh-CN"/>
        </w:rPr>
        <w:t>Mellbye BL</w:t>
      </w:r>
      <w:r w:rsidRPr="002D569F">
        <w:rPr>
          <w:rFonts w:ascii="Book Antiqua" w:eastAsia="宋体" w:hAnsi="Book Antiqua" w:cs="宋体"/>
          <w:color w:val="000000"/>
          <w:sz w:val="24"/>
          <w:szCs w:val="24"/>
          <w:lang w:eastAsia="zh-CN"/>
        </w:rPr>
        <w:t>, Weller DD, Hassinger JN, Reeves MD, Lovejoy CE, Iversen PL, Geller BL. Cationic phosphorodiamidate morpholino oligomers efficiently prevent growth of Escherichia coli in vitro and in vivo. </w:t>
      </w:r>
      <w:r w:rsidRPr="002D569F">
        <w:rPr>
          <w:rFonts w:ascii="Book Antiqua" w:eastAsia="宋体" w:hAnsi="Book Antiqua" w:cs="宋体"/>
          <w:i/>
          <w:iCs/>
          <w:color w:val="000000"/>
          <w:sz w:val="24"/>
          <w:szCs w:val="24"/>
          <w:lang w:eastAsia="zh-CN"/>
        </w:rPr>
        <w:t>J Antimicrob Chemother</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65</w:t>
      </w:r>
      <w:r w:rsidRPr="002D569F">
        <w:rPr>
          <w:rFonts w:ascii="Book Antiqua" w:eastAsia="宋体" w:hAnsi="Book Antiqua" w:cs="宋体"/>
          <w:color w:val="000000"/>
          <w:sz w:val="24"/>
          <w:szCs w:val="24"/>
          <w:lang w:eastAsia="zh-CN"/>
        </w:rPr>
        <w:t>: 98-106 [PMID: 198</w:t>
      </w:r>
      <w:r w:rsidR="008F20D9">
        <w:rPr>
          <w:rFonts w:ascii="Book Antiqua" w:eastAsia="宋体" w:hAnsi="Book Antiqua" w:cs="宋体"/>
          <w:color w:val="000000"/>
          <w:sz w:val="24"/>
          <w:szCs w:val="24"/>
          <w:lang w:eastAsia="zh-CN"/>
        </w:rPr>
        <w:t>84121 DOI: 10.1093/jac/dkp392]</w:t>
      </w:r>
    </w:p>
    <w:p w14:paraId="76F38F94" w14:textId="4A403C9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156 </w:t>
      </w:r>
      <w:r w:rsidRPr="002D569F">
        <w:rPr>
          <w:rFonts w:ascii="Book Antiqua" w:eastAsia="宋体" w:hAnsi="Book Antiqua" w:cs="宋体"/>
          <w:b/>
          <w:bCs/>
          <w:color w:val="000000"/>
          <w:sz w:val="24"/>
          <w:szCs w:val="24"/>
          <w:lang w:eastAsia="zh-CN"/>
        </w:rPr>
        <w:t>Tilley LD</w:t>
      </w:r>
      <w:r w:rsidRPr="002D569F">
        <w:rPr>
          <w:rFonts w:ascii="Book Antiqua" w:eastAsia="宋体" w:hAnsi="Book Antiqua" w:cs="宋体"/>
          <w:color w:val="000000"/>
          <w:sz w:val="24"/>
          <w:szCs w:val="24"/>
          <w:lang w:eastAsia="zh-CN"/>
        </w:rPr>
        <w:t>, Mellbye BL, Puckett SE, Iversen PL, Geller BL. Antisense peptide-phosphorodiamidate morpholino oligomer conjugate: dose-response in mice infected with Escherichia coli. </w:t>
      </w:r>
      <w:r w:rsidRPr="002D569F">
        <w:rPr>
          <w:rFonts w:ascii="Book Antiqua" w:eastAsia="宋体" w:hAnsi="Book Antiqua" w:cs="宋体"/>
          <w:i/>
          <w:iCs/>
          <w:color w:val="000000"/>
          <w:sz w:val="24"/>
          <w:szCs w:val="24"/>
          <w:lang w:eastAsia="zh-CN"/>
        </w:rPr>
        <w:t>J Antimicrob Chemother</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59</w:t>
      </w:r>
      <w:r w:rsidRPr="002D569F">
        <w:rPr>
          <w:rFonts w:ascii="Book Antiqua" w:eastAsia="宋体" w:hAnsi="Book Antiqua" w:cs="宋体"/>
          <w:color w:val="000000"/>
          <w:sz w:val="24"/>
          <w:szCs w:val="24"/>
          <w:lang w:eastAsia="zh-CN"/>
        </w:rPr>
        <w:t>: 66-73 [PMID: 170</w:t>
      </w:r>
      <w:r w:rsidR="008F20D9">
        <w:rPr>
          <w:rFonts w:ascii="Book Antiqua" w:eastAsia="宋体" w:hAnsi="Book Antiqua" w:cs="宋体"/>
          <w:color w:val="000000"/>
          <w:sz w:val="24"/>
          <w:szCs w:val="24"/>
          <w:lang w:eastAsia="zh-CN"/>
        </w:rPr>
        <w:t>79242 DOI: 10.1093/jac/dkl444]</w:t>
      </w:r>
    </w:p>
    <w:p w14:paraId="78D81799" w14:textId="39A3B01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157 </w:t>
      </w:r>
      <w:r w:rsidRPr="002D569F">
        <w:rPr>
          <w:rFonts w:ascii="Book Antiqua" w:eastAsia="宋体" w:hAnsi="Book Antiqua" w:cs="宋体"/>
          <w:b/>
          <w:bCs/>
          <w:color w:val="000000"/>
          <w:sz w:val="24"/>
          <w:szCs w:val="24"/>
          <w:lang w:eastAsia="zh-CN"/>
        </w:rPr>
        <w:t>Mitev GM</w:t>
      </w:r>
      <w:r w:rsidRPr="002D569F">
        <w:rPr>
          <w:rFonts w:ascii="Book Antiqua" w:eastAsia="宋体" w:hAnsi="Book Antiqua" w:cs="宋体"/>
          <w:color w:val="000000"/>
          <w:sz w:val="24"/>
          <w:szCs w:val="24"/>
          <w:lang w:eastAsia="zh-CN"/>
        </w:rPr>
        <w:t>, Mellbye BL, Iversen PL, Geller BL. Inhibition of intracellular growth of Salmonella enterica serovar Typhimurium in tissue culture by antisense peptide-phosphorodiamidate morpholino oligomer. </w:t>
      </w:r>
      <w:r w:rsidRPr="002D569F">
        <w:rPr>
          <w:rFonts w:ascii="Book Antiqua" w:eastAsia="宋体" w:hAnsi="Book Antiqua" w:cs="宋体"/>
          <w:i/>
          <w:iCs/>
          <w:color w:val="000000"/>
          <w:sz w:val="24"/>
          <w:szCs w:val="24"/>
          <w:lang w:eastAsia="zh-CN"/>
        </w:rPr>
        <w:t>Antimicrob Agents Chemother</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53</w:t>
      </w:r>
      <w:r w:rsidRPr="002D569F">
        <w:rPr>
          <w:rFonts w:ascii="Book Antiqua" w:eastAsia="宋体" w:hAnsi="Book Antiqua" w:cs="宋体"/>
          <w:color w:val="000000"/>
          <w:sz w:val="24"/>
          <w:szCs w:val="24"/>
          <w:lang w:eastAsia="zh-CN"/>
        </w:rPr>
        <w:t>: 3700-3704 [PMID: 19581</w:t>
      </w:r>
      <w:r w:rsidR="008F20D9">
        <w:rPr>
          <w:rFonts w:ascii="Book Antiqua" w:eastAsia="宋体" w:hAnsi="Book Antiqua" w:cs="宋体"/>
          <w:color w:val="000000"/>
          <w:sz w:val="24"/>
          <w:szCs w:val="24"/>
          <w:lang w:eastAsia="zh-CN"/>
        </w:rPr>
        <w:t>453 DOI: 10.1128/AAC.00099-09]</w:t>
      </w:r>
    </w:p>
    <w:p w14:paraId="150E4BEF" w14:textId="386D43C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158 </w:t>
      </w:r>
      <w:r w:rsidRPr="002D569F">
        <w:rPr>
          <w:rFonts w:ascii="Book Antiqua" w:eastAsia="宋体" w:hAnsi="Book Antiqua" w:cs="宋体"/>
          <w:b/>
          <w:bCs/>
          <w:color w:val="000000"/>
          <w:sz w:val="24"/>
          <w:szCs w:val="24"/>
          <w:lang w:eastAsia="zh-CN"/>
        </w:rPr>
        <w:t>Nekhotiaeva N</w:t>
      </w:r>
      <w:r w:rsidRPr="002D569F">
        <w:rPr>
          <w:rFonts w:ascii="Book Antiqua" w:eastAsia="宋体" w:hAnsi="Book Antiqua" w:cs="宋体"/>
          <w:color w:val="000000"/>
          <w:sz w:val="24"/>
          <w:szCs w:val="24"/>
          <w:lang w:eastAsia="zh-CN"/>
        </w:rPr>
        <w:t>, Awasthi SK, Nielsen PE, Good L. Inhibition of Staphylococcus aureus gene expression and growth using antisense peptide nucleic acids. </w:t>
      </w:r>
      <w:r w:rsidRPr="002D569F">
        <w:rPr>
          <w:rFonts w:ascii="Book Antiqua" w:eastAsia="宋体" w:hAnsi="Book Antiqua" w:cs="宋体"/>
          <w:i/>
          <w:iCs/>
          <w:color w:val="000000"/>
          <w:sz w:val="24"/>
          <w:szCs w:val="24"/>
          <w:lang w:eastAsia="zh-CN"/>
        </w:rPr>
        <w:t>Mol Ther</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10</w:t>
      </w:r>
      <w:r w:rsidRPr="002D569F">
        <w:rPr>
          <w:rFonts w:ascii="Book Antiqua" w:eastAsia="宋体" w:hAnsi="Book Antiqua" w:cs="宋体"/>
          <w:color w:val="000000"/>
          <w:sz w:val="24"/>
          <w:szCs w:val="24"/>
          <w:lang w:eastAsia="zh-CN"/>
        </w:rPr>
        <w:t>: 652-659 [PMID: 15451449 DOI</w:t>
      </w:r>
      <w:r w:rsidR="008F20D9">
        <w:rPr>
          <w:rFonts w:ascii="Book Antiqua" w:eastAsia="宋体" w:hAnsi="Book Antiqua" w:cs="宋体"/>
          <w:color w:val="000000"/>
          <w:sz w:val="24"/>
          <w:szCs w:val="24"/>
          <w:lang w:eastAsia="zh-CN"/>
        </w:rPr>
        <w:t>: 10.1016/j.ymthe.2004.07.006]</w:t>
      </w:r>
    </w:p>
    <w:p w14:paraId="6083D355" w14:textId="11F1785F"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 xml:space="preserve">159 </w:t>
      </w:r>
      <w:r w:rsidRPr="008F20D9">
        <w:rPr>
          <w:rFonts w:ascii="Book Antiqua" w:eastAsia="宋体" w:hAnsi="Book Antiqua" w:cs="宋体"/>
          <w:b/>
          <w:color w:val="000000"/>
          <w:sz w:val="24"/>
          <w:szCs w:val="24"/>
          <w:lang w:eastAsia="zh-CN"/>
        </w:rPr>
        <w:t>George R</w:t>
      </w:r>
      <w:r w:rsidRPr="002D569F">
        <w:rPr>
          <w:rFonts w:ascii="Book Antiqua" w:eastAsia="宋体" w:hAnsi="Book Antiqua" w:cs="宋体"/>
          <w:color w:val="000000"/>
          <w:sz w:val="24"/>
          <w:szCs w:val="24"/>
          <w:lang w:eastAsia="zh-CN"/>
        </w:rPr>
        <w:t xml:space="preserve">, Nugent K, Bolus N, Garner J, Pickering J, Glaze A, Heard E, Waugh J, Unlap M. </w:t>
      </w:r>
      <w:proofErr w:type="gramStart"/>
      <w:r w:rsidRPr="002D569F">
        <w:rPr>
          <w:rFonts w:ascii="Book Antiqua" w:eastAsia="宋体" w:hAnsi="Book Antiqua" w:cs="宋体"/>
          <w:color w:val="000000"/>
          <w:sz w:val="24"/>
          <w:szCs w:val="24"/>
          <w:lang w:eastAsia="zh-CN"/>
        </w:rPr>
        <w:t>A Short Interfering RNA Molecular Beacon for the Attenuation of Mycobacterial Infection.</w:t>
      </w:r>
      <w:proofErr w:type="gramEnd"/>
      <w:r w:rsidRPr="002D569F">
        <w:rPr>
          <w:rFonts w:ascii="Book Antiqua" w:eastAsia="宋体" w:hAnsi="Book Antiqua" w:cs="宋体"/>
          <w:color w:val="000000"/>
          <w:sz w:val="24"/>
          <w:szCs w:val="24"/>
          <w:lang w:eastAsia="zh-CN"/>
        </w:rPr>
        <w:t xml:space="preserve"> </w:t>
      </w:r>
      <w:r w:rsidR="008F20D9" w:rsidRPr="008F20D9">
        <w:rPr>
          <w:rFonts w:ascii="Book Antiqua" w:eastAsia="宋体" w:hAnsi="Book Antiqua" w:cs="宋体"/>
          <w:i/>
          <w:iCs/>
          <w:color w:val="000000"/>
          <w:sz w:val="24"/>
          <w:szCs w:val="24"/>
          <w:lang w:eastAsia="zh-CN"/>
        </w:rPr>
        <w:t>AJBB</w:t>
      </w:r>
      <w:r w:rsidR="008F20D9">
        <w:rPr>
          <w:rFonts w:ascii="Book Antiqua" w:eastAsia="宋体" w:hAnsi="Book Antiqua" w:cs="宋体"/>
          <w:color w:val="000000"/>
          <w:sz w:val="24"/>
          <w:szCs w:val="24"/>
          <w:lang w:eastAsia="zh-CN"/>
        </w:rPr>
        <w:t xml:space="preserve"> 2014; </w:t>
      </w:r>
      <w:r w:rsidR="008F20D9" w:rsidRPr="008F20D9">
        <w:rPr>
          <w:rFonts w:ascii="Book Antiqua" w:eastAsia="宋体" w:hAnsi="Book Antiqua" w:cs="宋体"/>
          <w:b/>
          <w:color w:val="000000"/>
          <w:sz w:val="24"/>
          <w:szCs w:val="24"/>
          <w:lang w:eastAsia="zh-CN"/>
        </w:rPr>
        <w:t>10</w:t>
      </w:r>
      <w:r w:rsidR="008F20D9">
        <w:rPr>
          <w:rFonts w:ascii="Book Antiqua" w:eastAsia="宋体" w:hAnsi="Book Antiqua" w:cs="宋体"/>
          <w:color w:val="000000"/>
          <w:sz w:val="24"/>
          <w:szCs w:val="24"/>
          <w:lang w:eastAsia="zh-CN"/>
        </w:rPr>
        <w:t>: 40-49</w:t>
      </w:r>
      <w:r w:rsidRPr="002D569F">
        <w:rPr>
          <w:rFonts w:ascii="Book Antiqua" w:eastAsia="宋体" w:hAnsi="Book Antiqua" w:cs="宋体"/>
          <w:color w:val="000000"/>
          <w:sz w:val="24"/>
          <w:szCs w:val="24"/>
          <w:lang w:eastAsia="zh-CN"/>
        </w:rPr>
        <w:t xml:space="preserve"> [</w:t>
      </w:r>
      <w:r w:rsidR="008F20D9">
        <w:rPr>
          <w:rFonts w:ascii="Book Antiqua" w:eastAsia="宋体" w:hAnsi="Book Antiqua" w:cs="宋体"/>
          <w:color w:val="000000"/>
          <w:sz w:val="24"/>
          <w:szCs w:val="24"/>
          <w:lang w:eastAsia="zh-CN"/>
        </w:rPr>
        <w:t>DOI: 10.3844/ajbbsp.2014.40.49]</w:t>
      </w:r>
    </w:p>
    <w:p w14:paraId="3C4F56F8" w14:textId="4EF8048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160 </w:t>
      </w:r>
      <w:r w:rsidRPr="002D569F">
        <w:rPr>
          <w:rFonts w:ascii="Book Antiqua" w:eastAsia="宋体" w:hAnsi="Book Antiqua" w:cs="宋体"/>
          <w:b/>
          <w:bCs/>
          <w:color w:val="000000"/>
          <w:sz w:val="24"/>
          <w:szCs w:val="24"/>
          <w:lang w:eastAsia="zh-CN"/>
        </w:rPr>
        <w:t>Harth G</w:t>
      </w:r>
      <w:r w:rsidRPr="002D569F">
        <w:rPr>
          <w:rFonts w:ascii="Book Antiqua" w:eastAsia="宋体" w:hAnsi="Book Antiqua" w:cs="宋体"/>
          <w:color w:val="000000"/>
          <w:sz w:val="24"/>
          <w:szCs w:val="24"/>
          <w:lang w:eastAsia="zh-CN"/>
        </w:rPr>
        <w:t>, Horwitz MA, Tabatadze D, Zamecnik PC. Targeting the Mycobacterium tuberculosis 30/32-kDa mycolyl transferase complex as a therapeutic strategy against tuberculosis: Proof of principle by using antisense technology. </w:t>
      </w:r>
      <w:r w:rsidRPr="002D569F">
        <w:rPr>
          <w:rFonts w:ascii="Book Antiqua" w:eastAsia="宋体" w:hAnsi="Book Antiqua" w:cs="宋体"/>
          <w:i/>
          <w:iCs/>
          <w:color w:val="000000"/>
          <w:sz w:val="24"/>
          <w:szCs w:val="24"/>
          <w:lang w:eastAsia="zh-CN"/>
        </w:rPr>
        <w:t>Proc Natl Acad Sci U S A</w:t>
      </w:r>
      <w:r w:rsidRPr="002D569F">
        <w:rPr>
          <w:rFonts w:ascii="Book Antiqua" w:eastAsia="宋体" w:hAnsi="Book Antiqua" w:cs="宋体"/>
          <w:color w:val="000000"/>
          <w:sz w:val="24"/>
          <w:szCs w:val="24"/>
          <w:lang w:eastAsia="zh-CN"/>
        </w:rPr>
        <w:t> 2002; </w:t>
      </w:r>
      <w:r w:rsidRPr="002D569F">
        <w:rPr>
          <w:rFonts w:ascii="Book Antiqua" w:eastAsia="宋体" w:hAnsi="Book Antiqua" w:cs="宋体"/>
          <w:b/>
          <w:bCs/>
          <w:color w:val="000000"/>
          <w:sz w:val="24"/>
          <w:szCs w:val="24"/>
          <w:lang w:eastAsia="zh-CN"/>
        </w:rPr>
        <w:t>99</w:t>
      </w:r>
      <w:r w:rsidRPr="002D569F">
        <w:rPr>
          <w:rFonts w:ascii="Book Antiqua" w:eastAsia="宋体" w:hAnsi="Book Antiqua" w:cs="宋体"/>
          <w:color w:val="000000"/>
          <w:sz w:val="24"/>
          <w:szCs w:val="24"/>
          <w:lang w:eastAsia="zh-CN"/>
        </w:rPr>
        <w:t>: 15614-15619 [PMID: 12427974 DOI: 1</w:t>
      </w:r>
      <w:r w:rsidR="008F20D9">
        <w:rPr>
          <w:rFonts w:ascii="Book Antiqua" w:eastAsia="宋体" w:hAnsi="Book Antiqua" w:cs="宋体"/>
          <w:color w:val="000000"/>
          <w:sz w:val="24"/>
          <w:szCs w:val="24"/>
          <w:lang w:eastAsia="zh-CN"/>
        </w:rPr>
        <w:t>0.1073/pnas.242612299]</w:t>
      </w:r>
    </w:p>
    <w:p w14:paraId="4AC841EF" w14:textId="209CEC3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161 </w:t>
      </w:r>
      <w:r w:rsidRPr="002D569F">
        <w:rPr>
          <w:rFonts w:ascii="Book Antiqua" w:eastAsia="宋体" w:hAnsi="Book Antiqua" w:cs="宋体"/>
          <w:b/>
          <w:bCs/>
          <w:color w:val="000000"/>
          <w:sz w:val="24"/>
          <w:szCs w:val="24"/>
          <w:lang w:eastAsia="zh-CN"/>
        </w:rPr>
        <w:t>Borden JR</w:t>
      </w:r>
      <w:r w:rsidRPr="002D569F">
        <w:rPr>
          <w:rFonts w:ascii="Book Antiqua" w:eastAsia="宋体" w:hAnsi="Book Antiqua" w:cs="宋体"/>
          <w:color w:val="000000"/>
          <w:sz w:val="24"/>
          <w:szCs w:val="24"/>
          <w:lang w:eastAsia="zh-CN"/>
        </w:rPr>
        <w:t>, Jones SW, Indurthi D, Chen Y, Papoutsakis ET. A genomic-library based discovery of a novel, possibly synthetic, acid-tolerance mechanism in Clostridium acetobutylicum involving non-coding RNAs and ribosomal RNA processing. </w:t>
      </w:r>
      <w:r w:rsidRPr="002D569F">
        <w:rPr>
          <w:rFonts w:ascii="Book Antiqua" w:eastAsia="宋体" w:hAnsi="Book Antiqua" w:cs="宋体"/>
          <w:i/>
          <w:iCs/>
          <w:color w:val="000000"/>
          <w:sz w:val="24"/>
          <w:szCs w:val="24"/>
          <w:lang w:eastAsia="zh-CN"/>
        </w:rPr>
        <w:t>Metab Eng</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12</w:t>
      </w:r>
      <w:r w:rsidRPr="002D569F">
        <w:rPr>
          <w:rFonts w:ascii="Book Antiqua" w:eastAsia="宋体" w:hAnsi="Book Antiqua" w:cs="宋体"/>
          <w:color w:val="000000"/>
          <w:sz w:val="24"/>
          <w:szCs w:val="24"/>
          <w:lang w:eastAsia="zh-CN"/>
        </w:rPr>
        <w:t>: 268-281 [PMID: 20060060 DOI</w:t>
      </w:r>
      <w:r w:rsidR="008F20D9">
        <w:rPr>
          <w:rFonts w:ascii="Book Antiqua" w:eastAsia="宋体" w:hAnsi="Book Antiqua" w:cs="宋体"/>
          <w:color w:val="000000"/>
          <w:sz w:val="24"/>
          <w:szCs w:val="24"/>
          <w:lang w:eastAsia="zh-CN"/>
        </w:rPr>
        <w:t>: 10.1016/j.ymben.2009.12.004]</w:t>
      </w:r>
    </w:p>
    <w:p w14:paraId="7F963F7E" w14:textId="65EC9C0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162 </w:t>
      </w:r>
      <w:r w:rsidRPr="002D569F">
        <w:rPr>
          <w:rFonts w:ascii="Book Antiqua" w:eastAsia="宋体" w:hAnsi="Book Antiqua" w:cs="宋体"/>
          <w:b/>
          <w:bCs/>
          <w:color w:val="000000"/>
          <w:sz w:val="24"/>
          <w:szCs w:val="24"/>
          <w:lang w:eastAsia="zh-CN"/>
        </w:rPr>
        <w:t>Goh S</w:t>
      </w:r>
      <w:r w:rsidRPr="002D569F">
        <w:rPr>
          <w:rFonts w:ascii="Book Antiqua" w:eastAsia="宋体" w:hAnsi="Book Antiqua" w:cs="宋体"/>
          <w:color w:val="000000"/>
          <w:sz w:val="24"/>
          <w:szCs w:val="24"/>
          <w:lang w:eastAsia="zh-CN"/>
        </w:rPr>
        <w:t>, Boberek JM, Nakashima N, Stach J, Good L. Concurrent growth rate and transcript analyses reveal essential gene stringency in Escherichia coli. </w:t>
      </w:r>
      <w:r w:rsidRPr="002D569F">
        <w:rPr>
          <w:rFonts w:ascii="Book Antiqua" w:eastAsia="宋体" w:hAnsi="Book Antiqua" w:cs="宋体"/>
          <w:i/>
          <w:iCs/>
          <w:color w:val="000000"/>
          <w:sz w:val="24"/>
          <w:szCs w:val="24"/>
          <w:lang w:eastAsia="zh-CN"/>
        </w:rPr>
        <w:t>PLoS One</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4</w:t>
      </w:r>
      <w:r w:rsidRPr="002D569F">
        <w:rPr>
          <w:rFonts w:ascii="Book Antiqua" w:eastAsia="宋体" w:hAnsi="Book Antiqua" w:cs="宋体"/>
          <w:color w:val="000000"/>
          <w:sz w:val="24"/>
          <w:szCs w:val="24"/>
          <w:lang w:eastAsia="zh-CN"/>
        </w:rPr>
        <w:t>: e6061 [PMID: 19557168 DOI:</w:t>
      </w:r>
      <w:r w:rsidR="008F20D9">
        <w:rPr>
          <w:rFonts w:ascii="Book Antiqua" w:eastAsia="宋体" w:hAnsi="Book Antiqua" w:cs="宋体"/>
          <w:color w:val="000000"/>
          <w:sz w:val="24"/>
          <w:szCs w:val="24"/>
          <w:lang w:eastAsia="zh-CN"/>
        </w:rPr>
        <w:t xml:space="preserve"> 10.1371/journal.pone.0006061]</w:t>
      </w:r>
    </w:p>
    <w:p w14:paraId="420EC487" w14:textId="1C3336B6"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163 </w:t>
      </w:r>
      <w:r w:rsidRPr="002D569F">
        <w:rPr>
          <w:rFonts w:ascii="Book Antiqua" w:eastAsia="宋体" w:hAnsi="Book Antiqua" w:cs="宋体"/>
          <w:b/>
          <w:bCs/>
          <w:color w:val="000000"/>
          <w:sz w:val="24"/>
          <w:szCs w:val="24"/>
          <w:lang w:eastAsia="zh-CN"/>
        </w:rPr>
        <w:t>Ji Y</w:t>
      </w:r>
      <w:r w:rsidRPr="002D569F">
        <w:rPr>
          <w:rFonts w:ascii="Book Antiqua" w:eastAsia="宋体" w:hAnsi="Book Antiqua" w:cs="宋体"/>
          <w:color w:val="000000"/>
          <w:sz w:val="24"/>
          <w:szCs w:val="24"/>
          <w:lang w:eastAsia="zh-CN"/>
        </w:rPr>
        <w:t>, Zhang B, Van SF, Horn P, Woodnutt G, Burnham MK, Rosenberg M. Identification of critical staphylococcal genes using conditional phenotypes generated by antisense RNA. </w:t>
      </w:r>
      <w:r w:rsidRPr="002D569F">
        <w:rPr>
          <w:rFonts w:ascii="Book Antiqua" w:eastAsia="宋体" w:hAnsi="Book Antiqua" w:cs="宋体"/>
          <w:i/>
          <w:iCs/>
          <w:color w:val="000000"/>
          <w:sz w:val="24"/>
          <w:szCs w:val="24"/>
          <w:lang w:eastAsia="zh-CN"/>
        </w:rPr>
        <w:t>Science</w:t>
      </w:r>
      <w:r w:rsidRPr="002D569F">
        <w:rPr>
          <w:rFonts w:ascii="Book Antiqua" w:eastAsia="宋体" w:hAnsi="Book Antiqua" w:cs="宋体"/>
          <w:color w:val="000000"/>
          <w:sz w:val="24"/>
          <w:szCs w:val="24"/>
          <w:lang w:eastAsia="zh-CN"/>
        </w:rPr>
        <w:t> 2001; </w:t>
      </w:r>
      <w:r w:rsidRPr="002D569F">
        <w:rPr>
          <w:rFonts w:ascii="Book Antiqua" w:eastAsia="宋体" w:hAnsi="Book Antiqua" w:cs="宋体"/>
          <w:b/>
          <w:bCs/>
          <w:color w:val="000000"/>
          <w:sz w:val="24"/>
          <w:szCs w:val="24"/>
          <w:lang w:eastAsia="zh-CN"/>
        </w:rPr>
        <w:t>293</w:t>
      </w:r>
      <w:r w:rsidRPr="002D569F">
        <w:rPr>
          <w:rFonts w:ascii="Book Antiqua" w:eastAsia="宋体" w:hAnsi="Book Antiqua" w:cs="宋体"/>
          <w:color w:val="000000"/>
          <w:sz w:val="24"/>
          <w:szCs w:val="24"/>
          <w:lang w:eastAsia="zh-CN"/>
        </w:rPr>
        <w:t>: 2266-2269 [PMID: 11567142</w:t>
      </w:r>
      <w:r w:rsidR="008F20D9">
        <w:rPr>
          <w:rFonts w:ascii="Book Antiqua" w:eastAsia="宋体" w:hAnsi="Book Antiqua" w:cs="宋体"/>
          <w:color w:val="000000"/>
          <w:sz w:val="24"/>
          <w:szCs w:val="24"/>
          <w:lang w:eastAsia="zh-CN"/>
        </w:rPr>
        <w:t xml:space="preserve"> DOI: 10.1126/science.1063566]</w:t>
      </w:r>
    </w:p>
    <w:p w14:paraId="4B963D58" w14:textId="0FCEAD84"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164 </w:t>
      </w:r>
      <w:r w:rsidRPr="002D569F">
        <w:rPr>
          <w:rFonts w:ascii="Book Antiqua" w:eastAsia="宋体" w:hAnsi="Book Antiqua" w:cs="宋体"/>
          <w:b/>
          <w:bCs/>
          <w:color w:val="000000"/>
          <w:sz w:val="24"/>
          <w:szCs w:val="24"/>
          <w:lang w:eastAsia="zh-CN"/>
        </w:rPr>
        <w:t>Tummala SB</w:t>
      </w:r>
      <w:r w:rsidRPr="002D569F">
        <w:rPr>
          <w:rFonts w:ascii="Book Antiqua" w:eastAsia="宋体" w:hAnsi="Book Antiqua" w:cs="宋体"/>
          <w:color w:val="000000"/>
          <w:sz w:val="24"/>
          <w:szCs w:val="24"/>
          <w:lang w:eastAsia="zh-CN"/>
        </w:rPr>
        <w:t xml:space="preserve">, Junne SG, Paredes CJ, Papoutsakis ET. </w:t>
      </w:r>
      <w:proofErr w:type="gramStart"/>
      <w:r w:rsidRPr="002D569F">
        <w:rPr>
          <w:rFonts w:ascii="Book Antiqua" w:eastAsia="宋体" w:hAnsi="Book Antiqua" w:cs="宋体"/>
          <w:color w:val="000000"/>
          <w:sz w:val="24"/>
          <w:szCs w:val="24"/>
          <w:lang w:eastAsia="zh-CN"/>
        </w:rPr>
        <w:t>Transcriptional analysis of product-concentration driven changes in cellular programs of recombinant Clostridium acetobutylicumstrains.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Biotechnol Bioeng</w:t>
      </w:r>
      <w:r w:rsidRPr="002D569F">
        <w:rPr>
          <w:rFonts w:ascii="Book Antiqua" w:eastAsia="宋体" w:hAnsi="Book Antiqua" w:cs="宋体"/>
          <w:color w:val="000000"/>
          <w:sz w:val="24"/>
          <w:szCs w:val="24"/>
          <w:lang w:eastAsia="zh-CN"/>
        </w:rPr>
        <w:t> 2003; </w:t>
      </w:r>
      <w:r w:rsidRPr="002D569F">
        <w:rPr>
          <w:rFonts w:ascii="Book Antiqua" w:eastAsia="宋体" w:hAnsi="Book Antiqua" w:cs="宋体"/>
          <w:b/>
          <w:bCs/>
          <w:color w:val="000000"/>
          <w:sz w:val="24"/>
          <w:szCs w:val="24"/>
          <w:lang w:eastAsia="zh-CN"/>
        </w:rPr>
        <w:t>84</w:t>
      </w:r>
      <w:r w:rsidRPr="002D569F">
        <w:rPr>
          <w:rFonts w:ascii="Book Antiqua" w:eastAsia="宋体" w:hAnsi="Book Antiqua" w:cs="宋体"/>
          <w:color w:val="000000"/>
          <w:sz w:val="24"/>
          <w:szCs w:val="24"/>
          <w:lang w:eastAsia="zh-CN"/>
        </w:rPr>
        <w:t>: 842-854 [PMID: 14</w:t>
      </w:r>
      <w:r w:rsidR="008F20D9">
        <w:rPr>
          <w:rFonts w:ascii="Book Antiqua" w:eastAsia="宋体" w:hAnsi="Book Antiqua" w:cs="宋体"/>
          <w:color w:val="000000"/>
          <w:sz w:val="24"/>
          <w:szCs w:val="24"/>
          <w:lang w:eastAsia="zh-CN"/>
        </w:rPr>
        <w:t>708125 DOI: 10.1002/bit.10851]</w:t>
      </w:r>
    </w:p>
    <w:p w14:paraId="5DBC2BB0" w14:textId="68C9026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165 </w:t>
      </w:r>
      <w:r w:rsidRPr="002D569F">
        <w:rPr>
          <w:rFonts w:ascii="Book Antiqua" w:eastAsia="宋体" w:hAnsi="Book Antiqua" w:cs="宋体"/>
          <w:b/>
          <w:bCs/>
          <w:color w:val="000000"/>
          <w:sz w:val="24"/>
          <w:szCs w:val="24"/>
          <w:lang w:eastAsia="zh-CN"/>
        </w:rPr>
        <w:t>Perret S</w:t>
      </w:r>
      <w:r w:rsidRPr="002D569F">
        <w:rPr>
          <w:rFonts w:ascii="Book Antiqua" w:eastAsia="宋体" w:hAnsi="Book Antiqua" w:cs="宋体"/>
          <w:color w:val="000000"/>
          <w:sz w:val="24"/>
          <w:szCs w:val="24"/>
          <w:lang w:eastAsia="zh-CN"/>
        </w:rPr>
        <w:t>, Maamar H, Bélaich JP, Tardif C. Use of antisense RNA to modify the composition of cellulosomes produced by Clostridium cellulolyticum. </w:t>
      </w:r>
      <w:r w:rsidRPr="002D569F">
        <w:rPr>
          <w:rFonts w:ascii="Book Antiqua" w:eastAsia="宋体" w:hAnsi="Book Antiqua" w:cs="宋体"/>
          <w:i/>
          <w:iCs/>
          <w:color w:val="000000"/>
          <w:sz w:val="24"/>
          <w:szCs w:val="24"/>
          <w:lang w:eastAsia="zh-CN"/>
        </w:rPr>
        <w:t>Mol Microbiol</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51</w:t>
      </w:r>
      <w:r w:rsidRPr="002D569F">
        <w:rPr>
          <w:rFonts w:ascii="Book Antiqua" w:eastAsia="宋体" w:hAnsi="Book Antiqua" w:cs="宋体"/>
          <w:color w:val="000000"/>
          <w:sz w:val="24"/>
          <w:szCs w:val="24"/>
          <w:lang w:eastAsia="zh-CN"/>
        </w:rPr>
        <w:t>: 599-607 [PMID: 14756797 DOI: 10.</w:t>
      </w:r>
      <w:r w:rsidR="008F20D9">
        <w:rPr>
          <w:rFonts w:ascii="Book Antiqua" w:eastAsia="宋体" w:hAnsi="Book Antiqua" w:cs="宋体"/>
          <w:color w:val="000000"/>
          <w:sz w:val="24"/>
          <w:szCs w:val="24"/>
          <w:lang w:eastAsia="zh-CN"/>
        </w:rPr>
        <w:t>1046/j.1365-2958.2003.03860.x]</w:t>
      </w:r>
    </w:p>
    <w:p w14:paraId="16E4ED29"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166 </w:t>
      </w:r>
      <w:r w:rsidRPr="002D569F">
        <w:rPr>
          <w:rFonts w:ascii="Book Antiqua" w:eastAsia="宋体" w:hAnsi="Book Antiqua" w:cs="宋体"/>
          <w:b/>
          <w:bCs/>
          <w:color w:val="000000"/>
          <w:sz w:val="24"/>
          <w:szCs w:val="24"/>
          <w:lang w:eastAsia="zh-CN"/>
        </w:rPr>
        <w:t>Ji Y</w:t>
      </w:r>
      <w:r w:rsidRPr="002D569F">
        <w:rPr>
          <w:rFonts w:ascii="Book Antiqua" w:eastAsia="宋体" w:hAnsi="Book Antiqua" w:cs="宋体"/>
          <w:color w:val="000000"/>
          <w:sz w:val="24"/>
          <w:szCs w:val="24"/>
          <w:lang w:eastAsia="zh-CN"/>
        </w:rPr>
        <w:t>, Marra A, Rosenberg M, Woodnutt G. Regulated antisense RNA eliminates alpha-toxin virulence in Staphylococcus aureus infection. </w:t>
      </w:r>
      <w:r w:rsidRPr="002D569F">
        <w:rPr>
          <w:rFonts w:ascii="Book Antiqua" w:eastAsia="宋体" w:hAnsi="Book Antiqua" w:cs="宋体"/>
          <w:i/>
          <w:iCs/>
          <w:color w:val="000000"/>
          <w:sz w:val="24"/>
          <w:szCs w:val="24"/>
          <w:lang w:eastAsia="zh-CN"/>
        </w:rPr>
        <w:t>J Bacteriol</w:t>
      </w:r>
      <w:r w:rsidRPr="002D569F">
        <w:rPr>
          <w:rFonts w:ascii="Book Antiqua" w:eastAsia="宋体" w:hAnsi="Book Antiqua" w:cs="宋体"/>
          <w:color w:val="000000"/>
          <w:sz w:val="24"/>
          <w:szCs w:val="24"/>
          <w:lang w:eastAsia="zh-CN"/>
        </w:rPr>
        <w:t> 1999; </w:t>
      </w:r>
      <w:r w:rsidRPr="002D569F">
        <w:rPr>
          <w:rFonts w:ascii="Book Antiqua" w:eastAsia="宋体" w:hAnsi="Book Antiqua" w:cs="宋体"/>
          <w:b/>
          <w:bCs/>
          <w:color w:val="000000"/>
          <w:sz w:val="24"/>
          <w:szCs w:val="24"/>
          <w:lang w:eastAsia="zh-CN"/>
        </w:rPr>
        <w:t>181</w:t>
      </w:r>
      <w:r w:rsidRPr="002D569F">
        <w:rPr>
          <w:rFonts w:ascii="Book Antiqua" w:eastAsia="宋体" w:hAnsi="Book Antiqua" w:cs="宋体"/>
          <w:color w:val="000000"/>
          <w:sz w:val="24"/>
          <w:szCs w:val="24"/>
          <w:lang w:eastAsia="zh-CN"/>
        </w:rPr>
        <w:t>: 6585-6590 [PMID: 10542157]</w:t>
      </w:r>
    </w:p>
    <w:p w14:paraId="676AF8C9" w14:textId="455640F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167 </w:t>
      </w:r>
      <w:r w:rsidRPr="002D569F">
        <w:rPr>
          <w:rFonts w:ascii="Book Antiqua" w:eastAsia="宋体" w:hAnsi="Book Antiqua" w:cs="宋体"/>
          <w:b/>
          <w:bCs/>
          <w:color w:val="000000"/>
          <w:sz w:val="24"/>
          <w:szCs w:val="24"/>
          <w:lang w:eastAsia="zh-CN"/>
        </w:rPr>
        <w:t>Morrissey JA</w:t>
      </w:r>
      <w:r w:rsidRPr="002D569F">
        <w:rPr>
          <w:rFonts w:ascii="Book Antiqua" w:eastAsia="宋体" w:hAnsi="Book Antiqua" w:cs="宋体"/>
          <w:color w:val="000000"/>
          <w:sz w:val="24"/>
          <w:szCs w:val="24"/>
          <w:lang w:eastAsia="zh-CN"/>
        </w:rPr>
        <w:t>, Cockayne A, Hill PJ, Williams P. Molecular cloning and analysis of a putative siderophore ABC transporter from Staphylococcus aureus. </w:t>
      </w:r>
      <w:r w:rsidRPr="002D569F">
        <w:rPr>
          <w:rFonts w:ascii="Book Antiqua" w:eastAsia="宋体" w:hAnsi="Book Antiqua" w:cs="宋体"/>
          <w:i/>
          <w:iCs/>
          <w:color w:val="000000"/>
          <w:sz w:val="24"/>
          <w:szCs w:val="24"/>
          <w:lang w:eastAsia="zh-CN"/>
        </w:rPr>
        <w:t>Infect Immun</w:t>
      </w:r>
      <w:r w:rsidRPr="002D569F">
        <w:rPr>
          <w:rFonts w:ascii="Book Antiqua" w:eastAsia="宋体" w:hAnsi="Book Antiqua" w:cs="宋体"/>
          <w:color w:val="000000"/>
          <w:sz w:val="24"/>
          <w:szCs w:val="24"/>
          <w:lang w:eastAsia="zh-CN"/>
        </w:rPr>
        <w:t> 2000; </w:t>
      </w:r>
      <w:r w:rsidRPr="002D569F">
        <w:rPr>
          <w:rFonts w:ascii="Book Antiqua" w:eastAsia="宋体" w:hAnsi="Book Antiqua" w:cs="宋体"/>
          <w:b/>
          <w:bCs/>
          <w:color w:val="000000"/>
          <w:sz w:val="24"/>
          <w:szCs w:val="24"/>
          <w:lang w:eastAsia="zh-CN"/>
        </w:rPr>
        <w:t>68</w:t>
      </w:r>
      <w:r w:rsidRPr="002D569F">
        <w:rPr>
          <w:rFonts w:ascii="Book Antiqua" w:eastAsia="宋体" w:hAnsi="Book Antiqua" w:cs="宋体"/>
          <w:color w:val="000000"/>
          <w:sz w:val="24"/>
          <w:szCs w:val="24"/>
          <w:lang w:eastAsia="zh-CN"/>
        </w:rPr>
        <w:t>: 6281-6288 [PMID: 11035736 DOI: 10.</w:t>
      </w:r>
      <w:r w:rsidR="008F20D9">
        <w:rPr>
          <w:rFonts w:ascii="Book Antiqua" w:eastAsia="宋体" w:hAnsi="Book Antiqua" w:cs="宋体"/>
          <w:color w:val="000000"/>
          <w:sz w:val="24"/>
          <w:szCs w:val="24"/>
          <w:lang w:eastAsia="zh-CN"/>
        </w:rPr>
        <w:t>1128/Iai.68.11.6281-6288.2000]</w:t>
      </w:r>
    </w:p>
    <w:p w14:paraId="0DD72E62" w14:textId="36B623E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168 </w:t>
      </w:r>
      <w:r w:rsidRPr="002D569F">
        <w:rPr>
          <w:rFonts w:ascii="Book Antiqua" w:eastAsia="宋体" w:hAnsi="Book Antiqua" w:cs="宋体"/>
          <w:b/>
          <w:bCs/>
          <w:color w:val="000000"/>
          <w:sz w:val="24"/>
          <w:szCs w:val="24"/>
          <w:lang w:eastAsia="zh-CN"/>
        </w:rPr>
        <w:t>Parish CA</w:t>
      </w:r>
      <w:r w:rsidRPr="002D569F">
        <w:rPr>
          <w:rFonts w:ascii="Book Antiqua" w:eastAsia="宋体" w:hAnsi="Book Antiqua" w:cs="宋体"/>
          <w:color w:val="000000"/>
          <w:sz w:val="24"/>
          <w:szCs w:val="24"/>
          <w:lang w:eastAsia="zh-CN"/>
        </w:rPr>
        <w:t>, de la Cruz M, Smith SK, Zink D, Baxter J, Tucker-Samaras S, Collado J, Platas G, Bills G, Díez MT, Vicente F, Peláez F, Wilson K. Antisense-guided isolation and structure elucidation of pannomycin, a substituted cis-decalin from Geomyces pannorum. </w:t>
      </w:r>
      <w:r w:rsidRPr="002D569F">
        <w:rPr>
          <w:rFonts w:ascii="Book Antiqua" w:eastAsia="宋体" w:hAnsi="Book Antiqua" w:cs="宋体"/>
          <w:i/>
          <w:iCs/>
          <w:color w:val="000000"/>
          <w:sz w:val="24"/>
          <w:szCs w:val="24"/>
          <w:lang w:eastAsia="zh-CN"/>
        </w:rPr>
        <w:t>J Nat Prod</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72</w:t>
      </w:r>
      <w:r w:rsidRPr="002D569F">
        <w:rPr>
          <w:rFonts w:ascii="Book Antiqua" w:eastAsia="宋体" w:hAnsi="Book Antiqua" w:cs="宋体"/>
          <w:color w:val="000000"/>
          <w:sz w:val="24"/>
          <w:szCs w:val="24"/>
          <w:lang w:eastAsia="zh-CN"/>
        </w:rPr>
        <w:t>: 59-62 [PMID: 19</w:t>
      </w:r>
      <w:r w:rsidR="008F20D9">
        <w:rPr>
          <w:rFonts w:ascii="Book Antiqua" w:eastAsia="宋体" w:hAnsi="Book Antiqua" w:cs="宋体"/>
          <w:color w:val="000000"/>
          <w:sz w:val="24"/>
          <w:szCs w:val="24"/>
          <w:lang w:eastAsia="zh-CN"/>
        </w:rPr>
        <w:t>102658 DOI: 10.1021/Np800528a]</w:t>
      </w:r>
    </w:p>
    <w:p w14:paraId="131B26A4" w14:textId="669E6D6C"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169 </w:t>
      </w:r>
      <w:r w:rsidRPr="002D569F">
        <w:rPr>
          <w:rFonts w:ascii="Book Antiqua" w:eastAsia="宋体" w:hAnsi="Book Antiqua" w:cs="宋体"/>
          <w:b/>
          <w:bCs/>
          <w:color w:val="000000"/>
          <w:sz w:val="24"/>
          <w:szCs w:val="24"/>
          <w:lang w:eastAsia="zh-CN"/>
        </w:rPr>
        <w:t>Zhang C</w:t>
      </w:r>
      <w:r w:rsidRPr="002D569F">
        <w:rPr>
          <w:rFonts w:ascii="Book Antiqua" w:eastAsia="宋体" w:hAnsi="Book Antiqua" w:cs="宋体"/>
          <w:color w:val="000000"/>
          <w:sz w:val="24"/>
          <w:szCs w:val="24"/>
          <w:lang w:eastAsia="zh-CN"/>
        </w:rPr>
        <w:t>, Ondeyka JG, Zink DL, Basilio A, Vicente F, Collado J, Platas G, Huber J, Dorso K, Motyl M, Byrne K, Singh SB. Isolation, structure and antibacterial activity of pleosporone from a pleosporalean ascomycete discovered by using antisense strategy. </w:t>
      </w:r>
      <w:r w:rsidRPr="002D569F">
        <w:rPr>
          <w:rFonts w:ascii="Book Antiqua" w:eastAsia="宋体" w:hAnsi="Book Antiqua" w:cs="宋体"/>
          <w:i/>
          <w:iCs/>
          <w:color w:val="000000"/>
          <w:sz w:val="24"/>
          <w:szCs w:val="24"/>
          <w:lang w:eastAsia="zh-CN"/>
        </w:rPr>
        <w:t>Bioorg Med Chem</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17</w:t>
      </w:r>
      <w:r w:rsidRPr="002D569F">
        <w:rPr>
          <w:rFonts w:ascii="Book Antiqua" w:eastAsia="宋体" w:hAnsi="Book Antiqua" w:cs="宋体"/>
          <w:color w:val="000000"/>
          <w:sz w:val="24"/>
          <w:szCs w:val="24"/>
          <w:lang w:eastAsia="zh-CN"/>
        </w:rPr>
        <w:t>: 2162-2166 [PMID: 18442914 D</w:t>
      </w:r>
      <w:r w:rsidR="008F20D9">
        <w:rPr>
          <w:rFonts w:ascii="Book Antiqua" w:eastAsia="宋体" w:hAnsi="Book Antiqua" w:cs="宋体"/>
          <w:color w:val="000000"/>
          <w:sz w:val="24"/>
          <w:szCs w:val="24"/>
          <w:lang w:eastAsia="zh-CN"/>
        </w:rPr>
        <w:t>OI: 10.1016/j.bmc.2008.04.018]</w:t>
      </w:r>
    </w:p>
    <w:p w14:paraId="13A62E88" w14:textId="5DCBE273"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170 </w:t>
      </w:r>
      <w:r w:rsidRPr="002D569F">
        <w:rPr>
          <w:rFonts w:ascii="Book Antiqua" w:eastAsia="宋体" w:hAnsi="Book Antiqua" w:cs="宋体"/>
          <w:b/>
          <w:bCs/>
          <w:color w:val="000000"/>
          <w:sz w:val="24"/>
          <w:szCs w:val="24"/>
          <w:lang w:eastAsia="zh-CN"/>
        </w:rPr>
        <w:t>Gruegelsiepe H</w:t>
      </w:r>
      <w:r w:rsidRPr="002D569F">
        <w:rPr>
          <w:rFonts w:ascii="Book Antiqua" w:eastAsia="宋体" w:hAnsi="Book Antiqua" w:cs="宋体"/>
          <w:color w:val="000000"/>
          <w:sz w:val="24"/>
          <w:szCs w:val="24"/>
          <w:lang w:eastAsia="zh-CN"/>
        </w:rPr>
        <w:t>, Brandt O, Hartmann RK. Antisense inhibition of RNase P: mechanistic aspects and application to live bacteria. </w:t>
      </w:r>
      <w:r w:rsidRPr="002D569F">
        <w:rPr>
          <w:rFonts w:ascii="Book Antiqua" w:eastAsia="宋体" w:hAnsi="Book Antiqua" w:cs="宋体"/>
          <w:i/>
          <w:iCs/>
          <w:color w:val="000000"/>
          <w:sz w:val="24"/>
          <w:szCs w:val="24"/>
          <w:lang w:eastAsia="zh-CN"/>
        </w:rPr>
        <w:t>J Biol Chem</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281</w:t>
      </w:r>
      <w:r w:rsidRPr="002D569F">
        <w:rPr>
          <w:rFonts w:ascii="Book Antiqua" w:eastAsia="宋体" w:hAnsi="Book Antiqua" w:cs="宋体"/>
          <w:color w:val="000000"/>
          <w:sz w:val="24"/>
          <w:szCs w:val="24"/>
          <w:lang w:eastAsia="zh-CN"/>
        </w:rPr>
        <w:t>: 30613-30620 [PMID: 1690190</w:t>
      </w:r>
      <w:r w:rsidR="008F20D9">
        <w:rPr>
          <w:rFonts w:ascii="Book Antiqua" w:eastAsia="宋体" w:hAnsi="Book Antiqua" w:cs="宋体"/>
          <w:color w:val="000000"/>
          <w:sz w:val="24"/>
          <w:szCs w:val="24"/>
          <w:lang w:eastAsia="zh-CN"/>
        </w:rPr>
        <w:t>6 DOI: 10.1074/jbc.M603346200]</w:t>
      </w:r>
    </w:p>
    <w:p w14:paraId="6953DFC9" w14:textId="556B6F11"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171 </w:t>
      </w:r>
      <w:r w:rsidRPr="002D569F">
        <w:rPr>
          <w:rFonts w:ascii="Book Antiqua" w:eastAsia="宋体" w:hAnsi="Book Antiqua" w:cs="宋体"/>
          <w:b/>
          <w:bCs/>
          <w:color w:val="000000"/>
          <w:sz w:val="24"/>
          <w:szCs w:val="24"/>
          <w:lang w:eastAsia="zh-CN"/>
        </w:rPr>
        <w:t>Ji Y</w:t>
      </w:r>
      <w:r w:rsidRPr="002D569F">
        <w:rPr>
          <w:rFonts w:ascii="Book Antiqua" w:eastAsia="宋体" w:hAnsi="Book Antiqua" w:cs="宋体"/>
          <w:color w:val="000000"/>
          <w:sz w:val="24"/>
          <w:szCs w:val="24"/>
          <w:lang w:eastAsia="zh-CN"/>
        </w:rPr>
        <w:t>, Yin D, Fox B, Holmes DJ, Payne D, Rosenberg M. Validation of antibacterial mechanism of action using regulated antisense RNA expression in Staphylococcus aureus. </w:t>
      </w:r>
      <w:r w:rsidRPr="002D569F">
        <w:rPr>
          <w:rFonts w:ascii="Book Antiqua" w:eastAsia="宋体" w:hAnsi="Book Antiqua" w:cs="宋体"/>
          <w:i/>
          <w:iCs/>
          <w:color w:val="000000"/>
          <w:sz w:val="24"/>
          <w:szCs w:val="24"/>
          <w:lang w:eastAsia="zh-CN"/>
        </w:rPr>
        <w:t>FEMS Microbiol Lett</w:t>
      </w:r>
      <w:r w:rsidRPr="002D569F">
        <w:rPr>
          <w:rFonts w:ascii="Book Antiqua" w:eastAsia="宋体" w:hAnsi="Book Antiqua" w:cs="宋体"/>
          <w:color w:val="000000"/>
          <w:sz w:val="24"/>
          <w:szCs w:val="24"/>
          <w:lang w:eastAsia="zh-CN"/>
        </w:rPr>
        <w:t> 2004; </w:t>
      </w:r>
      <w:r w:rsidRPr="002D569F">
        <w:rPr>
          <w:rFonts w:ascii="Book Antiqua" w:eastAsia="宋体" w:hAnsi="Book Antiqua" w:cs="宋体"/>
          <w:b/>
          <w:bCs/>
          <w:color w:val="000000"/>
          <w:sz w:val="24"/>
          <w:szCs w:val="24"/>
          <w:lang w:eastAsia="zh-CN"/>
        </w:rPr>
        <w:t>231</w:t>
      </w:r>
      <w:r w:rsidRPr="002D569F">
        <w:rPr>
          <w:rFonts w:ascii="Book Antiqua" w:eastAsia="宋体" w:hAnsi="Book Antiqua" w:cs="宋体"/>
          <w:color w:val="000000"/>
          <w:sz w:val="24"/>
          <w:szCs w:val="24"/>
          <w:lang w:eastAsia="zh-CN"/>
        </w:rPr>
        <w:t xml:space="preserve">: 177-184 [PMID: 14987762 DOI: </w:t>
      </w:r>
      <w:r w:rsidR="008F20D9">
        <w:rPr>
          <w:rFonts w:ascii="Book Antiqua" w:eastAsia="宋体" w:hAnsi="Book Antiqua" w:cs="宋体"/>
          <w:color w:val="000000"/>
          <w:sz w:val="24"/>
          <w:szCs w:val="24"/>
          <w:lang w:eastAsia="zh-CN"/>
        </w:rPr>
        <w:t>10.1016/S0378-1097(03)00931-5]</w:t>
      </w:r>
    </w:p>
    <w:p w14:paraId="51BD0DB1" w14:textId="15B71120"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172 </w:t>
      </w:r>
      <w:r w:rsidRPr="002D569F">
        <w:rPr>
          <w:rFonts w:ascii="Book Antiqua" w:eastAsia="宋体" w:hAnsi="Book Antiqua" w:cs="宋体"/>
          <w:b/>
          <w:bCs/>
          <w:color w:val="000000"/>
          <w:sz w:val="24"/>
          <w:szCs w:val="24"/>
          <w:lang w:eastAsia="zh-CN"/>
        </w:rPr>
        <w:t>Jeon B</w:t>
      </w:r>
      <w:r w:rsidRPr="002D569F">
        <w:rPr>
          <w:rFonts w:ascii="Book Antiqua" w:eastAsia="宋体" w:hAnsi="Book Antiqua" w:cs="宋体"/>
          <w:color w:val="000000"/>
          <w:sz w:val="24"/>
          <w:szCs w:val="24"/>
          <w:lang w:eastAsia="zh-CN"/>
        </w:rPr>
        <w:t>, Zhang Q. Sensitization of Campylobacter jejuni to fluoroquinolone and macrolide antibiotics by antisense inhibition of the CmeABC multidrug efflux transporter.</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Antimicrob Chemother</w:t>
      </w:r>
      <w:r w:rsidRPr="002D569F">
        <w:rPr>
          <w:rFonts w:ascii="Book Antiqua" w:eastAsia="宋体" w:hAnsi="Book Antiqua" w:cs="宋体"/>
          <w:color w:val="000000"/>
          <w:sz w:val="24"/>
          <w:szCs w:val="24"/>
          <w:lang w:eastAsia="zh-CN"/>
        </w:rPr>
        <w:t> 2009; </w:t>
      </w:r>
      <w:r w:rsidRPr="002D569F">
        <w:rPr>
          <w:rFonts w:ascii="Book Antiqua" w:eastAsia="宋体" w:hAnsi="Book Antiqua" w:cs="宋体"/>
          <w:b/>
          <w:bCs/>
          <w:color w:val="000000"/>
          <w:sz w:val="24"/>
          <w:szCs w:val="24"/>
          <w:lang w:eastAsia="zh-CN"/>
        </w:rPr>
        <w:t>63</w:t>
      </w:r>
      <w:r w:rsidRPr="002D569F">
        <w:rPr>
          <w:rFonts w:ascii="Book Antiqua" w:eastAsia="宋体" w:hAnsi="Book Antiqua" w:cs="宋体"/>
          <w:color w:val="000000"/>
          <w:sz w:val="24"/>
          <w:szCs w:val="24"/>
          <w:lang w:eastAsia="zh-CN"/>
        </w:rPr>
        <w:t>: 946-948 [PMID: 192</w:t>
      </w:r>
      <w:r w:rsidR="008F20D9">
        <w:rPr>
          <w:rFonts w:ascii="Book Antiqua" w:eastAsia="宋体" w:hAnsi="Book Antiqua" w:cs="宋体"/>
          <w:color w:val="000000"/>
          <w:sz w:val="24"/>
          <w:szCs w:val="24"/>
          <w:lang w:eastAsia="zh-CN"/>
        </w:rPr>
        <w:t>79049 DOI: 10.1093/Jac/Dkp067]</w:t>
      </w:r>
    </w:p>
    <w:p w14:paraId="5CC319D0" w14:textId="7ADA8700"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173 </w:t>
      </w:r>
      <w:r w:rsidRPr="002D569F">
        <w:rPr>
          <w:rFonts w:ascii="Book Antiqua" w:eastAsia="宋体" w:hAnsi="Book Antiqua" w:cs="宋体"/>
          <w:b/>
          <w:bCs/>
          <w:color w:val="000000"/>
          <w:sz w:val="24"/>
          <w:szCs w:val="24"/>
          <w:lang w:eastAsia="zh-CN"/>
        </w:rPr>
        <w:t>Kedar GC</w:t>
      </w:r>
      <w:r w:rsidRPr="002D569F">
        <w:rPr>
          <w:rFonts w:ascii="Book Antiqua" w:eastAsia="宋体" w:hAnsi="Book Antiqua" w:cs="宋体"/>
          <w:color w:val="000000"/>
          <w:sz w:val="24"/>
          <w:szCs w:val="24"/>
          <w:lang w:eastAsia="zh-CN"/>
        </w:rPr>
        <w:t>, Brown-Driver V, Reyes DR, Hilgers MT, Stidham MA, Shaw KJ, Finn J, Haselbeck RJ. Evaluation of the metS and murB loci for antibiotic discovery using targeted antisense RNA expression analysis in Bacillus anthracis. </w:t>
      </w:r>
      <w:r w:rsidRPr="002D569F">
        <w:rPr>
          <w:rFonts w:ascii="Book Antiqua" w:eastAsia="宋体" w:hAnsi="Book Antiqua" w:cs="宋体"/>
          <w:i/>
          <w:iCs/>
          <w:color w:val="000000"/>
          <w:sz w:val="24"/>
          <w:szCs w:val="24"/>
          <w:lang w:eastAsia="zh-CN"/>
        </w:rPr>
        <w:t>Antimicrob Agents Chemother</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51</w:t>
      </w:r>
      <w:r w:rsidRPr="002D569F">
        <w:rPr>
          <w:rFonts w:ascii="Book Antiqua" w:eastAsia="宋体" w:hAnsi="Book Antiqua" w:cs="宋体"/>
          <w:color w:val="000000"/>
          <w:sz w:val="24"/>
          <w:szCs w:val="24"/>
          <w:lang w:eastAsia="zh-CN"/>
        </w:rPr>
        <w:t>: 1708-1718 [PMID: 17339</w:t>
      </w:r>
      <w:r w:rsidR="008F20D9">
        <w:rPr>
          <w:rFonts w:ascii="Book Antiqua" w:eastAsia="宋体" w:hAnsi="Book Antiqua" w:cs="宋体"/>
          <w:color w:val="000000"/>
          <w:sz w:val="24"/>
          <w:szCs w:val="24"/>
          <w:lang w:eastAsia="zh-CN"/>
        </w:rPr>
        <w:t>372 DOI: 10.1128/Aac.01180-06]</w:t>
      </w:r>
    </w:p>
    <w:p w14:paraId="43C22A96" w14:textId="4F01D53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174 </w:t>
      </w:r>
      <w:r w:rsidRPr="002D569F">
        <w:rPr>
          <w:rFonts w:ascii="Book Antiqua" w:eastAsia="宋体" w:hAnsi="Book Antiqua" w:cs="宋体"/>
          <w:b/>
          <w:bCs/>
          <w:color w:val="000000"/>
          <w:sz w:val="24"/>
          <w:szCs w:val="24"/>
          <w:lang w:eastAsia="zh-CN"/>
        </w:rPr>
        <w:t>Hong H</w:t>
      </w:r>
      <w:r w:rsidRPr="002D569F">
        <w:rPr>
          <w:rFonts w:ascii="Book Antiqua" w:eastAsia="宋体" w:hAnsi="Book Antiqua" w:cs="宋体"/>
          <w:color w:val="000000"/>
          <w:sz w:val="24"/>
          <w:szCs w:val="24"/>
          <w:lang w:eastAsia="zh-CN"/>
        </w:rPr>
        <w:t xml:space="preserve">, Zhang Y, Cai W. </w:t>
      </w:r>
      <w:proofErr w:type="gramStart"/>
      <w:r w:rsidRPr="002D569F">
        <w:rPr>
          <w:rFonts w:ascii="Book Antiqua" w:eastAsia="宋体" w:hAnsi="Book Antiqua" w:cs="宋体"/>
          <w:color w:val="000000"/>
          <w:sz w:val="24"/>
          <w:szCs w:val="24"/>
          <w:lang w:eastAsia="zh-CN"/>
        </w:rPr>
        <w:t>In vivo imaging of RNA interference.</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J Nucl Med</w:t>
      </w:r>
      <w:r w:rsidRPr="002D569F">
        <w:rPr>
          <w:rFonts w:ascii="Book Antiqua" w:eastAsia="宋体" w:hAnsi="Book Antiqua" w:cs="宋体"/>
          <w:color w:val="000000"/>
          <w:sz w:val="24"/>
          <w:szCs w:val="24"/>
          <w:lang w:eastAsia="zh-CN"/>
        </w:rPr>
        <w:t> 2010; </w:t>
      </w:r>
      <w:r w:rsidRPr="002D569F">
        <w:rPr>
          <w:rFonts w:ascii="Book Antiqua" w:eastAsia="宋体" w:hAnsi="Book Antiqua" w:cs="宋体"/>
          <w:b/>
          <w:bCs/>
          <w:color w:val="000000"/>
          <w:sz w:val="24"/>
          <w:szCs w:val="24"/>
          <w:lang w:eastAsia="zh-CN"/>
        </w:rPr>
        <w:t>51</w:t>
      </w:r>
      <w:r w:rsidRPr="002D569F">
        <w:rPr>
          <w:rFonts w:ascii="Book Antiqua" w:eastAsia="宋体" w:hAnsi="Book Antiqua" w:cs="宋体"/>
          <w:color w:val="000000"/>
          <w:sz w:val="24"/>
          <w:szCs w:val="24"/>
          <w:lang w:eastAsia="zh-CN"/>
        </w:rPr>
        <w:t>: 169-172 [PMID: 20080892 D</w:t>
      </w:r>
      <w:r w:rsidR="008F20D9">
        <w:rPr>
          <w:rFonts w:ascii="Book Antiqua" w:eastAsia="宋体" w:hAnsi="Book Antiqua" w:cs="宋体"/>
          <w:color w:val="000000"/>
          <w:sz w:val="24"/>
          <w:szCs w:val="24"/>
          <w:lang w:eastAsia="zh-CN"/>
        </w:rPr>
        <w:t>OI: 10.2967/jnumed.109.066878]</w:t>
      </w:r>
    </w:p>
    <w:p w14:paraId="0AE89729"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175 </w:t>
      </w:r>
      <w:r w:rsidRPr="002D569F">
        <w:rPr>
          <w:rFonts w:ascii="Book Antiqua" w:eastAsia="宋体" w:hAnsi="Book Antiqua" w:cs="宋体"/>
          <w:b/>
          <w:bCs/>
          <w:color w:val="000000"/>
          <w:sz w:val="24"/>
          <w:szCs w:val="24"/>
          <w:lang w:eastAsia="zh-CN"/>
        </w:rPr>
        <w:t>Kim Y</w:t>
      </w:r>
      <w:r w:rsidRPr="002D569F">
        <w:rPr>
          <w:rFonts w:ascii="Book Antiqua" w:eastAsia="宋体" w:hAnsi="Book Antiqua" w:cs="宋体"/>
          <w:color w:val="000000"/>
          <w:sz w:val="24"/>
          <w:szCs w:val="24"/>
          <w:lang w:eastAsia="zh-CN"/>
        </w:rPr>
        <w:t>, Sohn D, Tan W. Molecular beacons in biomedical detection and clinical diagnosis.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Int J Clin Exp Pathol</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1</w:t>
      </w:r>
      <w:r w:rsidRPr="002D569F">
        <w:rPr>
          <w:rFonts w:ascii="Book Antiqua" w:eastAsia="宋体" w:hAnsi="Book Antiqua" w:cs="宋体"/>
          <w:color w:val="000000"/>
          <w:sz w:val="24"/>
          <w:szCs w:val="24"/>
          <w:lang w:eastAsia="zh-CN"/>
        </w:rPr>
        <w:t>: 105-116 [PMID: 18784800]</w:t>
      </w:r>
    </w:p>
    <w:p w14:paraId="17FBAB22" w14:textId="460F2F22"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176 </w:t>
      </w:r>
      <w:r w:rsidRPr="002D569F">
        <w:rPr>
          <w:rFonts w:ascii="Book Antiqua" w:eastAsia="宋体" w:hAnsi="Book Antiqua" w:cs="宋体"/>
          <w:b/>
          <w:bCs/>
          <w:color w:val="000000"/>
          <w:sz w:val="24"/>
          <w:szCs w:val="24"/>
          <w:lang w:eastAsia="zh-CN"/>
        </w:rPr>
        <w:t>Ilieva M</w:t>
      </w:r>
      <w:r w:rsidRPr="002D569F">
        <w:rPr>
          <w:rFonts w:ascii="Book Antiqua" w:eastAsia="宋体" w:hAnsi="Book Antiqua" w:cs="宋体"/>
          <w:color w:val="000000"/>
          <w:sz w:val="24"/>
          <w:szCs w:val="24"/>
          <w:lang w:eastAsia="zh-CN"/>
        </w:rPr>
        <w:t>, Della Vedova P, Hansen O, Dufva M. Tracking neuronal marker expression inside living differentiating cells using molecular beacons. </w:t>
      </w:r>
      <w:r w:rsidRPr="002D569F">
        <w:rPr>
          <w:rFonts w:ascii="Book Antiqua" w:eastAsia="宋体" w:hAnsi="Book Antiqua" w:cs="宋体"/>
          <w:i/>
          <w:iCs/>
          <w:color w:val="000000"/>
          <w:sz w:val="24"/>
          <w:szCs w:val="24"/>
          <w:lang w:eastAsia="zh-CN"/>
        </w:rPr>
        <w:t>Front Cell Neurosci</w:t>
      </w:r>
      <w:r w:rsidRPr="002D569F">
        <w:rPr>
          <w:rFonts w:ascii="Book Antiqua" w:eastAsia="宋体" w:hAnsi="Book Antiqua" w:cs="宋体"/>
          <w:color w:val="000000"/>
          <w:sz w:val="24"/>
          <w:szCs w:val="24"/>
          <w:lang w:eastAsia="zh-CN"/>
        </w:rPr>
        <w:t> 2013; </w:t>
      </w:r>
      <w:r w:rsidRPr="002D569F">
        <w:rPr>
          <w:rFonts w:ascii="Book Antiqua" w:eastAsia="宋体" w:hAnsi="Book Antiqua" w:cs="宋体"/>
          <w:b/>
          <w:bCs/>
          <w:color w:val="000000"/>
          <w:sz w:val="24"/>
          <w:szCs w:val="24"/>
          <w:lang w:eastAsia="zh-CN"/>
        </w:rPr>
        <w:t>7</w:t>
      </w:r>
      <w:r w:rsidRPr="002D569F">
        <w:rPr>
          <w:rFonts w:ascii="Book Antiqua" w:eastAsia="宋体" w:hAnsi="Book Antiqua" w:cs="宋体"/>
          <w:color w:val="000000"/>
          <w:sz w:val="24"/>
          <w:szCs w:val="24"/>
          <w:lang w:eastAsia="zh-CN"/>
        </w:rPr>
        <w:t xml:space="preserve">: 266 [PMID: 24431988 </w:t>
      </w:r>
      <w:r w:rsidR="008F20D9">
        <w:rPr>
          <w:rFonts w:ascii="Book Antiqua" w:eastAsia="宋体" w:hAnsi="Book Antiqua" w:cs="宋体"/>
          <w:color w:val="000000"/>
          <w:sz w:val="24"/>
          <w:szCs w:val="24"/>
          <w:lang w:eastAsia="zh-CN"/>
        </w:rPr>
        <w:t>DOI: 10.3389/fncel.2013.00266]</w:t>
      </w:r>
    </w:p>
    <w:p w14:paraId="2CE0E369" w14:textId="1BF4C058"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177 </w:t>
      </w:r>
      <w:r w:rsidRPr="002D569F">
        <w:rPr>
          <w:rFonts w:ascii="Book Antiqua" w:eastAsia="宋体" w:hAnsi="Book Antiqua" w:cs="宋体"/>
          <w:b/>
          <w:bCs/>
          <w:color w:val="000000"/>
          <w:sz w:val="24"/>
          <w:szCs w:val="24"/>
          <w:lang w:eastAsia="zh-CN"/>
        </w:rPr>
        <w:t>Chang E</w:t>
      </w:r>
      <w:r w:rsidRPr="002D569F">
        <w:rPr>
          <w:rFonts w:ascii="Book Antiqua" w:eastAsia="宋体" w:hAnsi="Book Antiqua" w:cs="宋体"/>
          <w:color w:val="000000"/>
          <w:sz w:val="24"/>
          <w:szCs w:val="24"/>
          <w:lang w:eastAsia="zh-CN"/>
        </w:rPr>
        <w:t>, Zhu MQ, Drezek R. Novel siRNA-based molecular beacons for dual imaging and therapy. </w:t>
      </w:r>
      <w:r w:rsidRPr="002D569F">
        <w:rPr>
          <w:rFonts w:ascii="Book Antiqua" w:eastAsia="宋体" w:hAnsi="Book Antiqua" w:cs="宋体"/>
          <w:i/>
          <w:iCs/>
          <w:color w:val="000000"/>
          <w:sz w:val="24"/>
          <w:szCs w:val="24"/>
          <w:lang w:eastAsia="zh-CN"/>
        </w:rPr>
        <w:t>Biotechnol J</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2</w:t>
      </w:r>
      <w:r w:rsidRPr="002D569F">
        <w:rPr>
          <w:rFonts w:ascii="Book Antiqua" w:eastAsia="宋体" w:hAnsi="Book Antiqua" w:cs="宋体"/>
          <w:color w:val="000000"/>
          <w:sz w:val="24"/>
          <w:szCs w:val="24"/>
          <w:lang w:eastAsia="zh-CN"/>
        </w:rPr>
        <w:t>: 422-425 [PMID: 1733022</w:t>
      </w:r>
      <w:r w:rsidR="008F20D9">
        <w:rPr>
          <w:rFonts w:ascii="Book Antiqua" w:eastAsia="宋体" w:hAnsi="Book Antiqua" w:cs="宋体"/>
          <w:color w:val="000000"/>
          <w:sz w:val="24"/>
          <w:szCs w:val="24"/>
          <w:lang w:eastAsia="zh-CN"/>
        </w:rPr>
        <w:t>1 DOI: 10.1002/biot.200600257]</w:t>
      </w:r>
    </w:p>
    <w:p w14:paraId="4A81057E" w14:textId="1783A76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178 </w:t>
      </w:r>
      <w:r w:rsidRPr="002D569F">
        <w:rPr>
          <w:rFonts w:ascii="Book Antiqua" w:eastAsia="宋体" w:hAnsi="Book Antiqua" w:cs="宋体"/>
          <w:b/>
          <w:bCs/>
          <w:color w:val="000000"/>
          <w:sz w:val="24"/>
          <w:szCs w:val="24"/>
          <w:lang w:eastAsia="zh-CN"/>
        </w:rPr>
        <w:t>Rhee WJ</w:t>
      </w:r>
      <w:r w:rsidRPr="002D569F">
        <w:rPr>
          <w:rFonts w:ascii="Book Antiqua" w:eastAsia="宋体" w:hAnsi="Book Antiqua" w:cs="宋体"/>
          <w:color w:val="000000"/>
          <w:sz w:val="24"/>
          <w:szCs w:val="24"/>
          <w:lang w:eastAsia="zh-CN"/>
        </w:rPr>
        <w:t>, Santangelo PJ, Jo H, Bao G. Target accessibility and signal specificity in live-cell detection of BMP-4 mRNA using molecular beacons. </w:t>
      </w:r>
      <w:r w:rsidRPr="002D569F">
        <w:rPr>
          <w:rFonts w:ascii="Book Antiqua" w:eastAsia="宋体" w:hAnsi="Book Antiqua" w:cs="宋体"/>
          <w:i/>
          <w:iCs/>
          <w:color w:val="000000"/>
          <w:sz w:val="24"/>
          <w:szCs w:val="24"/>
          <w:lang w:eastAsia="zh-CN"/>
        </w:rPr>
        <w:t>Nucleic Acids Res</w:t>
      </w:r>
      <w:r w:rsidRPr="002D569F">
        <w:rPr>
          <w:rFonts w:ascii="Book Antiqua" w:eastAsia="宋体" w:hAnsi="Book Antiqua" w:cs="宋体"/>
          <w:color w:val="000000"/>
          <w:sz w:val="24"/>
          <w:szCs w:val="24"/>
          <w:lang w:eastAsia="zh-CN"/>
        </w:rPr>
        <w:t> 2008; </w:t>
      </w:r>
      <w:r w:rsidRPr="002D569F">
        <w:rPr>
          <w:rFonts w:ascii="Book Antiqua" w:eastAsia="宋体" w:hAnsi="Book Antiqua" w:cs="宋体"/>
          <w:b/>
          <w:bCs/>
          <w:color w:val="000000"/>
          <w:sz w:val="24"/>
          <w:szCs w:val="24"/>
          <w:lang w:eastAsia="zh-CN"/>
        </w:rPr>
        <w:t>36</w:t>
      </w:r>
      <w:r w:rsidRPr="002D569F">
        <w:rPr>
          <w:rFonts w:ascii="Book Antiqua" w:eastAsia="宋体" w:hAnsi="Book Antiqua" w:cs="宋体"/>
          <w:color w:val="000000"/>
          <w:sz w:val="24"/>
          <w:szCs w:val="24"/>
          <w:lang w:eastAsia="zh-CN"/>
        </w:rPr>
        <w:t>: e30 [PMID: 18276638]</w:t>
      </w:r>
    </w:p>
    <w:p w14:paraId="52BC7E27" w14:textId="001C3367"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179 </w:t>
      </w:r>
      <w:r w:rsidRPr="002D569F">
        <w:rPr>
          <w:rFonts w:ascii="Book Antiqua" w:eastAsia="宋体" w:hAnsi="Book Antiqua" w:cs="宋体"/>
          <w:b/>
          <w:bCs/>
          <w:color w:val="000000"/>
          <w:sz w:val="24"/>
          <w:szCs w:val="24"/>
          <w:lang w:eastAsia="zh-CN"/>
        </w:rPr>
        <w:t>Zhou C</w:t>
      </w:r>
      <w:r w:rsidRPr="002D569F">
        <w:rPr>
          <w:rFonts w:ascii="Book Antiqua" w:eastAsia="宋体" w:hAnsi="Book Antiqua" w:cs="宋体"/>
          <w:color w:val="000000"/>
          <w:sz w:val="24"/>
          <w:szCs w:val="24"/>
          <w:lang w:eastAsia="zh-CN"/>
        </w:rPr>
        <w:t xml:space="preserve">, Mao Y, Sugimoto Y, Zhang Y, Kanthamneni N, Yu B, Brueggemeier RW, Lee LJ, Lee RJ. </w:t>
      </w:r>
      <w:proofErr w:type="gramStart"/>
      <w:r w:rsidRPr="002D569F">
        <w:rPr>
          <w:rFonts w:ascii="Book Antiqua" w:eastAsia="宋体" w:hAnsi="Book Antiqua" w:cs="宋体"/>
          <w:color w:val="000000"/>
          <w:sz w:val="24"/>
          <w:szCs w:val="24"/>
          <w:lang w:eastAsia="zh-CN"/>
        </w:rPr>
        <w:t>SPANosomes as delivery vehicles for small interfering RNA (siRNA).</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Mol Pharm</w:t>
      </w:r>
      <w:r w:rsidRPr="002D569F">
        <w:rPr>
          <w:rFonts w:ascii="Book Antiqua" w:eastAsia="宋体" w:hAnsi="Book Antiqua" w:cs="宋体"/>
          <w:color w:val="000000"/>
          <w:sz w:val="24"/>
          <w:szCs w:val="24"/>
          <w:lang w:eastAsia="zh-CN"/>
        </w:rPr>
        <w:t> 2012; </w:t>
      </w:r>
      <w:r w:rsidRPr="002D569F">
        <w:rPr>
          <w:rFonts w:ascii="Book Antiqua" w:eastAsia="宋体" w:hAnsi="Book Antiqua" w:cs="宋体"/>
          <w:b/>
          <w:bCs/>
          <w:color w:val="000000"/>
          <w:sz w:val="24"/>
          <w:szCs w:val="24"/>
          <w:lang w:eastAsia="zh-CN"/>
        </w:rPr>
        <w:t>9</w:t>
      </w:r>
      <w:r w:rsidRPr="002D569F">
        <w:rPr>
          <w:rFonts w:ascii="Book Antiqua" w:eastAsia="宋体" w:hAnsi="Book Antiqua" w:cs="宋体"/>
          <w:color w:val="000000"/>
          <w:sz w:val="24"/>
          <w:szCs w:val="24"/>
          <w:lang w:eastAsia="zh-CN"/>
        </w:rPr>
        <w:t>: 201-210 [PMID: 22149175 DOI: 10.</w:t>
      </w:r>
      <w:r w:rsidR="008F20D9">
        <w:rPr>
          <w:rFonts w:ascii="Book Antiqua" w:eastAsia="宋体" w:hAnsi="Book Antiqua" w:cs="宋体"/>
          <w:color w:val="000000"/>
          <w:sz w:val="24"/>
          <w:szCs w:val="24"/>
          <w:lang w:eastAsia="zh-CN"/>
        </w:rPr>
        <w:t>1021/mp200426h]</w:t>
      </w:r>
    </w:p>
    <w:p w14:paraId="24406DAB" w14:textId="31FEADFB"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 xml:space="preserve">180 </w:t>
      </w:r>
      <w:r w:rsidRPr="00D00BCC">
        <w:rPr>
          <w:rFonts w:ascii="Book Antiqua" w:eastAsia="宋体" w:hAnsi="Book Antiqua" w:cs="宋体"/>
          <w:b/>
          <w:color w:val="000000"/>
          <w:sz w:val="24"/>
          <w:szCs w:val="24"/>
          <w:lang w:eastAsia="zh-CN"/>
        </w:rPr>
        <w:t>George R</w:t>
      </w:r>
      <w:r w:rsidRPr="002D569F">
        <w:rPr>
          <w:rFonts w:ascii="Book Antiqua" w:eastAsia="宋体" w:hAnsi="Book Antiqua" w:cs="宋体"/>
          <w:color w:val="000000"/>
          <w:sz w:val="24"/>
          <w:szCs w:val="24"/>
          <w:lang w:eastAsia="zh-CN"/>
        </w:rPr>
        <w:t xml:space="preserve">, Bolus N, Garner J, Nugent K, Unlap MT. A Short Interfering RNA (siRNA) Molecular Beacon for the Detection of Mycobacterial Infection. </w:t>
      </w:r>
      <w:hyperlink r:id="rId9" w:tooltip="Journal of biotechnology &amp; biomaterials." w:history="1">
        <w:r w:rsidR="00D00BCC" w:rsidRPr="00D00BCC">
          <w:rPr>
            <w:rFonts w:ascii="Book Antiqua" w:eastAsia="宋体" w:hAnsi="Book Antiqua" w:cs="宋体"/>
            <w:i/>
            <w:iCs/>
            <w:color w:val="000000"/>
            <w:sz w:val="24"/>
            <w:szCs w:val="24"/>
            <w:lang w:eastAsia="zh-CN"/>
          </w:rPr>
          <w:t>J Biotechnol Biomater</w:t>
        </w:r>
      </w:hyperlink>
      <w:r w:rsidR="008F20D9" w:rsidRPr="00D00BCC">
        <w:rPr>
          <w:rFonts w:ascii="Book Antiqua" w:eastAsia="宋体" w:hAnsi="Book Antiqua" w:cs="宋体"/>
          <w:i/>
          <w:iCs/>
          <w:color w:val="000000"/>
          <w:sz w:val="24"/>
          <w:szCs w:val="24"/>
          <w:lang w:eastAsia="zh-CN"/>
        </w:rPr>
        <w:t xml:space="preserve"> </w:t>
      </w:r>
      <w:r w:rsidR="008F20D9">
        <w:rPr>
          <w:rFonts w:ascii="Book Antiqua" w:eastAsia="宋体" w:hAnsi="Book Antiqua" w:cs="宋体"/>
          <w:color w:val="000000"/>
          <w:sz w:val="24"/>
          <w:szCs w:val="24"/>
          <w:lang w:eastAsia="zh-CN"/>
        </w:rPr>
        <w:t xml:space="preserve">2012; </w:t>
      </w:r>
      <w:r w:rsidR="008F20D9" w:rsidRPr="008F20D9">
        <w:rPr>
          <w:rFonts w:ascii="Book Antiqua" w:eastAsia="宋体" w:hAnsi="Book Antiqua" w:cs="宋体"/>
          <w:b/>
          <w:color w:val="000000"/>
          <w:sz w:val="24"/>
          <w:szCs w:val="24"/>
          <w:lang w:eastAsia="zh-CN"/>
        </w:rPr>
        <w:t>2</w:t>
      </w:r>
      <w:r w:rsidR="008F20D9">
        <w:rPr>
          <w:rFonts w:ascii="Book Antiqua" w:eastAsia="宋体" w:hAnsi="Book Antiqua" w:cs="宋体"/>
          <w:color w:val="000000"/>
          <w:sz w:val="24"/>
          <w:szCs w:val="24"/>
          <w:lang w:eastAsia="zh-CN"/>
        </w:rPr>
        <w:t>: 1000147</w:t>
      </w:r>
      <w:r w:rsidRPr="002D569F">
        <w:rPr>
          <w:rFonts w:ascii="Book Antiqua" w:eastAsia="宋体" w:hAnsi="Book Antiqua" w:cs="宋体"/>
          <w:color w:val="000000"/>
          <w:sz w:val="24"/>
          <w:szCs w:val="24"/>
          <w:lang w:eastAsia="zh-CN"/>
        </w:rPr>
        <w:t xml:space="preserve"> [DOI: 10.4172/2155-952X.1000147]</w:t>
      </w:r>
    </w:p>
    <w:p w14:paraId="56BC083F" w14:textId="007CBECD"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181 </w:t>
      </w:r>
      <w:r w:rsidRPr="002D569F">
        <w:rPr>
          <w:rFonts w:ascii="Book Antiqua" w:eastAsia="宋体" w:hAnsi="Book Antiqua" w:cs="宋体"/>
          <w:b/>
          <w:bCs/>
          <w:color w:val="000000"/>
          <w:sz w:val="24"/>
          <w:szCs w:val="24"/>
          <w:lang w:eastAsia="zh-CN"/>
        </w:rPr>
        <w:t>Haile Y</w:t>
      </w:r>
      <w:r w:rsidRPr="002D569F">
        <w:rPr>
          <w:rFonts w:ascii="Book Antiqua" w:eastAsia="宋体" w:hAnsi="Book Antiqua" w:cs="宋体"/>
          <w:color w:val="000000"/>
          <w:sz w:val="24"/>
          <w:szCs w:val="24"/>
          <w:lang w:eastAsia="zh-CN"/>
        </w:rPr>
        <w:t xml:space="preserve">, Caugant DA, Bjune G, Wiker HG. </w:t>
      </w:r>
      <w:proofErr w:type="gramStart"/>
      <w:r w:rsidRPr="002D569F">
        <w:rPr>
          <w:rFonts w:ascii="Book Antiqua" w:eastAsia="宋体" w:hAnsi="Book Antiqua" w:cs="宋体"/>
          <w:color w:val="000000"/>
          <w:sz w:val="24"/>
          <w:szCs w:val="24"/>
          <w:lang w:eastAsia="zh-CN"/>
        </w:rPr>
        <w:t>Mycobacterium tuberculosis mammalian cell entry operon (mce) homologs in Mycobacterium other than tuberculosis (MOTT).</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FEMS Immunol Med Microbiol</w:t>
      </w:r>
      <w:r w:rsidRPr="002D569F">
        <w:rPr>
          <w:rFonts w:ascii="Book Antiqua" w:eastAsia="宋体" w:hAnsi="Book Antiqua" w:cs="宋体"/>
          <w:color w:val="000000"/>
          <w:sz w:val="24"/>
          <w:szCs w:val="24"/>
          <w:lang w:eastAsia="zh-CN"/>
        </w:rPr>
        <w:t> 2002; </w:t>
      </w:r>
      <w:r w:rsidRPr="002D569F">
        <w:rPr>
          <w:rFonts w:ascii="Book Antiqua" w:eastAsia="宋体" w:hAnsi="Book Antiqua" w:cs="宋体"/>
          <w:b/>
          <w:bCs/>
          <w:color w:val="000000"/>
          <w:sz w:val="24"/>
          <w:szCs w:val="24"/>
          <w:lang w:eastAsia="zh-CN"/>
        </w:rPr>
        <w:t>33</w:t>
      </w:r>
      <w:r w:rsidRPr="002D569F">
        <w:rPr>
          <w:rFonts w:ascii="Book Antiqua" w:eastAsia="宋体" w:hAnsi="Book Antiqua" w:cs="宋体"/>
          <w:color w:val="000000"/>
          <w:sz w:val="24"/>
          <w:szCs w:val="24"/>
          <w:lang w:eastAsia="zh-CN"/>
        </w:rPr>
        <w:t>: 125-132 [PMID: 12052567]</w:t>
      </w:r>
    </w:p>
    <w:p w14:paraId="06952B89" w14:textId="09720B3A"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182 </w:t>
      </w:r>
      <w:r w:rsidRPr="002D569F">
        <w:rPr>
          <w:rFonts w:ascii="Book Antiqua" w:eastAsia="宋体" w:hAnsi="Book Antiqua" w:cs="宋体"/>
          <w:b/>
          <w:bCs/>
          <w:color w:val="000000"/>
          <w:sz w:val="24"/>
          <w:szCs w:val="24"/>
          <w:lang w:eastAsia="zh-CN"/>
        </w:rPr>
        <w:t>Anes E</w:t>
      </w:r>
      <w:r w:rsidRPr="002D569F">
        <w:rPr>
          <w:rFonts w:ascii="Book Antiqua" w:eastAsia="宋体" w:hAnsi="Book Antiqua" w:cs="宋体"/>
          <w:color w:val="000000"/>
          <w:sz w:val="24"/>
          <w:szCs w:val="24"/>
          <w:lang w:eastAsia="zh-CN"/>
        </w:rPr>
        <w:t>, Peyron P, Staali L, Jordao L, Gutierrez MG, Kress H, Hagedorn M, Maridonneau-Parini I, Skinner MA, Wildeman AG, Kalamidas SA, Kuehnel M, Griffiths G. Dynamic life and death interactions between Mycobacterium smegmatis and J774 macrophages. </w:t>
      </w:r>
      <w:r w:rsidRPr="002D569F">
        <w:rPr>
          <w:rFonts w:ascii="Book Antiqua" w:eastAsia="宋体" w:hAnsi="Book Antiqua" w:cs="宋体"/>
          <w:i/>
          <w:iCs/>
          <w:color w:val="000000"/>
          <w:sz w:val="24"/>
          <w:szCs w:val="24"/>
          <w:lang w:eastAsia="zh-CN"/>
        </w:rPr>
        <w:t>Cell Microbiol</w:t>
      </w:r>
      <w:r w:rsidRPr="002D569F">
        <w:rPr>
          <w:rFonts w:ascii="Book Antiqua" w:eastAsia="宋体" w:hAnsi="Book Antiqua" w:cs="宋体"/>
          <w:color w:val="000000"/>
          <w:sz w:val="24"/>
          <w:szCs w:val="24"/>
          <w:lang w:eastAsia="zh-CN"/>
        </w:rPr>
        <w:t> 2006; </w:t>
      </w:r>
      <w:r w:rsidRPr="002D569F">
        <w:rPr>
          <w:rFonts w:ascii="Book Antiqua" w:eastAsia="宋体" w:hAnsi="Book Antiqua" w:cs="宋体"/>
          <w:b/>
          <w:bCs/>
          <w:color w:val="000000"/>
          <w:sz w:val="24"/>
          <w:szCs w:val="24"/>
          <w:lang w:eastAsia="zh-CN"/>
        </w:rPr>
        <w:t>8</w:t>
      </w:r>
      <w:r w:rsidRPr="002D569F">
        <w:rPr>
          <w:rFonts w:ascii="Book Antiqua" w:eastAsia="宋体" w:hAnsi="Book Antiqua" w:cs="宋体"/>
          <w:color w:val="000000"/>
          <w:sz w:val="24"/>
          <w:szCs w:val="24"/>
          <w:lang w:eastAsia="zh-CN"/>
        </w:rPr>
        <w:t>: 939-960 [PMID: 16681836 DOI: 10.</w:t>
      </w:r>
      <w:r w:rsidR="00D00BCC">
        <w:rPr>
          <w:rFonts w:ascii="Book Antiqua" w:eastAsia="宋体" w:hAnsi="Book Antiqua" w:cs="宋体"/>
          <w:color w:val="000000"/>
          <w:sz w:val="24"/>
          <w:szCs w:val="24"/>
          <w:lang w:eastAsia="zh-CN"/>
        </w:rPr>
        <w:t>1111/j.1462-5822.2005.00675.x]</w:t>
      </w:r>
    </w:p>
    <w:p w14:paraId="23B3E7A9" w14:textId="44205265"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183 </w:t>
      </w:r>
      <w:r w:rsidRPr="002D569F">
        <w:rPr>
          <w:rFonts w:ascii="Book Antiqua" w:eastAsia="宋体" w:hAnsi="Book Antiqua" w:cs="宋体"/>
          <w:b/>
          <w:bCs/>
          <w:color w:val="000000"/>
          <w:sz w:val="24"/>
          <w:szCs w:val="24"/>
          <w:lang w:eastAsia="zh-CN"/>
        </w:rPr>
        <w:t>Xu G</w:t>
      </w:r>
      <w:r w:rsidRPr="002D569F">
        <w:rPr>
          <w:rFonts w:ascii="Book Antiqua" w:eastAsia="宋体" w:hAnsi="Book Antiqua" w:cs="宋体"/>
          <w:color w:val="000000"/>
          <w:sz w:val="24"/>
          <w:szCs w:val="24"/>
          <w:lang w:eastAsia="zh-CN"/>
        </w:rPr>
        <w:t>, Li Y, Yang J, Zhou X, Yin X, Liu M, Zhao D. Effect of recombinant Mce4A protein of Mycobacterium bovis on expression of TNF-alpha, iNOS, IL-6, and IL-12 in bovine alveolar macrophages. </w:t>
      </w:r>
      <w:r w:rsidRPr="002D569F">
        <w:rPr>
          <w:rFonts w:ascii="Book Antiqua" w:eastAsia="宋体" w:hAnsi="Book Antiqua" w:cs="宋体"/>
          <w:i/>
          <w:iCs/>
          <w:color w:val="000000"/>
          <w:sz w:val="24"/>
          <w:szCs w:val="24"/>
          <w:lang w:eastAsia="zh-CN"/>
        </w:rPr>
        <w:t>Mol Cell Biochem</w:t>
      </w:r>
      <w:r w:rsidRPr="002D569F">
        <w:rPr>
          <w:rFonts w:ascii="Book Antiqua" w:eastAsia="宋体" w:hAnsi="Book Antiqua" w:cs="宋体"/>
          <w:color w:val="000000"/>
          <w:sz w:val="24"/>
          <w:szCs w:val="24"/>
          <w:lang w:eastAsia="zh-CN"/>
        </w:rPr>
        <w:t> 2007; </w:t>
      </w:r>
      <w:r w:rsidRPr="002D569F">
        <w:rPr>
          <w:rFonts w:ascii="Book Antiqua" w:eastAsia="宋体" w:hAnsi="Book Antiqua" w:cs="宋体"/>
          <w:b/>
          <w:bCs/>
          <w:color w:val="000000"/>
          <w:sz w:val="24"/>
          <w:szCs w:val="24"/>
          <w:lang w:eastAsia="zh-CN"/>
        </w:rPr>
        <w:t>302</w:t>
      </w:r>
      <w:r w:rsidRPr="002D569F">
        <w:rPr>
          <w:rFonts w:ascii="Book Antiqua" w:eastAsia="宋体" w:hAnsi="Book Antiqua" w:cs="宋体"/>
          <w:color w:val="000000"/>
          <w:sz w:val="24"/>
          <w:szCs w:val="24"/>
          <w:lang w:eastAsia="zh-CN"/>
        </w:rPr>
        <w:t>: 1-7 [PMID: 17530193 D</w:t>
      </w:r>
      <w:r w:rsidR="00D00BCC">
        <w:rPr>
          <w:rFonts w:ascii="Book Antiqua" w:eastAsia="宋体" w:hAnsi="Book Antiqua" w:cs="宋体"/>
          <w:color w:val="000000"/>
          <w:sz w:val="24"/>
          <w:szCs w:val="24"/>
          <w:lang w:eastAsia="zh-CN"/>
        </w:rPr>
        <w:t>OI: 10.1007/s11010-006-9395-0]</w:t>
      </w:r>
    </w:p>
    <w:p w14:paraId="47CAFD69" w14:textId="5A9DA11F"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184 </w:t>
      </w:r>
      <w:r w:rsidRPr="002D569F">
        <w:rPr>
          <w:rFonts w:ascii="Book Antiqua" w:eastAsia="宋体" w:hAnsi="Book Antiqua" w:cs="宋体"/>
          <w:b/>
          <w:bCs/>
          <w:color w:val="000000"/>
          <w:sz w:val="24"/>
          <w:szCs w:val="24"/>
          <w:lang w:eastAsia="zh-CN"/>
        </w:rPr>
        <w:t>Nyce J</w:t>
      </w:r>
      <w:r w:rsidRPr="002D569F">
        <w:rPr>
          <w:rFonts w:ascii="Book Antiqua" w:eastAsia="宋体" w:hAnsi="Book Antiqua" w:cs="宋体"/>
          <w:color w:val="000000"/>
          <w:sz w:val="24"/>
          <w:szCs w:val="24"/>
          <w:lang w:eastAsia="zh-CN"/>
        </w:rPr>
        <w:t>. Respirable antisense oligonucleotides: a new, third drug class targeting respiratory disease. </w:t>
      </w:r>
      <w:r w:rsidRPr="002D569F">
        <w:rPr>
          <w:rFonts w:ascii="Book Antiqua" w:eastAsia="宋体" w:hAnsi="Book Antiqua" w:cs="宋体"/>
          <w:i/>
          <w:iCs/>
          <w:color w:val="000000"/>
          <w:sz w:val="24"/>
          <w:szCs w:val="24"/>
          <w:lang w:eastAsia="zh-CN"/>
        </w:rPr>
        <w:t>Curr Opin Allergy Clin Immunol</w:t>
      </w:r>
      <w:r w:rsidRPr="002D569F">
        <w:rPr>
          <w:rFonts w:ascii="Book Antiqua" w:eastAsia="宋体" w:hAnsi="Book Antiqua" w:cs="宋体"/>
          <w:color w:val="000000"/>
          <w:sz w:val="24"/>
          <w:szCs w:val="24"/>
          <w:lang w:eastAsia="zh-CN"/>
        </w:rPr>
        <w:t> 2002; </w:t>
      </w:r>
      <w:r w:rsidRPr="002D569F">
        <w:rPr>
          <w:rFonts w:ascii="Book Antiqua" w:eastAsia="宋体" w:hAnsi="Book Antiqua" w:cs="宋体"/>
          <w:b/>
          <w:bCs/>
          <w:color w:val="000000"/>
          <w:sz w:val="24"/>
          <w:szCs w:val="24"/>
          <w:lang w:eastAsia="zh-CN"/>
        </w:rPr>
        <w:t>2</w:t>
      </w:r>
      <w:r w:rsidRPr="002D569F">
        <w:rPr>
          <w:rFonts w:ascii="Book Antiqua" w:eastAsia="宋体" w:hAnsi="Book Antiqua" w:cs="宋体"/>
          <w:color w:val="000000"/>
          <w:sz w:val="24"/>
          <w:szCs w:val="24"/>
          <w:lang w:eastAsia="zh-CN"/>
        </w:rPr>
        <w:t>: 533-536 [PMID: 14752337 DOI: 10.10</w:t>
      </w:r>
      <w:r w:rsidR="00D00BCC">
        <w:rPr>
          <w:rFonts w:ascii="Book Antiqua" w:eastAsia="宋体" w:hAnsi="Book Antiqua" w:cs="宋体"/>
          <w:color w:val="000000"/>
          <w:sz w:val="24"/>
          <w:szCs w:val="24"/>
          <w:lang w:eastAsia="zh-CN"/>
        </w:rPr>
        <w:t>97/01.all.0000044539.45448.c9]</w:t>
      </w:r>
    </w:p>
    <w:p w14:paraId="516875C4" w14:textId="77777777" w:rsidR="002D569F" w:rsidRPr="002D569F" w:rsidRDefault="002D569F" w:rsidP="002D569F">
      <w:pPr>
        <w:spacing w:after="0" w:line="360" w:lineRule="auto"/>
        <w:jc w:val="both"/>
        <w:rPr>
          <w:rFonts w:ascii="Book Antiqua" w:eastAsia="宋体" w:hAnsi="Book Antiqua" w:cs="宋体"/>
          <w:color w:val="000000"/>
          <w:sz w:val="24"/>
          <w:szCs w:val="24"/>
          <w:lang w:eastAsia="zh-CN"/>
        </w:rPr>
      </w:pPr>
      <w:proofErr w:type="gramStart"/>
      <w:r w:rsidRPr="002D569F">
        <w:rPr>
          <w:rFonts w:ascii="Book Antiqua" w:eastAsia="宋体" w:hAnsi="Book Antiqua" w:cs="宋体"/>
          <w:color w:val="000000"/>
          <w:sz w:val="24"/>
          <w:szCs w:val="24"/>
          <w:lang w:eastAsia="zh-CN"/>
        </w:rPr>
        <w:t>185 </w:t>
      </w:r>
      <w:r w:rsidRPr="002D569F">
        <w:rPr>
          <w:rFonts w:ascii="Book Antiqua" w:eastAsia="宋体" w:hAnsi="Book Antiqua" w:cs="宋体"/>
          <w:b/>
          <w:bCs/>
          <w:color w:val="000000"/>
          <w:sz w:val="24"/>
          <w:szCs w:val="24"/>
          <w:lang w:eastAsia="zh-CN"/>
        </w:rPr>
        <w:t>Mönkkönen J</w:t>
      </w:r>
      <w:r w:rsidRPr="002D569F">
        <w:rPr>
          <w:rFonts w:ascii="Book Antiqua" w:eastAsia="宋体" w:hAnsi="Book Antiqua" w:cs="宋体"/>
          <w:color w:val="000000"/>
          <w:sz w:val="24"/>
          <w:szCs w:val="24"/>
          <w:lang w:eastAsia="zh-CN"/>
        </w:rPr>
        <w:t>, Urtti A. Lipid fusion in oligonucleotide and gene delivery with cationic lipids.</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Adv Drug Deliv Rev</w:t>
      </w:r>
      <w:r w:rsidRPr="002D569F">
        <w:rPr>
          <w:rFonts w:ascii="Book Antiqua" w:eastAsia="宋体" w:hAnsi="Book Antiqua" w:cs="宋体"/>
          <w:color w:val="000000"/>
          <w:sz w:val="24"/>
          <w:szCs w:val="24"/>
          <w:lang w:eastAsia="zh-CN"/>
        </w:rPr>
        <w:t> 1998; </w:t>
      </w:r>
      <w:r w:rsidRPr="002D569F">
        <w:rPr>
          <w:rFonts w:ascii="Book Antiqua" w:eastAsia="宋体" w:hAnsi="Book Antiqua" w:cs="宋体"/>
          <w:b/>
          <w:bCs/>
          <w:color w:val="000000"/>
          <w:sz w:val="24"/>
          <w:szCs w:val="24"/>
          <w:lang w:eastAsia="zh-CN"/>
        </w:rPr>
        <w:t>34</w:t>
      </w:r>
      <w:r w:rsidRPr="002D569F">
        <w:rPr>
          <w:rFonts w:ascii="Book Antiqua" w:eastAsia="宋体" w:hAnsi="Book Antiqua" w:cs="宋体"/>
          <w:color w:val="000000"/>
          <w:sz w:val="24"/>
          <w:szCs w:val="24"/>
          <w:lang w:eastAsia="zh-CN"/>
        </w:rPr>
        <w:t>: 37-49 [PMID: 10837669 DOI: 10.1016/S0169-</w:t>
      </w:r>
      <w:proofErr w:type="gramStart"/>
      <w:r w:rsidRPr="002D569F">
        <w:rPr>
          <w:rFonts w:ascii="Book Antiqua" w:eastAsia="宋体" w:hAnsi="Book Antiqua" w:cs="宋体"/>
          <w:color w:val="000000"/>
          <w:sz w:val="24"/>
          <w:szCs w:val="24"/>
          <w:lang w:eastAsia="zh-CN"/>
        </w:rPr>
        <w:t>409X(</w:t>
      </w:r>
      <w:proofErr w:type="gramEnd"/>
      <w:r w:rsidRPr="002D569F">
        <w:rPr>
          <w:rFonts w:ascii="Book Antiqua" w:eastAsia="宋体" w:hAnsi="Book Antiqua" w:cs="宋体"/>
          <w:color w:val="000000"/>
          <w:sz w:val="24"/>
          <w:szCs w:val="24"/>
          <w:lang w:eastAsia="zh-CN"/>
        </w:rPr>
        <w:t>98)00004-0]</w:t>
      </w:r>
    </w:p>
    <w:p w14:paraId="2F7ACB21" w14:textId="4088B119" w:rsidR="002D569F" w:rsidRPr="002D569F" w:rsidRDefault="002D569F" w:rsidP="002D569F">
      <w:pPr>
        <w:spacing w:after="0" w:line="360" w:lineRule="auto"/>
        <w:jc w:val="both"/>
        <w:rPr>
          <w:rFonts w:ascii="Book Antiqua" w:eastAsia="宋体" w:hAnsi="Book Antiqua" w:cs="宋体"/>
          <w:color w:val="000000"/>
          <w:sz w:val="24"/>
          <w:szCs w:val="24"/>
          <w:lang w:eastAsia="zh-CN"/>
        </w:rPr>
      </w:pPr>
      <w:r w:rsidRPr="002D569F">
        <w:rPr>
          <w:rFonts w:ascii="Book Antiqua" w:eastAsia="宋体" w:hAnsi="Book Antiqua" w:cs="宋体"/>
          <w:color w:val="000000"/>
          <w:sz w:val="24"/>
          <w:szCs w:val="24"/>
          <w:lang w:eastAsia="zh-CN"/>
        </w:rPr>
        <w:t>186 </w:t>
      </w:r>
      <w:r w:rsidRPr="002D569F">
        <w:rPr>
          <w:rFonts w:ascii="Book Antiqua" w:eastAsia="宋体" w:hAnsi="Book Antiqua" w:cs="宋体"/>
          <w:b/>
          <w:bCs/>
          <w:color w:val="000000"/>
          <w:sz w:val="24"/>
          <w:szCs w:val="24"/>
          <w:lang w:eastAsia="zh-CN"/>
        </w:rPr>
        <w:t>Nyce JW</w:t>
      </w:r>
      <w:r w:rsidRPr="002D569F">
        <w:rPr>
          <w:rFonts w:ascii="Book Antiqua" w:eastAsia="宋体" w:hAnsi="Book Antiqua" w:cs="宋体"/>
          <w:color w:val="000000"/>
          <w:sz w:val="24"/>
          <w:szCs w:val="24"/>
          <w:lang w:eastAsia="zh-CN"/>
        </w:rPr>
        <w:t xml:space="preserve">, Metzger WJ. </w:t>
      </w:r>
      <w:proofErr w:type="gramStart"/>
      <w:r w:rsidRPr="002D569F">
        <w:rPr>
          <w:rFonts w:ascii="Book Antiqua" w:eastAsia="宋体" w:hAnsi="Book Antiqua" w:cs="宋体"/>
          <w:color w:val="000000"/>
          <w:sz w:val="24"/>
          <w:szCs w:val="24"/>
          <w:lang w:eastAsia="zh-CN"/>
        </w:rPr>
        <w:t>DNA antisense therapy for asthma in an animal model.</w:t>
      </w:r>
      <w:proofErr w:type="gramEnd"/>
      <w:r w:rsidRPr="002D569F">
        <w:rPr>
          <w:rFonts w:ascii="Book Antiqua" w:eastAsia="宋体" w:hAnsi="Book Antiqua" w:cs="宋体"/>
          <w:color w:val="000000"/>
          <w:sz w:val="24"/>
          <w:szCs w:val="24"/>
          <w:lang w:eastAsia="zh-CN"/>
        </w:rPr>
        <w:t> </w:t>
      </w:r>
      <w:r w:rsidRPr="002D569F">
        <w:rPr>
          <w:rFonts w:ascii="Book Antiqua" w:eastAsia="宋体" w:hAnsi="Book Antiqua" w:cs="宋体"/>
          <w:i/>
          <w:iCs/>
          <w:color w:val="000000"/>
          <w:sz w:val="24"/>
          <w:szCs w:val="24"/>
          <w:lang w:eastAsia="zh-CN"/>
        </w:rPr>
        <w:t>Nature</w:t>
      </w:r>
      <w:r w:rsidRPr="002D569F">
        <w:rPr>
          <w:rFonts w:ascii="Book Antiqua" w:eastAsia="宋体" w:hAnsi="Book Antiqua" w:cs="宋体"/>
          <w:color w:val="000000"/>
          <w:sz w:val="24"/>
          <w:szCs w:val="24"/>
          <w:lang w:eastAsia="zh-CN"/>
        </w:rPr>
        <w:t> 1997; </w:t>
      </w:r>
      <w:r w:rsidRPr="002D569F">
        <w:rPr>
          <w:rFonts w:ascii="Book Antiqua" w:eastAsia="宋体" w:hAnsi="Book Antiqua" w:cs="宋体"/>
          <w:b/>
          <w:bCs/>
          <w:color w:val="000000"/>
          <w:sz w:val="24"/>
          <w:szCs w:val="24"/>
          <w:lang w:eastAsia="zh-CN"/>
        </w:rPr>
        <w:t>385</w:t>
      </w:r>
      <w:r w:rsidRPr="002D569F">
        <w:rPr>
          <w:rFonts w:ascii="Book Antiqua" w:eastAsia="宋体" w:hAnsi="Book Antiqua" w:cs="宋体"/>
          <w:color w:val="000000"/>
          <w:sz w:val="24"/>
          <w:szCs w:val="24"/>
          <w:lang w:eastAsia="zh-CN"/>
        </w:rPr>
        <w:t xml:space="preserve">: 721-725 [PMID: </w:t>
      </w:r>
      <w:r w:rsidR="00D00BCC">
        <w:rPr>
          <w:rFonts w:ascii="Book Antiqua" w:eastAsia="宋体" w:hAnsi="Book Antiqua" w:cs="宋体"/>
          <w:color w:val="000000"/>
          <w:sz w:val="24"/>
          <w:szCs w:val="24"/>
          <w:lang w:eastAsia="zh-CN"/>
        </w:rPr>
        <w:t>9034188 DOI: 10.1038/385721a0]</w:t>
      </w:r>
    </w:p>
    <w:p w14:paraId="7AC2A31F" w14:textId="77777777" w:rsidR="00CD4266" w:rsidRPr="002D569F" w:rsidRDefault="00CD4266" w:rsidP="002D569F">
      <w:pPr>
        <w:spacing w:after="0" w:line="360" w:lineRule="auto"/>
        <w:jc w:val="both"/>
        <w:rPr>
          <w:rFonts w:ascii="Book Antiqua" w:hAnsi="Book Antiqua" w:cs="Times New Roman"/>
          <w:b/>
          <w:sz w:val="24"/>
          <w:szCs w:val="24"/>
          <w:lang w:eastAsia="zh-CN"/>
        </w:rPr>
      </w:pPr>
    </w:p>
    <w:p w14:paraId="1E6804A1" w14:textId="56FED8CF" w:rsidR="00CD4266" w:rsidRPr="00D00BCC" w:rsidRDefault="00CD4266" w:rsidP="00D00BCC">
      <w:pPr>
        <w:spacing w:after="0" w:line="360" w:lineRule="auto"/>
        <w:jc w:val="right"/>
        <w:rPr>
          <w:rFonts w:ascii="Book Antiqua" w:hAnsi="Book Antiqua"/>
          <w:b/>
          <w:sz w:val="24"/>
          <w:szCs w:val="24"/>
          <w:lang w:eastAsia="zh-CN"/>
        </w:rPr>
      </w:pPr>
      <w:r w:rsidRPr="002D569F">
        <w:rPr>
          <w:rFonts w:ascii="Book Antiqua" w:hAnsi="Book Antiqua"/>
          <w:b/>
          <w:sz w:val="24"/>
          <w:szCs w:val="24"/>
        </w:rPr>
        <w:t xml:space="preserve">P-Reviewer: </w:t>
      </w:r>
      <w:r w:rsidRPr="002D569F">
        <w:rPr>
          <w:rFonts w:ascii="Book Antiqua" w:hAnsi="Book Antiqua" w:cs="Tahoma"/>
          <w:sz w:val="24"/>
          <w:szCs w:val="24"/>
        </w:rPr>
        <w:t>Bugaj</w:t>
      </w:r>
      <w:r w:rsidRPr="002D569F">
        <w:rPr>
          <w:rFonts w:ascii="Book Antiqua" w:hAnsi="Book Antiqua" w:cs="Tahoma"/>
          <w:sz w:val="24"/>
          <w:szCs w:val="24"/>
          <w:lang w:eastAsia="zh-CN"/>
        </w:rPr>
        <w:t xml:space="preserve"> AM, </w:t>
      </w:r>
      <w:r w:rsidRPr="002D569F">
        <w:rPr>
          <w:rFonts w:ascii="Book Antiqua" w:hAnsi="Book Antiqua" w:cs="Tahoma"/>
          <w:sz w:val="24"/>
          <w:szCs w:val="24"/>
        </w:rPr>
        <w:t>Hattori</w:t>
      </w:r>
      <w:r w:rsidRPr="002D569F">
        <w:rPr>
          <w:rFonts w:ascii="Book Antiqua" w:hAnsi="Book Antiqua" w:cs="Tahoma"/>
          <w:sz w:val="24"/>
          <w:szCs w:val="24"/>
          <w:lang w:eastAsia="zh-CN"/>
        </w:rPr>
        <w:t xml:space="preserve"> N </w:t>
      </w:r>
      <w:r w:rsidRPr="002D569F">
        <w:rPr>
          <w:rFonts w:ascii="Book Antiqua" w:hAnsi="Book Antiqua"/>
          <w:b/>
          <w:sz w:val="24"/>
          <w:szCs w:val="24"/>
        </w:rPr>
        <w:t xml:space="preserve">S-Editor: </w:t>
      </w:r>
      <w:r w:rsidRPr="002D569F">
        <w:rPr>
          <w:rFonts w:ascii="Book Antiqua" w:hAnsi="Book Antiqua"/>
          <w:sz w:val="24"/>
          <w:szCs w:val="24"/>
        </w:rPr>
        <w:t>Ji FF</w:t>
      </w:r>
      <w:r w:rsidRPr="002D569F">
        <w:rPr>
          <w:rFonts w:ascii="Book Antiqua" w:hAnsi="Book Antiqua"/>
          <w:b/>
          <w:sz w:val="24"/>
          <w:szCs w:val="24"/>
        </w:rPr>
        <w:t xml:space="preserve"> L-Editor: E-Editor:</w:t>
      </w:r>
    </w:p>
    <w:p w14:paraId="178656F4"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noProof/>
          <w:sz w:val="24"/>
          <w:szCs w:val="24"/>
        </w:rPr>
        <w:drawing>
          <wp:inline distT="0" distB="0" distL="0" distR="0" wp14:anchorId="18CF00F4" wp14:editId="58643DAC">
            <wp:extent cx="4497070" cy="33642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7070" cy="3364230"/>
                    </a:xfrm>
                    <a:prstGeom prst="rect">
                      <a:avLst/>
                    </a:prstGeom>
                    <a:noFill/>
                    <a:ln>
                      <a:noFill/>
                    </a:ln>
                  </pic:spPr>
                </pic:pic>
              </a:graphicData>
            </a:graphic>
          </wp:inline>
        </w:drawing>
      </w:r>
    </w:p>
    <w:p w14:paraId="17C2868A" w14:textId="77777777" w:rsidR="00CD4266" w:rsidRPr="00051E6C" w:rsidRDefault="00CD4266" w:rsidP="00051E6C">
      <w:pPr>
        <w:spacing w:after="0" w:line="360" w:lineRule="auto"/>
        <w:jc w:val="both"/>
        <w:rPr>
          <w:rFonts w:ascii="Book Antiqua" w:hAnsi="Book Antiqua" w:cs="Times New Roman"/>
          <w:b/>
          <w:sz w:val="24"/>
          <w:szCs w:val="24"/>
          <w:lang w:eastAsia="zh-CN"/>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 xml:space="preserve">ure </w:t>
      </w:r>
      <w:r w:rsidRPr="00051E6C">
        <w:rPr>
          <w:rFonts w:ascii="Book Antiqua" w:hAnsi="Book Antiqua" w:cs="Times New Roman"/>
          <w:b/>
          <w:sz w:val="24"/>
          <w:szCs w:val="24"/>
        </w:rPr>
        <w:t xml:space="preserve">1 Spectrum of host immune responses against </w:t>
      </w:r>
      <w:r w:rsidRPr="00051E6C">
        <w:rPr>
          <w:rFonts w:ascii="Book Antiqua" w:hAnsi="Book Antiqua" w:cs="Times New Roman"/>
          <w:b/>
          <w:i/>
          <w:sz w:val="24"/>
          <w:szCs w:val="24"/>
        </w:rPr>
        <w:t>Mycobacterium tuberculosis</w:t>
      </w:r>
      <w:r w:rsidRPr="00051E6C">
        <w:rPr>
          <w:rFonts w:ascii="Book Antiqua" w:hAnsi="Book Antiqua" w:cs="Times New Roman"/>
          <w:b/>
          <w:i/>
          <w:sz w:val="24"/>
          <w:szCs w:val="24"/>
          <w:lang w:eastAsia="zh-CN"/>
        </w:rPr>
        <w:t xml:space="preserve">. </w:t>
      </w:r>
      <w:r w:rsidRPr="00051E6C">
        <w:rPr>
          <w:rFonts w:ascii="Book Antiqua" w:hAnsi="Book Antiqua" w:cs="Times New Roman"/>
          <w:sz w:val="24"/>
          <w:szCs w:val="24"/>
          <w:lang w:eastAsia="zh-CN"/>
        </w:rPr>
        <w:t>MTB</w:t>
      </w:r>
      <w:r w:rsidRPr="00051E6C">
        <w:rPr>
          <w:rFonts w:ascii="Book Antiqua" w:hAnsi="Book Antiqua" w:cs="Times New Roman"/>
          <w:i/>
          <w:sz w:val="24"/>
          <w:szCs w:val="24"/>
          <w:lang w:eastAsia="zh-CN"/>
        </w:rPr>
        <w:t xml:space="preserve">: </w:t>
      </w:r>
      <w:r w:rsidRPr="00051E6C">
        <w:rPr>
          <w:rFonts w:ascii="Book Antiqua" w:hAnsi="Book Antiqua" w:cs="Times New Roman"/>
          <w:i/>
          <w:sz w:val="24"/>
          <w:szCs w:val="24"/>
        </w:rPr>
        <w:t>Mycobacterium tuberculosis</w:t>
      </w:r>
      <w:r w:rsidRPr="00051E6C">
        <w:rPr>
          <w:rFonts w:ascii="Book Antiqua" w:hAnsi="Book Antiqua" w:cs="Times New Roman"/>
          <w:i/>
          <w:sz w:val="24"/>
          <w:szCs w:val="24"/>
          <w:lang w:eastAsia="zh-CN"/>
        </w:rPr>
        <w:t>.</w:t>
      </w:r>
    </w:p>
    <w:p w14:paraId="1CB022F1"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noProof/>
          <w:sz w:val="24"/>
          <w:szCs w:val="24"/>
        </w:rPr>
        <w:drawing>
          <wp:inline distT="0" distB="0" distL="0" distR="0" wp14:anchorId="189ECFB2" wp14:editId="1F929BD5">
            <wp:extent cx="5520690" cy="267525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690" cy="2675255"/>
                    </a:xfrm>
                    <a:prstGeom prst="rect">
                      <a:avLst/>
                    </a:prstGeom>
                    <a:noFill/>
                    <a:ln>
                      <a:noFill/>
                    </a:ln>
                  </pic:spPr>
                </pic:pic>
              </a:graphicData>
            </a:graphic>
          </wp:inline>
        </w:drawing>
      </w:r>
    </w:p>
    <w:p w14:paraId="2C3943FB"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2BF1B227"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ure</w:t>
      </w:r>
      <w:r w:rsidRPr="00051E6C">
        <w:rPr>
          <w:rFonts w:ascii="Book Antiqua" w:hAnsi="Book Antiqua" w:cs="Times New Roman"/>
          <w:b/>
          <w:sz w:val="24"/>
          <w:szCs w:val="24"/>
        </w:rPr>
        <w:t xml:space="preserve"> 2 Latent tuberculosis pathogenesis and transmission profile. </w:t>
      </w:r>
      <w:r w:rsidRPr="00051E6C">
        <w:rPr>
          <w:rFonts w:ascii="Book Antiqua" w:hAnsi="Book Antiqua" w:cs="Times New Roman"/>
          <w:sz w:val="24"/>
          <w:szCs w:val="24"/>
        </w:rPr>
        <w:t xml:space="preserve">Most people are adequately protected by innate immunity against MTB infection, however, the infection progresses when the innate immune response levels are inadequate. The development of specific immunity leads to the containment of MTB in granulomas as asymptomatic latent infection. However, inadequate adaptive response at any time progresses to the reactivation and development of full-blown active TB. </w:t>
      </w:r>
      <w:r w:rsidRPr="00051E6C">
        <w:rPr>
          <w:rFonts w:ascii="Book Antiqua" w:hAnsi="Book Antiqua" w:cs="Times New Roman"/>
          <w:sz w:val="24"/>
          <w:szCs w:val="24"/>
          <w:lang w:eastAsia="zh-CN"/>
        </w:rPr>
        <w:t>MTB</w:t>
      </w:r>
      <w:r w:rsidRPr="00051E6C">
        <w:rPr>
          <w:rFonts w:ascii="Book Antiqua" w:hAnsi="Book Antiqua" w:cs="Times New Roman"/>
          <w:i/>
          <w:sz w:val="24"/>
          <w:szCs w:val="24"/>
          <w:lang w:eastAsia="zh-CN"/>
        </w:rPr>
        <w:t xml:space="preserve">: </w:t>
      </w:r>
      <w:r w:rsidRPr="00051E6C">
        <w:rPr>
          <w:rFonts w:ascii="Book Antiqua" w:hAnsi="Book Antiqua" w:cs="Times New Roman"/>
          <w:i/>
          <w:sz w:val="24"/>
          <w:szCs w:val="24"/>
        </w:rPr>
        <w:t>Mycobacterium tuberculosis</w:t>
      </w:r>
      <w:r w:rsidRPr="00051E6C">
        <w:rPr>
          <w:rFonts w:ascii="Book Antiqua" w:hAnsi="Book Antiqua" w:cs="Times New Roman"/>
          <w:i/>
          <w:sz w:val="24"/>
          <w:szCs w:val="24"/>
          <w:lang w:eastAsia="zh-CN"/>
        </w:rPr>
        <w:t>.</w:t>
      </w:r>
    </w:p>
    <w:p w14:paraId="724C3DF5" w14:textId="77777777" w:rsidR="00CD4266" w:rsidRPr="00051E6C" w:rsidRDefault="00CD4266" w:rsidP="00051E6C">
      <w:pPr>
        <w:spacing w:after="0" w:line="360" w:lineRule="auto"/>
        <w:jc w:val="both"/>
        <w:rPr>
          <w:rFonts w:ascii="Book Antiqua" w:hAnsi="Book Antiqua"/>
          <w:sz w:val="24"/>
          <w:szCs w:val="24"/>
        </w:rPr>
      </w:pPr>
    </w:p>
    <w:p w14:paraId="71F1DE41" w14:textId="77777777" w:rsidR="00CD4266" w:rsidRPr="00051E6C" w:rsidRDefault="00CD4266" w:rsidP="00051E6C">
      <w:pPr>
        <w:spacing w:after="0" w:line="360" w:lineRule="auto"/>
        <w:jc w:val="both"/>
        <w:rPr>
          <w:rFonts w:ascii="Book Antiqua" w:hAnsi="Book Antiqua" w:cs="Times New Roman"/>
          <w:i/>
          <w:iCs/>
          <w:sz w:val="24"/>
          <w:szCs w:val="24"/>
        </w:rPr>
      </w:pPr>
      <w:r w:rsidRPr="00051E6C">
        <w:rPr>
          <w:rFonts w:ascii="Book Antiqua" w:hAnsi="Book Antiqua"/>
          <w:noProof/>
          <w:sz w:val="24"/>
          <w:szCs w:val="24"/>
        </w:rPr>
        <w:drawing>
          <wp:inline distT="0" distB="0" distL="0" distR="0" wp14:anchorId="56710EBF" wp14:editId="4A4FA375">
            <wp:extent cx="5424805" cy="3391535"/>
            <wp:effectExtent l="19050" t="19050" r="23495"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805" cy="3391535"/>
                    </a:xfrm>
                    <a:prstGeom prst="rect">
                      <a:avLst/>
                    </a:prstGeom>
                    <a:noFill/>
                    <a:ln w="9525" cmpd="sng">
                      <a:solidFill>
                        <a:srgbClr val="4F81BD"/>
                      </a:solidFill>
                      <a:miter lim="800000"/>
                      <a:headEnd/>
                      <a:tailEnd/>
                    </a:ln>
                    <a:effectLst/>
                  </pic:spPr>
                </pic:pic>
              </a:graphicData>
            </a:graphic>
          </wp:inline>
        </w:drawing>
      </w:r>
    </w:p>
    <w:p w14:paraId="66E8665C" w14:textId="77777777" w:rsidR="00CD4266" w:rsidRPr="00051E6C" w:rsidRDefault="00CD4266" w:rsidP="00051E6C">
      <w:pPr>
        <w:spacing w:after="0" w:line="360" w:lineRule="auto"/>
        <w:jc w:val="both"/>
        <w:rPr>
          <w:rFonts w:ascii="Book Antiqua" w:hAnsi="Book Antiqua" w:cs="Times New Roman"/>
          <w:b/>
          <w:sz w:val="24"/>
          <w:szCs w:val="24"/>
        </w:rPr>
      </w:pPr>
    </w:p>
    <w:p w14:paraId="7CABD646"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ure</w:t>
      </w:r>
      <w:r w:rsidRPr="00051E6C">
        <w:rPr>
          <w:rFonts w:ascii="Book Antiqua" w:hAnsi="Book Antiqua" w:cs="Times New Roman"/>
          <w:b/>
          <w:sz w:val="24"/>
          <w:szCs w:val="24"/>
        </w:rPr>
        <w:t xml:space="preserve"> </w:t>
      </w:r>
      <w:proofErr w:type="gramStart"/>
      <w:r w:rsidRPr="00051E6C">
        <w:rPr>
          <w:rFonts w:ascii="Book Antiqua" w:hAnsi="Book Antiqua" w:cs="Times New Roman"/>
          <w:b/>
          <w:sz w:val="24"/>
          <w:szCs w:val="24"/>
        </w:rPr>
        <w:t>3 Tuberculosis granuloma</w:t>
      </w:r>
      <w:proofErr w:type="gramEnd"/>
      <w:r w:rsidRPr="00051E6C">
        <w:rPr>
          <w:rFonts w:ascii="Book Antiqua" w:hAnsi="Book Antiqua" w:cs="Times New Roman"/>
          <w:b/>
          <w:sz w:val="24"/>
          <w:szCs w:val="24"/>
        </w:rPr>
        <w:t xml:space="preserve">. </w:t>
      </w:r>
      <w:r w:rsidRPr="00051E6C">
        <w:rPr>
          <w:rFonts w:ascii="Book Antiqua" w:hAnsi="Book Antiqua" w:cs="Times New Roman"/>
          <w:sz w:val="24"/>
          <w:szCs w:val="24"/>
        </w:rPr>
        <w:t>A granuloma sequesters MTB infected macrophages and is surrounded by immune cells, predominantly CD4</w:t>
      </w:r>
      <w:r w:rsidRPr="00051E6C">
        <w:rPr>
          <w:rFonts w:ascii="Book Antiqua" w:hAnsi="Book Antiqua" w:cs="Times New Roman"/>
          <w:sz w:val="24"/>
          <w:szCs w:val="24"/>
          <w:vertAlign w:val="superscript"/>
        </w:rPr>
        <w:t>+</w:t>
      </w:r>
      <w:r w:rsidRPr="00051E6C">
        <w:rPr>
          <w:rFonts w:ascii="Book Antiqua" w:hAnsi="Book Antiqua" w:cs="Times New Roman"/>
          <w:sz w:val="24"/>
          <w:szCs w:val="24"/>
        </w:rPr>
        <w:t xml:space="preserve"> helper T lymphocytes. Some infected macrophages fuse to form foamy giant cells. The infected macrophages and giant cells present antigens to T cells and activate them to produce a variety of cytokines and chemokynes, and also kills the infected macrophage and the MTB. The chemokines also serve to recruit additional T cells to the granuloma from the circulating blood. IFN-γ activates the macrophages to kill the intracellular MTB by generating reactive oxygen species (ROS) and reactive nitrogen species (RNS) intracellularly. The center of the granuloma is filled with cell debris and both live and dead MTB spilled from dead macrophages (caseation), all of which form a central hypoxic necrotic core. A sheath of collagen fibers produced from lung fibroblasts surround the granuloma. </w:t>
      </w:r>
      <w:r w:rsidRPr="00051E6C">
        <w:rPr>
          <w:rFonts w:ascii="Book Antiqua" w:hAnsi="Book Antiqua" w:cs="Times New Roman"/>
          <w:sz w:val="24"/>
          <w:szCs w:val="24"/>
          <w:lang w:eastAsia="zh-CN"/>
        </w:rPr>
        <w:t>MTB</w:t>
      </w:r>
      <w:r w:rsidRPr="00051E6C">
        <w:rPr>
          <w:rFonts w:ascii="Book Antiqua" w:hAnsi="Book Antiqua" w:cs="Times New Roman"/>
          <w:i/>
          <w:sz w:val="24"/>
          <w:szCs w:val="24"/>
          <w:lang w:eastAsia="zh-CN"/>
        </w:rPr>
        <w:t xml:space="preserve">: </w:t>
      </w:r>
      <w:r w:rsidRPr="00051E6C">
        <w:rPr>
          <w:rFonts w:ascii="Book Antiqua" w:hAnsi="Book Antiqua" w:cs="Times New Roman"/>
          <w:i/>
          <w:sz w:val="24"/>
          <w:szCs w:val="24"/>
        </w:rPr>
        <w:t>Mycobacterium tuberculosis</w:t>
      </w:r>
      <w:r w:rsidRPr="00051E6C">
        <w:rPr>
          <w:rFonts w:ascii="Book Antiqua" w:hAnsi="Book Antiqua" w:cs="Times New Roman"/>
          <w:i/>
          <w:sz w:val="24"/>
          <w:szCs w:val="24"/>
          <w:lang w:eastAsia="zh-CN"/>
        </w:rPr>
        <w:t>.</w:t>
      </w:r>
    </w:p>
    <w:p w14:paraId="6748291F" w14:textId="77777777" w:rsidR="00CD4266" w:rsidRPr="00051E6C"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noProof/>
          <w:sz w:val="24"/>
          <w:szCs w:val="24"/>
        </w:rPr>
        <w:drawing>
          <wp:anchor distT="0" distB="0" distL="114300" distR="114300" simplePos="0" relativeHeight="251659264" behindDoc="1" locked="0" layoutInCell="1" allowOverlap="1" wp14:anchorId="6C3E92D2" wp14:editId="379381E5">
            <wp:simplePos x="0" y="0"/>
            <wp:positionH relativeFrom="column">
              <wp:posOffset>809625</wp:posOffset>
            </wp:positionH>
            <wp:positionV relativeFrom="paragraph">
              <wp:posOffset>331470</wp:posOffset>
            </wp:positionV>
            <wp:extent cx="4495800" cy="4581525"/>
            <wp:effectExtent l="0" t="0" r="0" b="9525"/>
            <wp:wrapTight wrapText="bothSides">
              <wp:wrapPolygon edited="0">
                <wp:start x="0" y="0"/>
                <wp:lineTo x="0" y="21555"/>
                <wp:lineTo x="21508" y="21555"/>
                <wp:lineTo x="21508"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15224" t="7692" r="26282" b="12820"/>
                    <a:stretch>
                      <a:fillRect/>
                    </a:stretch>
                  </pic:blipFill>
                  <pic:spPr bwMode="auto">
                    <a:xfrm>
                      <a:off x="0" y="0"/>
                      <a:ext cx="44958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E8777" w14:textId="77777777" w:rsidR="00CD4266" w:rsidRPr="00051E6C" w:rsidRDefault="00CD4266" w:rsidP="00051E6C">
      <w:pPr>
        <w:spacing w:after="0" w:line="360" w:lineRule="auto"/>
        <w:jc w:val="both"/>
        <w:rPr>
          <w:rFonts w:ascii="Book Antiqua" w:hAnsi="Book Antiqua" w:cs="Times New Roman"/>
          <w:sz w:val="24"/>
          <w:szCs w:val="24"/>
        </w:rPr>
      </w:pPr>
    </w:p>
    <w:p w14:paraId="037FCE14" w14:textId="77777777" w:rsidR="00CD4266" w:rsidRPr="00051E6C" w:rsidRDefault="00CD4266" w:rsidP="00051E6C">
      <w:pPr>
        <w:spacing w:after="0" w:line="360" w:lineRule="auto"/>
        <w:jc w:val="both"/>
        <w:rPr>
          <w:rFonts w:ascii="Book Antiqua" w:hAnsi="Book Antiqua" w:cs="Times New Roman"/>
          <w:sz w:val="24"/>
          <w:szCs w:val="24"/>
        </w:rPr>
      </w:pPr>
    </w:p>
    <w:p w14:paraId="591193AE" w14:textId="77777777" w:rsidR="00CD4266" w:rsidRPr="00051E6C" w:rsidRDefault="00CD4266" w:rsidP="00051E6C">
      <w:pPr>
        <w:spacing w:after="0" w:line="360" w:lineRule="auto"/>
        <w:jc w:val="both"/>
        <w:rPr>
          <w:rFonts w:ascii="Book Antiqua" w:hAnsi="Book Antiqua" w:cs="Times New Roman"/>
          <w:sz w:val="24"/>
          <w:szCs w:val="24"/>
        </w:rPr>
      </w:pPr>
    </w:p>
    <w:p w14:paraId="125B5FD1" w14:textId="77777777" w:rsidR="00CD4266" w:rsidRPr="00051E6C" w:rsidRDefault="00CD4266" w:rsidP="00051E6C">
      <w:pPr>
        <w:spacing w:after="0" w:line="360" w:lineRule="auto"/>
        <w:jc w:val="both"/>
        <w:rPr>
          <w:rFonts w:ascii="Book Antiqua" w:hAnsi="Book Antiqua" w:cs="Times New Roman"/>
          <w:sz w:val="24"/>
          <w:szCs w:val="24"/>
        </w:rPr>
      </w:pPr>
    </w:p>
    <w:p w14:paraId="56779417" w14:textId="77777777" w:rsidR="00CD4266" w:rsidRPr="00051E6C" w:rsidRDefault="00CD4266" w:rsidP="00051E6C">
      <w:pPr>
        <w:spacing w:after="0" w:line="360" w:lineRule="auto"/>
        <w:jc w:val="both"/>
        <w:rPr>
          <w:rFonts w:ascii="Book Antiqua" w:hAnsi="Book Antiqua" w:cs="Times New Roman"/>
          <w:sz w:val="24"/>
          <w:szCs w:val="24"/>
        </w:rPr>
      </w:pPr>
    </w:p>
    <w:p w14:paraId="447914EA" w14:textId="77777777" w:rsidR="00CD4266" w:rsidRPr="00051E6C" w:rsidRDefault="00CD4266" w:rsidP="00051E6C">
      <w:pPr>
        <w:spacing w:after="0" w:line="360" w:lineRule="auto"/>
        <w:jc w:val="both"/>
        <w:rPr>
          <w:rFonts w:ascii="Book Antiqua" w:hAnsi="Book Antiqua" w:cs="Times New Roman"/>
          <w:sz w:val="24"/>
          <w:szCs w:val="24"/>
        </w:rPr>
      </w:pPr>
    </w:p>
    <w:p w14:paraId="742437AF" w14:textId="77777777" w:rsidR="00CD4266" w:rsidRPr="00051E6C" w:rsidRDefault="00CD4266" w:rsidP="00051E6C">
      <w:pPr>
        <w:spacing w:after="0" w:line="360" w:lineRule="auto"/>
        <w:jc w:val="both"/>
        <w:rPr>
          <w:rFonts w:ascii="Book Antiqua" w:hAnsi="Book Antiqua" w:cs="Times New Roman"/>
          <w:b/>
          <w:sz w:val="24"/>
          <w:szCs w:val="24"/>
        </w:rPr>
      </w:pPr>
    </w:p>
    <w:p w14:paraId="2C793D3F" w14:textId="77777777" w:rsidR="00CD4266" w:rsidRPr="00051E6C" w:rsidRDefault="00CD4266" w:rsidP="00051E6C">
      <w:pPr>
        <w:spacing w:after="0" w:line="360" w:lineRule="auto"/>
        <w:jc w:val="both"/>
        <w:rPr>
          <w:rFonts w:ascii="Book Antiqua" w:hAnsi="Book Antiqua" w:cs="Times New Roman"/>
          <w:b/>
          <w:sz w:val="24"/>
          <w:szCs w:val="24"/>
        </w:rPr>
      </w:pPr>
    </w:p>
    <w:p w14:paraId="422F595A" w14:textId="77777777" w:rsidR="00CD4266" w:rsidRPr="00051E6C" w:rsidRDefault="00CD4266" w:rsidP="00051E6C">
      <w:pPr>
        <w:spacing w:after="0" w:line="360" w:lineRule="auto"/>
        <w:jc w:val="both"/>
        <w:rPr>
          <w:rFonts w:ascii="Book Antiqua" w:hAnsi="Book Antiqua" w:cs="Times New Roman"/>
          <w:b/>
          <w:sz w:val="24"/>
          <w:szCs w:val="24"/>
        </w:rPr>
      </w:pPr>
    </w:p>
    <w:p w14:paraId="2D83A5C4"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2E7B2267"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44E386DC"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67B97DA9"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5216B122"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4B963F0A"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5DFD4CBB"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59758390"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0C451F28" w14:textId="1720DE6F" w:rsidR="00CD4266" w:rsidRPr="00051E6C"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ure</w:t>
      </w:r>
      <w:r w:rsidRPr="00051E6C">
        <w:rPr>
          <w:rFonts w:ascii="Book Antiqua" w:hAnsi="Book Antiqua" w:cs="Times New Roman"/>
          <w:b/>
          <w:sz w:val="24"/>
          <w:szCs w:val="24"/>
        </w:rPr>
        <w:t xml:space="preserve"> 4 Phagosomal maturation or arrest following pathogen uptake (A) or </w:t>
      </w:r>
      <w:r w:rsidR="002D569F" w:rsidRPr="00051E6C">
        <w:rPr>
          <w:rFonts w:ascii="Book Antiqua" w:hAnsi="Book Antiqua" w:cs="Times New Roman"/>
          <w:b/>
          <w:i/>
          <w:sz w:val="24"/>
          <w:szCs w:val="24"/>
        </w:rPr>
        <w:t>Mycobacterium tuberculosis</w:t>
      </w:r>
      <w:r w:rsidRPr="00051E6C">
        <w:rPr>
          <w:rFonts w:ascii="Book Antiqua" w:hAnsi="Book Antiqua" w:cs="Times New Roman"/>
          <w:b/>
          <w:sz w:val="24"/>
          <w:szCs w:val="24"/>
        </w:rPr>
        <w:t xml:space="preserve"> uptake (B), respectively.</w:t>
      </w:r>
      <w:r w:rsidRPr="00051E6C">
        <w:rPr>
          <w:rFonts w:ascii="Book Antiqua" w:hAnsi="Book Antiqua" w:cs="Times New Roman"/>
          <w:sz w:val="24"/>
          <w:szCs w:val="24"/>
        </w:rPr>
        <w:t xml:space="preserve"> </w:t>
      </w:r>
      <w:r w:rsidRPr="00051E6C">
        <w:rPr>
          <w:rFonts w:ascii="Book Antiqua" w:hAnsi="Book Antiqua" w:cs="Times New Roman"/>
          <w:sz w:val="24"/>
          <w:szCs w:val="24"/>
          <w:lang w:eastAsia="zh-CN"/>
        </w:rPr>
        <w:t>(</w:t>
      </w:r>
      <w:r w:rsidRPr="00051E6C">
        <w:rPr>
          <w:rFonts w:ascii="Book Antiqua" w:hAnsi="Book Antiqua" w:cs="Times New Roman"/>
          <w:sz w:val="24"/>
          <w:szCs w:val="24"/>
        </w:rPr>
        <w:t>A</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shows that upon entering into the body, most non-pathogenic microbes are phagocytized by the macrophage into a phagosome which then goes on to mature by fusing with the vesicles of the endocytic pathway and to finally fuse with lysosomes. These phagosomes undergo acidification due to the presence of proton-ATPase molecules from vacuolar membranes and the lysosomes, and this increased level of acidification activates the lysosomally derived acid hydrolases, cathepsins and other enzymes, along with reactive oxygen and nitrogen intermediates, to destroy the pathogen. Phagocytosis also initially triggers the recruitment of TACO around the particle to be ingested, as a result of the latter’s initial association with cell cortex microtubules, but is released prior to the lysosomal delivery of the bacteria</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w:t>
      </w:r>
      <w:r w:rsidRPr="00051E6C">
        <w:rPr>
          <w:rFonts w:ascii="Book Antiqua" w:hAnsi="Book Antiqua" w:cs="Times New Roman"/>
          <w:sz w:val="24"/>
          <w:szCs w:val="24"/>
          <w:lang w:eastAsia="zh-CN"/>
        </w:rPr>
        <w:t>(</w:t>
      </w:r>
      <w:r w:rsidRPr="00051E6C">
        <w:rPr>
          <w:rFonts w:ascii="Book Antiqua" w:hAnsi="Book Antiqua" w:cs="Times New Roman"/>
          <w:sz w:val="24"/>
          <w:szCs w:val="24"/>
        </w:rPr>
        <w:t>B</w:t>
      </w:r>
      <w:r w:rsidRPr="00051E6C">
        <w:rPr>
          <w:rFonts w:ascii="Book Antiqua" w:hAnsi="Book Antiqua" w:cs="Times New Roman"/>
          <w:sz w:val="24"/>
          <w:szCs w:val="24"/>
          <w:lang w:eastAsia="zh-CN"/>
        </w:rPr>
        <w:t xml:space="preserve">) </w:t>
      </w:r>
      <w:r w:rsidRPr="00051E6C">
        <w:rPr>
          <w:rFonts w:ascii="Book Antiqua" w:hAnsi="Book Antiqua" w:cs="Times New Roman"/>
          <w:sz w:val="24"/>
          <w:szCs w:val="24"/>
        </w:rPr>
        <w:t xml:space="preserve">Shows the effect of </w:t>
      </w:r>
      <w:r w:rsidRPr="00051E6C">
        <w:rPr>
          <w:rFonts w:ascii="Book Antiqua" w:hAnsi="Book Antiqua" w:cs="Times New Roman"/>
          <w:i/>
          <w:sz w:val="24"/>
          <w:szCs w:val="24"/>
        </w:rPr>
        <w:t>M. tuberculosis</w:t>
      </w:r>
      <w:r w:rsidRPr="00051E6C">
        <w:rPr>
          <w:rFonts w:ascii="Book Antiqua" w:hAnsi="Book Antiqua" w:cs="Times New Roman"/>
          <w:sz w:val="24"/>
          <w:szCs w:val="24"/>
        </w:rPr>
        <w:t xml:space="preserve"> on phagosome maturation. Cholesterol serves as a docking site for the mycobacteria and its cell surface receptor there by facilitating its phagocytosis at cholesterol-rich regions. Cholesterol plays a crucial role in not only the entry of mycobacteria into macrophages but also mediates the phagososomal association of TACO (Coronin 1), a coat protein associated with cholesterol-rich regions which is actively retained on the phagosomal membrane housing the mycobacteria through a yet unknown mechanism, which prevents the degradation of the mycobacteria in the lysosomes.</w:t>
      </w:r>
      <w:r w:rsidRPr="00051E6C">
        <w:rPr>
          <w:rFonts w:ascii="Book Antiqua" w:hAnsi="Book Antiqua" w:cs="Times New Roman"/>
          <w:sz w:val="24"/>
          <w:szCs w:val="24"/>
          <w:lang w:eastAsia="zh-CN"/>
        </w:rPr>
        <w:t xml:space="preserve"> </w:t>
      </w:r>
      <w:r w:rsidRPr="00051E6C">
        <w:rPr>
          <w:rFonts w:ascii="Book Antiqua" w:hAnsi="Book Antiqua" w:cs="Times New Roman"/>
          <w:sz w:val="24"/>
          <w:szCs w:val="24"/>
        </w:rPr>
        <w:t>TACO</w:t>
      </w:r>
      <w:r w:rsidRPr="00051E6C">
        <w:rPr>
          <w:rFonts w:ascii="Book Antiqua" w:hAnsi="Book Antiqua" w:cs="Times New Roman"/>
          <w:sz w:val="24"/>
          <w:szCs w:val="24"/>
          <w:lang w:eastAsia="zh-CN"/>
        </w:rPr>
        <w:t>:</w:t>
      </w:r>
      <w:r w:rsidRPr="00051E6C">
        <w:rPr>
          <w:rFonts w:ascii="Book Antiqua" w:hAnsi="Book Antiqua" w:cs="Times New Roman"/>
          <w:sz w:val="24"/>
          <w:szCs w:val="24"/>
        </w:rPr>
        <w:t xml:space="preserve"> Tryptophan-aspartate containing coat protein</w:t>
      </w:r>
      <w:r w:rsidRPr="00051E6C">
        <w:rPr>
          <w:rFonts w:ascii="Book Antiqua" w:hAnsi="Book Antiqua" w:cs="Times New Roman"/>
          <w:sz w:val="24"/>
          <w:szCs w:val="24"/>
          <w:lang w:eastAsia="zh-CN"/>
        </w:rPr>
        <w:t>.</w:t>
      </w:r>
    </w:p>
    <w:p w14:paraId="52C8EDF7"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noProof/>
          <w:sz w:val="24"/>
          <w:szCs w:val="24"/>
        </w:rPr>
        <w:drawing>
          <wp:inline distT="0" distB="0" distL="0" distR="0" wp14:anchorId="30EAEE8E" wp14:editId="3FCE988D">
            <wp:extent cx="5466080" cy="248412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6080" cy="2484120"/>
                    </a:xfrm>
                    <a:prstGeom prst="rect">
                      <a:avLst/>
                    </a:prstGeom>
                    <a:noFill/>
                    <a:ln>
                      <a:noFill/>
                    </a:ln>
                  </pic:spPr>
                </pic:pic>
              </a:graphicData>
            </a:graphic>
          </wp:inline>
        </w:drawing>
      </w:r>
    </w:p>
    <w:p w14:paraId="015DEB8F"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 xml:space="preserve">ure </w:t>
      </w:r>
      <w:r w:rsidRPr="00051E6C">
        <w:rPr>
          <w:rFonts w:ascii="Book Antiqua" w:hAnsi="Book Antiqua" w:cs="Times New Roman"/>
          <w:b/>
          <w:sz w:val="24"/>
          <w:szCs w:val="24"/>
        </w:rPr>
        <w:t xml:space="preserve">5 </w:t>
      </w:r>
      <w:proofErr w:type="gramStart"/>
      <w:r w:rsidRPr="00051E6C">
        <w:rPr>
          <w:rFonts w:ascii="Book Antiqua" w:hAnsi="Book Antiqua" w:cs="Times New Roman"/>
          <w:b/>
          <w:sz w:val="24"/>
          <w:szCs w:val="24"/>
        </w:rPr>
        <w:t>The</w:t>
      </w:r>
      <w:proofErr w:type="gramEnd"/>
      <w:r w:rsidRPr="00051E6C">
        <w:rPr>
          <w:rFonts w:ascii="Book Antiqua" w:hAnsi="Book Antiqua" w:cs="Times New Roman"/>
          <w:b/>
          <w:sz w:val="24"/>
          <w:szCs w:val="24"/>
        </w:rPr>
        <w:t xml:space="preserve"> organization of the mce operons. </w:t>
      </w:r>
      <w:r w:rsidRPr="00051E6C">
        <w:rPr>
          <w:rFonts w:ascii="Book Antiqua" w:hAnsi="Book Antiqua" w:cs="Times New Roman"/>
          <w:sz w:val="24"/>
          <w:szCs w:val="24"/>
        </w:rPr>
        <w:t xml:space="preserve">The operon structures of the four mce operons with their constituent genes are shown. The grey arrows represent yrbE genes and the blue arrows represent the mce genes. </w:t>
      </w:r>
      <w:r w:rsidRPr="00051E6C">
        <w:rPr>
          <w:rFonts w:ascii="Book Antiqua" w:hAnsi="Book Antiqua" w:cs="Times New Roman"/>
          <w:b/>
          <w:sz w:val="24"/>
          <w:szCs w:val="24"/>
        </w:rPr>
        <w:t xml:space="preserve">  </w:t>
      </w:r>
    </w:p>
    <w:p w14:paraId="0B2283BA" w14:textId="77777777" w:rsidR="00CD4266" w:rsidRPr="00051E6C" w:rsidRDefault="00CD4266" w:rsidP="00051E6C">
      <w:pPr>
        <w:spacing w:after="0" w:line="360" w:lineRule="auto"/>
        <w:jc w:val="both"/>
        <w:rPr>
          <w:rFonts w:ascii="Book Antiqua" w:hAnsi="Book Antiqua"/>
          <w:sz w:val="24"/>
          <w:szCs w:val="24"/>
        </w:rPr>
      </w:pPr>
    </w:p>
    <w:p w14:paraId="46242195" w14:textId="77777777" w:rsidR="00CD4266" w:rsidRPr="00051E6C" w:rsidRDefault="00CD4266" w:rsidP="00051E6C">
      <w:pPr>
        <w:spacing w:after="0" w:line="360" w:lineRule="auto"/>
        <w:jc w:val="both"/>
        <w:rPr>
          <w:rFonts w:ascii="Book Antiqua" w:hAnsi="Book Antiqua"/>
          <w:sz w:val="24"/>
          <w:szCs w:val="24"/>
        </w:rPr>
      </w:pPr>
    </w:p>
    <w:p w14:paraId="73291A25" w14:textId="77777777" w:rsidR="00CD4266" w:rsidRPr="00051E6C" w:rsidRDefault="00CD4266" w:rsidP="00051E6C">
      <w:pPr>
        <w:spacing w:after="0" w:line="360" w:lineRule="auto"/>
        <w:jc w:val="both"/>
        <w:rPr>
          <w:rFonts w:ascii="Book Antiqua" w:hAnsi="Book Antiqua"/>
          <w:sz w:val="24"/>
          <w:szCs w:val="24"/>
        </w:rPr>
      </w:pPr>
    </w:p>
    <w:p w14:paraId="0ADCEAD7" w14:textId="77777777" w:rsidR="00CD4266" w:rsidRPr="00051E6C" w:rsidRDefault="00CD4266" w:rsidP="00051E6C">
      <w:pPr>
        <w:spacing w:after="0" w:line="360" w:lineRule="auto"/>
        <w:jc w:val="both"/>
        <w:rPr>
          <w:rFonts w:ascii="Book Antiqua" w:hAnsi="Book Antiqua" w:cs="Times New Roman"/>
          <w:b/>
          <w:sz w:val="24"/>
          <w:szCs w:val="24"/>
        </w:rPr>
      </w:pPr>
      <w:r w:rsidRPr="00051E6C">
        <w:rPr>
          <w:rFonts w:ascii="Book Antiqua" w:hAnsi="Book Antiqua"/>
          <w:noProof/>
          <w:sz w:val="24"/>
          <w:szCs w:val="24"/>
        </w:rPr>
        <w:drawing>
          <wp:anchor distT="0" distB="0" distL="114300" distR="114300" simplePos="0" relativeHeight="251660288" behindDoc="1" locked="0" layoutInCell="1" allowOverlap="1" wp14:anchorId="73BF2054" wp14:editId="06481ED2">
            <wp:simplePos x="0" y="0"/>
            <wp:positionH relativeFrom="column">
              <wp:posOffset>523875</wp:posOffset>
            </wp:positionH>
            <wp:positionV relativeFrom="paragraph">
              <wp:posOffset>-539115</wp:posOffset>
            </wp:positionV>
            <wp:extent cx="4000500" cy="4076700"/>
            <wp:effectExtent l="0" t="0" r="0" b="0"/>
            <wp:wrapTight wrapText="bothSides">
              <wp:wrapPolygon edited="0">
                <wp:start x="2674" y="303"/>
                <wp:lineTo x="617" y="707"/>
                <wp:lineTo x="617" y="1413"/>
                <wp:lineTo x="2674" y="2120"/>
                <wp:lineTo x="2674" y="10194"/>
                <wp:lineTo x="823" y="11204"/>
                <wp:lineTo x="514" y="11507"/>
                <wp:lineTo x="514" y="12112"/>
                <wp:lineTo x="2263" y="13424"/>
                <wp:lineTo x="2674" y="13424"/>
                <wp:lineTo x="2674" y="21499"/>
                <wp:lineTo x="21497" y="21499"/>
                <wp:lineTo x="21497" y="8378"/>
                <wp:lineTo x="19131" y="6964"/>
                <wp:lineTo x="19131" y="303"/>
                <wp:lineTo x="2674" y="303"/>
              </wp:wrapPolygon>
            </wp:wrapTight>
            <wp:docPr id="12" name="图片 12" descr="说明: C:\Users\unlap\AppData\Local\Microsoft\Windows\Temporary Internet Files\Content.Outlook\D50JU9RF\Permease Dom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C:\Users\unlap\AppData\Local\Microsoft\Windows\Temporary Internet Files\Content.Outlook\D50JU9RF\Permease Domain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9F513" w14:textId="77777777" w:rsidR="00CD4266" w:rsidRPr="00051E6C" w:rsidRDefault="00CD4266" w:rsidP="00051E6C">
      <w:pPr>
        <w:spacing w:after="0" w:line="360" w:lineRule="auto"/>
        <w:jc w:val="both"/>
        <w:rPr>
          <w:rFonts w:ascii="Book Antiqua" w:hAnsi="Book Antiqua" w:cs="Times New Roman"/>
          <w:b/>
          <w:sz w:val="24"/>
          <w:szCs w:val="24"/>
        </w:rPr>
      </w:pPr>
    </w:p>
    <w:p w14:paraId="5CABB1DE" w14:textId="77777777" w:rsidR="00CD4266" w:rsidRPr="00051E6C" w:rsidRDefault="00CD4266" w:rsidP="00051E6C">
      <w:pPr>
        <w:spacing w:after="0" w:line="360" w:lineRule="auto"/>
        <w:jc w:val="both"/>
        <w:rPr>
          <w:rFonts w:ascii="Book Antiqua" w:hAnsi="Book Antiqua" w:cs="Times New Roman"/>
          <w:b/>
          <w:sz w:val="24"/>
          <w:szCs w:val="24"/>
        </w:rPr>
      </w:pPr>
    </w:p>
    <w:p w14:paraId="41D374EE" w14:textId="77777777" w:rsidR="00CD4266" w:rsidRPr="00051E6C" w:rsidRDefault="00CD4266" w:rsidP="00051E6C">
      <w:pPr>
        <w:spacing w:after="0" w:line="360" w:lineRule="auto"/>
        <w:jc w:val="both"/>
        <w:rPr>
          <w:rFonts w:ascii="Book Antiqua" w:hAnsi="Book Antiqua" w:cs="Times New Roman"/>
          <w:b/>
          <w:sz w:val="24"/>
          <w:szCs w:val="24"/>
        </w:rPr>
      </w:pPr>
    </w:p>
    <w:p w14:paraId="68399BC9" w14:textId="77777777" w:rsidR="00CD4266" w:rsidRPr="00051E6C" w:rsidRDefault="00CD4266" w:rsidP="00051E6C">
      <w:pPr>
        <w:spacing w:after="0" w:line="360" w:lineRule="auto"/>
        <w:jc w:val="both"/>
        <w:rPr>
          <w:rFonts w:ascii="Book Antiqua" w:hAnsi="Book Antiqua" w:cs="Times New Roman"/>
          <w:b/>
          <w:sz w:val="24"/>
          <w:szCs w:val="24"/>
        </w:rPr>
      </w:pPr>
    </w:p>
    <w:p w14:paraId="051A593F" w14:textId="77777777" w:rsidR="00CD4266" w:rsidRPr="00051E6C" w:rsidRDefault="00CD4266" w:rsidP="00051E6C">
      <w:pPr>
        <w:spacing w:after="0" w:line="360" w:lineRule="auto"/>
        <w:jc w:val="both"/>
        <w:rPr>
          <w:rFonts w:ascii="Book Antiqua" w:hAnsi="Book Antiqua" w:cs="Times New Roman"/>
          <w:b/>
          <w:sz w:val="24"/>
          <w:szCs w:val="24"/>
        </w:rPr>
      </w:pPr>
    </w:p>
    <w:p w14:paraId="5EDE7697" w14:textId="77777777" w:rsidR="00CD4266" w:rsidRPr="00051E6C" w:rsidRDefault="00CD4266" w:rsidP="00051E6C">
      <w:pPr>
        <w:spacing w:after="0" w:line="360" w:lineRule="auto"/>
        <w:jc w:val="both"/>
        <w:rPr>
          <w:rFonts w:ascii="Book Antiqua" w:hAnsi="Book Antiqua" w:cs="Times New Roman"/>
          <w:b/>
          <w:sz w:val="24"/>
          <w:szCs w:val="24"/>
        </w:rPr>
      </w:pPr>
    </w:p>
    <w:p w14:paraId="17785B3F" w14:textId="77777777" w:rsidR="00CD4266" w:rsidRPr="00051E6C" w:rsidRDefault="00CD4266" w:rsidP="00051E6C">
      <w:pPr>
        <w:spacing w:after="0" w:line="360" w:lineRule="auto"/>
        <w:jc w:val="both"/>
        <w:rPr>
          <w:rFonts w:ascii="Book Antiqua" w:hAnsi="Book Antiqua" w:cs="Times New Roman"/>
          <w:b/>
          <w:sz w:val="24"/>
          <w:szCs w:val="24"/>
        </w:rPr>
      </w:pPr>
    </w:p>
    <w:p w14:paraId="7F5131EF"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68F5AAE9"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33AAAE0C"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35E3D070"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7FC01680"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072C2716" w14:textId="77777777" w:rsidR="00CD4266" w:rsidRPr="00051E6C" w:rsidRDefault="00CD4266" w:rsidP="00051E6C">
      <w:pPr>
        <w:spacing w:after="0" w:line="360" w:lineRule="auto"/>
        <w:jc w:val="both"/>
        <w:rPr>
          <w:rFonts w:ascii="Book Antiqua" w:hAnsi="Book Antiqua" w:cs="Times New Roman"/>
          <w:b/>
          <w:sz w:val="24"/>
          <w:szCs w:val="24"/>
          <w:lang w:eastAsia="zh-CN"/>
        </w:rPr>
      </w:pPr>
    </w:p>
    <w:p w14:paraId="43E430C3" w14:textId="77777777" w:rsidR="00CD4266" w:rsidRPr="00051E6C"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ure</w:t>
      </w:r>
      <w:r w:rsidRPr="00051E6C">
        <w:rPr>
          <w:rFonts w:ascii="Book Antiqua" w:hAnsi="Book Antiqua" w:cs="Times New Roman"/>
          <w:b/>
          <w:sz w:val="24"/>
          <w:szCs w:val="24"/>
        </w:rPr>
        <w:t xml:space="preserve"> 6 Topology of typical ATP binding cassette transmembrane permease (A) and the predicted topology of YRBE permease and MCE invasion domain (B). </w:t>
      </w:r>
      <w:r w:rsidRPr="00051E6C">
        <w:rPr>
          <w:rFonts w:ascii="Book Antiqua" w:hAnsi="Book Antiqua" w:cs="Times New Roman"/>
          <w:sz w:val="24"/>
          <w:szCs w:val="24"/>
        </w:rPr>
        <w:t>ATP binding cassette (ABC) transport systems in both prokaryotes and eukaryotes consists of four domains, two cytoplasmic ABC domains and two hydrophobic membrane spanning permease domains (</w:t>
      </w:r>
      <w:r w:rsidRPr="00392EB6">
        <w:rPr>
          <w:rFonts w:ascii="Book Antiqua" w:hAnsi="Book Antiqua" w:cs="Times New Roman"/>
          <w:sz w:val="24"/>
          <w:szCs w:val="24"/>
        </w:rPr>
        <w:t>A</w:t>
      </w:r>
      <w:r w:rsidRPr="00051E6C">
        <w:rPr>
          <w:rFonts w:ascii="Book Antiqua" w:hAnsi="Book Antiqua" w:cs="Times New Roman"/>
          <w:sz w:val="24"/>
          <w:szCs w:val="24"/>
        </w:rPr>
        <w:t xml:space="preserve">). Each of the membrane spanning domains typically contains 6 hydrophobic transmembrane segments anchored in the cell membrane with the C- and N-termini located towards the cytoplasmic side.  ABC transporters in prokaryotes that function as importers also typically require additional extracytoplasmic helper proteins called ‘substrate </w:t>
      </w:r>
      <w:r w:rsidRPr="00051E6C">
        <w:rPr>
          <w:rFonts w:ascii="Book Antiqua" w:hAnsi="Book Antiqua"/>
          <w:sz w:val="24"/>
          <w:szCs w:val="24"/>
        </w:rPr>
        <w:t>binding proteins’ for function.</w:t>
      </w:r>
      <w:r w:rsidRPr="00051E6C">
        <w:rPr>
          <w:rFonts w:ascii="Book Antiqua" w:hAnsi="Book Antiqua" w:cs="Times New Roman"/>
          <w:sz w:val="24"/>
          <w:szCs w:val="24"/>
        </w:rPr>
        <w:t xml:space="preserve"> Each of the </w:t>
      </w:r>
      <w:r w:rsidRPr="00051E6C">
        <w:rPr>
          <w:rFonts w:ascii="Book Antiqua" w:hAnsi="Book Antiqua" w:cs="Times New Roman"/>
          <w:i/>
          <w:sz w:val="24"/>
          <w:szCs w:val="24"/>
        </w:rPr>
        <w:t>mce</w:t>
      </w:r>
      <w:r w:rsidRPr="00051E6C">
        <w:rPr>
          <w:rFonts w:ascii="Book Antiqua" w:hAnsi="Book Antiqua" w:cs="Times New Roman"/>
          <w:sz w:val="24"/>
          <w:szCs w:val="24"/>
        </w:rPr>
        <w:t xml:space="preserve"> operons contains two YRBE domains that have structural homology to the permease domain of the ABC transporters (B). Each YRBE permease contains five or six transmembrane segments with the C-terminal end located on the extracytoplasmic side and the N-terminal end being either cytoplasmic or extracellular. The MCE protein, MCE4A, consists of a patch of 400 amino acid residues, with a hydrophobic stretch anchored in the cell membrane and a 22-amino acid invasion domain exposed outside to the membrane, which is predicted to be structurally similar to the substrate binding domain of ABC importers.      </w:t>
      </w:r>
    </w:p>
    <w:p w14:paraId="242F8467" w14:textId="77777777" w:rsidR="00CD4266" w:rsidRPr="00051E6C" w:rsidRDefault="00CD4266" w:rsidP="00051E6C">
      <w:pPr>
        <w:spacing w:after="0" w:line="360" w:lineRule="auto"/>
        <w:jc w:val="both"/>
        <w:rPr>
          <w:rFonts w:ascii="Book Antiqua" w:hAnsi="Book Antiqua" w:cs="Times New Roman"/>
          <w:noProof/>
          <w:sz w:val="24"/>
          <w:szCs w:val="24"/>
        </w:rPr>
      </w:pPr>
      <w:r w:rsidRPr="00051E6C">
        <w:rPr>
          <w:rFonts w:ascii="Book Antiqua" w:hAnsi="Book Antiqua"/>
          <w:noProof/>
          <w:sz w:val="24"/>
          <w:szCs w:val="24"/>
        </w:rPr>
        <w:drawing>
          <wp:inline distT="0" distB="0" distL="0" distR="0" wp14:anchorId="17D30BC6" wp14:editId="16776839">
            <wp:extent cx="5452110" cy="2415540"/>
            <wp:effectExtent l="19050" t="19050" r="15240" b="228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2110" cy="2415540"/>
                    </a:xfrm>
                    <a:prstGeom prst="rect">
                      <a:avLst/>
                    </a:prstGeom>
                    <a:noFill/>
                    <a:ln w="9525" cmpd="sng">
                      <a:solidFill>
                        <a:srgbClr val="4F81BD"/>
                      </a:solidFill>
                      <a:miter lim="800000"/>
                      <a:headEnd/>
                      <a:tailEnd/>
                    </a:ln>
                    <a:effectLst/>
                  </pic:spPr>
                </pic:pic>
              </a:graphicData>
            </a:graphic>
          </wp:inline>
        </w:drawing>
      </w:r>
    </w:p>
    <w:p w14:paraId="4DF73BE8"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 xml:space="preserve">ure </w:t>
      </w:r>
      <w:r w:rsidRPr="00051E6C">
        <w:rPr>
          <w:rFonts w:ascii="Book Antiqua" w:hAnsi="Book Antiqua" w:cs="Times New Roman"/>
          <w:b/>
          <w:sz w:val="24"/>
          <w:szCs w:val="24"/>
        </w:rPr>
        <w:t>7</w:t>
      </w:r>
      <w:r w:rsidRPr="00051E6C">
        <w:rPr>
          <w:rFonts w:ascii="Book Antiqua" w:hAnsi="Book Antiqua" w:cs="Times New Roman"/>
          <w:sz w:val="24"/>
          <w:szCs w:val="24"/>
        </w:rPr>
        <w:t xml:space="preserve"> </w:t>
      </w:r>
      <w:r w:rsidRPr="00051E6C">
        <w:rPr>
          <w:rFonts w:ascii="Book Antiqua" w:hAnsi="Book Antiqua" w:cs="Times New Roman"/>
          <w:b/>
          <w:sz w:val="24"/>
          <w:szCs w:val="24"/>
        </w:rPr>
        <w:t xml:space="preserve">Molecular beacon </w:t>
      </w:r>
      <w:proofErr w:type="gramStart"/>
      <w:r w:rsidRPr="00051E6C">
        <w:rPr>
          <w:rFonts w:ascii="Book Antiqua" w:hAnsi="Book Antiqua" w:cs="Times New Roman"/>
          <w:b/>
          <w:sz w:val="24"/>
          <w:szCs w:val="24"/>
        </w:rPr>
        <w:t>tech</w:t>
      </w:r>
      <w:bookmarkStart w:id="15" w:name="_GoBack"/>
      <w:bookmarkEnd w:id="15"/>
      <w:r w:rsidRPr="00051E6C">
        <w:rPr>
          <w:rFonts w:ascii="Book Antiqua" w:hAnsi="Book Antiqua" w:cs="Times New Roman"/>
          <w:b/>
          <w:sz w:val="24"/>
          <w:szCs w:val="24"/>
        </w:rPr>
        <w:t>nology</w:t>
      </w:r>
      <w:proofErr w:type="gramEnd"/>
      <w:r w:rsidRPr="00051E6C">
        <w:rPr>
          <w:rFonts w:ascii="Book Antiqua" w:hAnsi="Book Antiqua" w:cs="Times New Roman"/>
          <w:b/>
          <w:sz w:val="24"/>
          <w:szCs w:val="24"/>
        </w:rPr>
        <w:t>.</w:t>
      </w:r>
      <w:r w:rsidRPr="00051E6C">
        <w:rPr>
          <w:rFonts w:ascii="Book Antiqua" w:hAnsi="Book Antiqua" w:cs="Times New Roman"/>
          <w:sz w:val="24"/>
          <w:szCs w:val="24"/>
        </w:rPr>
        <w:t xml:space="preserve"> Molecular beacons are hairpin shaped antisense RNAs that does not fluoresce in the absence of mRNA binding (left) while the fluorescence increases when the beacon hybridizes with its target mRNA (right).</w:t>
      </w:r>
    </w:p>
    <w:p w14:paraId="20C220FA" w14:textId="77777777" w:rsidR="00CD4266" w:rsidRPr="00051E6C" w:rsidRDefault="00CD4266" w:rsidP="00051E6C">
      <w:pPr>
        <w:spacing w:after="0" w:line="360" w:lineRule="auto"/>
        <w:jc w:val="both"/>
        <w:rPr>
          <w:rFonts w:ascii="Book Antiqua" w:hAnsi="Book Antiqua" w:cs="Times New Roman"/>
          <w:sz w:val="24"/>
          <w:szCs w:val="24"/>
        </w:rPr>
      </w:pPr>
      <w:r w:rsidRPr="00051E6C">
        <w:rPr>
          <w:rFonts w:ascii="Book Antiqua" w:hAnsi="Book Antiqua"/>
          <w:noProof/>
          <w:sz w:val="24"/>
          <w:szCs w:val="24"/>
        </w:rPr>
        <w:drawing>
          <wp:inline distT="0" distB="0" distL="0" distR="0" wp14:anchorId="7DE61C82" wp14:editId="7FE0A434">
            <wp:extent cx="3787140" cy="3193415"/>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7140" cy="3193415"/>
                    </a:xfrm>
                    <a:prstGeom prst="rect">
                      <a:avLst/>
                    </a:prstGeom>
                    <a:noFill/>
                    <a:ln>
                      <a:noFill/>
                    </a:ln>
                  </pic:spPr>
                </pic:pic>
              </a:graphicData>
            </a:graphic>
          </wp:inline>
        </w:drawing>
      </w:r>
    </w:p>
    <w:p w14:paraId="5277EDA9" w14:textId="5F424C57" w:rsidR="00CD4266" w:rsidRPr="00051E6C"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cs="Times New Roman"/>
          <w:b/>
          <w:sz w:val="24"/>
          <w:szCs w:val="24"/>
        </w:rPr>
        <w:t>Fig</w:t>
      </w:r>
      <w:r w:rsidRPr="00051E6C">
        <w:rPr>
          <w:rFonts w:ascii="Book Antiqua" w:hAnsi="Book Antiqua" w:cs="Times New Roman"/>
          <w:b/>
          <w:sz w:val="24"/>
          <w:szCs w:val="24"/>
          <w:lang w:eastAsia="zh-CN"/>
        </w:rPr>
        <w:t>ure</w:t>
      </w:r>
      <w:r w:rsidRPr="00051E6C">
        <w:rPr>
          <w:rFonts w:ascii="Book Antiqua" w:hAnsi="Book Antiqua" w:cs="Times New Roman"/>
          <w:b/>
          <w:sz w:val="24"/>
          <w:szCs w:val="24"/>
        </w:rPr>
        <w:t xml:space="preserve"> 8 Polymerase chain reaction amplification of mce4A, mce4B, mce4C, mce4D and mce4F of </w:t>
      </w:r>
      <w:r w:rsidR="002D569F" w:rsidRPr="00051E6C">
        <w:rPr>
          <w:rFonts w:ascii="Book Antiqua" w:hAnsi="Book Antiqua" w:cs="Times New Roman"/>
          <w:b/>
          <w:i/>
          <w:sz w:val="24"/>
          <w:szCs w:val="24"/>
        </w:rPr>
        <w:t>Mycobacterium tuberculosis</w:t>
      </w:r>
      <w:r w:rsidRPr="00051E6C">
        <w:rPr>
          <w:rFonts w:ascii="Book Antiqua" w:hAnsi="Book Antiqua" w:cs="Times New Roman"/>
          <w:b/>
          <w:sz w:val="24"/>
          <w:szCs w:val="24"/>
        </w:rPr>
        <w:t xml:space="preserve">. </w:t>
      </w:r>
      <w:r w:rsidRPr="00051E6C">
        <w:rPr>
          <w:rFonts w:ascii="Book Antiqua" w:hAnsi="Book Antiqua" w:cs="Times New Roman"/>
          <w:i/>
          <w:sz w:val="24"/>
          <w:szCs w:val="24"/>
        </w:rPr>
        <w:t>Mce4</w:t>
      </w:r>
      <w:r w:rsidRPr="00051E6C">
        <w:rPr>
          <w:rFonts w:ascii="Book Antiqua" w:hAnsi="Book Antiqua" w:cs="Times New Roman"/>
          <w:sz w:val="24"/>
          <w:szCs w:val="24"/>
        </w:rPr>
        <w:t xml:space="preserve"> operon genes were polymerase chain reaction amplified from </w:t>
      </w:r>
      <w:r w:rsidRPr="00051E6C">
        <w:rPr>
          <w:rFonts w:ascii="Book Antiqua" w:hAnsi="Book Antiqua" w:cs="Times New Roman"/>
          <w:i/>
          <w:sz w:val="24"/>
          <w:szCs w:val="24"/>
        </w:rPr>
        <w:t xml:space="preserve">M. tuberculosis </w:t>
      </w:r>
      <w:r w:rsidRPr="00051E6C">
        <w:rPr>
          <w:rFonts w:ascii="Book Antiqua" w:hAnsi="Book Antiqua" w:cs="Times New Roman"/>
          <w:bCs/>
          <w:i/>
          <w:sz w:val="24"/>
          <w:szCs w:val="24"/>
        </w:rPr>
        <w:t>H</w:t>
      </w:r>
      <w:r w:rsidRPr="00051E6C">
        <w:rPr>
          <w:rFonts w:ascii="Book Antiqua" w:hAnsi="Book Antiqua" w:cs="Times New Roman"/>
          <w:bCs/>
          <w:i/>
          <w:sz w:val="24"/>
          <w:szCs w:val="24"/>
          <w:vertAlign w:val="subscript"/>
        </w:rPr>
        <w:t>37</w:t>
      </w:r>
      <w:r w:rsidRPr="00051E6C">
        <w:rPr>
          <w:rFonts w:ascii="Book Antiqua" w:hAnsi="Book Antiqua" w:cs="Times New Roman"/>
          <w:bCs/>
          <w:i/>
          <w:sz w:val="24"/>
          <w:szCs w:val="24"/>
        </w:rPr>
        <w:t>Rv</w:t>
      </w:r>
      <w:r w:rsidRPr="00051E6C">
        <w:rPr>
          <w:rFonts w:ascii="Book Antiqua" w:hAnsi="Book Antiqua" w:cs="Times New Roman"/>
          <w:sz w:val="24"/>
          <w:szCs w:val="24"/>
        </w:rPr>
        <w:t xml:space="preserve"> using gene specific primers and resolved on 1% agarose gel. The forward primer spanned the first 21 nucleotides from the beginning of the open reading frame and the reverse primer covered 21 nucleotides spanning the complementary strand to the 3’ end of the gene.  The termination codon was omitted so that the product, MCE4A-F, will be expressed with a 6XHis tag and a myc tag.</w:t>
      </w:r>
    </w:p>
    <w:p w14:paraId="5DE55A3D" w14:textId="77777777" w:rsidR="00CD4266" w:rsidRPr="00051E6C" w:rsidRDefault="00CD4266" w:rsidP="00051E6C">
      <w:pPr>
        <w:spacing w:after="0" w:line="360" w:lineRule="auto"/>
        <w:jc w:val="both"/>
        <w:rPr>
          <w:rFonts w:ascii="Book Antiqua" w:hAnsi="Book Antiqua" w:cs="Times New Roman"/>
          <w:sz w:val="24"/>
          <w:szCs w:val="24"/>
          <w:lang w:eastAsia="zh-CN"/>
        </w:rPr>
      </w:pPr>
    </w:p>
    <w:p w14:paraId="42C3BAF0" w14:textId="77777777" w:rsidR="00CD4266" w:rsidRPr="00051E6C" w:rsidRDefault="00CD4266" w:rsidP="00051E6C">
      <w:pPr>
        <w:spacing w:after="0" w:line="360" w:lineRule="auto"/>
        <w:jc w:val="both"/>
        <w:rPr>
          <w:rFonts w:ascii="Book Antiqua" w:hAnsi="Book Antiqua" w:cs="Arial"/>
          <w:b/>
          <w:i/>
          <w:noProof/>
          <w:sz w:val="24"/>
          <w:szCs w:val="24"/>
        </w:rPr>
      </w:pPr>
      <w:r w:rsidRPr="00051E6C">
        <w:rPr>
          <w:rFonts w:ascii="Book Antiqua" w:hAnsi="Book Antiqua"/>
          <w:noProof/>
          <w:sz w:val="24"/>
          <w:szCs w:val="24"/>
        </w:rPr>
        <w:drawing>
          <wp:inline distT="0" distB="0" distL="0" distR="0" wp14:anchorId="68085E31" wp14:editId="24126F05">
            <wp:extent cx="4137025" cy="3122930"/>
            <wp:effectExtent l="0" t="0" r="15875" b="20320"/>
            <wp:docPr id="2"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F33F45" w14:textId="43A638A6" w:rsidR="002D569F" w:rsidRPr="000400A2" w:rsidRDefault="00CD4266" w:rsidP="00051E6C">
      <w:pPr>
        <w:spacing w:after="0" w:line="360" w:lineRule="auto"/>
        <w:jc w:val="both"/>
        <w:rPr>
          <w:rFonts w:ascii="Book Antiqua" w:hAnsi="Book Antiqua" w:cs="Times New Roman"/>
          <w:sz w:val="24"/>
          <w:szCs w:val="24"/>
          <w:lang w:eastAsia="zh-CN"/>
        </w:rPr>
      </w:pPr>
      <w:r w:rsidRPr="00051E6C">
        <w:rPr>
          <w:rFonts w:ascii="Book Antiqua" w:hAnsi="Book Antiqua" w:cs="Times New Roman"/>
          <w:b/>
          <w:bCs/>
          <w:sz w:val="24"/>
          <w:szCs w:val="24"/>
        </w:rPr>
        <w:t>Fig</w:t>
      </w:r>
      <w:r w:rsidRPr="00051E6C">
        <w:rPr>
          <w:rFonts w:ascii="Book Antiqua" w:hAnsi="Book Antiqua" w:cs="Times New Roman"/>
          <w:b/>
          <w:bCs/>
          <w:sz w:val="24"/>
          <w:szCs w:val="24"/>
          <w:lang w:eastAsia="zh-CN"/>
        </w:rPr>
        <w:t>ure</w:t>
      </w:r>
      <w:r w:rsidRPr="00051E6C">
        <w:rPr>
          <w:rFonts w:ascii="Book Antiqua" w:hAnsi="Book Antiqua" w:cs="Times New Roman"/>
          <w:b/>
          <w:bCs/>
          <w:sz w:val="24"/>
          <w:szCs w:val="24"/>
        </w:rPr>
        <w:t xml:space="preserve"> 9 Mtb-MCE4 proteins confer virulence to </w:t>
      </w:r>
      <w:r w:rsidR="002D569F" w:rsidRPr="002D569F">
        <w:rPr>
          <w:rFonts w:ascii="Book Antiqua" w:hAnsi="Book Antiqua" w:cs="Times New Roman"/>
          <w:b/>
          <w:i/>
          <w:sz w:val="24"/>
          <w:szCs w:val="24"/>
        </w:rPr>
        <w:t>Escherichia coli</w:t>
      </w:r>
      <w:r w:rsidRPr="002D569F">
        <w:rPr>
          <w:rFonts w:ascii="Book Antiqua" w:hAnsi="Book Antiqua" w:cs="Times New Roman"/>
          <w:b/>
          <w:bCs/>
          <w:sz w:val="24"/>
          <w:szCs w:val="24"/>
        </w:rPr>
        <w:t xml:space="preserve">. </w:t>
      </w:r>
      <w:r w:rsidR="002D569F" w:rsidRPr="00051E6C">
        <w:rPr>
          <w:rFonts w:ascii="Book Antiqua" w:hAnsi="Book Antiqua" w:cs="Times New Roman"/>
          <w:i/>
          <w:sz w:val="24"/>
          <w:szCs w:val="24"/>
        </w:rPr>
        <w:t>Escherichia coli</w:t>
      </w:r>
      <w:r w:rsidRPr="00051E6C">
        <w:rPr>
          <w:rFonts w:ascii="Book Antiqua" w:hAnsi="Book Antiqua" w:cs="Times New Roman"/>
          <w:bCs/>
          <w:i/>
          <w:sz w:val="24"/>
          <w:szCs w:val="24"/>
        </w:rPr>
        <w:t>-Mtbmce4</w:t>
      </w:r>
      <w:r w:rsidRPr="00051E6C">
        <w:rPr>
          <w:rFonts w:ascii="Book Antiqua" w:hAnsi="Book Antiqua" w:cs="Times New Roman"/>
          <w:bCs/>
          <w:sz w:val="24"/>
          <w:szCs w:val="24"/>
        </w:rPr>
        <w:t xml:space="preserve"> clones were used to infect 2</w:t>
      </w:r>
      <w:r w:rsidRPr="00051E6C">
        <w:rPr>
          <w:rFonts w:ascii="Book Antiqua" w:hAnsi="Book Antiqua" w:cs="Times New Roman"/>
          <w:bCs/>
          <w:sz w:val="24"/>
          <w:szCs w:val="24"/>
          <w:lang w:eastAsia="zh-CN"/>
        </w:rPr>
        <w:t xml:space="preserve"> </w:t>
      </w:r>
      <w:r w:rsidRPr="00051E6C">
        <w:rPr>
          <w:rFonts w:ascii="Book Antiqua" w:hAnsi="Book Antiqua" w:cs="Times New Roman"/>
          <w:sz w:val="24"/>
          <w:szCs w:val="24"/>
        </w:rPr>
        <w:t>×</w:t>
      </w:r>
      <w:r w:rsidRPr="00051E6C">
        <w:rPr>
          <w:rFonts w:ascii="Book Antiqua" w:hAnsi="Book Antiqua" w:cs="Times New Roman"/>
          <w:bCs/>
          <w:sz w:val="24"/>
          <w:szCs w:val="24"/>
          <w:lang w:eastAsia="zh-CN"/>
        </w:rPr>
        <w:t xml:space="preserve"> </w:t>
      </w:r>
      <w:r w:rsidRPr="00051E6C">
        <w:rPr>
          <w:rFonts w:ascii="Book Antiqua" w:hAnsi="Book Antiqua" w:cs="Times New Roman"/>
          <w:bCs/>
          <w:sz w:val="24"/>
          <w:szCs w:val="24"/>
        </w:rPr>
        <w:t>10</w:t>
      </w:r>
      <w:r w:rsidRPr="00051E6C">
        <w:rPr>
          <w:rFonts w:ascii="Book Antiqua" w:hAnsi="Book Antiqua" w:cs="Times New Roman"/>
          <w:bCs/>
          <w:sz w:val="24"/>
          <w:szCs w:val="24"/>
          <w:vertAlign w:val="superscript"/>
        </w:rPr>
        <w:t>6</w:t>
      </w:r>
      <w:r w:rsidRPr="00051E6C">
        <w:rPr>
          <w:rFonts w:ascii="Book Antiqua" w:hAnsi="Book Antiqua" w:cs="Times New Roman"/>
          <w:bCs/>
          <w:sz w:val="24"/>
          <w:szCs w:val="24"/>
        </w:rPr>
        <w:t xml:space="preserve"> MCF7 epithelial cells at an MOI of 10:1 for 2 h. The level of infection was assessed by counting bacterial colony numbers at 24</w:t>
      </w:r>
      <w:r w:rsidRPr="00051E6C">
        <w:rPr>
          <w:rFonts w:ascii="Book Antiqua" w:hAnsi="Book Antiqua" w:cs="Times New Roman"/>
          <w:bCs/>
          <w:sz w:val="24"/>
          <w:szCs w:val="24"/>
          <w:lang w:eastAsia="zh-CN"/>
        </w:rPr>
        <w:t xml:space="preserve"> </w:t>
      </w:r>
      <w:r w:rsidRPr="00051E6C">
        <w:rPr>
          <w:rFonts w:ascii="Book Antiqua" w:hAnsi="Book Antiqua" w:cs="Times New Roman"/>
          <w:bCs/>
          <w:sz w:val="24"/>
          <w:szCs w:val="24"/>
        </w:rPr>
        <w:t>h, 48</w:t>
      </w:r>
      <w:r w:rsidRPr="00051E6C">
        <w:rPr>
          <w:rFonts w:ascii="Book Antiqua" w:hAnsi="Book Antiqua" w:cs="Times New Roman"/>
          <w:bCs/>
          <w:sz w:val="24"/>
          <w:szCs w:val="24"/>
          <w:lang w:eastAsia="zh-CN"/>
        </w:rPr>
        <w:t xml:space="preserve"> </w:t>
      </w:r>
      <w:r w:rsidRPr="00051E6C">
        <w:rPr>
          <w:rFonts w:ascii="Book Antiqua" w:hAnsi="Book Antiqua" w:cs="Times New Roman"/>
          <w:bCs/>
          <w:sz w:val="24"/>
          <w:szCs w:val="24"/>
        </w:rPr>
        <w:t>h and 72 h</w:t>
      </w:r>
      <w:r w:rsidR="002D569F">
        <w:rPr>
          <w:rFonts w:ascii="Book Antiqua" w:hAnsi="Book Antiqua" w:cs="Times New Roman" w:hint="eastAsia"/>
          <w:bCs/>
          <w:sz w:val="24"/>
          <w:szCs w:val="24"/>
          <w:lang w:eastAsia="zh-CN"/>
        </w:rPr>
        <w:t xml:space="preserve"> </w:t>
      </w:r>
      <w:r w:rsidRPr="00051E6C">
        <w:rPr>
          <w:rFonts w:ascii="Book Antiqua" w:hAnsi="Book Antiqua" w:cs="Times New Roman"/>
          <w:bCs/>
          <w:sz w:val="24"/>
          <w:szCs w:val="24"/>
        </w:rPr>
        <w:t>post-infection (</w:t>
      </w:r>
      <w:r w:rsidRPr="00051E6C">
        <w:rPr>
          <w:rFonts w:ascii="Book Antiqua" w:hAnsi="Book Antiqua" w:cs="Times New Roman"/>
          <w:bCs/>
          <w:i/>
          <w:sz w:val="24"/>
          <w:szCs w:val="24"/>
        </w:rPr>
        <w:t>n</w:t>
      </w:r>
      <w:r w:rsidRPr="00051E6C">
        <w:rPr>
          <w:rFonts w:ascii="Book Antiqua" w:hAnsi="Book Antiqua" w:cs="Times New Roman"/>
          <w:bCs/>
          <w:sz w:val="24"/>
          <w:szCs w:val="24"/>
          <w:lang w:eastAsia="zh-CN"/>
        </w:rPr>
        <w:t xml:space="preserve"> </w:t>
      </w:r>
      <w:r w:rsidRPr="00051E6C">
        <w:rPr>
          <w:rFonts w:ascii="Book Antiqua" w:hAnsi="Book Antiqua" w:cs="Times New Roman"/>
          <w:bCs/>
          <w:sz w:val="24"/>
          <w:szCs w:val="24"/>
        </w:rPr>
        <w:t>=</w:t>
      </w:r>
      <w:r w:rsidRPr="00051E6C">
        <w:rPr>
          <w:rFonts w:ascii="Book Antiqua" w:hAnsi="Book Antiqua" w:cs="Times New Roman"/>
          <w:bCs/>
          <w:sz w:val="24"/>
          <w:szCs w:val="24"/>
          <w:lang w:eastAsia="zh-CN"/>
        </w:rPr>
        <w:t xml:space="preserve"> </w:t>
      </w:r>
      <w:r w:rsidRPr="00051E6C">
        <w:rPr>
          <w:rFonts w:ascii="Book Antiqua" w:hAnsi="Book Antiqua" w:cs="Times New Roman"/>
          <w:bCs/>
          <w:sz w:val="24"/>
          <w:szCs w:val="24"/>
        </w:rPr>
        <w:t>3).</w:t>
      </w:r>
    </w:p>
    <w:sectPr w:rsidR="002D569F" w:rsidRPr="000400A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38913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04254" w14:textId="77777777" w:rsidR="009B6459" w:rsidRDefault="009B6459" w:rsidP="00051E6C">
      <w:pPr>
        <w:spacing w:after="0" w:line="240" w:lineRule="auto"/>
      </w:pPr>
      <w:r>
        <w:separator/>
      </w:r>
    </w:p>
  </w:endnote>
  <w:endnote w:type="continuationSeparator" w:id="0">
    <w:p w14:paraId="38129014" w14:textId="77777777" w:rsidR="009B6459" w:rsidRDefault="009B6459" w:rsidP="00051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Franklin Gothic Book">
    <w:panose1 w:val="020B05030201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C7EE9" w14:textId="77777777" w:rsidR="009B6459" w:rsidRDefault="009B6459" w:rsidP="00051E6C">
      <w:pPr>
        <w:spacing w:after="0" w:line="240" w:lineRule="auto"/>
      </w:pPr>
      <w:r>
        <w:separator/>
      </w:r>
    </w:p>
  </w:footnote>
  <w:footnote w:type="continuationSeparator" w:id="0">
    <w:p w14:paraId="06C27E6F" w14:textId="77777777" w:rsidR="009B6459" w:rsidRDefault="009B6459" w:rsidP="00051E6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220"/>
        </w:tabs>
        <w:ind w:left="220" w:firstLine="0"/>
      </w:pPr>
      <w:rPr>
        <w:rFonts w:hint="default"/>
        <w:color w:val="000000"/>
        <w:position w:val="0"/>
        <w:sz w:val="20"/>
      </w:rPr>
    </w:lvl>
    <w:lvl w:ilvl="1">
      <w:start w:val="1"/>
      <w:numFmt w:val="decimal"/>
      <w:isLgl/>
      <w:suff w:val="nothing"/>
      <w:lvlText w:val="%1.%2."/>
      <w:lvlJc w:val="left"/>
      <w:pPr>
        <w:ind w:left="0" w:firstLine="0"/>
      </w:pPr>
      <w:rPr>
        <w:rFonts w:hint="default"/>
        <w:color w:val="000000"/>
        <w:position w:val="0"/>
        <w:sz w:val="20"/>
      </w:rPr>
    </w:lvl>
    <w:lvl w:ilvl="2">
      <w:start w:val="1"/>
      <w:numFmt w:val="decimal"/>
      <w:isLgl/>
      <w:suff w:val="nothing"/>
      <w:lvlText w:val="%1.%2.%3"/>
      <w:lvlJc w:val="left"/>
      <w:pPr>
        <w:ind w:left="0" w:firstLine="0"/>
      </w:pPr>
      <w:rPr>
        <w:rFonts w:hint="default"/>
        <w:color w:val="000000"/>
        <w:position w:val="0"/>
        <w:sz w:val="20"/>
      </w:rPr>
    </w:lvl>
    <w:lvl w:ilvl="3">
      <w:start w:val="1"/>
      <w:numFmt w:val="decimal"/>
      <w:isLgl/>
      <w:suff w:val="nothing"/>
      <w:lvlText w:val="%1.%2.%3.%4"/>
      <w:lvlJc w:val="left"/>
      <w:pPr>
        <w:ind w:left="0" w:firstLine="0"/>
      </w:pPr>
      <w:rPr>
        <w:rFonts w:hint="default"/>
        <w:color w:val="000000"/>
        <w:position w:val="0"/>
        <w:sz w:val="20"/>
      </w:rPr>
    </w:lvl>
    <w:lvl w:ilvl="4">
      <w:start w:val="1"/>
      <w:numFmt w:val="decimal"/>
      <w:isLgl/>
      <w:suff w:val="nothing"/>
      <w:lvlText w:val="%1.%2.%3.%4.%5"/>
      <w:lvlJc w:val="left"/>
      <w:pPr>
        <w:ind w:left="0" w:firstLine="0"/>
      </w:pPr>
      <w:rPr>
        <w:rFonts w:hint="default"/>
        <w:color w:val="000000"/>
        <w:position w:val="0"/>
        <w:sz w:val="20"/>
      </w:rPr>
    </w:lvl>
    <w:lvl w:ilvl="5">
      <w:start w:val="1"/>
      <w:numFmt w:val="decimal"/>
      <w:isLgl/>
      <w:suff w:val="nothing"/>
      <w:lvlText w:val="%1.%2.%3.%4.%5.%6"/>
      <w:lvlJc w:val="left"/>
      <w:pPr>
        <w:ind w:left="0" w:firstLine="0"/>
      </w:pPr>
      <w:rPr>
        <w:rFonts w:hint="default"/>
        <w:color w:val="000000"/>
        <w:position w:val="0"/>
        <w:sz w:val="20"/>
      </w:rPr>
    </w:lvl>
    <w:lvl w:ilvl="6">
      <w:start w:val="1"/>
      <w:numFmt w:val="decimal"/>
      <w:isLgl/>
      <w:suff w:val="nothing"/>
      <w:lvlText w:val="%1.%2.%3.%4.%5.%6.%7"/>
      <w:lvlJc w:val="left"/>
      <w:pPr>
        <w:ind w:left="0" w:firstLine="0"/>
      </w:pPr>
      <w:rPr>
        <w:rFonts w:hint="default"/>
        <w:color w:val="000000"/>
        <w:position w:val="0"/>
        <w:sz w:val="20"/>
      </w:rPr>
    </w:lvl>
    <w:lvl w:ilvl="7">
      <w:start w:val="1"/>
      <w:numFmt w:val="decimal"/>
      <w:isLgl/>
      <w:suff w:val="nothing"/>
      <w:lvlText w:val="%1.%2.%3.%4.%5.%6.%7.%8"/>
      <w:lvlJc w:val="left"/>
      <w:pPr>
        <w:ind w:left="0" w:firstLine="0"/>
      </w:pPr>
      <w:rPr>
        <w:rFonts w:hint="default"/>
        <w:color w:val="000000"/>
        <w:position w:val="0"/>
        <w:sz w:val="20"/>
      </w:rPr>
    </w:lvl>
    <w:lvl w:ilvl="8">
      <w:start w:val="1"/>
      <w:numFmt w:val="decimal"/>
      <w:isLgl/>
      <w:suff w:val="nothing"/>
      <w:lvlText w:val="%1.%2.%3.%4.%5.%6.%7.%8.%9"/>
      <w:lvlJc w:val="left"/>
      <w:pPr>
        <w:ind w:left="0" w:firstLine="0"/>
      </w:pPr>
      <w:rPr>
        <w:rFonts w:hint="default"/>
        <w:color w:val="000000"/>
        <w:position w:val="0"/>
        <w:sz w:val="20"/>
      </w:rPr>
    </w:lvl>
  </w:abstractNum>
  <w:abstractNum w:abstractNumId="1">
    <w:nsid w:val="00000002"/>
    <w:multiLevelType w:val="multilevel"/>
    <w:tmpl w:val="AB26637C"/>
    <w:lvl w:ilvl="0">
      <w:start w:val="2"/>
      <w:numFmt w:val="decimal"/>
      <w:isLgl/>
      <w:suff w:val="nothing"/>
      <w:lvlText w:val="%1."/>
      <w:lvlJc w:val="left"/>
      <w:pPr>
        <w:ind w:left="0" w:firstLine="0"/>
      </w:pPr>
      <w:rPr>
        <w:rFonts w:hint="default"/>
        <w:b/>
        <w:color w:val="000000"/>
        <w:position w:val="0"/>
        <w:sz w:val="24"/>
        <w:szCs w:val="24"/>
      </w:rPr>
    </w:lvl>
    <w:lvl w:ilvl="1">
      <w:start w:val="1"/>
      <w:numFmt w:val="decimal"/>
      <w:isLgl/>
      <w:lvlText w:val="%1.%2."/>
      <w:lvlJc w:val="left"/>
      <w:pPr>
        <w:tabs>
          <w:tab w:val="num" w:pos="500"/>
        </w:tabs>
        <w:ind w:left="500" w:firstLine="0"/>
      </w:pPr>
      <w:rPr>
        <w:rFonts w:hint="default"/>
        <w:color w:val="000000"/>
        <w:position w:val="0"/>
        <w:sz w:val="20"/>
      </w:rPr>
    </w:lvl>
    <w:lvl w:ilvl="2">
      <w:start w:val="1"/>
      <w:numFmt w:val="decimal"/>
      <w:isLgl/>
      <w:suff w:val="nothing"/>
      <w:lvlText w:val="%1.%2.%3"/>
      <w:lvlJc w:val="left"/>
      <w:pPr>
        <w:ind w:left="0" w:firstLine="0"/>
      </w:pPr>
      <w:rPr>
        <w:rFonts w:hint="default"/>
        <w:color w:val="000000"/>
        <w:position w:val="0"/>
        <w:sz w:val="20"/>
      </w:rPr>
    </w:lvl>
    <w:lvl w:ilvl="3">
      <w:start w:val="1"/>
      <w:numFmt w:val="decimal"/>
      <w:isLgl/>
      <w:suff w:val="nothing"/>
      <w:lvlText w:val="%1.%2.%3.%4"/>
      <w:lvlJc w:val="left"/>
      <w:pPr>
        <w:ind w:left="0" w:firstLine="0"/>
      </w:pPr>
      <w:rPr>
        <w:rFonts w:hint="default"/>
        <w:color w:val="000000"/>
        <w:position w:val="0"/>
        <w:sz w:val="20"/>
      </w:rPr>
    </w:lvl>
    <w:lvl w:ilvl="4">
      <w:start w:val="1"/>
      <w:numFmt w:val="decimal"/>
      <w:isLgl/>
      <w:suff w:val="nothing"/>
      <w:lvlText w:val="%1.%2.%3.%4.%5"/>
      <w:lvlJc w:val="left"/>
      <w:pPr>
        <w:ind w:left="0" w:firstLine="0"/>
      </w:pPr>
      <w:rPr>
        <w:rFonts w:hint="default"/>
        <w:color w:val="000000"/>
        <w:position w:val="0"/>
        <w:sz w:val="20"/>
      </w:rPr>
    </w:lvl>
    <w:lvl w:ilvl="5">
      <w:start w:val="1"/>
      <w:numFmt w:val="decimal"/>
      <w:isLgl/>
      <w:suff w:val="nothing"/>
      <w:lvlText w:val="%1.%2.%3.%4.%5.%6"/>
      <w:lvlJc w:val="left"/>
      <w:pPr>
        <w:ind w:left="0" w:firstLine="0"/>
      </w:pPr>
      <w:rPr>
        <w:rFonts w:hint="default"/>
        <w:color w:val="000000"/>
        <w:position w:val="0"/>
        <w:sz w:val="20"/>
      </w:rPr>
    </w:lvl>
    <w:lvl w:ilvl="6">
      <w:start w:val="1"/>
      <w:numFmt w:val="decimal"/>
      <w:isLgl/>
      <w:suff w:val="nothing"/>
      <w:lvlText w:val="%1.%2.%3.%4.%5.%6.%7"/>
      <w:lvlJc w:val="left"/>
      <w:pPr>
        <w:ind w:left="0" w:firstLine="0"/>
      </w:pPr>
      <w:rPr>
        <w:rFonts w:hint="default"/>
        <w:color w:val="000000"/>
        <w:position w:val="0"/>
        <w:sz w:val="20"/>
      </w:rPr>
    </w:lvl>
    <w:lvl w:ilvl="7">
      <w:start w:val="1"/>
      <w:numFmt w:val="decimal"/>
      <w:isLgl/>
      <w:suff w:val="nothing"/>
      <w:lvlText w:val="%1.%2.%3.%4.%5.%6.%7.%8"/>
      <w:lvlJc w:val="left"/>
      <w:pPr>
        <w:ind w:left="0" w:firstLine="0"/>
      </w:pPr>
      <w:rPr>
        <w:rFonts w:hint="default"/>
        <w:color w:val="000000"/>
        <w:position w:val="0"/>
        <w:sz w:val="20"/>
      </w:rPr>
    </w:lvl>
    <w:lvl w:ilvl="8">
      <w:start w:val="1"/>
      <w:numFmt w:val="decimal"/>
      <w:isLgl/>
      <w:suff w:val="nothing"/>
      <w:lvlText w:val="%1.%2.%3.%4.%5.%6.%7.%8.%9"/>
      <w:lvlJc w:val="left"/>
      <w:pPr>
        <w:ind w:left="0" w:firstLine="0"/>
      </w:pPr>
      <w:rPr>
        <w:rFonts w:hint="default"/>
        <w:color w:val="000000"/>
        <w:position w:val="0"/>
        <w:sz w:val="20"/>
      </w:rPr>
    </w:lvl>
  </w:abstractNum>
  <w:abstractNum w:abstractNumId="2">
    <w:nsid w:val="00000004"/>
    <w:multiLevelType w:val="multilevel"/>
    <w:tmpl w:val="0C903C56"/>
    <w:lvl w:ilvl="0">
      <w:start w:val="3"/>
      <w:numFmt w:val="decimal"/>
      <w:isLgl/>
      <w:lvlText w:val="%1."/>
      <w:lvlJc w:val="left"/>
      <w:pPr>
        <w:tabs>
          <w:tab w:val="num" w:pos="220"/>
        </w:tabs>
        <w:ind w:left="220" w:firstLine="0"/>
      </w:pPr>
      <w:rPr>
        <w:rFonts w:hint="default"/>
        <w:color w:val="000000"/>
        <w:position w:val="0"/>
        <w:sz w:val="22"/>
      </w:rPr>
    </w:lvl>
    <w:lvl w:ilvl="1">
      <w:start w:val="1"/>
      <w:numFmt w:val="decimal"/>
      <w:isLgl/>
      <w:suff w:val="nothing"/>
      <w:lvlText w:val="%1.%2."/>
      <w:lvlJc w:val="left"/>
      <w:pPr>
        <w:ind w:left="0" w:firstLine="0"/>
      </w:pPr>
      <w:rPr>
        <w:rFonts w:hint="default"/>
        <w:color w:val="000000"/>
        <w:position w:val="0"/>
        <w:sz w:val="20"/>
      </w:rPr>
    </w:lvl>
    <w:lvl w:ilvl="2">
      <w:start w:val="1"/>
      <w:numFmt w:val="decimal"/>
      <w:isLgl/>
      <w:suff w:val="nothing"/>
      <w:lvlText w:val="%1.%2.%3"/>
      <w:lvlJc w:val="left"/>
      <w:pPr>
        <w:ind w:left="0" w:firstLine="0"/>
      </w:pPr>
      <w:rPr>
        <w:rFonts w:hint="default"/>
        <w:color w:val="000000"/>
        <w:position w:val="0"/>
        <w:sz w:val="20"/>
      </w:rPr>
    </w:lvl>
    <w:lvl w:ilvl="3">
      <w:start w:val="1"/>
      <w:numFmt w:val="decimal"/>
      <w:isLgl/>
      <w:suff w:val="nothing"/>
      <w:lvlText w:val="%1.%2.%3.%4"/>
      <w:lvlJc w:val="left"/>
      <w:pPr>
        <w:ind w:left="0" w:firstLine="0"/>
      </w:pPr>
      <w:rPr>
        <w:rFonts w:hint="default"/>
        <w:color w:val="000000"/>
        <w:position w:val="0"/>
        <w:sz w:val="20"/>
      </w:rPr>
    </w:lvl>
    <w:lvl w:ilvl="4">
      <w:start w:val="1"/>
      <w:numFmt w:val="decimal"/>
      <w:isLgl/>
      <w:suff w:val="nothing"/>
      <w:lvlText w:val="%1.%2.%3.%4.%5"/>
      <w:lvlJc w:val="left"/>
      <w:pPr>
        <w:ind w:left="0" w:firstLine="0"/>
      </w:pPr>
      <w:rPr>
        <w:rFonts w:hint="default"/>
        <w:color w:val="000000"/>
        <w:position w:val="0"/>
        <w:sz w:val="20"/>
      </w:rPr>
    </w:lvl>
    <w:lvl w:ilvl="5">
      <w:start w:val="1"/>
      <w:numFmt w:val="decimal"/>
      <w:isLgl/>
      <w:suff w:val="nothing"/>
      <w:lvlText w:val="%1.%2.%3.%4.%5.%6"/>
      <w:lvlJc w:val="left"/>
      <w:pPr>
        <w:ind w:left="0" w:firstLine="0"/>
      </w:pPr>
      <w:rPr>
        <w:rFonts w:hint="default"/>
        <w:color w:val="000000"/>
        <w:position w:val="0"/>
        <w:sz w:val="20"/>
      </w:rPr>
    </w:lvl>
    <w:lvl w:ilvl="6">
      <w:start w:val="1"/>
      <w:numFmt w:val="decimal"/>
      <w:isLgl/>
      <w:suff w:val="nothing"/>
      <w:lvlText w:val="%1.%2.%3.%4.%5.%6.%7"/>
      <w:lvlJc w:val="left"/>
      <w:pPr>
        <w:ind w:left="0" w:firstLine="0"/>
      </w:pPr>
      <w:rPr>
        <w:rFonts w:hint="default"/>
        <w:color w:val="000000"/>
        <w:position w:val="0"/>
        <w:sz w:val="20"/>
      </w:rPr>
    </w:lvl>
    <w:lvl w:ilvl="7">
      <w:start w:val="1"/>
      <w:numFmt w:val="decimal"/>
      <w:isLgl/>
      <w:suff w:val="nothing"/>
      <w:lvlText w:val="%1.%2.%3.%4.%5.%6.%7.%8"/>
      <w:lvlJc w:val="left"/>
      <w:pPr>
        <w:ind w:left="0" w:firstLine="0"/>
      </w:pPr>
      <w:rPr>
        <w:rFonts w:hint="default"/>
        <w:color w:val="000000"/>
        <w:position w:val="0"/>
        <w:sz w:val="20"/>
      </w:rPr>
    </w:lvl>
    <w:lvl w:ilvl="8">
      <w:start w:val="1"/>
      <w:numFmt w:val="decimal"/>
      <w:isLgl/>
      <w:suff w:val="nothing"/>
      <w:lvlText w:val="%1.%2.%3.%4.%5.%6.%7.%8.%9"/>
      <w:lvlJc w:val="left"/>
      <w:pPr>
        <w:ind w:left="0" w:firstLine="0"/>
      </w:pPr>
      <w:rPr>
        <w:rFonts w:hint="default"/>
        <w:color w:val="000000"/>
        <w:position w:val="0"/>
        <w:sz w:val="20"/>
      </w:rPr>
    </w:lvl>
  </w:abstractNum>
  <w:abstractNum w:abstractNumId="3">
    <w:nsid w:val="00000006"/>
    <w:multiLevelType w:val="multilevel"/>
    <w:tmpl w:val="97564654"/>
    <w:lvl w:ilvl="0">
      <w:start w:val="4"/>
      <w:numFmt w:val="decimal"/>
      <w:isLgl/>
      <w:lvlText w:val="%1."/>
      <w:lvlJc w:val="left"/>
      <w:pPr>
        <w:tabs>
          <w:tab w:val="num" w:pos="220"/>
        </w:tabs>
        <w:ind w:left="220" w:firstLine="0"/>
      </w:pPr>
      <w:rPr>
        <w:rFonts w:hint="default"/>
        <w:color w:val="000000"/>
        <w:position w:val="0"/>
        <w:sz w:val="22"/>
      </w:rPr>
    </w:lvl>
    <w:lvl w:ilvl="1">
      <w:start w:val="1"/>
      <w:numFmt w:val="decimal"/>
      <w:isLgl/>
      <w:suff w:val="nothing"/>
      <w:lvlText w:val="%1.%2."/>
      <w:lvlJc w:val="left"/>
      <w:pPr>
        <w:ind w:left="0" w:firstLine="0"/>
      </w:pPr>
      <w:rPr>
        <w:rFonts w:hint="default"/>
        <w:color w:val="000000"/>
        <w:position w:val="0"/>
        <w:sz w:val="20"/>
      </w:rPr>
    </w:lvl>
    <w:lvl w:ilvl="2">
      <w:start w:val="1"/>
      <w:numFmt w:val="decimal"/>
      <w:isLgl/>
      <w:suff w:val="nothing"/>
      <w:lvlText w:val="%1.%2.%3"/>
      <w:lvlJc w:val="left"/>
      <w:pPr>
        <w:ind w:left="0" w:firstLine="0"/>
      </w:pPr>
      <w:rPr>
        <w:rFonts w:hint="default"/>
        <w:color w:val="000000"/>
        <w:position w:val="0"/>
        <w:sz w:val="20"/>
      </w:rPr>
    </w:lvl>
    <w:lvl w:ilvl="3">
      <w:start w:val="1"/>
      <w:numFmt w:val="decimal"/>
      <w:isLgl/>
      <w:suff w:val="nothing"/>
      <w:lvlText w:val="%1.%2.%3.%4"/>
      <w:lvlJc w:val="left"/>
      <w:pPr>
        <w:ind w:left="0" w:firstLine="0"/>
      </w:pPr>
      <w:rPr>
        <w:rFonts w:hint="default"/>
        <w:color w:val="000000"/>
        <w:position w:val="0"/>
        <w:sz w:val="20"/>
      </w:rPr>
    </w:lvl>
    <w:lvl w:ilvl="4">
      <w:start w:val="1"/>
      <w:numFmt w:val="decimal"/>
      <w:isLgl/>
      <w:suff w:val="nothing"/>
      <w:lvlText w:val="%1.%2.%3.%4.%5"/>
      <w:lvlJc w:val="left"/>
      <w:pPr>
        <w:ind w:left="0" w:firstLine="0"/>
      </w:pPr>
      <w:rPr>
        <w:rFonts w:hint="default"/>
        <w:color w:val="000000"/>
        <w:position w:val="0"/>
        <w:sz w:val="20"/>
      </w:rPr>
    </w:lvl>
    <w:lvl w:ilvl="5">
      <w:start w:val="1"/>
      <w:numFmt w:val="decimal"/>
      <w:isLgl/>
      <w:suff w:val="nothing"/>
      <w:lvlText w:val="%1.%2.%3.%4.%5.%6"/>
      <w:lvlJc w:val="left"/>
      <w:pPr>
        <w:ind w:left="0" w:firstLine="0"/>
      </w:pPr>
      <w:rPr>
        <w:rFonts w:hint="default"/>
        <w:color w:val="000000"/>
        <w:position w:val="0"/>
        <w:sz w:val="20"/>
      </w:rPr>
    </w:lvl>
    <w:lvl w:ilvl="6">
      <w:start w:val="1"/>
      <w:numFmt w:val="decimal"/>
      <w:isLgl/>
      <w:suff w:val="nothing"/>
      <w:lvlText w:val="%1.%2.%3.%4.%5.%6.%7"/>
      <w:lvlJc w:val="left"/>
      <w:pPr>
        <w:ind w:left="0" w:firstLine="0"/>
      </w:pPr>
      <w:rPr>
        <w:rFonts w:hint="default"/>
        <w:color w:val="000000"/>
        <w:position w:val="0"/>
        <w:sz w:val="20"/>
      </w:rPr>
    </w:lvl>
    <w:lvl w:ilvl="7">
      <w:start w:val="1"/>
      <w:numFmt w:val="decimal"/>
      <w:isLgl/>
      <w:suff w:val="nothing"/>
      <w:lvlText w:val="%1.%2.%3.%4.%5.%6.%7.%8"/>
      <w:lvlJc w:val="left"/>
      <w:pPr>
        <w:ind w:left="0" w:firstLine="0"/>
      </w:pPr>
      <w:rPr>
        <w:rFonts w:hint="default"/>
        <w:color w:val="000000"/>
        <w:position w:val="0"/>
        <w:sz w:val="20"/>
      </w:rPr>
    </w:lvl>
    <w:lvl w:ilvl="8">
      <w:start w:val="1"/>
      <w:numFmt w:val="decimal"/>
      <w:isLgl/>
      <w:suff w:val="nothing"/>
      <w:lvlText w:val="%1.%2.%3.%4.%5.%6.%7.%8.%9"/>
      <w:lvlJc w:val="left"/>
      <w:pPr>
        <w:ind w:left="0" w:firstLine="0"/>
      </w:pPr>
      <w:rPr>
        <w:rFonts w:hint="default"/>
        <w:color w:val="000000"/>
        <w:position w:val="0"/>
        <w:sz w:val="20"/>
      </w:rPr>
    </w:lvl>
  </w:abstractNum>
  <w:abstractNum w:abstractNumId="4">
    <w:nsid w:val="0C972721"/>
    <w:multiLevelType w:val="hybridMultilevel"/>
    <w:tmpl w:val="16FC077C"/>
    <w:lvl w:ilvl="0" w:tplc="15B2AC7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8FC2E63"/>
    <w:multiLevelType w:val="hybridMultilevel"/>
    <w:tmpl w:val="8F4C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9102B5"/>
    <w:multiLevelType w:val="hybridMultilevel"/>
    <w:tmpl w:val="E7764D64"/>
    <w:lvl w:ilvl="0" w:tplc="D3842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2D395A"/>
    <w:multiLevelType w:val="hybridMultilevel"/>
    <w:tmpl w:val="CD8284F6"/>
    <w:lvl w:ilvl="0" w:tplc="D1262B06">
      <w:start w:val="1"/>
      <w:numFmt w:val="upperLetter"/>
      <w:lvlText w:val="%1."/>
      <w:lvlJc w:val="left"/>
      <w:pPr>
        <w:tabs>
          <w:tab w:val="num" w:pos="450"/>
        </w:tabs>
        <w:ind w:left="450" w:hanging="360"/>
      </w:pPr>
      <w:rPr>
        <w:rFonts w:hint="default"/>
        <w:b/>
      </w:r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1890"/>
        </w:tabs>
        <w:ind w:left="1890" w:hanging="180"/>
      </w:pPr>
    </w:lvl>
    <w:lvl w:ilvl="3" w:tplc="0409000F">
      <w:start w:val="1"/>
      <w:numFmt w:val="decimal"/>
      <w:lvlText w:val="%4."/>
      <w:lvlJc w:val="left"/>
      <w:pPr>
        <w:tabs>
          <w:tab w:val="num" w:pos="2610"/>
        </w:tabs>
        <w:ind w:left="2610" w:hanging="360"/>
      </w:pPr>
    </w:lvl>
    <w:lvl w:ilvl="4" w:tplc="04090019">
      <w:start w:val="1"/>
      <w:numFmt w:val="lowerLetter"/>
      <w:lvlText w:val="%5."/>
      <w:lvlJc w:val="left"/>
      <w:pPr>
        <w:tabs>
          <w:tab w:val="num" w:pos="3330"/>
        </w:tabs>
        <w:ind w:left="3330" w:hanging="360"/>
      </w:pPr>
    </w:lvl>
    <w:lvl w:ilvl="5" w:tplc="0409001B">
      <w:start w:val="1"/>
      <w:numFmt w:val="lowerRoman"/>
      <w:lvlText w:val="%6."/>
      <w:lvlJc w:val="right"/>
      <w:pPr>
        <w:tabs>
          <w:tab w:val="num" w:pos="4050"/>
        </w:tabs>
        <w:ind w:left="4050" w:hanging="180"/>
      </w:pPr>
    </w:lvl>
    <w:lvl w:ilvl="6" w:tplc="0409000F">
      <w:start w:val="1"/>
      <w:numFmt w:val="decimal"/>
      <w:lvlText w:val="%7."/>
      <w:lvlJc w:val="left"/>
      <w:pPr>
        <w:tabs>
          <w:tab w:val="num" w:pos="4770"/>
        </w:tabs>
        <w:ind w:left="4770" w:hanging="360"/>
      </w:pPr>
    </w:lvl>
    <w:lvl w:ilvl="7" w:tplc="04090019">
      <w:start w:val="1"/>
      <w:numFmt w:val="lowerLetter"/>
      <w:lvlText w:val="%8."/>
      <w:lvlJc w:val="left"/>
      <w:pPr>
        <w:tabs>
          <w:tab w:val="num" w:pos="5490"/>
        </w:tabs>
        <w:ind w:left="5490" w:hanging="360"/>
      </w:pPr>
    </w:lvl>
    <w:lvl w:ilvl="8" w:tplc="0409001B">
      <w:start w:val="1"/>
      <w:numFmt w:val="lowerRoman"/>
      <w:lvlText w:val="%9."/>
      <w:lvlJc w:val="right"/>
      <w:pPr>
        <w:tabs>
          <w:tab w:val="num" w:pos="6210"/>
        </w:tabs>
        <w:ind w:left="6210" w:hanging="180"/>
      </w:pPr>
    </w:lvl>
  </w:abstractNum>
  <w:abstractNum w:abstractNumId="8">
    <w:nsid w:val="651B058C"/>
    <w:multiLevelType w:val="multilevel"/>
    <w:tmpl w:val="E58CC896"/>
    <w:lvl w:ilvl="0">
      <w:start w:val="2003"/>
      <w:numFmt w:val="decimal"/>
      <w:lvlText w:val="%1"/>
      <w:lvlJc w:val="left"/>
      <w:pPr>
        <w:tabs>
          <w:tab w:val="num" w:pos="1050"/>
        </w:tabs>
        <w:ind w:left="1050" w:hanging="1050"/>
      </w:pPr>
      <w:rPr>
        <w:rFonts w:hint="default"/>
      </w:rPr>
    </w:lvl>
    <w:lvl w:ilvl="1">
      <w:start w:val="2008"/>
      <w:numFmt w:val="decimal"/>
      <w:lvlText w:val="%1-%2"/>
      <w:lvlJc w:val="left"/>
      <w:pPr>
        <w:tabs>
          <w:tab w:val="num" w:pos="1140"/>
        </w:tabs>
        <w:ind w:left="1140" w:hanging="1050"/>
      </w:pPr>
      <w:rPr>
        <w:rFonts w:hint="default"/>
      </w:rPr>
    </w:lvl>
    <w:lvl w:ilvl="2">
      <w:start w:val="1"/>
      <w:numFmt w:val="decimal"/>
      <w:lvlText w:val="%1-%2.%3"/>
      <w:lvlJc w:val="left"/>
      <w:pPr>
        <w:tabs>
          <w:tab w:val="num" w:pos="1230"/>
        </w:tabs>
        <w:ind w:left="1230" w:hanging="1050"/>
      </w:pPr>
      <w:rPr>
        <w:rFonts w:hint="default"/>
      </w:rPr>
    </w:lvl>
    <w:lvl w:ilvl="3">
      <w:start w:val="1"/>
      <w:numFmt w:val="decimal"/>
      <w:lvlText w:val="%1-%2.%3.%4"/>
      <w:lvlJc w:val="left"/>
      <w:pPr>
        <w:tabs>
          <w:tab w:val="num" w:pos="1320"/>
        </w:tabs>
        <w:ind w:left="1320" w:hanging="105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
    <w:nsid w:val="6EBF733A"/>
    <w:multiLevelType w:val="hybridMultilevel"/>
    <w:tmpl w:val="74C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2D362A"/>
    <w:multiLevelType w:val="hybridMultilevel"/>
    <w:tmpl w:val="6B261580"/>
    <w:lvl w:ilvl="0" w:tplc="DD5C967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7"/>
  </w:num>
  <w:num w:numId="5">
    <w:abstractNumId w:val="8"/>
  </w:num>
  <w:num w:numId="6">
    <w:abstractNumId w:val="10"/>
  </w:num>
  <w:num w:numId="7">
    <w:abstractNumId w:val="0"/>
  </w:num>
  <w:num w:numId="8">
    <w:abstractNumId w:val="1"/>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266"/>
    <w:rsid w:val="000400A2"/>
    <w:rsid w:val="00051E6C"/>
    <w:rsid w:val="000C7C6F"/>
    <w:rsid w:val="0010640F"/>
    <w:rsid w:val="00162B6F"/>
    <w:rsid w:val="001F34BE"/>
    <w:rsid w:val="001F5FCD"/>
    <w:rsid w:val="00215F4C"/>
    <w:rsid w:val="00265125"/>
    <w:rsid w:val="002B1598"/>
    <w:rsid w:val="002C7627"/>
    <w:rsid w:val="002D569F"/>
    <w:rsid w:val="002F5357"/>
    <w:rsid w:val="003830EB"/>
    <w:rsid w:val="00392EB6"/>
    <w:rsid w:val="00476737"/>
    <w:rsid w:val="00544C6E"/>
    <w:rsid w:val="005E76EE"/>
    <w:rsid w:val="006127C1"/>
    <w:rsid w:val="008F20D9"/>
    <w:rsid w:val="009B6459"/>
    <w:rsid w:val="00B4119D"/>
    <w:rsid w:val="00C4112F"/>
    <w:rsid w:val="00CA07A1"/>
    <w:rsid w:val="00CD4266"/>
    <w:rsid w:val="00D00BCC"/>
    <w:rsid w:val="00D35E76"/>
    <w:rsid w:val="00E24D81"/>
    <w:rsid w:val="00E43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1B7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266"/>
  </w:style>
  <w:style w:type="paragraph" w:styleId="Heading1">
    <w:name w:val="heading 1"/>
    <w:basedOn w:val="Normal"/>
    <w:next w:val="Normal"/>
    <w:link w:val="Heading1Char"/>
    <w:qFormat/>
    <w:rsid w:val="00CD4266"/>
    <w:pPr>
      <w:autoSpaceDE w:val="0"/>
      <w:autoSpaceDN w:val="0"/>
      <w:spacing w:after="0" w:line="240" w:lineRule="auto"/>
      <w:jc w:val="center"/>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4266"/>
    <w:rPr>
      <w:rFonts w:ascii="Arial" w:eastAsia="Times New Roman" w:hAnsi="Arial" w:cs="Arial"/>
      <w:b/>
      <w:bCs/>
    </w:rPr>
  </w:style>
  <w:style w:type="paragraph" w:customStyle="1" w:styleId="EndNoteBibliographyTitle">
    <w:name w:val="EndNote Bibliography Title"/>
    <w:basedOn w:val="Normal"/>
    <w:link w:val="EndNoteBibliographyTitleChar"/>
    <w:rsid w:val="00CD426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D4266"/>
    <w:rPr>
      <w:rFonts w:ascii="Calibri" w:eastAsiaTheme="minorEastAsia" w:hAnsi="Calibri"/>
      <w:noProof/>
    </w:rPr>
  </w:style>
  <w:style w:type="paragraph" w:customStyle="1" w:styleId="EndNoteBibliography">
    <w:name w:val="EndNote Bibliography"/>
    <w:basedOn w:val="Normal"/>
    <w:link w:val="EndNoteBibliographyChar"/>
    <w:rsid w:val="00CD426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D4266"/>
    <w:rPr>
      <w:rFonts w:ascii="Calibri" w:eastAsiaTheme="minorEastAsia" w:hAnsi="Calibri"/>
      <w:noProof/>
    </w:rPr>
  </w:style>
  <w:style w:type="paragraph" w:styleId="NormalWeb">
    <w:name w:val="Normal (Web)"/>
    <w:basedOn w:val="Normal"/>
    <w:uiPriority w:val="99"/>
    <w:unhideWhenUsed/>
    <w:rsid w:val="00CD4266"/>
    <w:rPr>
      <w:rFonts w:ascii="Times New Roman" w:hAnsi="Times New Roman" w:cs="Times New Roman"/>
      <w:sz w:val="24"/>
      <w:szCs w:val="24"/>
    </w:rPr>
  </w:style>
  <w:style w:type="character" w:styleId="Hyperlink">
    <w:name w:val="Hyperlink"/>
    <w:basedOn w:val="DefaultParagraphFont"/>
    <w:uiPriority w:val="99"/>
    <w:unhideWhenUsed/>
    <w:rsid w:val="00CD4266"/>
    <w:rPr>
      <w:color w:val="0000FF" w:themeColor="hyperlink"/>
      <w:u w:val="single"/>
    </w:rPr>
  </w:style>
  <w:style w:type="paragraph" w:styleId="BalloonText">
    <w:name w:val="Balloon Text"/>
    <w:basedOn w:val="Normal"/>
    <w:link w:val="BalloonTextChar"/>
    <w:uiPriority w:val="99"/>
    <w:semiHidden/>
    <w:unhideWhenUsed/>
    <w:rsid w:val="00CD4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266"/>
    <w:rPr>
      <w:rFonts w:ascii="Tahoma" w:eastAsiaTheme="minorEastAsia" w:hAnsi="Tahoma" w:cs="Tahoma"/>
      <w:sz w:val="16"/>
      <w:szCs w:val="16"/>
    </w:rPr>
  </w:style>
  <w:style w:type="paragraph" w:customStyle="1" w:styleId="EndNoteCategoryHeading">
    <w:name w:val="EndNote Category Heading"/>
    <w:basedOn w:val="Normal"/>
    <w:link w:val="EndNoteCategoryHeadingChar"/>
    <w:rsid w:val="00CD4266"/>
    <w:pPr>
      <w:spacing w:before="120" w:after="120"/>
    </w:pPr>
    <w:rPr>
      <w:b/>
      <w:noProof/>
    </w:rPr>
  </w:style>
  <w:style w:type="character" w:customStyle="1" w:styleId="EndNoteCategoryHeadingChar">
    <w:name w:val="EndNote Category Heading Char"/>
    <w:basedOn w:val="DefaultParagraphFont"/>
    <w:link w:val="EndNoteCategoryHeading"/>
    <w:rsid w:val="00CD4266"/>
    <w:rPr>
      <w:rFonts w:eastAsiaTheme="minorEastAsia"/>
      <w:b/>
      <w:noProof/>
    </w:rPr>
  </w:style>
  <w:style w:type="paragraph" w:styleId="ListParagraph">
    <w:name w:val="List Paragraph"/>
    <w:basedOn w:val="Normal"/>
    <w:uiPriority w:val="34"/>
    <w:qFormat/>
    <w:rsid w:val="00CD4266"/>
    <w:pPr>
      <w:ind w:left="720"/>
      <w:contextualSpacing/>
    </w:pPr>
    <w:rPr>
      <w:rFonts w:ascii="Calibri" w:eastAsia="Calibri" w:hAnsi="Calibri" w:cs="Times New Roman"/>
    </w:rPr>
  </w:style>
  <w:style w:type="character" w:customStyle="1" w:styleId="apple-style-span">
    <w:name w:val="apple-style-span"/>
    <w:basedOn w:val="DefaultParagraphFont"/>
    <w:uiPriority w:val="99"/>
    <w:rsid w:val="00CD4266"/>
    <w:rPr>
      <w:rFonts w:cs="Times New Roman"/>
    </w:rPr>
  </w:style>
  <w:style w:type="character" w:customStyle="1" w:styleId="apple-converted-space">
    <w:name w:val="apple-converted-space"/>
    <w:basedOn w:val="DefaultParagraphFont"/>
    <w:rsid w:val="00CD4266"/>
    <w:rPr>
      <w:rFonts w:cs="Times New Roman"/>
    </w:rPr>
  </w:style>
  <w:style w:type="character" w:styleId="Emphasis">
    <w:name w:val="Emphasis"/>
    <w:basedOn w:val="DefaultParagraphFont"/>
    <w:uiPriority w:val="20"/>
    <w:qFormat/>
    <w:rsid w:val="00CD4266"/>
    <w:rPr>
      <w:i/>
      <w:iCs/>
    </w:rPr>
  </w:style>
  <w:style w:type="character" w:customStyle="1" w:styleId="HeaderChar">
    <w:name w:val="Header Char"/>
    <w:basedOn w:val="DefaultParagraphFont"/>
    <w:link w:val="Header"/>
    <w:uiPriority w:val="99"/>
    <w:rsid w:val="00CD4266"/>
    <w:rPr>
      <w:rFonts w:eastAsiaTheme="minorEastAsia"/>
    </w:rPr>
  </w:style>
  <w:style w:type="paragraph" w:styleId="Header">
    <w:name w:val="header"/>
    <w:basedOn w:val="Normal"/>
    <w:link w:val="HeaderChar"/>
    <w:uiPriority w:val="99"/>
    <w:unhideWhenUsed/>
    <w:rsid w:val="00CD4266"/>
    <w:pPr>
      <w:tabs>
        <w:tab w:val="center" w:pos="4680"/>
        <w:tab w:val="right" w:pos="9360"/>
      </w:tabs>
      <w:spacing w:after="0" w:line="240" w:lineRule="auto"/>
    </w:pPr>
  </w:style>
  <w:style w:type="character" w:customStyle="1" w:styleId="HeaderChar1">
    <w:name w:val="Header Char1"/>
    <w:basedOn w:val="DefaultParagraphFont"/>
    <w:uiPriority w:val="99"/>
    <w:semiHidden/>
    <w:rsid w:val="00CD4266"/>
    <w:rPr>
      <w:rFonts w:eastAsiaTheme="minorEastAsia"/>
    </w:rPr>
  </w:style>
  <w:style w:type="paragraph" w:styleId="Footer">
    <w:name w:val="footer"/>
    <w:basedOn w:val="Normal"/>
    <w:link w:val="FooterChar"/>
    <w:uiPriority w:val="99"/>
    <w:unhideWhenUsed/>
    <w:rsid w:val="00CD4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266"/>
    <w:rPr>
      <w:rFonts w:eastAsiaTheme="minorEastAsia"/>
    </w:rPr>
  </w:style>
  <w:style w:type="paragraph" w:customStyle="1" w:styleId="Default">
    <w:name w:val="Default"/>
    <w:rsid w:val="00CD4266"/>
    <w:pPr>
      <w:autoSpaceDE w:val="0"/>
      <w:autoSpaceDN w:val="0"/>
      <w:adjustRightInd w:val="0"/>
      <w:spacing w:after="0" w:line="240" w:lineRule="auto"/>
    </w:pPr>
    <w:rPr>
      <w:rFonts w:ascii="Franklin Gothic Book" w:hAnsi="Franklin Gothic Book" w:cs="Franklin Gothic Book"/>
      <w:color w:val="000000"/>
      <w:sz w:val="24"/>
      <w:szCs w:val="24"/>
    </w:rPr>
  </w:style>
  <w:style w:type="paragraph" w:customStyle="1" w:styleId="DataField11pt-Single">
    <w:name w:val="Data Field 11pt-Single"/>
    <w:basedOn w:val="Normal"/>
    <w:link w:val="DataField11pt-SingleChar"/>
    <w:rsid w:val="00CD4266"/>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basedOn w:val="DefaultParagraphFont"/>
    <w:link w:val="DataField11pt-Single"/>
    <w:rsid w:val="00CD4266"/>
    <w:rPr>
      <w:rFonts w:ascii="Arial" w:eastAsia="Times New Roman" w:hAnsi="Arial" w:cs="Arial"/>
      <w:szCs w:val="20"/>
    </w:rPr>
  </w:style>
  <w:style w:type="paragraph" w:customStyle="1" w:styleId="FormFieldCaption">
    <w:name w:val="Form Field Caption"/>
    <w:basedOn w:val="Normal"/>
    <w:rsid w:val="00CD4266"/>
    <w:pPr>
      <w:tabs>
        <w:tab w:val="left" w:pos="270"/>
      </w:tabs>
      <w:autoSpaceDE w:val="0"/>
      <w:autoSpaceDN w:val="0"/>
      <w:spacing w:after="0" w:line="240" w:lineRule="auto"/>
    </w:pPr>
    <w:rPr>
      <w:rFonts w:ascii="Arial" w:eastAsia="Times New Roman" w:hAnsi="Arial" w:cs="Arial"/>
      <w:sz w:val="16"/>
      <w:szCs w:val="16"/>
    </w:rPr>
  </w:style>
  <w:style w:type="paragraph" w:customStyle="1" w:styleId="HeadNoteNotItalics">
    <w:name w:val="HeadNoteNotItalics"/>
    <w:basedOn w:val="Normal"/>
    <w:rsid w:val="00CD4266"/>
    <w:pPr>
      <w:autoSpaceDE w:val="0"/>
      <w:autoSpaceDN w:val="0"/>
      <w:spacing w:before="40" w:after="40" w:line="240" w:lineRule="auto"/>
      <w:jc w:val="center"/>
    </w:pPr>
    <w:rPr>
      <w:rFonts w:ascii="Arial" w:eastAsia="Times New Roman" w:hAnsi="Arial" w:cs="Arial"/>
      <w:iCs/>
      <w:sz w:val="16"/>
      <w:szCs w:val="16"/>
    </w:rPr>
  </w:style>
  <w:style w:type="paragraph" w:styleId="HTMLPreformatted">
    <w:name w:val="HTML Preformatted"/>
    <w:basedOn w:val="Normal"/>
    <w:link w:val="HTMLPreformattedChar"/>
    <w:rsid w:val="00CD4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CD4266"/>
    <w:rPr>
      <w:rFonts w:ascii="Courier New" w:eastAsia="Courier New" w:hAnsi="Courier New" w:cs="Courier New"/>
      <w:sz w:val="20"/>
      <w:szCs w:val="20"/>
    </w:rPr>
  </w:style>
  <w:style w:type="character" w:customStyle="1" w:styleId="st1">
    <w:name w:val="st1"/>
    <w:basedOn w:val="DefaultParagraphFont"/>
    <w:rsid w:val="00CD4266"/>
  </w:style>
  <w:style w:type="character" w:customStyle="1" w:styleId="mainbodytext">
    <w:name w:val="mainbodytext"/>
    <w:basedOn w:val="DefaultParagraphFont"/>
    <w:rsid w:val="00CD4266"/>
  </w:style>
  <w:style w:type="character" w:customStyle="1" w:styleId="small-caps1">
    <w:name w:val="small-caps1"/>
    <w:basedOn w:val="DefaultParagraphFont"/>
    <w:rsid w:val="00CD4266"/>
    <w:rPr>
      <w:smallCaps/>
      <w:sz w:val="19"/>
      <w:szCs w:val="19"/>
    </w:rPr>
  </w:style>
  <w:style w:type="character" w:customStyle="1" w:styleId="PlainTextChar">
    <w:name w:val="Plain Text Char"/>
    <w:basedOn w:val="DefaultParagraphFont"/>
    <w:link w:val="PlainText"/>
    <w:uiPriority w:val="99"/>
    <w:semiHidden/>
    <w:rsid w:val="00CD4266"/>
    <w:rPr>
      <w:rFonts w:ascii="Calibri" w:hAnsi="Calibri"/>
      <w:szCs w:val="21"/>
    </w:rPr>
  </w:style>
  <w:style w:type="paragraph" w:styleId="PlainText">
    <w:name w:val="Plain Text"/>
    <w:basedOn w:val="Normal"/>
    <w:link w:val="PlainTextChar"/>
    <w:uiPriority w:val="99"/>
    <w:semiHidden/>
    <w:unhideWhenUsed/>
    <w:rsid w:val="00CD4266"/>
    <w:pPr>
      <w:spacing w:after="0" w:line="240" w:lineRule="auto"/>
    </w:pPr>
    <w:rPr>
      <w:rFonts w:ascii="Calibri" w:eastAsiaTheme="minorHAnsi" w:hAnsi="Calibri"/>
      <w:szCs w:val="21"/>
    </w:rPr>
  </w:style>
  <w:style w:type="character" w:customStyle="1" w:styleId="PlainTextChar1">
    <w:name w:val="Plain Text Char1"/>
    <w:basedOn w:val="DefaultParagraphFont"/>
    <w:uiPriority w:val="99"/>
    <w:semiHidden/>
    <w:rsid w:val="00CD4266"/>
    <w:rPr>
      <w:rFonts w:ascii="Consolas" w:eastAsiaTheme="minorEastAsia" w:hAnsi="Consolas" w:cs="Consolas"/>
      <w:sz w:val="21"/>
      <w:szCs w:val="21"/>
    </w:rPr>
  </w:style>
  <w:style w:type="character" w:styleId="CommentReference">
    <w:name w:val="annotation reference"/>
    <w:basedOn w:val="DefaultParagraphFont"/>
    <w:uiPriority w:val="99"/>
    <w:semiHidden/>
    <w:unhideWhenUsed/>
    <w:rsid w:val="00CD4266"/>
    <w:rPr>
      <w:sz w:val="21"/>
      <w:szCs w:val="21"/>
    </w:rPr>
  </w:style>
  <w:style w:type="paragraph" w:styleId="CommentText">
    <w:name w:val="annotation text"/>
    <w:basedOn w:val="Normal"/>
    <w:link w:val="CommentTextChar"/>
    <w:uiPriority w:val="99"/>
    <w:semiHidden/>
    <w:unhideWhenUsed/>
    <w:rsid w:val="00CD4266"/>
  </w:style>
  <w:style w:type="character" w:customStyle="1" w:styleId="CommentTextChar">
    <w:name w:val="Comment Text Char"/>
    <w:basedOn w:val="DefaultParagraphFont"/>
    <w:link w:val="CommentText"/>
    <w:uiPriority w:val="99"/>
    <w:semiHidden/>
    <w:rsid w:val="00CD4266"/>
    <w:rPr>
      <w:rFonts w:eastAsiaTheme="minorEastAsia"/>
    </w:rPr>
  </w:style>
  <w:style w:type="paragraph" w:styleId="CommentSubject">
    <w:name w:val="annotation subject"/>
    <w:basedOn w:val="CommentText"/>
    <w:next w:val="CommentText"/>
    <w:link w:val="CommentSubjectChar"/>
    <w:uiPriority w:val="99"/>
    <w:semiHidden/>
    <w:unhideWhenUsed/>
    <w:rsid w:val="00CD4266"/>
    <w:rPr>
      <w:b/>
      <w:bCs/>
    </w:rPr>
  </w:style>
  <w:style w:type="character" w:customStyle="1" w:styleId="CommentSubjectChar">
    <w:name w:val="Comment Subject Char"/>
    <w:basedOn w:val="CommentTextChar"/>
    <w:link w:val="CommentSubject"/>
    <w:uiPriority w:val="99"/>
    <w:semiHidden/>
    <w:rsid w:val="00CD4266"/>
    <w:rPr>
      <w:rFonts w:eastAsiaTheme="minorEastAsia"/>
      <w:b/>
      <w:bCs/>
    </w:rPr>
  </w:style>
  <w:style w:type="character" w:customStyle="1" w:styleId="highlight">
    <w:name w:val="highlight"/>
    <w:basedOn w:val="DefaultParagraphFont"/>
    <w:rsid w:val="00D00B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266"/>
  </w:style>
  <w:style w:type="paragraph" w:styleId="Heading1">
    <w:name w:val="heading 1"/>
    <w:basedOn w:val="Normal"/>
    <w:next w:val="Normal"/>
    <w:link w:val="Heading1Char"/>
    <w:qFormat/>
    <w:rsid w:val="00CD4266"/>
    <w:pPr>
      <w:autoSpaceDE w:val="0"/>
      <w:autoSpaceDN w:val="0"/>
      <w:spacing w:after="0" w:line="240" w:lineRule="auto"/>
      <w:jc w:val="center"/>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4266"/>
    <w:rPr>
      <w:rFonts w:ascii="Arial" w:eastAsia="Times New Roman" w:hAnsi="Arial" w:cs="Arial"/>
      <w:b/>
      <w:bCs/>
    </w:rPr>
  </w:style>
  <w:style w:type="paragraph" w:customStyle="1" w:styleId="EndNoteBibliographyTitle">
    <w:name w:val="EndNote Bibliography Title"/>
    <w:basedOn w:val="Normal"/>
    <w:link w:val="EndNoteBibliographyTitleChar"/>
    <w:rsid w:val="00CD426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D4266"/>
    <w:rPr>
      <w:rFonts w:ascii="Calibri" w:eastAsiaTheme="minorEastAsia" w:hAnsi="Calibri"/>
      <w:noProof/>
    </w:rPr>
  </w:style>
  <w:style w:type="paragraph" w:customStyle="1" w:styleId="EndNoteBibliography">
    <w:name w:val="EndNote Bibliography"/>
    <w:basedOn w:val="Normal"/>
    <w:link w:val="EndNoteBibliographyChar"/>
    <w:rsid w:val="00CD426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D4266"/>
    <w:rPr>
      <w:rFonts w:ascii="Calibri" w:eastAsiaTheme="minorEastAsia" w:hAnsi="Calibri"/>
      <w:noProof/>
    </w:rPr>
  </w:style>
  <w:style w:type="paragraph" w:styleId="NormalWeb">
    <w:name w:val="Normal (Web)"/>
    <w:basedOn w:val="Normal"/>
    <w:uiPriority w:val="99"/>
    <w:unhideWhenUsed/>
    <w:rsid w:val="00CD4266"/>
    <w:rPr>
      <w:rFonts w:ascii="Times New Roman" w:hAnsi="Times New Roman" w:cs="Times New Roman"/>
      <w:sz w:val="24"/>
      <w:szCs w:val="24"/>
    </w:rPr>
  </w:style>
  <w:style w:type="character" w:styleId="Hyperlink">
    <w:name w:val="Hyperlink"/>
    <w:basedOn w:val="DefaultParagraphFont"/>
    <w:uiPriority w:val="99"/>
    <w:unhideWhenUsed/>
    <w:rsid w:val="00CD4266"/>
    <w:rPr>
      <w:color w:val="0000FF" w:themeColor="hyperlink"/>
      <w:u w:val="single"/>
    </w:rPr>
  </w:style>
  <w:style w:type="paragraph" w:styleId="BalloonText">
    <w:name w:val="Balloon Text"/>
    <w:basedOn w:val="Normal"/>
    <w:link w:val="BalloonTextChar"/>
    <w:uiPriority w:val="99"/>
    <w:semiHidden/>
    <w:unhideWhenUsed/>
    <w:rsid w:val="00CD4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266"/>
    <w:rPr>
      <w:rFonts w:ascii="Tahoma" w:eastAsiaTheme="minorEastAsia" w:hAnsi="Tahoma" w:cs="Tahoma"/>
      <w:sz w:val="16"/>
      <w:szCs w:val="16"/>
    </w:rPr>
  </w:style>
  <w:style w:type="paragraph" w:customStyle="1" w:styleId="EndNoteCategoryHeading">
    <w:name w:val="EndNote Category Heading"/>
    <w:basedOn w:val="Normal"/>
    <w:link w:val="EndNoteCategoryHeadingChar"/>
    <w:rsid w:val="00CD4266"/>
    <w:pPr>
      <w:spacing w:before="120" w:after="120"/>
    </w:pPr>
    <w:rPr>
      <w:b/>
      <w:noProof/>
    </w:rPr>
  </w:style>
  <w:style w:type="character" w:customStyle="1" w:styleId="EndNoteCategoryHeadingChar">
    <w:name w:val="EndNote Category Heading Char"/>
    <w:basedOn w:val="DefaultParagraphFont"/>
    <w:link w:val="EndNoteCategoryHeading"/>
    <w:rsid w:val="00CD4266"/>
    <w:rPr>
      <w:rFonts w:eastAsiaTheme="minorEastAsia"/>
      <w:b/>
      <w:noProof/>
    </w:rPr>
  </w:style>
  <w:style w:type="paragraph" w:styleId="ListParagraph">
    <w:name w:val="List Paragraph"/>
    <w:basedOn w:val="Normal"/>
    <w:uiPriority w:val="34"/>
    <w:qFormat/>
    <w:rsid w:val="00CD4266"/>
    <w:pPr>
      <w:ind w:left="720"/>
      <w:contextualSpacing/>
    </w:pPr>
    <w:rPr>
      <w:rFonts w:ascii="Calibri" w:eastAsia="Calibri" w:hAnsi="Calibri" w:cs="Times New Roman"/>
    </w:rPr>
  </w:style>
  <w:style w:type="character" w:customStyle="1" w:styleId="apple-style-span">
    <w:name w:val="apple-style-span"/>
    <w:basedOn w:val="DefaultParagraphFont"/>
    <w:uiPriority w:val="99"/>
    <w:rsid w:val="00CD4266"/>
    <w:rPr>
      <w:rFonts w:cs="Times New Roman"/>
    </w:rPr>
  </w:style>
  <w:style w:type="character" w:customStyle="1" w:styleId="apple-converted-space">
    <w:name w:val="apple-converted-space"/>
    <w:basedOn w:val="DefaultParagraphFont"/>
    <w:rsid w:val="00CD4266"/>
    <w:rPr>
      <w:rFonts w:cs="Times New Roman"/>
    </w:rPr>
  </w:style>
  <w:style w:type="character" w:styleId="Emphasis">
    <w:name w:val="Emphasis"/>
    <w:basedOn w:val="DefaultParagraphFont"/>
    <w:uiPriority w:val="20"/>
    <w:qFormat/>
    <w:rsid w:val="00CD4266"/>
    <w:rPr>
      <w:i/>
      <w:iCs/>
    </w:rPr>
  </w:style>
  <w:style w:type="character" w:customStyle="1" w:styleId="HeaderChar">
    <w:name w:val="Header Char"/>
    <w:basedOn w:val="DefaultParagraphFont"/>
    <w:link w:val="Header"/>
    <w:uiPriority w:val="99"/>
    <w:rsid w:val="00CD4266"/>
    <w:rPr>
      <w:rFonts w:eastAsiaTheme="minorEastAsia"/>
    </w:rPr>
  </w:style>
  <w:style w:type="paragraph" w:styleId="Header">
    <w:name w:val="header"/>
    <w:basedOn w:val="Normal"/>
    <w:link w:val="HeaderChar"/>
    <w:uiPriority w:val="99"/>
    <w:unhideWhenUsed/>
    <w:rsid w:val="00CD4266"/>
    <w:pPr>
      <w:tabs>
        <w:tab w:val="center" w:pos="4680"/>
        <w:tab w:val="right" w:pos="9360"/>
      </w:tabs>
      <w:spacing w:after="0" w:line="240" w:lineRule="auto"/>
    </w:pPr>
  </w:style>
  <w:style w:type="character" w:customStyle="1" w:styleId="HeaderChar1">
    <w:name w:val="Header Char1"/>
    <w:basedOn w:val="DefaultParagraphFont"/>
    <w:uiPriority w:val="99"/>
    <w:semiHidden/>
    <w:rsid w:val="00CD4266"/>
    <w:rPr>
      <w:rFonts w:eastAsiaTheme="minorEastAsia"/>
    </w:rPr>
  </w:style>
  <w:style w:type="paragraph" w:styleId="Footer">
    <w:name w:val="footer"/>
    <w:basedOn w:val="Normal"/>
    <w:link w:val="FooterChar"/>
    <w:uiPriority w:val="99"/>
    <w:unhideWhenUsed/>
    <w:rsid w:val="00CD4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266"/>
    <w:rPr>
      <w:rFonts w:eastAsiaTheme="minorEastAsia"/>
    </w:rPr>
  </w:style>
  <w:style w:type="paragraph" w:customStyle="1" w:styleId="Default">
    <w:name w:val="Default"/>
    <w:rsid w:val="00CD4266"/>
    <w:pPr>
      <w:autoSpaceDE w:val="0"/>
      <w:autoSpaceDN w:val="0"/>
      <w:adjustRightInd w:val="0"/>
      <w:spacing w:after="0" w:line="240" w:lineRule="auto"/>
    </w:pPr>
    <w:rPr>
      <w:rFonts w:ascii="Franklin Gothic Book" w:hAnsi="Franklin Gothic Book" w:cs="Franklin Gothic Book"/>
      <w:color w:val="000000"/>
      <w:sz w:val="24"/>
      <w:szCs w:val="24"/>
    </w:rPr>
  </w:style>
  <w:style w:type="paragraph" w:customStyle="1" w:styleId="DataField11pt-Single">
    <w:name w:val="Data Field 11pt-Single"/>
    <w:basedOn w:val="Normal"/>
    <w:link w:val="DataField11pt-SingleChar"/>
    <w:rsid w:val="00CD4266"/>
    <w:pPr>
      <w:autoSpaceDE w:val="0"/>
      <w:autoSpaceDN w:val="0"/>
      <w:spacing w:after="0" w:line="240" w:lineRule="auto"/>
    </w:pPr>
    <w:rPr>
      <w:rFonts w:ascii="Arial" w:eastAsia="Times New Roman" w:hAnsi="Arial" w:cs="Arial"/>
      <w:szCs w:val="20"/>
    </w:rPr>
  </w:style>
  <w:style w:type="character" w:customStyle="1" w:styleId="DataField11pt-SingleChar">
    <w:name w:val="Data Field 11pt-Single Char"/>
    <w:basedOn w:val="DefaultParagraphFont"/>
    <w:link w:val="DataField11pt-Single"/>
    <w:rsid w:val="00CD4266"/>
    <w:rPr>
      <w:rFonts w:ascii="Arial" w:eastAsia="Times New Roman" w:hAnsi="Arial" w:cs="Arial"/>
      <w:szCs w:val="20"/>
    </w:rPr>
  </w:style>
  <w:style w:type="paragraph" w:customStyle="1" w:styleId="FormFieldCaption">
    <w:name w:val="Form Field Caption"/>
    <w:basedOn w:val="Normal"/>
    <w:rsid w:val="00CD4266"/>
    <w:pPr>
      <w:tabs>
        <w:tab w:val="left" w:pos="270"/>
      </w:tabs>
      <w:autoSpaceDE w:val="0"/>
      <w:autoSpaceDN w:val="0"/>
      <w:spacing w:after="0" w:line="240" w:lineRule="auto"/>
    </w:pPr>
    <w:rPr>
      <w:rFonts w:ascii="Arial" w:eastAsia="Times New Roman" w:hAnsi="Arial" w:cs="Arial"/>
      <w:sz w:val="16"/>
      <w:szCs w:val="16"/>
    </w:rPr>
  </w:style>
  <w:style w:type="paragraph" w:customStyle="1" w:styleId="HeadNoteNotItalics">
    <w:name w:val="HeadNoteNotItalics"/>
    <w:basedOn w:val="Normal"/>
    <w:rsid w:val="00CD4266"/>
    <w:pPr>
      <w:autoSpaceDE w:val="0"/>
      <w:autoSpaceDN w:val="0"/>
      <w:spacing w:before="40" w:after="40" w:line="240" w:lineRule="auto"/>
      <w:jc w:val="center"/>
    </w:pPr>
    <w:rPr>
      <w:rFonts w:ascii="Arial" w:eastAsia="Times New Roman" w:hAnsi="Arial" w:cs="Arial"/>
      <w:iCs/>
      <w:sz w:val="16"/>
      <w:szCs w:val="16"/>
    </w:rPr>
  </w:style>
  <w:style w:type="paragraph" w:styleId="HTMLPreformatted">
    <w:name w:val="HTML Preformatted"/>
    <w:basedOn w:val="Normal"/>
    <w:link w:val="HTMLPreformattedChar"/>
    <w:rsid w:val="00CD4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CD4266"/>
    <w:rPr>
      <w:rFonts w:ascii="Courier New" w:eastAsia="Courier New" w:hAnsi="Courier New" w:cs="Courier New"/>
      <w:sz w:val="20"/>
      <w:szCs w:val="20"/>
    </w:rPr>
  </w:style>
  <w:style w:type="character" w:customStyle="1" w:styleId="st1">
    <w:name w:val="st1"/>
    <w:basedOn w:val="DefaultParagraphFont"/>
    <w:rsid w:val="00CD4266"/>
  </w:style>
  <w:style w:type="character" w:customStyle="1" w:styleId="mainbodytext">
    <w:name w:val="mainbodytext"/>
    <w:basedOn w:val="DefaultParagraphFont"/>
    <w:rsid w:val="00CD4266"/>
  </w:style>
  <w:style w:type="character" w:customStyle="1" w:styleId="small-caps1">
    <w:name w:val="small-caps1"/>
    <w:basedOn w:val="DefaultParagraphFont"/>
    <w:rsid w:val="00CD4266"/>
    <w:rPr>
      <w:smallCaps/>
      <w:sz w:val="19"/>
      <w:szCs w:val="19"/>
    </w:rPr>
  </w:style>
  <w:style w:type="character" w:customStyle="1" w:styleId="PlainTextChar">
    <w:name w:val="Plain Text Char"/>
    <w:basedOn w:val="DefaultParagraphFont"/>
    <w:link w:val="PlainText"/>
    <w:uiPriority w:val="99"/>
    <w:semiHidden/>
    <w:rsid w:val="00CD4266"/>
    <w:rPr>
      <w:rFonts w:ascii="Calibri" w:hAnsi="Calibri"/>
      <w:szCs w:val="21"/>
    </w:rPr>
  </w:style>
  <w:style w:type="paragraph" w:styleId="PlainText">
    <w:name w:val="Plain Text"/>
    <w:basedOn w:val="Normal"/>
    <w:link w:val="PlainTextChar"/>
    <w:uiPriority w:val="99"/>
    <w:semiHidden/>
    <w:unhideWhenUsed/>
    <w:rsid w:val="00CD4266"/>
    <w:pPr>
      <w:spacing w:after="0" w:line="240" w:lineRule="auto"/>
    </w:pPr>
    <w:rPr>
      <w:rFonts w:ascii="Calibri" w:eastAsiaTheme="minorHAnsi" w:hAnsi="Calibri"/>
      <w:szCs w:val="21"/>
    </w:rPr>
  </w:style>
  <w:style w:type="character" w:customStyle="1" w:styleId="PlainTextChar1">
    <w:name w:val="Plain Text Char1"/>
    <w:basedOn w:val="DefaultParagraphFont"/>
    <w:uiPriority w:val="99"/>
    <w:semiHidden/>
    <w:rsid w:val="00CD4266"/>
    <w:rPr>
      <w:rFonts w:ascii="Consolas" w:eastAsiaTheme="minorEastAsia" w:hAnsi="Consolas" w:cs="Consolas"/>
      <w:sz w:val="21"/>
      <w:szCs w:val="21"/>
    </w:rPr>
  </w:style>
  <w:style w:type="character" w:styleId="CommentReference">
    <w:name w:val="annotation reference"/>
    <w:basedOn w:val="DefaultParagraphFont"/>
    <w:uiPriority w:val="99"/>
    <w:semiHidden/>
    <w:unhideWhenUsed/>
    <w:rsid w:val="00CD4266"/>
    <w:rPr>
      <w:sz w:val="21"/>
      <w:szCs w:val="21"/>
    </w:rPr>
  </w:style>
  <w:style w:type="paragraph" w:styleId="CommentText">
    <w:name w:val="annotation text"/>
    <w:basedOn w:val="Normal"/>
    <w:link w:val="CommentTextChar"/>
    <w:uiPriority w:val="99"/>
    <w:semiHidden/>
    <w:unhideWhenUsed/>
    <w:rsid w:val="00CD4266"/>
  </w:style>
  <w:style w:type="character" w:customStyle="1" w:styleId="CommentTextChar">
    <w:name w:val="Comment Text Char"/>
    <w:basedOn w:val="DefaultParagraphFont"/>
    <w:link w:val="CommentText"/>
    <w:uiPriority w:val="99"/>
    <w:semiHidden/>
    <w:rsid w:val="00CD4266"/>
    <w:rPr>
      <w:rFonts w:eastAsiaTheme="minorEastAsia"/>
    </w:rPr>
  </w:style>
  <w:style w:type="paragraph" w:styleId="CommentSubject">
    <w:name w:val="annotation subject"/>
    <w:basedOn w:val="CommentText"/>
    <w:next w:val="CommentText"/>
    <w:link w:val="CommentSubjectChar"/>
    <w:uiPriority w:val="99"/>
    <w:semiHidden/>
    <w:unhideWhenUsed/>
    <w:rsid w:val="00CD4266"/>
    <w:rPr>
      <w:b/>
      <w:bCs/>
    </w:rPr>
  </w:style>
  <w:style w:type="character" w:customStyle="1" w:styleId="CommentSubjectChar">
    <w:name w:val="Comment Subject Char"/>
    <w:basedOn w:val="CommentTextChar"/>
    <w:link w:val="CommentSubject"/>
    <w:uiPriority w:val="99"/>
    <w:semiHidden/>
    <w:rsid w:val="00CD4266"/>
    <w:rPr>
      <w:rFonts w:eastAsiaTheme="minorEastAsia"/>
      <w:b/>
      <w:bCs/>
    </w:rPr>
  </w:style>
  <w:style w:type="character" w:customStyle="1" w:styleId="highlight">
    <w:name w:val="highlight"/>
    <w:basedOn w:val="DefaultParagraphFont"/>
    <w:rsid w:val="00D00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252037">
      <w:bodyDiv w:val="1"/>
      <w:marLeft w:val="0"/>
      <w:marRight w:val="0"/>
      <w:marTop w:val="0"/>
      <w:marBottom w:val="0"/>
      <w:divBdr>
        <w:top w:val="none" w:sz="0" w:space="0" w:color="auto"/>
        <w:left w:val="none" w:sz="0" w:space="0" w:color="auto"/>
        <w:bottom w:val="none" w:sz="0" w:space="0" w:color="auto"/>
        <w:right w:val="none" w:sz="0" w:space="0" w:color="auto"/>
      </w:divBdr>
      <w:divsChild>
        <w:div w:id="424036306">
          <w:marLeft w:val="0"/>
          <w:marRight w:val="0"/>
          <w:marTop w:val="0"/>
          <w:marBottom w:val="0"/>
          <w:divBdr>
            <w:top w:val="none" w:sz="0" w:space="0" w:color="auto"/>
            <w:left w:val="none" w:sz="0" w:space="0" w:color="auto"/>
            <w:bottom w:val="none" w:sz="0" w:space="0" w:color="auto"/>
            <w:right w:val="none" w:sz="0" w:space="0" w:color="auto"/>
          </w:divBdr>
        </w:div>
        <w:div w:id="1689408248">
          <w:marLeft w:val="0"/>
          <w:marRight w:val="0"/>
          <w:marTop w:val="0"/>
          <w:marBottom w:val="0"/>
          <w:divBdr>
            <w:top w:val="none" w:sz="0" w:space="0" w:color="auto"/>
            <w:left w:val="none" w:sz="0" w:space="0" w:color="auto"/>
            <w:bottom w:val="none" w:sz="0" w:space="0" w:color="auto"/>
            <w:right w:val="none" w:sz="0" w:space="0" w:color="auto"/>
          </w:divBdr>
        </w:div>
        <w:div w:id="291134008">
          <w:marLeft w:val="0"/>
          <w:marRight w:val="0"/>
          <w:marTop w:val="0"/>
          <w:marBottom w:val="0"/>
          <w:divBdr>
            <w:top w:val="none" w:sz="0" w:space="0" w:color="auto"/>
            <w:left w:val="none" w:sz="0" w:space="0" w:color="auto"/>
            <w:bottom w:val="none" w:sz="0" w:space="0" w:color="auto"/>
            <w:right w:val="none" w:sz="0" w:space="0" w:color="auto"/>
          </w:divBdr>
        </w:div>
        <w:div w:id="1043870962">
          <w:marLeft w:val="0"/>
          <w:marRight w:val="0"/>
          <w:marTop w:val="0"/>
          <w:marBottom w:val="0"/>
          <w:divBdr>
            <w:top w:val="none" w:sz="0" w:space="0" w:color="auto"/>
            <w:left w:val="none" w:sz="0" w:space="0" w:color="auto"/>
            <w:bottom w:val="none" w:sz="0" w:space="0" w:color="auto"/>
            <w:right w:val="none" w:sz="0" w:space="0" w:color="auto"/>
          </w:divBdr>
        </w:div>
        <w:div w:id="901991219">
          <w:marLeft w:val="0"/>
          <w:marRight w:val="0"/>
          <w:marTop w:val="0"/>
          <w:marBottom w:val="0"/>
          <w:divBdr>
            <w:top w:val="none" w:sz="0" w:space="0" w:color="auto"/>
            <w:left w:val="none" w:sz="0" w:space="0" w:color="auto"/>
            <w:bottom w:val="none" w:sz="0" w:space="0" w:color="auto"/>
            <w:right w:val="none" w:sz="0" w:space="0" w:color="auto"/>
          </w:divBdr>
        </w:div>
        <w:div w:id="239102624">
          <w:marLeft w:val="0"/>
          <w:marRight w:val="0"/>
          <w:marTop w:val="0"/>
          <w:marBottom w:val="0"/>
          <w:divBdr>
            <w:top w:val="none" w:sz="0" w:space="0" w:color="auto"/>
            <w:left w:val="none" w:sz="0" w:space="0" w:color="auto"/>
            <w:bottom w:val="none" w:sz="0" w:space="0" w:color="auto"/>
            <w:right w:val="none" w:sz="0" w:space="0" w:color="auto"/>
          </w:divBdr>
        </w:div>
        <w:div w:id="710806843">
          <w:marLeft w:val="0"/>
          <w:marRight w:val="0"/>
          <w:marTop w:val="0"/>
          <w:marBottom w:val="0"/>
          <w:divBdr>
            <w:top w:val="none" w:sz="0" w:space="0" w:color="auto"/>
            <w:left w:val="none" w:sz="0" w:space="0" w:color="auto"/>
            <w:bottom w:val="none" w:sz="0" w:space="0" w:color="auto"/>
            <w:right w:val="none" w:sz="0" w:space="0" w:color="auto"/>
          </w:divBdr>
        </w:div>
        <w:div w:id="408887409">
          <w:marLeft w:val="0"/>
          <w:marRight w:val="0"/>
          <w:marTop w:val="0"/>
          <w:marBottom w:val="0"/>
          <w:divBdr>
            <w:top w:val="none" w:sz="0" w:space="0" w:color="auto"/>
            <w:left w:val="none" w:sz="0" w:space="0" w:color="auto"/>
            <w:bottom w:val="none" w:sz="0" w:space="0" w:color="auto"/>
            <w:right w:val="none" w:sz="0" w:space="0" w:color="auto"/>
          </w:divBdr>
        </w:div>
        <w:div w:id="560600700">
          <w:marLeft w:val="0"/>
          <w:marRight w:val="0"/>
          <w:marTop w:val="0"/>
          <w:marBottom w:val="0"/>
          <w:divBdr>
            <w:top w:val="none" w:sz="0" w:space="0" w:color="auto"/>
            <w:left w:val="none" w:sz="0" w:space="0" w:color="auto"/>
            <w:bottom w:val="none" w:sz="0" w:space="0" w:color="auto"/>
            <w:right w:val="none" w:sz="0" w:space="0" w:color="auto"/>
          </w:divBdr>
        </w:div>
        <w:div w:id="351885774">
          <w:marLeft w:val="0"/>
          <w:marRight w:val="0"/>
          <w:marTop w:val="0"/>
          <w:marBottom w:val="0"/>
          <w:divBdr>
            <w:top w:val="none" w:sz="0" w:space="0" w:color="auto"/>
            <w:left w:val="none" w:sz="0" w:space="0" w:color="auto"/>
            <w:bottom w:val="none" w:sz="0" w:space="0" w:color="auto"/>
            <w:right w:val="none" w:sz="0" w:space="0" w:color="auto"/>
          </w:divBdr>
        </w:div>
        <w:div w:id="1604530906">
          <w:marLeft w:val="0"/>
          <w:marRight w:val="0"/>
          <w:marTop w:val="0"/>
          <w:marBottom w:val="0"/>
          <w:divBdr>
            <w:top w:val="none" w:sz="0" w:space="0" w:color="auto"/>
            <w:left w:val="none" w:sz="0" w:space="0" w:color="auto"/>
            <w:bottom w:val="none" w:sz="0" w:space="0" w:color="auto"/>
            <w:right w:val="none" w:sz="0" w:space="0" w:color="auto"/>
          </w:divBdr>
        </w:div>
        <w:div w:id="1650818580">
          <w:marLeft w:val="0"/>
          <w:marRight w:val="0"/>
          <w:marTop w:val="0"/>
          <w:marBottom w:val="0"/>
          <w:divBdr>
            <w:top w:val="none" w:sz="0" w:space="0" w:color="auto"/>
            <w:left w:val="none" w:sz="0" w:space="0" w:color="auto"/>
            <w:bottom w:val="none" w:sz="0" w:space="0" w:color="auto"/>
            <w:right w:val="none" w:sz="0" w:space="0" w:color="auto"/>
          </w:divBdr>
        </w:div>
        <w:div w:id="42758813">
          <w:marLeft w:val="0"/>
          <w:marRight w:val="0"/>
          <w:marTop w:val="0"/>
          <w:marBottom w:val="0"/>
          <w:divBdr>
            <w:top w:val="none" w:sz="0" w:space="0" w:color="auto"/>
            <w:left w:val="none" w:sz="0" w:space="0" w:color="auto"/>
            <w:bottom w:val="none" w:sz="0" w:space="0" w:color="auto"/>
            <w:right w:val="none" w:sz="0" w:space="0" w:color="auto"/>
          </w:divBdr>
        </w:div>
        <w:div w:id="543561119">
          <w:marLeft w:val="0"/>
          <w:marRight w:val="0"/>
          <w:marTop w:val="0"/>
          <w:marBottom w:val="0"/>
          <w:divBdr>
            <w:top w:val="none" w:sz="0" w:space="0" w:color="auto"/>
            <w:left w:val="none" w:sz="0" w:space="0" w:color="auto"/>
            <w:bottom w:val="none" w:sz="0" w:space="0" w:color="auto"/>
            <w:right w:val="none" w:sz="0" w:space="0" w:color="auto"/>
          </w:divBdr>
        </w:div>
        <w:div w:id="177621542">
          <w:marLeft w:val="0"/>
          <w:marRight w:val="0"/>
          <w:marTop w:val="0"/>
          <w:marBottom w:val="0"/>
          <w:divBdr>
            <w:top w:val="none" w:sz="0" w:space="0" w:color="auto"/>
            <w:left w:val="none" w:sz="0" w:space="0" w:color="auto"/>
            <w:bottom w:val="none" w:sz="0" w:space="0" w:color="auto"/>
            <w:right w:val="none" w:sz="0" w:space="0" w:color="auto"/>
          </w:divBdr>
        </w:div>
        <w:div w:id="646130225">
          <w:marLeft w:val="0"/>
          <w:marRight w:val="0"/>
          <w:marTop w:val="0"/>
          <w:marBottom w:val="0"/>
          <w:divBdr>
            <w:top w:val="none" w:sz="0" w:space="0" w:color="auto"/>
            <w:left w:val="none" w:sz="0" w:space="0" w:color="auto"/>
            <w:bottom w:val="none" w:sz="0" w:space="0" w:color="auto"/>
            <w:right w:val="none" w:sz="0" w:space="0" w:color="auto"/>
          </w:divBdr>
        </w:div>
        <w:div w:id="1076124811">
          <w:marLeft w:val="0"/>
          <w:marRight w:val="0"/>
          <w:marTop w:val="0"/>
          <w:marBottom w:val="0"/>
          <w:divBdr>
            <w:top w:val="none" w:sz="0" w:space="0" w:color="auto"/>
            <w:left w:val="none" w:sz="0" w:space="0" w:color="auto"/>
            <w:bottom w:val="none" w:sz="0" w:space="0" w:color="auto"/>
            <w:right w:val="none" w:sz="0" w:space="0" w:color="auto"/>
          </w:divBdr>
        </w:div>
        <w:div w:id="1750154270">
          <w:marLeft w:val="0"/>
          <w:marRight w:val="0"/>
          <w:marTop w:val="0"/>
          <w:marBottom w:val="0"/>
          <w:divBdr>
            <w:top w:val="none" w:sz="0" w:space="0" w:color="auto"/>
            <w:left w:val="none" w:sz="0" w:space="0" w:color="auto"/>
            <w:bottom w:val="none" w:sz="0" w:space="0" w:color="auto"/>
            <w:right w:val="none" w:sz="0" w:space="0" w:color="auto"/>
          </w:divBdr>
        </w:div>
        <w:div w:id="1578981087">
          <w:marLeft w:val="0"/>
          <w:marRight w:val="0"/>
          <w:marTop w:val="0"/>
          <w:marBottom w:val="0"/>
          <w:divBdr>
            <w:top w:val="none" w:sz="0" w:space="0" w:color="auto"/>
            <w:left w:val="none" w:sz="0" w:space="0" w:color="auto"/>
            <w:bottom w:val="none" w:sz="0" w:space="0" w:color="auto"/>
            <w:right w:val="none" w:sz="0" w:space="0" w:color="auto"/>
          </w:divBdr>
        </w:div>
        <w:div w:id="1030715992">
          <w:marLeft w:val="0"/>
          <w:marRight w:val="0"/>
          <w:marTop w:val="0"/>
          <w:marBottom w:val="0"/>
          <w:divBdr>
            <w:top w:val="none" w:sz="0" w:space="0" w:color="auto"/>
            <w:left w:val="none" w:sz="0" w:space="0" w:color="auto"/>
            <w:bottom w:val="none" w:sz="0" w:space="0" w:color="auto"/>
            <w:right w:val="none" w:sz="0" w:space="0" w:color="auto"/>
          </w:divBdr>
        </w:div>
        <w:div w:id="553467328">
          <w:marLeft w:val="0"/>
          <w:marRight w:val="0"/>
          <w:marTop w:val="0"/>
          <w:marBottom w:val="0"/>
          <w:divBdr>
            <w:top w:val="none" w:sz="0" w:space="0" w:color="auto"/>
            <w:left w:val="none" w:sz="0" w:space="0" w:color="auto"/>
            <w:bottom w:val="none" w:sz="0" w:space="0" w:color="auto"/>
            <w:right w:val="none" w:sz="0" w:space="0" w:color="auto"/>
          </w:divBdr>
        </w:div>
        <w:div w:id="171726034">
          <w:marLeft w:val="0"/>
          <w:marRight w:val="0"/>
          <w:marTop w:val="0"/>
          <w:marBottom w:val="0"/>
          <w:divBdr>
            <w:top w:val="none" w:sz="0" w:space="0" w:color="auto"/>
            <w:left w:val="none" w:sz="0" w:space="0" w:color="auto"/>
            <w:bottom w:val="none" w:sz="0" w:space="0" w:color="auto"/>
            <w:right w:val="none" w:sz="0" w:space="0" w:color="auto"/>
          </w:divBdr>
        </w:div>
        <w:div w:id="220293552">
          <w:marLeft w:val="0"/>
          <w:marRight w:val="0"/>
          <w:marTop w:val="0"/>
          <w:marBottom w:val="0"/>
          <w:divBdr>
            <w:top w:val="none" w:sz="0" w:space="0" w:color="auto"/>
            <w:left w:val="none" w:sz="0" w:space="0" w:color="auto"/>
            <w:bottom w:val="none" w:sz="0" w:space="0" w:color="auto"/>
            <w:right w:val="none" w:sz="0" w:space="0" w:color="auto"/>
          </w:divBdr>
        </w:div>
        <w:div w:id="784890417">
          <w:marLeft w:val="0"/>
          <w:marRight w:val="0"/>
          <w:marTop w:val="0"/>
          <w:marBottom w:val="0"/>
          <w:divBdr>
            <w:top w:val="none" w:sz="0" w:space="0" w:color="auto"/>
            <w:left w:val="none" w:sz="0" w:space="0" w:color="auto"/>
            <w:bottom w:val="none" w:sz="0" w:space="0" w:color="auto"/>
            <w:right w:val="none" w:sz="0" w:space="0" w:color="auto"/>
          </w:divBdr>
        </w:div>
        <w:div w:id="1452554036">
          <w:marLeft w:val="0"/>
          <w:marRight w:val="0"/>
          <w:marTop w:val="0"/>
          <w:marBottom w:val="0"/>
          <w:divBdr>
            <w:top w:val="none" w:sz="0" w:space="0" w:color="auto"/>
            <w:left w:val="none" w:sz="0" w:space="0" w:color="auto"/>
            <w:bottom w:val="none" w:sz="0" w:space="0" w:color="auto"/>
            <w:right w:val="none" w:sz="0" w:space="0" w:color="auto"/>
          </w:divBdr>
        </w:div>
        <w:div w:id="1622609076">
          <w:marLeft w:val="0"/>
          <w:marRight w:val="0"/>
          <w:marTop w:val="0"/>
          <w:marBottom w:val="0"/>
          <w:divBdr>
            <w:top w:val="none" w:sz="0" w:space="0" w:color="auto"/>
            <w:left w:val="none" w:sz="0" w:space="0" w:color="auto"/>
            <w:bottom w:val="none" w:sz="0" w:space="0" w:color="auto"/>
            <w:right w:val="none" w:sz="0" w:space="0" w:color="auto"/>
          </w:divBdr>
        </w:div>
        <w:div w:id="1836991196">
          <w:marLeft w:val="0"/>
          <w:marRight w:val="0"/>
          <w:marTop w:val="0"/>
          <w:marBottom w:val="0"/>
          <w:divBdr>
            <w:top w:val="none" w:sz="0" w:space="0" w:color="auto"/>
            <w:left w:val="none" w:sz="0" w:space="0" w:color="auto"/>
            <w:bottom w:val="none" w:sz="0" w:space="0" w:color="auto"/>
            <w:right w:val="none" w:sz="0" w:space="0" w:color="auto"/>
          </w:divBdr>
        </w:div>
        <w:div w:id="435252098">
          <w:marLeft w:val="0"/>
          <w:marRight w:val="0"/>
          <w:marTop w:val="0"/>
          <w:marBottom w:val="0"/>
          <w:divBdr>
            <w:top w:val="none" w:sz="0" w:space="0" w:color="auto"/>
            <w:left w:val="none" w:sz="0" w:space="0" w:color="auto"/>
            <w:bottom w:val="none" w:sz="0" w:space="0" w:color="auto"/>
            <w:right w:val="none" w:sz="0" w:space="0" w:color="auto"/>
          </w:divBdr>
        </w:div>
        <w:div w:id="2104497572">
          <w:marLeft w:val="0"/>
          <w:marRight w:val="0"/>
          <w:marTop w:val="0"/>
          <w:marBottom w:val="0"/>
          <w:divBdr>
            <w:top w:val="none" w:sz="0" w:space="0" w:color="auto"/>
            <w:left w:val="none" w:sz="0" w:space="0" w:color="auto"/>
            <w:bottom w:val="none" w:sz="0" w:space="0" w:color="auto"/>
            <w:right w:val="none" w:sz="0" w:space="0" w:color="auto"/>
          </w:divBdr>
        </w:div>
        <w:div w:id="1161508484">
          <w:marLeft w:val="0"/>
          <w:marRight w:val="0"/>
          <w:marTop w:val="0"/>
          <w:marBottom w:val="0"/>
          <w:divBdr>
            <w:top w:val="none" w:sz="0" w:space="0" w:color="auto"/>
            <w:left w:val="none" w:sz="0" w:space="0" w:color="auto"/>
            <w:bottom w:val="none" w:sz="0" w:space="0" w:color="auto"/>
            <w:right w:val="none" w:sz="0" w:space="0" w:color="auto"/>
          </w:divBdr>
        </w:div>
        <w:div w:id="2110471098">
          <w:marLeft w:val="0"/>
          <w:marRight w:val="0"/>
          <w:marTop w:val="0"/>
          <w:marBottom w:val="0"/>
          <w:divBdr>
            <w:top w:val="none" w:sz="0" w:space="0" w:color="auto"/>
            <w:left w:val="none" w:sz="0" w:space="0" w:color="auto"/>
            <w:bottom w:val="none" w:sz="0" w:space="0" w:color="auto"/>
            <w:right w:val="none" w:sz="0" w:space="0" w:color="auto"/>
          </w:divBdr>
        </w:div>
        <w:div w:id="1588465917">
          <w:marLeft w:val="0"/>
          <w:marRight w:val="0"/>
          <w:marTop w:val="0"/>
          <w:marBottom w:val="0"/>
          <w:divBdr>
            <w:top w:val="none" w:sz="0" w:space="0" w:color="auto"/>
            <w:left w:val="none" w:sz="0" w:space="0" w:color="auto"/>
            <w:bottom w:val="none" w:sz="0" w:space="0" w:color="auto"/>
            <w:right w:val="none" w:sz="0" w:space="0" w:color="auto"/>
          </w:divBdr>
        </w:div>
        <w:div w:id="1356888509">
          <w:marLeft w:val="0"/>
          <w:marRight w:val="0"/>
          <w:marTop w:val="0"/>
          <w:marBottom w:val="0"/>
          <w:divBdr>
            <w:top w:val="none" w:sz="0" w:space="0" w:color="auto"/>
            <w:left w:val="none" w:sz="0" w:space="0" w:color="auto"/>
            <w:bottom w:val="none" w:sz="0" w:space="0" w:color="auto"/>
            <w:right w:val="none" w:sz="0" w:space="0" w:color="auto"/>
          </w:divBdr>
        </w:div>
        <w:div w:id="1974868038">
          <w:marLeft w:val="0"/>
          <w:marRight w:val="0"/>
          <w:marTop w:val="0"/>
          <w:marBottom w:val="0"/>
          <w:divBdr>
            <w:top w:val="none" w:sz="0" w:space="0" w:color="auto"/>
            <w:left w:val="none" w:sz="0" w:space="0" w:color="auto"/>
            <w:bottom w:val="none" w:sz="0" w:space="0" w:color="auto"/>
            <w:right w:val="none" w:sz="0" w:space="0" w:color="auto"/>
          </w:divBdr>
        </w:div>
        <w:div w:id="1310094601">
          <w:marLeft w:val="0"/>
          <w:marRight w:val="0"/>
          <w:marTop w:val="0"/>
          <w:marBottom w:val="0"/>
          <w:divBdr>
            <w:top w:val="none" w:sz="0" w:space="0" w:color="auto"/>
            <w:left w:val="none" w:sz="0" w:space="0" w:color="auto"/>
            <w:bottom w:val="none" w:sz="0" w:space="0" w:color="auto"/>
            <w:right w:val="none" w:sz="0" w:space="0" w:color="auto"/>
          </w:divBdr>
        </w:div>
        <w:div w:id="2051149403">
          <w:marLeft w:val="0"/>
          <w:marRight w:val="0"/>
          <w:marTop w:val="0"/>
          <w:marBottom w:val="0"/>
          <w:divBdr>
            <w:top w:val="none" w:sz="0" w:space="0" w:color="auto"/>
            <w:left w:val="none" w:sz="0" w:space="0" w:color="auto"/>
            <w:bottom w:val="none" w:sz="0" w:space="0" w:color="auto"/>
            <w:right w:val="none" w:sz="0" w:space="0" w:color="auto"/>
          </w:divBdr>
        </w:div>
        <w:div w:id="1376270285">
          <w:marLeft w:val="0"/>
          <w:marRight w:val="0"/>
          <w:marTop w:val="0"/>
          <w:marBottom w:val="0"/>
          <w:divBdr>
            <w:top w:val="none" w:sz="0" w:space="0" w:color="auto"/>
            <w:left w:val="none" w:sz="0" w:space="0" w:color="auto"/>
            <w:bottom w:val="none" w:sz="0" w:space="0" w:color="auto"/>
            <w:right w:val="none" w:sz="0" w:space="0" w:color="auto"/>
          </w:divBdr>
        </w:div>
        <w:div w:id="1420103332">
          <w:marLeft w:val="0"/>
          <w:marRight w:val="0"/>
          <w:marTop w:val="0"/>
          <w:marBottom w:val="0"/>
          <w:divBdr>
            <w:top w:val="none" w:sz="0" w:space="0" w:color="auto"/>
            <w:left w:val="none" w:sz="0" w:space="0" w:color="auto"/>
            <w:bottom w:val="none" w:sz="0" w:space="0" w:color="auto"/>
            <w:right w:val="none" w:sz="0" w:space="0" w:color="auto"/>
          </w:divBdr>
        </w:div>
        <w:div w:id="1192913523">
          <w:marLeft w:val="0"/>
          <w:marRight w:val="0"/>
          <w:marTop w:val="0"/>
          <w:marBottom w:val="0"/>
          <w:divBdr>
            <w:top w:val="none" w:sz="0" w:space="0" w:color="auto"/>
            <w:left w:val="none" w:sz="0" w:space="0" w:color="auto"/>
            <w:bottom w:val="none" w:sz="0" w:space="0" w:color="auto"/>
            <w:right w:val="none" w:sz="0" w:space="0" w:color="auto"/>
          </w:divBdr>
        </w:div>
        <w:div w:id="1435706357">
          <w:marLeft w:val="0"/>
          <w:marRight w:val="0"/>
          <w:marTop w:val="0"/>
          <w:marBottom w:val="0"/>
          <w:divBdr>
            <w:top w:val="none" w:sz="0" w:space="0" w:color="auto"/>
            <w:left w:val="none" w:sz="0" w:space="0" w:color="auto"/>
            <w:bottom w:val="none" w:sz="0" w:space="0" w:color="auto"/>
            <w:right w:val="none" w:sz="0" w:space="0" w:color="auto"/>
          </w:divBdr>
        </w:div>
        <w:div w:id="90512874">
          <w:marLeft w:val="0"/>
          <w:marRight w:val="0"/>
          <w:marTop w:val="0"/>
          <w:marBottom w:val="0"/>
          <w:divBdr>
            <w:top w:val="none" w:sz="0" w:space="0" w:color="auto"/>
            <w:left w:val="none" w:sz="0" w:space="0" w:color="auto"/>
            <w:bottom w:val="none" w:sz="0" w:space="0" w:color="auto"/>
            <w:right w:val="none" w:sz="0" w:space="0" w:color="auto"/>
          </w:divBdr>
        </w:div>
        <w:div w:id="850148999">
          <w:marLeft w:val="0"/>
          <w:marRight w:val="0"/>
          <w:marTop w:val="0"/>
          <w:marBottom w:val="0"/>
          <w:divBdr>
            <w:top w:val="none" w:sz="0" w:space="0" w:color="auto"/>
            <w:left w:val="none" w:sz="0" w:space="0" w:color="auto"/>
            <w:bottom w:val="none" w:sz="0" w:space="0" w:color="auto"/>
            <w:right w:val="none" w:sz="0" w:space="0" w:color="auto"/>
          </w:divBdr>
        </w:div>
        <w:div w:id="1803645312">
          <w:marLeft w:val="0"/>
          <w:marRight w:val="0"/>
          <w:marTop w:val="0"/>
          <w:marBottom w:val="0"/>
          <w:divBdr>
            <w:top w:val="none" w:sz="0" w:space="0" w:color="auto"/>
            <w:left w:val="none" w:sz="0" w:space="0" w:color="auto"/>
            <w:bottom w:val="none" w:sz="0" w:space="0" w:color="auto"/>
            <w:right w:val="none" w:sz="0" w:space="0" w:color="auto"/>
          </w:divBdr>
        </w:div>
        <w:div w:id="1616326214">
          <w:marLeft w:val="0"/>
          <w:marRight w:val="0"/>
          <w:marTop w:val="0"/>
          <w:marBottom w:val="0"/>
          <w:divBdr>
            <w:top w:val="none" w:sz="0" w:space="0" w:color="auto"/>
            <w:left w:val="none" w:sz="0" w:space="0" w:color="auto"/>
            <w:bottom w:val="none" w:sz="0" w:space="0" w:color="auto"/>
            <w:right w:val="none" w:sz="0" w:space="0" w:color="auto"/>
          </w:divBdr>
        </w:div>
        <w:div w:id="928277064">
          <w:marLeft w:val="0"/>
          <w:marRight w:val="0"/>
          <w:marTop w:val="0"/>
          <w:marBottom w:val="0"/>
          <w:divBdr>
            <w:top w:val="none" w:sz="0" w:space="0" w:color="auto"/>
            <w:left w:val="none" w:sz="0" w:space="0" w:color="auto"/>
            <w:bottom w:val="none" w:sz="0" w:space="0" w:color="auto"/>
            <w:right w:val="none" w:sz="0" w:space="0" w:color="auto"/>
          </w:divBdr>
        </w:div>
        <w:div w:id="176845447">
          <w:marLeft w:val="0"/>
          <w:marRight w:val="0"/>
          <w:marTop w:val="0"/>
          <w:marBottom w:val="0"/>
          <w:divBdr>
            <w:top w:val="none" w:sz="0" w:space="0" w:color="auto"/>
            <w:left w:val="none" w:sz="0" w:space="0" w:color="auto"/>
            <w:bottom w:val="none" w:sz="0" w:space="0" w:color="auto"/>
            <w:right w:val="none" w:sz="0" w:space="0" w:color="auto"/>
          </w:divBdr>
        </w:div>
        <w:div w:id="1104300495">
          <w:marLeft w:val="0"/>
          <w:marRight w:val="0"/>
          <w:marTop w:val="0"/>
          <w:marBottom w:val="0"/>
          <w:divBdr>
            <w:top w:val="none" w:sz="0" w:space="0" w:color="auto"/>
            <w:left w:val="none" w:sz="0" w:space="0" w:color="auto"/>
            <w:bottom w:val="none" w:sz="0" w:space="0" w:color="auto"/>
            <w:right w:val="none" w:sz="0" w:space="0" w:color="auto"/>
          </w:divBdr>
        </w:div>
        <w:div w:id="754976814">
          <w:marLeft w:val="0"/>
          <w:marRight w:val="0"/>
          <w:marTop w:val="0"/>
          <w:marBottom w:val="0"/>
          <w:divBdr>
            <w:top w:val="none" w:sz="0" w:space="0" w:color="auto"/>
            <w:left w:val="none" w:sz="0" w:space="0" w:color="auto"/>
            <w:bottom w:val="none" w:sz="0" w:space="0" w:color="auto"/>
            <w:right w:val="none" w:sz="0" w:space="0" w:color="auto"/>
          </w:divBdr>
        </w:div>
        <w:div w:id="1552576811">
          <w:marLeft w:val="0"/>
          <w:marRight w:val="0"/>
          <w:marTop w:val="0"/>
          <w:marBottom w:val="0"/>
          <w:divBdr>
            <w:top w:val="none" w:sz="0" w:space="0" w:color="auto"/>
            <w:left w:val="none" w:sz="0" w:space="0" w:color="auto"/>
            <w:bottom w:val="none" w:sz="0" w:space="0" w:color="auto"/>
            <w:right w:val="none" w:sz="0" w:space="0" w:color="auto"/>
          </w:divBdr>
        </w:div>
        <w:div w:id="960692981">
          <w:marLeft w:val="0"/>
          <w:marRight w:val="0"/>
          <w:marTop w:val="0"/>
          <w:marBottom w:val="0"/>
          <w:divBdr>
            <w:top w:val="none" w:sz="0" w:space="0" w:color="auto"/>
            <w:left w:val="none" w:sz="0" w:space="0" w:color="auto"/>
            <w:bottom w:val="none" w:sz="0" w:space="0" w:color="auto"/>
            <w:right w:val="none" w:sz="0" w:space="0" w:color="auto"/>
          </w:divBdr>
        </w:div>
        <w:div w:id="2052732023">
          <w:marLeft w:val="0"/>
          <w:marRight w:val="0"/>
          <w:marTop w:val="0"/>
          <w:marBottom w:val="0"/>
          <w:divBdr>
            <w:top w:val="none" w:sz="0" w:space="0" w:color="auto"/>
            <w:left w:val="none" w:sz="0" w:space="0" w:color="auto"/>
            <w:bottom w:val="none" w:sz="0" w:space="0" w:color="auto"/>
            <w:right w:val="none" w:sz="0" w:space="0" w:color="auto"/>
          </w:divBdr>
        </w:div>
        <w:div w:id="1469936961">
          <w:marLeft w:val="0"/>
          <w:marRight w:val="0"/>
          <w:marTop w:val="0"/>
          <w:marBottom w:val="0"/>
          <w:divBdr>
            <w:top w:val="none" w:sz="0" w:space="0" w:color="auto"/>
            <w:left w:val="none" w:sz="0" w:space="0" w:color="auto"/>
            <w:bottom w:val="none" w:sz="0" w:space="0" w:color="auto"/>
            <w:right w:val="none" w:sz="0" w:space="0" w:color="auto"/>
          </w:divBdr>
        </w:div>
        <w:div w:id="2026637391">
          <w:marLeft w:val="0"/>
          <w:marRight w:val="0"/>
          <w:marTop w:val="0"/>
          <w:marBottom w:val="0"/>
          <w:divBdr>
            <w:top w:val="none" w:sz="0" w:space="0" w:color="auto"/>
            <w:left w:val="none" w:sz="0" w:space="0" w:color="auto"/>
            <w:bottom w:val="none" w:sz="0" w:space="0" w:color="auto"/>
            <w:right w:val="none" w:sz="0" w:space="0" w:color="auto"/>
          </w:divBdr>
        </w:div>
        <w:div w:id="964844724">
          <w:marLeft w:val="0"/>
          <w:marRight w:val="0"/>
          <w:marTop w:val="0"/>
          <w:marBottom w:val="0"/>
          <w:divBdr>
            <w:top w:val="none" w:sz="0" w:space="0" w:color="auto"/>
            <w:left w:val="none" w:sz="0" w:space="0" w:color="auto"/>
            <w:bottom w:val="none" w:sz="0" w:space="0" w:color="auto"/>
            <w:right w:val="none" w:sz="0" w:space="0" w:color="auto"/>
          </w:divBdr>
        </w:div>
        <w:div w:id="2118941465">
          <w:marLeft w:val="0"/>
          <w:marRight w:val="0"/>
          <w:marTop w:val="0"/>
          <w:marBottom w:val="0"/>
          <w:divBdr>
            <w:top w:val="none" w:sz="0" w:space="0" w:color="auto"/>
            <w:left w:val="none" w:sz="0" w:space="0" w:color="auto"/>
            <w:bottom w:val="none" w:sz="0" w:space="0" w:color="auto"/>
            <w:right w:val="none" w:sz="0" w:space="0" w:color="auto"/>
          </w:divBdr>
        </w:div>
        <w:div w:id="304510950">
          <w:marLeft w:val="0"/>
          <w:marRight w:val="0"/>
          <w:marTop w:val="0"/>
          <w:marBottom w:val="0"/>
          <w:divBdr>
            <w:top w:val="none" w:sz="0" w:space="0" w:color="auto"/>
            <w:left w:val="none" w:sz="0" w:space="0" w:color="auto"/>
            <w:bottom w:val="none" w:sz="0" w:space="0" w:color="auto"/>
            <w:right w:val="none" w:sz="0" w:space="0" w:color="auto"/>
          </w:divBdr>
        </w:div>
        <w:div w:id="1803428296">
          <w:marLeft w:val="0"/>
          <w:marRight w:val="0"/>
          <w:marTop w:val="0"/>
          <w:marBottom w:val="0"/>
          <w:divBdr>
            <w:top w:val="none" w:sz="0" w:space="0" w:color="auto"/>
            <w:left w:val="none" w:sz="0" w:space="0" w:color="auto"/>
            <w:bottom w:val="none" w:sz="0" w:space="0" w:color="auto"/>
            <w:right w:val="none" w:sz="0" w:space="0" w:color="auto"/>
          </w:divBdr>
        </w:div>
        <w:div w:id="441343301">
          <w:marLeft w:val="0"/>
          <w:marRight w:val="0"/>
          <w:marTop w:val="0"/>
          <w:marBottom w:val="0"/>
          <w:divBdr>
            <w:top w:val="none" w:sz="0" w:space="0" w:color="auto"/>
            <w:left w:val="none" w:sz="0" w:space="0" w:color="auto"/>
            <w:bottom w:val="none" w:sz="0" w:space="0" w:color="auto"/>
            <w:right w:val="none" w:sz="0" w:space="0" w:color="auto"/>
          </w:divBdr>
        </w:div>
        <w:div w:id="1254316729">
          <w:marLeft w:val="0"/>
          <w:marRight w:val="0"/>
          <w:marTop w:val="0"/>
          <w:marBottom w:val="0"/>
          <w:divBdr>
            <w:top w:val="none" w:sz="0" w:space="0" w:color="auto"/>
            <w:left w:val="none" w:sz="0" w:space="0" w:color="auto"/>
            <w:bottom w:val="none" w:sz="0" w:space="0" w:color="auto"/>
            <w:right w:val="none" w:sz="0" w:space="0" w:color="auto"/>
          </w:divBdr>
        </w:div>
        <w:div w:id="165826066">
          <w:marLeft w:val="0"/>
          <w:marRight w:val="0"/>
          <w:marTop w:val="0"/>
          <w:marBottom w:val="0"/>
          <w:divBdr>
            <w:top w:val="none" w:sz="0" w:space="0" w:color="auto"/>
            <w:left w:val="none" w:sz="0" w:space="0" w:color="auto"/>
            <w:bottom w:val="none" w:sz="0" w:space="0" w:color="auto"/>
            <w:right w:val="none" w:sz="0" w:space="0" w:color="auto"/>
          </w:divBdr>
        </w:div>
        <w:div w:id="386687956">
          <w:marLeft w:val="0"/>
          <w:marRight w:val="0"/>
          <w:marTop w:val="0"/>
          <w:marBottom w:val="0"/>
          <w:divBdr>
            <w:top w:val="none" w:sz="0" w:space="0" w:color="auto"/>
            <w:left w:val="none" w:sz="0" w:space="0" w:color="auto"/>
            <w:bottom w:val="none" w:sz="0" w:space="0" w:color="auto"/>
            <w:right w:val="none" w:sz="0" w:space="0" w:color="auto"/>
          </w:divBdr>
        </w:div>
        <w:div w:id="1801923078">
          <w:marLeft w:val="0"/>
          <w:marRight w:val="0"/>
          <w:marTop w:val="0"/>
          <w:marBottom w:val="0"/>
          <w:divBdr>
            <w:top w:val="none" w:sz="0" w:space="0" w:color="auto"/>
            <w:left w:val="none" w:sz="0" w:space="0" w:color="auto"/>
            <w:bottom w:val="none" w:sz="0" w:space="0" w:color="auto"/>
            <w:right w:val="none" w:sz="0" w:space="0" w:color="auto"/>
          </w:divBdr>
        </w:div>
        <w:div w:id="1241717669">
          <w:marLeft w:val="0"/>
          <w:marRight w:val="0"/>
          <w:marTop w:val="0"/>
          <w:marBottom w:val="0"/>
          <w:divBdr>
            <w:top w:val="none" w:sz="0" w:space="0" w:color="auto"/>
            <w:left w:val="none" w:sz="0" w:space="0" w:color="auto"/>
            <w:bottom w:val="none" w:sz="0" w:space="0" w:color="auto"/>
            <w:right w:val="none" w:sz="0" w:space="0" w:color="auto"/>
          </w:divBdr>
        </w:div>
        <w:div w:id="653871753">
          <w:marLeft w:val="0"/>
          <w:marRight w:val="0"/>
          <w:marTop w:val="0"/>
          <w:marBottom w:val="0"/>
          <w:divBdr>
            <w:top w:val="none" w:sz="0" w:space="0" w:color="auto"/>
            <w:left w:val="none" w:sz="0" w:space="0" w:color="auto"/>
            <w:bottom w:val="none" w:sz="0" w:space="0" w:color="auto"/>
            <w:right w:val="none" w:sz="0" w:space="0" w:color="auto"/>
          </w:divBdr>
        </w:div>
        <w:div w:id="346250264">
          <w:marLeft w:val="0"/>
          <w:marRight w:val="0"/>
          <w:marTop w:val="0"/>
          <w:marBottom w:val="0"/>
          <w:divBdr>
            <w:top w:val="none" w:sz="0" w:space="0" w:color="auto"/>
            <w:left w:val="none" w:sz="0" w:space="0" w:color="auto"/>
            <w:bottom w:val="none" w:sz="0" w:space="0" w:color="auto"/>
            <w:right w:val="none" w:sz="0" w:space="0" w:color="auto"/>
          </w:divBdr>
        </w:div>
        <w:div w:id="916324949">
          <w:marLeft w:val="0"/>
          <w:marRight w:val="0"/>
          <w:marTop w:val="0"/>
          <w:marBottom w:val="0"/>
          <w:divBdr>
            <w:top w:val="none" w:sz="0" w:space="0" w:color="auto"/>
            <w:left w:val="none" w:sz="0" w:space="0" w:color="auto"/>
            <w:bottom w:val="none" w:sz="0" w:space="0" w:color="auto"/>
            <w:right w:val="none" w:sz="0" w:space="0" w:color="auto"/>
          </w:divBdr>
        </w:div>
        <w:div w:id="308369169">
          <w:marLeft w:val="0"/>
          <w:marRight w:val="0"/>
          <w:marTop w:val="0"/>
          <w:marBottom w:val="0"/>
          <w:divBdr>
            <w:top w:val="none" w:sz="0" w:space="0" w:color="auto"/>
            <w:left w:val="none" w:sz="0" w:space="0" w:color="auto"/>
            <w:bottom w:val="none" w:sz="0" w:space="0" w:color="auto"/>
            <w:right w:val="none" w:sz="0" w:space="0" w:color="auto"/>
          </w:divBdr>
        </w:div>
        <w:div w:id="1136028618">
          <w:marLeft w:val="0"/>
          <w:marRight w:val="0"/>
          <w:marTop w:val="0"/>
          <w:marBottom w:val="0"/>
          <w:divBdr>
            <w:top w:val="none" w:sz="0" w:space="0" w:color="auto"/>
            <w:left w:val="none" w:sz="0" w:space="0" w:color="auto"/>
            <w:bottom w:val="none" w:sz="0" w:space="0" w:color="auto"/>
            <w:right w:val="none" w:sz="0" w:space="0" w:color="auto"/>
          </w:divBdr>
        </w:div>
        <w:div w:id="1409882917">
          <w:marLeft w:val="0"/>
          <w:marRight w:val="0"/>
          <w:marTop w:val="0"/>
          <w:marBottom w:val="0"/>
          <w:divBdr>
            <w:top w:val="none" w:sz="0" w:space="0" w:color="auto"/>
            <w:left w:val="none" w:sz="0" w:space="0" w:color="auto"/>
            <w:bottom w:val="none" w:sz="0" w:space="0" w:color="auto"/>
            <w:right w:val="none" w:sz="0" w:space="0" w:color="auto"/>
          </w:divBdr>
        </w:div>
        <w:div w:id="1985158173">
          <w:marLeft w:val="0"/>
          <w:marRight w:val="0"/>
          <w:marTop w:val="0"/>
          <w:marBottom w:val="0"/>
          <w:divBdr>
            <w:top w:val="none" w:sz="0" w:space="0" w:color="auto"/>
            <w:left w:val="none" w:sz="0" w:space="0" w:color="auto"/>
            <w:bottom w:val="none" w:sz="0" w:space="0" w:color="auto"/>
            <w:right w:val="none" w:sz="0" w:space="0" w:color="auto"/>
          </w:divBdr>
        </w:div>
        <w:div w:id="86121876">
          <w:marLeft w:val="0"/>
          <w:marRight w:val="0"/>
          <w:marTop w:val="0"/>
          <w:marBottom w:val="0"/>
          <w:divBdr>
            <w:top w:val="none" w:sz="0" w:space="0" w:color="auto"/>
            <w:left w:val="none" w:sz="0" w:space="0" w:color="auto"/>
            <w:bottom w:val="none" w:sz="0" w:space="0" w:color="auto"/>
            <w:right w:val="none" w:sz="0" w:space="0" w:color="auto"/>
          </w:divBdr>
        </w:div>
        <w:div w:id="1482308611">
          <w:marLeft w:val="0"/>
          <w:marRight w:val="0"/>
          <w:marTop w:val="0"/>
          <w:marBottom w:val="0"/>
          <w:divBdr>
            <w:top w:val="none" w:sz="0" w:space="0" w:color="auto"/>
            <w:left w:val="none" w:sz="0" w:space="0" w:color="auto"/>
            <w:bottom w:val="none" w:sz="0" w:space="0" w:color="auto"/>
            <w:right w:val="none" w:sz="0" w:space="0" w:color="auto"/>
          </w:divBdr>
        </w:div>
        <w:div w:id="1532302634">
          <w:marLeft w:val="0"/>
          <w:marRight w:val="0"/>
          <w:marTop w:val="0"/>
          <w:marBottom w:val="0"/>
          <w:divBdr>
            <w:top w:val="none" w:sz="0" w:space="0" w:color="auto"/>
            <w:left w:val="none" w:sz="0" w:space="0" w:color="auto"/>
            <w:bottom w:val="none" w:sz="0" w:space="0" w:color="auto"/>
            <w:right w:val="none" w:sz="0" w:space="0" w:color="auto"/>
          </w:divBdr>
        </w:div>
        <w:div w:id="28799565">
          <w:marLeft w:val="0"/>
          <w:marRight w:val="0"/>
          <w:marTop w:val="0"/>
          <w:marBottom w:val="0"/>
          <w:divBdr>
            <w:top w:val="none" w:sz="0" w:space="0" w:color="auto"/>
            <w:left w:val="none" w:sz="0" w:space="0" w:color="auto"/>
            <w:bottom w:val="none" w:sz="0" w:space="0" w:color="auto"/>
            <w:right w:val="none" w:sz="0" w:space="0" w:color="auto"/>
          </w:divBdr>
        </w:div>
        <w:div w:id="328407241">
          <w:marLeft w:val="0"/>
          <w:marRight w:val="0"/>
          <w:marTop w:val="0"/>
          <w:marBottom w:val="0"/>
          <w:divBdr>
            <w:top w:val="none" w:sz="0" w:space="0" w:color="auto"/>
            <w:left w:val="none" w:sz="0" w:space="0" w:color="auto"/>
            <w:bottom w:val="none" w:sz="0" w:space="0" w:color="auto"/>
            <w:right w:val="none" w:sz="0" w:space="0" w:color="auto"/>
          </w:divBdr>
        </w:div>
        <w:div w:id="1578056021">
          <w:marLeft w:val="0"/>
          <w:marRight w:val="0"/>
          <w:marTop w:val="0"/>
          <w:marBottom w:val="0"/>
          <w:divBdr>
            <w:top w:val="none" w:sz="0" w:space="0" w:color="auto"/>
            <w:left w:val="none" w:sz="0" w:space="0" w:color="auto"/>
            <w:bottom w:val="none" w:sz="0" w:space="0" w:color="auto"/>
            <w:right w:val="none" w:sz="0" w:space="0" w:color="auto"/>
          </w:divBdr>
        </w:div>
        <w:div w:id="2013602982">
          <w:marLeft w:val="0"/>
          <w:marRight w:val="0"/>
          <w:marTop w:val="0"/>
          <w:marBottom w:val="0"/>
          <w:divBdr>
            <w:top w:val="none" w:sz="0" w:space="0" w:color="auto"/>
            <w:left w:val="none" w:sz="0" w:space="0" w:color="auto"/>
            <w:bottom w:val="none" w:sz="0" w:space="0" w:color="auto"/>
            <w:right w:val="none" w:sz="0" w:space="0" w:color="auto"/>
          </w:divBdr>
        </w:div>
        <w:div w:id="2083986009">
          <w:marLeft w:val="0"/>
          <w:marRight w:val="0"/>
          <w:marTop w:val="0"/>
          <w:marBottom w:val="0"/>
          <w:divBdr>
            <w:top w:val="none" w:sz="0" w:space="0" w:color="auto"/>
            <w:left w:val="none" w:sz="0" w:space="0" w:color="auto"/>
            <w:bottom w:val="none" w:sz="0" w:space="0" w:color="auto"/>
            <w:right w:val="none" w:sz="0" w:space="0" w:color="auto"/>
          </w:divBdr>
        </w:div>
        <w:div w:id="1725985494">
          <w:marLeft w:val="0"/>
          <w:marRight w:val="0"/>
          <w:marTop w:val="0"/>
          <w:marBottom w:val="0"/>
          <w:divBdr>
            <w:top w:val="none" w:sz="0" w:space="0" w:color="auto"/>
            <w:left w:val="none" w:sz="0" w:space="0" w:color="auto"/>
            <w:bottom w:val="none" w:sz="0" w:space="0" w:color="auto"/>
            <w:right w:val="none" w:sz="0" w:space="0" w:color="auto"/>
          </w:divBdr>
        </w:div>
        <w:div w:id="565844493">
          <w:marLeft w:val="0"/>
          <w:marRight w:val="0"/>
          <w:marTop w:val="0"/>
          <w:marBottom w:val="0"/>
          <w:divBdr>
            <w:top w:val="none" w:sz="0" w:space="0" w:color="auto"/>
            <w:left w:val="none" w:sz="0" w:space="0" w:color="auto"/>
            <w:bottom w:val="none" w:sz="0" w:space="0" w:color="auto"/>
            <w:right w:val="none" w:sz="0" w:space="0" w:color="auto"/>
          </w:divBdr>
        </w:div>
        <w:div w:id="2145729711">
          <w:marLeft w:val="0"/>
          <w:marRight w:val="0"/>
          <w:marTop w:val="0"/>
          <w:marBottom w:val="0"/>
          <w:divBdr>
            <w:top w:val="none" w:sz="0" w:space="0" w:color="auto"/>
            <w:left w:val="none" w:sz="0" w:space="0" w:color="auto"/>
            <w:bottom w:val="none" w:sz="0" w:space="0" w:color="auto"/>
            <w:right w:val="none" w:sz="0" w:space="0" w:color="auto"/>
          </w:divBdr>
        </w:div>
        <w:div w:id="668024760">
          <w:marLeft w:val="0"/>
          <w:marRight w:val="0"/>
          <w:marTop w:val="0"/>
          <w:marBottom w:val="0"/>
          <w:divBdr>
            <w:top w:val="none" w:sz="0" w:space="0" w:color="auto"/>
            <w:left w:val="none" w:sz="0" w:space="0" w:color="auto"/>
            <w:bottom w:val="none" w:sz="0" w:space="0" w:color="auto"/>
            <w:right w:val="none" w:sz="0" w:space="0" w:color="auto"/>
          </w:divBdr>
        </w:div>
        <w:div w:id="294680192">
          <w:marLeft w:val="0"/>
          <w:marRight w:val="0"/>
          <w:marTop w:val="0"/>
          <w:marBottom w:val="0"/>
          <w:divBdr>
            <w:top w:val="none" w:sz="0" w:space="0" w:color="auto"/>
            <w:left w:val="none" w:sz="0" w:space="0" w:color="auto"/>
            <w:bottom w:val="none" w:sz="0" w:space="0" w:color="auto"/>
            <w:right w:val="none" w:sz="0" w:space="0" w:color="auto"/>
          </w:divBdr>
        </w:div>
        <w:div w:id="1173061552">
          <w:marLeft w:val="0"/>
          <w:marRight w:val="0"/>
          <w:marTop w:val="0"/>
          <w:marBottom w:val="0"/>
          <w:divBdr>
            <w:top w:val="none" w:sz="0" w:space="0" w:color="auto"/>
            <w:left w:val="none" w:sz="0" w:space="0" w:color="auto"/>
            <w:bottom w:val="none" w:sz="0" w:space="0" w:color="auto"/>
            <w:right w:val="none" w:sz="0" w:space="0" w:color="auto"/>
          </w:divBdr>
        </w:div>
        <w:div w:id="956061454">
          <w:marLeft w:val="0"/>
          <w:marRight w:val="0"/>
          <w:marTop w:val="0"/>
          <w:marBottom w:val="0"/>
          <w:divBdr>
            <w:top w:val="none" w:sz="0" w:space="0" w:color="auto"/>
            <w:left w:val="none" w:sz="0" w:space="0" w:color="auto"/>
            <w:bottom w:val="none" w:sz="0" w:space="0" w:color="auto"/>
            <w:right w:val="none" w:sz="0" w:space="0" w:color="auto"/>
          </w:divBdr>
        </w:div>
        <w:div w:id="1439569179">
          <w:marLeft w:val="0"/>
          <w:marRight w:val="0"/>
          <w:marTop w:val="0"/>
          <w:marBottom w:val="0"/>
          <w:divBdr>
            <w:top w:val="none" w:sz="0" w:space="0" w:color="auto"/>
            <w:left w:val="none" w:sz="0" w:space="0" w:color="auto"/>
            <w:bottom w:val="none" w:sz="0" w:space="0" w:color="auto"/>
            <w:right w:val="none" w:sz="0" w:space="0" w:color="auto"/>
          </w:divBdr>
        </w:div>
        <w:div w:id="1105537959">
          <w:marLeft w:val="0"/>
          <w:marRight w:val="0"/>
          <w:marTop w:val="0"/>
          <w:marBottom w:val="0"/>
          <w:divBdr>
            <w:top w:val="none" w:sz="0" w:space="0" w:color="auto"/>
            <w:left w:val="none" w:sz="0" w:space="0" w:color="auto"/>
            <w:bottom w:val="none" w:sz="0" w:space="0" w:color="auto"/>
            <w:right w:val="none" w:sz="0" w:space="0" w:color="auto"/>
          </w:divBdr>
        </w:div>
        <w:div w:id="786242158">
          <w:marLeft w:val="0"/>
          <w:marRight w:val="0"/>
          <w:marTop w:val="0"/>
          <w:marBottom w:val="0"/>
          <w:divBdr>
            <w:top w:val="none" w:sz="0" w:space="0" w:color="auto"/>
            <w:left w:val="none" w:sz="0" w:space="0" w:color="auto"/>
            <w:bottom w:val="none" w:sz="0" w:space="0" w:color="auto"/>
            <w:right w:val="none" w:sz="0" w:space="0" w:color="auto"/>
          </w:divBdr>
        </w:div>
        <w:div w:id="37705885">
          <w:marLeft w:val="0"/>
          <w:marRight w:val="0"/>
          <w:marTop w:val="0"/>
          <w:marBottom w:val="0"/>
          <w:divBdr>
            <w:top w:val="none" w:sz="0" w:space="0" w:color="auto"/>
            <w:left w:val="none" w:sz="0" w:space="0" w:color="auto"/>
            <w:bottom w:val="none" w:sz="0" w:space="0" w:color="auto"/>
            <w:right w:val="none" w:sz="0" w:space="0" w:color="auto"/>
          </w:divBdr>
        </w:div>
        <w:div w:id="805395779">
          <w:marLeft w:val="0"/>
          <w:marRight w:val="0"/>
          <w:marTop w:val="0"/>
          <w:marBottom w:val="0"/>
          <w:divBdr>
            <w:top w:val="none" w:sz="0" w:space="0" w:color="auto"/>
            <w:left w:val="none" w:sz="0" w:space="0" w:color="auto"/>
            <w:bottom w:val="none" w:sz="0" w:space="0" w:color="auto"/>
            <w:right w:val="none" w:sz="0" w:space="0" w:color="auto"/>
          </w:divBdr>
        </w:div>
        <w:div w:id="2041976487">
          <w:marLeft w:val="0"/>
          <w:marRight w:val="0"/>
          <w:marTop w:val="0"/>
          <w:marBottom w:val="0"/>
          <w:divBdr>
            <w:top w:val="none" w:sz="0" w:space="0" w:color="auto"/>
            <w:left w:val="none" w:sz="0" w:space="0" w:color="auto"/>
            <w:bottom w:val="none" w:sz="0" w:space="0" w:color="auto"/>
            <w:right w:val="none" w:sz="0" w:space="0" w:color="auto"/>
          </w:divBdr>
        </w:div>
        <w:div w:id="388771901">
          <w:marLeft w:val="0"/>
          <w:marRight w:val="0"/>
          <w:marTop w:val="0"/>
          <w:marBottom w:val="0"/>
          <w:divBdr>
            <w:top w:val="none" w:sz="0" w:space="0" w:color="auto"/>
            <w:left w:val="none" w:sz="0" w:space="0" w:color="auto"/>
            <w:bottom w:val="none" w:sz="0" w:space="0" w:color="auto"/>
            <w:right w:val="none" w:sz="0" w:space="0" w:color="auto"/>
          </w:divBdr>
        </w:div>
        <w:div w:id="986277142">
          <w:marLeft w:val="0"/>
          <w:marRight w:val="0"/>
          <w:marTop w:val="0"/>
          <w:marBottom w:val="0"/>
          <w:divBdr>
            <w:top w:val="none" w:sz="0" w:space="0" w:color="auto"/>
            <w:left w:val="none" w:sz="0" w:space="0" w:color="auto"/>
            <w:bottom w:val="none" w:sz="0" w:space="0" w:color="auto"/>
            <w:right w:val="none" w:sz="0" w:space="0" w:color="auto"/>
          </w:divBdr>
        </w:div>
        <w:div w:id="315380226">
          <w:marLeft w:val="0"/>
          <w:marRight w:val="0"/>
          <w:marTop w:val="0"/>
          <w:marBottom w:val="0"/>
          <w:divBdr>
            <w:top w:val="none" w:sz="0" w:space="0" w:color="auto"/>
            <w:left w:val="none" w:sz="0" w:space="0" w:color="auto"/>
            <w:bottom w:val="none" w:sz="0" w:space="0" w:color="auto"/>
            <w:right w:val="none" w:sz="0" w:space="0" w:color="auto"/>
          </w:divBdr>
        </w:div>
        <w:div w:id="620645050">
          <w:marLeft w:val="0"/>
          <w:marRight w:val="0"/>
          <w:marTop w:val="0"/>
          <w:marBottom w:val="0"/>
          <w:divBdr>
            <w:top w:val="none" w:sz="0" w:space="0" w:color="auto"/>
            <w:left w:val="none" w:sz="0" w:space="0" w:color="auto"/>
            <w:bottom w:val="none" w:sz="0" w:space="0" w:color="auto"/>
            <w:right w:val="none" w:sz="0" w:space="0" w:color="auto"/>
          </w:divBdr>
        </w:div>
        <w:div w:id="1735664748">
          <w:marLeft w:val="0"/>
          <w:marRight w:val="0"/>
          <w:marTop w:val="0"/>
          <w:marBottom w:val="0"/>
          <w:divBdr>
            <w:top w:val="none" w:sz="0" w:space="0" w:color="auto"/>
            <w:left w:val="none" w:sz="0" w:space="0" w:color="auto"/>
            <w:bottom w:val="none" w:sz="0" w:space="0" w:color="auto"/>
            <w:right w:val="none" w:sz="0" w:space="0" w:color="auto"/>
          </w:divBdr>
        </w:div>
        <w:div w:id="1239512542">
          <w:marLeft w:val="0"/>
          <w:marRight w:val="0"/>
          <w:marTop w:val="0"/>
          <w:marBottom w:val="0"/>
          <w:divBdr>
            <w:top w:val="none" w:sz="0" w:space="0" w:color="auto"/>
            <w:left w:val="none" w:sz="0" w:space="0" w:color="auto"/>
            <w:bottom w:val="none" w:sz="0" w:space="0" w:color="auto"/>
            <w:right w:val="none" w:sz="0" w:space="0" w:color="auto"/>
          </w:divBdr>
        </w:div>
        <w:div w:id="1853446044">
          <w:marLeft w:val="0"/>
          <w:marRight w:val="0"/>
          <w:marTop w:val="0"/>
          <w:marBottom w:val="0"/>
          <w:divBdr>
            <w:top w:val="none" w:sz="0" w:space="0" w:color="auto"/>
            <w:left w:val="none" w:sz="0" w:space="0" w:color="auto"/>
            <w:bottom w:val="none" w:sz="0" w:space="0" w:color="auto"/>
            <w:right w:val="none" w:sz="0" w:space="0" w:color="auto"/>
          </w:divBdr>
        </w:div>
        <w:div w:id="610867231">
          <w:marLeft w:val="0"/>
          <w:marRight w:val="0"/>
          <w:marTop w:val="0"/>
          <w:marBottom w:val="0"/>
          <w:divBdr>
            <w:top w:val="none" w:sz="0" w:space="0" w:color="auto"/>
            <w:left w:val="none" w:sz="0" w:space="0" w:color="auto"/>
            <w:bottom w:val="none" w:sz="0" w:space="0" w:color="auto"/>
            <w:right w:val="none" w:sz="0" w:space="0" w:color="auto"/>
          </w:divBdr>
        </w:div>
        <w:div w:id="1988826688">
          <w:marLeft w:val="0"/>
          <w:marRight w:val="0"/>
          <w:marTop w:val="0"/>
          <w:marBottom w:val="0"/>
          <w:divBdr>
            <w:top w:val="none" w:sz="0" w:space="0" w:color="auto"/>
            <w:left w:val="none" w:sz="0" w:space="0" w:color="auto"/>
            <w:bottom w:val="none" w:sz="0" w:space="0" w:color="auto"/>
            <w:right w:val="none" w:sz="0" w:space="0" w:color="auto"/>
          </w:divBdr>
        </w:div>
        <w:div w:id="306976405">
          <w:marLeft w:val="0"/>
          <w:marRight w:val="0"/>
          <w:marTop w:val="0"/>
          <w:marBottom w:val="0"/>
          <w:divBdr>
            <w:top w:val="none" w:sz="0" w:space="0" w:color="auto"/>
            <w:left w:val="none" w:sz="0" w:space="0" w:color="auto"/>
            <w:bottom w:val="none" w:sz="0" w:space="0" w:color="auto"/>
            <w:right w:val="none" w:sz="0" w:space="0" w:color="auto"/>
          </w:divBdr>
        </w:div>
        <w:div w:id="1900242544">
          <w:marLeft w:val="0"/>
          <w:marRight w:val="0"/>
          <w:marTop w:val="0"/>
          <w:marBottom w:val="0"/>
          <w:divBdr>
            <w:top w:val="none" w:sz="0" w:space="0" w:color="auto"/>
            <w:left w:val="none" w:sz="0" w:space="0" w:color="auto"/>
            <w:bottom w:val="none" w:sz="0" w:space="0" w:color="auto"/>
            <w:right w:val="none" w:sz="0" w:space="0" w:color="auto"/>
          </w:divBdr>
        </w:div>
        <w:div w:id="1976447061">
          <w:marLeft w:val="0"/>
          <w:marRight w:val="0"/>
          <w:marTop w:val="0"/>
          <w:marBottom w:val="0"/>
          <w:divBdr>
            <w:top w:val="none" w:sz="0" w:space="0" w:color="auto"/>
            <w:left w:val="none" w:sz="0" w:space="0" w:color="auto"/>
            <w:bottom w:val="none" w:sz="0" w:space="0" w:color="auto"/>
            <w:right w:val="none" w:sz="0" w:space="0" w:color="auto"/>
          </w:divBdr>
        </w:div>
        <w:div w:id="1011877958">
          <w:marLeft w:val="0"/>
          <w:marRight w:val="0"/>
          <w:marTop w:val="0"/>
          <w:marBottom w:val="0"/>
          <w:divBdr>
            <w:top w:val="none" w:sz="0" w:space="0" w:color="auto"/>
            <w:left w:val="none" w:sz="0" w:space="0" w:color="auto"/>
            <w:bottom w:val="none" w:sz="0" w:space="0" w:color="auto"/>
            <w:right w:val="none" w:sz="0" w:space="0" w:color="auto"/>
          </w:divBdr>
        </w:div>
        <w:div w:id="1573810992">
          <w:marLeft w:val="0"/>
          <w:marRight w:val="0"/>
          <w:marTop w:val="0"/>
          <w:marBottom w:val="0"/>
          <w:divBdr>
            <w:top w:val="none" w:sz="0" w:space="0" w:color="auto"/>
            <w:left w:val="none" w:sz="0" w:space="0" w:color="auto"/>
            <w:bottom w:val="none" w:sz="0" w:space="0" w:color="auto"/>
            <w:right w:val="none" w:sz="0" w:space="0" w:color="auto"/>
          </w:divBdr>
        </w:div>
        <w:div w:id="874075318">
          <w:marLeft w:val="0"/>
          <w:marRight w:val="0"/>
          <w:marTop w:val="0"/>
          <w:marBottom w:val="0"/>
          <w:divBdr>
            <w:top w:val="none" w:sz="0" w:space="0" w:color="auto"/>
            <w:left w:val="none" w:sz="0" w:space="0" w:color="auto"/>
            <w:bottom w:val="none" w:sz="0" w:space="0" w:color="auto"/>
            <w:right w:val="none" w:sz="0" w:space="0" w:color="auto"/>
          </w:divBdr>
        </w:div>
        <w:div w:id="2011563982">
          <w:marLeft w:val="0"/>
          <w:marRight w:val="0"/>
          <w:marTop w:val="0"/>
          <w:marBottom w:val="0"/>
          <w:divBdr>
            <w:top w:val="none" w:sz="0" w:space="0" w:color="auto"/>
            <w:left w:val="none" w:sz="0" w:space="0" w:color="auto"/>
            <w:bottom w:val="none" w:sz="0" w:space="0" w:color="auto"/>
            <w:right w:val="none" w:sz="0" w:space="0" w:color="auto"/>
          </w:divBdr>
        </w:div>
        <w:div w:id="1889535297">
          <w:marLeft w:val="0"/>
          <w:marRight w:val="0"/>
          <w:marTop w:val="0"/>
          <w:marBottom w:val="0"/>
          <w:divBdr>
            <w:top w:val="none" w:sz="0" w:space="0" w:color="auto"/>
            <w:left w:val="none" w:sz="0" w:space="0" w:color="auto"/>
            <w:bottom w:val="none" w:sz="0" w:space="0" w:color="auto"/>
            <w:right w:val="none" w:sz="0" w:space="0" w:color="auto"/>
          </w:divBdr>
        </w:div>
        <w:div w:id="517277984">
          <w:marLeft w:val="0"/>
          <w:marRight w:val="0"/>
          <w:marTop w:val="0"/>
          <w:marBottom w:val="0"/>
          <w:divBdr>
            <w:top w:val="none" w:sz="0" w:space="0" w:color="auto"/>
            <w:left w:val="none" w:sz="0" w:space="0" w:color="auto"/>
            <w:bottom w:val="none" w:sz="0" w:space="0" w:color="auto"/>
            <w:right w:val="none" w:sz="0" w:space="0" w:color="auto"/>
          </w:divBdr>
        </w:div>
        <w:div w:id="415369498">
          <w:marLeft w:val="0"/>
          <w:marRight w:val="0"/>
          <w:marTop w:val="0"/>
          <w:marBottom w:val="0"/>
          <w:divBdr>
            <w:top w:val="none" w:sz="0" w:space="0" w:color="auto"/>
            <w:left w:val="none" w:sz="0" w:space="0" w:color="auto"/>
            <w:bottom w:val="none" w:sz="0" w:space="0" w:color="auto"/>
            <w:right w:val="none" w:sz="0" w:space="0" w:color="auto"/>
          </w:divBdr>
        </w:div>
        <w:div w:id="1009985790">
          <w:marLeft w:val="0"/>
          <w:marRight w:val="0"/>
          <w:marTop w:val="0"/>
          <w:marBottom w:val="0"/>
          <w:divBdr>
            <w:top w:val="none" w:sz="0" w:space="0" w:color="auto"/>
            <w:left w:val="none" w:sz="0" w:space="0" w:color="auto"/>
            <w:bottom w:val="none" w:sz="0" w:space="0" w:color="auto"/>
            <w:right w:val="none" w:sz="0" w:space="0" w:color="auto"/>
          </w:divBdr>
        </w:div>
        <w:div w:id="641229759">
          <w:marLeft w:val="0"/>
          <w:marRight w:val="0"/>
          <w:marTop w:val="0"/>
          <w:marBottom w:val="0"/>
          <w:divBdr>
            <w:top w:val="none" w:sz="0" w:space="0" w:color="auto"/>
            <w:left w:val="none" w:sz="0" w:space="0" w:color="auto"/>
            <w:bottom w:val="none" w:sz="0" w:space="0" w:color="auto"/>
            <w:right w:val="none" w:sz="0" w:space="0" w:color="auto"/>
          </w:divBdr>
        </w:div>
        <w:div w:id="1197161765">
          <w:marLeft w:val="0"/>
          <w:marRight w:val="0"/>
          <w:marTop w:val="0"/>
          <w:marBottom w:val="0"/>
          <w:divBdr>
            <w:top w:val="none" w:sz="0" w:space="0" w:color="auto"/>
            <w:left w:val="none" w:sz="0" w:space="0" w:color="auto"/>
            <w:bottom w:val="none" w:sz="0" w:space="0" w:color="auto"/>
            <w:right w:val="none" w:sz="0" w:space="0" w:color="auto"/>
          </w:divBdr>
        </w:div>
        <w:div w:id="1148322121">
          <w:marLeft w:val="0"/>
          <w:marRight w:val="0"/>
          <w:marTop w:val="0"/>
          <w:marBottom w:val="0"/>
          <w:divBdr>
            <w:top w:val="none" w:sz="0" w:space="0" w:color="auto"/>
            <w:left w:val="none" w:sz="0" w:space="0" w:color="auto"/>
            <w:bottom w:val="none" w:sz="0" w:space="0" w:color="auto"/>
            <w:right w:val="none" w:sz="0" w:space="0" w:color="auto"/>
          </w:divBdr>
        </w:div>
        <w:div w:id="1227300578">
          <w:marLeft w:val="0"/>
          <w:marRight w:val="0"/>
          <w:marTop w:val="0"/>
          <w:marBottom w:val="0"/>
          <w:divBdr>
            <w:top w:val="none" w:sz="0" w:space="0" w:color="auto"/>
            <w:left w:val="none" w:sz="0" w:space="0" w:color="auto"/>
            <w:bottom w:val="none" w:sz="0" w:space="0" w:color="auto"/>
            <w:right w:val="none" w:sz="0" w:space="0" w:color="auto"/>
          </w:divBdr>
        </w:div>
        <w:div w:id="1309162737">
          <w:marLeft w:val="0"/>
          <w:marRight w:val="0"/>
          <w:marTop w:val="0"/>
          <w:marBottom w:val="0"/>
          <w:divBdr>
            <w:top w:val="none" w:sz="0" w:space="0" w:color="auto"/>
            <w:left w:val="none" w:sz="0" w:space="0" w:color="auto"/>
            <w:bottom w:val="none" w:sz="0" w:space="0" w:color="auto"/>
            <w:right w:val="none" w:sz="0" w:space="0" w:color="auto"/>
          </w:divBdr>
        </w:div>
        <w:div w:id="2000226066">
          <w:marLeft w:val="0"/>
          <w:marRight w:val="0"/>
          <w:marTop w:val="0"/>
          <w:marBottom w:val="0"/>
          <w:divBdr>
            <w:top w:val="none" w:sz="0" w:space="0" w:color="auto"/>
            <w:left w:val="none" w:sz="0" w:space="0" w:color="auto"/>
            <w:bottom w:val="none" w:sz="0" w:space="0" w:color="auto"/>
            <w:right w:val="none" w:sz="0" w:space="0" w:color="auto"/>
          </w:divBdr>
        </w:div>
        <w:div w:id="1034579516">
          <w:marLeft w:val="0"/>
          <w:marRight w:val="0"/>
          <w:marTop w:val="0"/>
          <w:marBottom w:val="0"/>
          <w:divBdr>
            <w:top w:val="none" w:sz="0" w:space="0" w:color="auto"/>
            <w:left w:val="none" w:sz="0" w:space="0" w:color="auto"/>
            <w:bottom w:val="none" w:sz="0" w:space="0" w:color="auto"/>
            <w:right w:val="none" w:sz="0" w:space="0" w:color="auto"/>
          </w:divBdr>
        </w:div>
        <w:div w:id="390612907">
          <w:marLeft w:val="0"/>
          <w:marRight w:val="0"/>
          <w:marTop w:val="0"/>
          <w:marBottom w:val="0"/>
          <w:divBdr>
            <w:top w:val="none" w:sz="0" w:space="0" w:color="auto"/>
            <w:left w:val="none" w:sz="0" w:space="0" w:color="auto"/>
            <w:bottom w:val="none" w:sz="0" w:space="0" w:color="auto"/>
            <w:right w:val="none" w:sz="0" w:space="0" w:color="auto"/>
          </w:divBdr>
        </w:div>
        <w:div w:id="170220785">
          <w:marLeft w:val="0"/>
          <w:marRight w:val="0"/>
          <w:marTop w:val="0"/>
          <w:marBottom w:val="0"/>
          <w:divBdr>
            <w:top w:val="none" w:sz="0" w:space="0" w:color="auto"/>
            <w:left w:val="none" w:sz="0" w:space="0" w:color="auto"/>
            <w:bottom w:val="none" w:sz="0" w:space="0" w:color="auto"/>
            <w:right w:val="none" w:sz="0" w:space="0" w:color="auto"/>
          </w:divBdr>
        </w:div>
        <w:div w:id="440689618">
          <w:marLeft w:val="0"/>
          <w:marRight w:val="0"/>
          <w:marTop w:val="0"/>
          <w:marBottom w:val="0"/>
          <w:divBdr>
            <w:top w:val="none" w:sz="0" w:space="0" w:color="auto"/>
            <w:left w:val="none" w:sz="0" w:space="0" w:color="auto"/>
            <w:bottom w:val="none" w:sz="0" w:space="0" w:color="auto"/>
            <w:right w:val="none" w:sz="0" w:space="0" w:color="auto"/>
          </w:divBdr>
        </w:div>
        <w:div w:id="179130663">
          <w:marLeft w:val="0"/>
          <w:marRight w:val="0"/>
          <w:marTop w:val="0"/>
          <w:marBottom w:val="0"/>
          <w:divBdr>
            <w:top w:val="none" w:sz="0" w:space="0" w:color="auto"/>
            <w:left w:val="none" w:sz="0" w:space="0" w:color="auto"/>
            <w:bottom w:val="none" w:sz="0" w:space="0" w:color="auto"/>
            <w:right w:val="none" w:sz="0" w:space="0" w:color="auto"/>
          </w:divBdr>
        </w:div>
        <w:div w:id="1798377198">
          <w:marLeft w:val="0"/>
          <w:marRight w:val="0"/>
          <w:marTop w:val="0"/>
          <w:marBottom w:val="0"/>
          <w:divBdr>
            <w:top w:val="none" w:sz="0" w:space="0" w:color="auto"/>
            <w:left w:val="none" w:sz="0" w:space="0" w:color="auto"/>
            <w:bottom w:val="none" w:sz="0" w:space="0" w:color="auto"/>
            <w:right w:val="none" w:sz="0" w:space="0" w:color="auto"/>
          </w:divBdr>
        </w:div>
        <w:div w:id="1000547016">
          <w:marLeft w:val="0"/>
          <w:marRight w:val="0"/>
          <w:marTop w:val="0"/>
          <w:marBottom w:val="0"/>
          <w:divBdr>
            <w:top w:val="none" w:sz="0" w:space="0" w:color="auto"/>
            <w:left w:val="none" w:sz="0" w:space="0" w:color="auto"/>
            <w:bottom w:val="none" w:sz="0" w:space="0" w:color="auto"/>
            <w:right w:val="none" w:sz="0" w:space="0" w:color="auto"/>
          </w:divBdr>
        </w:div>
        <w:div w:id="1857773081">
          <w:marLeft w:val="0"/>
          <w:marRight w:val="0"/>
          <w:marTop w:val="0"/>
          <w:marBottom w:val="0"/>
          <w:divBdr>
            <w:top w:val="none" w:sz="0" w:space="0" w:color="auto"/>
            <w:left w:val="none" w:sz="0" w:space="0" w:color="auto"/>
            <w:bottom w:val="none" w:sz="0" w:space="0" w:color="auto"/>
            <w:right w:val="none" w:sz="0" w:space="0" w:color="auto"/>
          </w:divBdr>
        </w:div>
        <w:div w:id="132673493">
          <w:marLeft w:val="0"/>
          <w:marRight w:val="0"/>
          <w:marTop w:val="0"/>
          <w:marBottom w:val="0"/>
          <w:divBdr>
            <w:top w:val="none" w:sz="0" w:space="0" w:color="auto"/>
            <w:left w:val="none" w:sz="0" w:space="0" w:color="auto"/>
            <w:bottom w:val="none" w:sz="0" w:space="0" w:color="auto"/>
            <w:right w:val="none" w:sz="0" w:space="0" w:color="auto"/>
          </w:divBdr>
        </w:div>
        <w:div w:id="1747917104">
          <w:marLeft w:val="0"/>
          <w:marRight w:val="0"/>
          <w:marTop w:val="0"/>
          <w:marBottom w:val="0"/>
          <w:divBdr>
            <w:top w:val="none" w:sz="0" w:space="0" w:color="auto"/>
            <w:left w:val="none" w:sz="0" w:space="0" w:color="auto"/>
            <w:bottom w:val="none" w:sz="0" w:space="0" w:color="auto"/>
            <w:right w:val="none" w:sz="0" w:space="0" w:color="auto"/>
          </w:divBdr>
        </w:div>
        <w:div w:id="1694378204">
          <w:marLeft w:val="0"/>
          <w:marRight w:val="0"/>
          <w:marTop w:val="0"/>
          <w:marBottom w:val="0"/>
          <w:divBdr>
            <w:top w:val="none" w:sz="0" w:space="0" w:color="auto"/>
            <w:left w:val="none" w:sz="0" w:space="0" w:color="auto"/>
            <w:bottom w:val="none" w:sz="0" w:space="0" w:color="auto"/>
            <w:right w:val="none" w:sz="0" w:space="0" w:color="auto"/>
          </w:divBdr>
        </w:div>
        <w:div w:id="549921820">
          <w:marLeft w:val="0"/>
          <w:marRight w:val="0"/>
          <w:marTop w:val="0"/>
          <w:marBottom w:val="0"/>
          <w:divBdr>
            <w:top w:val="none" w:sz="0" w:space="0" w:color="auto"/>
            <w:left w:val="none" w:sz="0" w:space="0" w:color="auto"/>
            <w:bottom w:val="none" w:sz="0" w:space="0" w:color="auto"/>
            <w:right w:val="none" w:sz="0" w:space="0" w:color="auto"/>
          </w:divBdr>
        </w:div>
        <w:div w:id="1717663378">
          <w:marLeft w:val="0"/>
          <w:marRight w:val="0"/>
          <w:marTop w:val="0"/>
          <w:marBottom w:val="0"/>
          <w:divBdr>
            <w:top w:val="none" w:sz="0" w:space="0" w:color="auto"/>
            <w:left w:val="none" w:sz="0" w:space="0" w:color="auto"/>
            <w:bottom w:val="none" w:sz="0" w:space="0" w:color="auto"/>
            <w:right w:val="none" w:sz="0" w:space="0" w:color="auto"/>
          </w:divBdr>
        </w:div>
        <w:div w:id="1737967563">
          <w:marLeft w:val="0"/>
          <w:marRight w:val="0"/>
          <w:marTop w:val="0"/>
          <w:marBottom w:val="0"/>
          <w:divBdr>
            <w:top w:val="none" w:sz="0" w:space="0" w:color="auto"/>
            <w:left w:val="none" w:sz="0" w:space="0" w:color="auto"/>
            <w:bottom w:val="none" w:sz="0" w:space="0" w:color="auto"/>
            <w:right w:val="none" w:sz="0" w:space="0" w:color="auto"/>
          </w:divBdr>
        </w:div>
        <w:div w:id="1351956790">
          <w:marLeft w:val="0"/>
          <w:marRight w:val="0"/>
          <w:marTop w:val="0"/>
          <w:marBottom w:val="0"/>
          <w:divBdr>
            <w:top w:val="none" w:sz="0" w:space="0" w:color="auto"/>
            <w:left w:val="none" w:sz="0" w:space="0" w:color="auto"/>
            <w:bottom w:val="none" w:sz="0" w:space="0" w:color="auto"/>
            <w:right w:val="none" w:sz="0" w:space="0" w:color="auto"/>
          </w:divBdr>
        </w:div>
        <w:div w:id="2004042344">
          <w:marLeft w:val="0"/>
          <w:marRight w:val="0"/>
          <w:marTop w:val="0"/>
          <w:marBottom w:val="0"/>
          <w:divBdr>
            <w:top w:val="none" w:sz="0" w:space="0" w:color="auto"/>
            <w:left w:val="none" w:sz="0" w:space="0" w:color="auto"/>
            <w:bottom w:val="none" w:sz="0" w:space="0" w:color="auto"/>
            <w:right w:val="none" w:sz="0" w:space="0" w:color="auto"/>
          </w:divBdr>
        </w:div>
        <w:div w:id="577791129">
          <w:marLeft w:val="0"/>
          <w:marRight w:val="0"/>
          <w:marTop w:val="0"/>
          <w:marBottom w:val="0"/>
          <w:divBdr>
            <w:top w:val="none" w:sz="0" w:space="0" w:color="auto"/>
            <w:left w:val="none" w:sz="0" w:space="0" w:color="auto"/>
            <w:bottom w:val="none" w:sz="0" w:space="0" w:color="auto"/>
            <w:right w:val="none" w:sz="0" w:space="0" w:color="auto"/>
          </w:divBdr>
        </w:div>
        <w:div w:id="1572422434">
          <w:marLeft w:val="0"/>
          <w:marRight w:val="0"/>
          <w:marTop w:val="0"/>
          <w:marBottom w:val="0"/>
          <w:divBdr>
            <w:top w:val="none" w:sz="0" w:space="0" w:color="auto"/>
            <w:left w:val="none" w:sz="0" w:space="0" w:color="auto"/>
            <w:bottom w:val="none" w:sz="0" w:space="0" w:color="auto"/>
            <w:right w:val="none" w:sz="0" w:space="0" w:color="auto"/>
          </w:divBdr>
        </w:div>
        <w:div w:id="242837571">
          <w:marLeft w:val="0"/>
          <w:marRight w:val="0"/>
          <w:marTop w:val="0"/>
          <w:marBottom w:val="0"/>
          <w:divBdr>
            <w:top w:val="none" w:sz="0" w:space="0" w:color="auto"/>
            <w:left w:val="none" w:sz="0" w:space="0" w:color="auto"/>
            <w:bottom w:val="none" w:sz="0" w:space="0" w:color="auto"/>
            <w:right w:val="none" w:sz="0" w:space="0" w:color="auto"/>
          </w:divBdr>
        </w:div>
        <w:div w:id="118647179">
          <w:marLeft w:val="0"/>
          <w:marRight w:val="0"/>
          <w:marTop w:val="0"/>
          <w:marBottom w:val="0"/>
          <w:divBdr>
            <w:top w:val="none" w:sz="0" w:space="0" w:color="auto"/>
            <w:left w:val="none" w:sz="0" w:space="0" w:color="auto"/>
            <w:bottom w:val="none" w:sz="0" w:space="0" w:color="auto"/>
            <w:right w:val="none" w:sz="0" w:space="0" w:color="auto"/>
          </w:divBdr>
        </w:div>
        <w:div w:id="606547015">
          <w:marLeft w:val="0"/>
          <w:marRight w:val="0"/>
          <w:marTop w:val="0"/>
          <w:marBottom w:val="0"/>
          <w:divBdr>
            <w:top w:val="none" w:sz="0" w:space="0" w:color="auto"/>
            <w:left w:val="none" w:sz="0" w:space="0" w:color="auto"/>
            <w:bottom w:val="none" w:sz="0" w:space="0" w:color="auto"/>
            <w:right w:val="none" w:sz="0" w:space="0" w:color="auto"/>
          </w:divBdr>
        </w:div>
        <w:div w:id="726144086">
          <w:marLeft w:val="0"/>
          <w:marRight w:val="0"/>
          <w:marTop w:val="0"/>
          <w:marBottom w:val="0"/>
          <w:divBdr>
            <w:top w:val="none" w:sz="0" w:space="0" w:color="auto"/>
            <w:left w:val="none" w:sz="0" w:space="0" w:color="auto"/>
            <w:bottom w:val="none" w:sz="0" w:space="0" w:color="auto"/>
            <w:right w:val="none" w:sz="0" w:space="0" w:color="auto"/>
          </w:divBdr>
        </w:div>
        <w:div w:id="1113792195">
          <w:marLeft w:val="0"/>
          <w:marRight w:val="0"/>
          <w:marTop w:val="0"/>
          <w:marBottom w:val="0"/>
          <w:divBdr>
            <w:top w:val="none" w:sz="0" w:space="0" w:color="auto"/>
            <w:left w:val="none" w:sz="0" w:space="0" w:color="auto"/>
            <w:bottom w:val="none" w:sz="0" w:space="0" w:color="auto"/>
            <w:right w:val="none" w:sz="0" w:space="0" w:color="auto"/>
          </w:divBdr>
        </w:div>
        <w:div w:id="559943990">
          <w:marLeft w:val="0"/>
          <w:marRight w:val="0"/>
          <w:marTop w:val="0"/>
          <w:marBottom w:val="0"/>
          <w:divBdr>
            <w:top w:val="none" w:sz="0" w:space="0" w:color="auto"/>
            <w:left w:val="none" w:sz="0" w:space="0" w:color="auto"/>
            <w:bottom w:val="none" w:sz="0" w:space="0" w:color="auto"/>
            <w:right w:val="none" w:sz="0" w:space="0" w:color="auto"/>
          </w:divBdr>
        </w:div>
        <w:div w:id="1094593276">
          <w:marLeft w:val="0"/>
          <w:marRight w:val="0"/>
          <w:marTop w:val="0"/>
          <w:marBottom w:val="0"/>
          <w:divBdr>
            <w:top w:val="none" w:sz="0" w:space="0" w:color="auto"/>
            <w:left w:val="none" w:sz="0" w:space="0" w:color="auto"/>
            <w:bottom w:val="none" w:sz="0" w:space="0" w:color="auto"/>
            <w:right w:val="none" w:sz="0" w:space="0" w:color="auto"/>
          </w:divBdr>
        </w:div>
        <w:div w:id="271669278">
          <w:marLeft w:val="0"/>
          <w:marRight w:val="0"/>
          <w:marTop w:val="0"/>
          <w:marBottom w:val="0"/>
          <w:divBdr>
            <w:top w:val="none" w:sz="0" w:space="0" w:color="auto"/>
            <w:left w:val="none" w:sz="0" w:space="0" w:color="auto"/>
            <w:bottom w:val="none" w:sz="0" w:space="0" w:color="auto"/>
            <w:right w:val="none" w:sz="0" w:space="0" w:color="auto"/>
          </w:divBdr>
        </w:div>
        <w:div w:id="678505298">
          <w:marLeft w:val="0"/>
          <w:marRight w:val="0"/>
          <w:marTop w:val="0"/>
          <w:marBottom w:val="0"/>
          <w:divBdr>
            <w:top w:val="none" w:sz="0" w:space="0" w:color="auto"/>
            <w:left w:val="none" w:sz="0" w:space="0" w:color="auto"/>
            <w:bottom w:val="none" w:sz="0" w:space="0" w:color="auto"/>
            <w:right w:val="none" w:sz="0" w:space="0" w:color="auto"/>
          </w:divBdr>
        </w:div>
        <w:div w:id="2017029406">
          <w:marLeft w:val="0"/>
          <w:marRight w:val="0"/>
          <w:marTop w:val="0"/>
          <w:marBottom w:val="0"/>
          <w:divBdr>
            <w:top w:val="none" w:sz="0" w:space="0" w:color="auto"/>
            <w:left w:val="none" w:sz="0" w:space="0" w:color="auto"/>
            <w:bottom w:val="none" w:sz="0" w:space="0" w:color="auto"/>
            <w:right w:val="none" w:sz="0" w:space="0" w:color="auto"/>
          </w:divBdr>
        </w:div>
        <w:div w:id="1396703807">
          <w:marLeft w:val="0"/>
          <w:marRight w:val="0"/>
          <w:marTop w:val="0"/>
          <w:marBottom w:val="0"/>
          <w:divBdr>
            <w:top w:val="none" w:sz="0" w:space="0" w:color="auto"/>
            <w:left w:val="none" w:sz="0" w:space="0" w:color="auto"/>
            <w:bottom w:val="none" w:sz="0" w:space="0" w:color="auto"/>
            <w:right w:val="none" w:sz="0" w:space="0" w:color="auto"/>
          </w:divBdr>
        </w:div>
        <w:div w:id="861672539">
          <w:marLeft w:val="0"/>
          <w:marRight w:val="0"/>
          <w:marTop w:val="0"/>
          <w:marBottom w:val="0"/>
          <w:divBdr>
            <w:top w:val="none" w:sz="0" w:space="0" w:color="auto"/>
            <w:left w:val="none" w:sz="0" w:space="0" w:color="auto"/>
            <w:bottom w:val="none" w:sz="0" w:space="0" w:color="auto"/>
            <w:right w:val="none" w:sz="0" w:space="0" w:color="auto"/>
          </w:divBdr>
        </w:div>
        <w:div w:id="2010518484">
          <w:marLeft w:val="0"/>
          <w:marRight w:val="0"/>
          <w:marTop w:val="0"/>
          <w:marBottom w:val="0"/>
          <w:divBdr>
            <w:top w:val="none" w:sz="0" w:space="0" w:color="auto"/>
            <w:left w:val="none" w:sz="0" w:space="0" w:color="auto"/>
            <w:bottom w:val="none" w:sz="0" w:space="0" w:color="auto"/>
            <w:right w:val="none" w:sz="0" w:space="0" w:color="auto"/>
          </w:divBdr>
        </w:div>
        <w:div w:id="870142426">
          <w:marLeft w:val="0"/>
          <w:marRight w:val="0"/>
          <w:marTop w:val="0"/>
          <w:marBottom w:val="0"/>
          <w:divBdr>
            <w:top w:val="none" w:sz="0" w:space="0" w:color="auto"/>
            <w:left w:val="none" w:sz="0" w:space="0" w:color="auto"/>
            <w:bottom w:val="none" w:sz="0" w:space="0" w:color="auto"/>
            <w:right w:val="none" w:sz="0" w:space="0" w:color="auto"/>
          </w:divBdr>
        </w:div>
        <w:div w:id="903373103">
          <w:marLeft w:val="0"/>
          <w:marRight w:val="0"/>
          <w:marTop w:val="0"/>
          <w:marBottom w:val="0"/>
          <w:divBdr>
            <w:top w:val="none" w:sz="0" w:space="0" w:color="auto"/>
            <w:left w:val="none" w:sz="0" w:space="0" w:color="auto"/>
            <w:bottom w:val="none" w:sz="0" w:space="0" w:color="auto"/>
            <w:right w:val="none" w:sz="0" w:space="0" w:color="auto"/>
          </w:divBdr>
        </w:div>
        <w:div w:id="1718624071">
          <w:marLeft w:val="0"/>
          <w:marRight w:val="0"/>
          <w:marTop w:val="0"/>
          <w:marBottom w:val="0"/>
          <w:divBdr>
            <w:top w:val="none" w:sz="0" w:space="0" w:color="auto"/>
            <w:left w:val="none" w:sz="0" w:space="0" w:color="auto"/>
            <w:bottom w:val="none" w:sz="0" w:space="0" w:color="auto"/>
            <w:right w:val="none" w:sz="0" w:space="0" w:color="auto"/>
          </w:divBdr>
        </w:div>
        <w:div w:id="1965967821">
          <w:marLeft w:val="0"/>
          <w:marRight w:val="0"/>
          <w:marTop w:val="0"/>
          <w:marBottom w:val="0"/>
          <w:divBdr>
            <w:top w:val="none" w:sz="0" w:space="0" w:color="auto"/>
            <w:left w:val="none" w:sz="0" w:space="0" w:color="auto"/>
            <w:bottom w:val="none" w:sz="0" w:space="0" w:color="auto"/>
            <w:right w:val="none" w:sz="0" w:space="0" w:color="auto"/>
          </w:divBdr>
        </w:div>
        <w:div w:id="1809201703">
          <w:marLeft w:val="0"/>
          <w:marRight w:val="0"/>
          <w:marTop w:val="0"/>
          <w:marBottom w:val="0"/>
          <w:divBdr>
            <w:top w:val="none" w:sz="0" w:space="0" w:color="auto"/>
            <w:left w:val="none" w:sz="0" w:space="0" w:color="auto"/>
            <w:bottom w:val="none" w:sz="0" w:space="0" w:color="auto"/>
            <w:right w:val="none" w:sz="0" w:space="0" w:color="auto"/>
          </w:divBdr>
        </w:div>
        <w:div w:id="1885095647">
          <w:marLeft w:val="0"/>
          <w:marRight w:val="0"/>
          <w:marTop w:val="0"/>
          <w:marBottom w:val="0"/>
          <w:divBdr>
            <w:top w:val="none" w:sz="0" w:space="0" w:color="auto"/>
            <w:left w:val="none" w:sz="0" w:space="0" w:color="auto"/>
            <w:bottom w:val="none" w:sz="0" w:space="0" w:color="auto"/>
            <w:right w:val="none" w:sz="0" w:space="0" w:color="auto"/>
          </w:divBdr>
        </w:div>
        <w:div w:id="2050371977">
          <w:marLeft w:val="0"/>
          <w:marRight w:val="0"/>
          <w:marTop w:val="0"/>
          <w:marBottom w:val="0"/>
          <w:divBdr>
            <w:top w:val="none" w:sz="0" w:space="0" w:color="auto"/>
            <w:left w:val="none" w:sz="0" w:space="0" w:color="auto"/>
            <w:bottom w:val="none" w:sz="0" w:space="0" w:color="auto"/>
            <w:right w:val="none" w:sz="0" w:space="0" w:color="auto"/>
          </w:divBdr>
        </w:div>
        <w:div w:id="1636368477">
          <w:marLeft w:val="0"/>
          <w:marRight w:val="0"/>
          <w:marTop w:val="0"/>
          <w:marBottom w:val="0"/>
          <w:divBdr>
            <w:top w:val="none" w:sz="0" w:space="0" w:color="auto"/>
            <w:left w:val="none" w:sz="0" w:space="0" w:color="auto"/>
            <w:bottom w:val="none" w:sz="0" w:space="0" w:color="auto"/>
            <w:right w:val="none" w:sz="0" w:space="0" w:color="auto"/>
          </w:divBdr>
        </w:div>
        <w:div w:id="2080589257">
          <w:marLeft w:val="0"/>
          <w:marRight w:val="0"/>
          <w:marTop w:val="0"/>
          <w:marBottom w:val="0"/>
          <w:divBdr>
            <w:top w:val="none" w:sz="0" w:space="0" w:color="auto"/>
            <w:left w:val="none" w:sz="0" w:space="0" w:color="auto"/>
            <w:bottom w:val="none" w:sz="0" w:space="0" w:color="auto"/>
            <w:right w:val="none" w:sz="0" w:space="0" w:color="auto"/>
          </w:divBdr>
        </w:div>
        <w:div w:id="1292590320">
          <w:marLeft w:val="0"/>
          <w:marRight w:val="0"/>
          <w:marTop w:val="0"/>
          <w:marBottom w:val="0"/>
          <w:divBdr>
            <w:top w:val="none" w:sz="0" w:space="0" w:color="auto"/>
            <w:left w:val="none" w:sz="0" w:space="0" w:color="auto"/>
            <w:bottom w:val="none" w:sz="0" w:space="0" w:color="auto"/>
            <w:right w:val="none" w:sz="0" w:space="0" w:color="auto"/>
          </w:divBdr>
        </w:div>
        <w:div w:id="237792445">
          <w:marLeft w:val="0"/>
          <w:marRight w:val="0"/>
          <w:marTop w:val="0"/>
          <w:marBottom w:val="0"/>
          <w:divBdr>
            <w:top w:val="none" w:sz="0" w:space="0" w:color="auto"/>
            <w:left w:val="none" w:sz="0" w:space="0" w:color="auto"/>
            <w:bottom w:val="none" w:sz="0" w:space="0" w:color="auto"/>
            <w:right w:val="none" w:sz="0" w:space="0" w:color="auto"/>
          </w:divBdr>
        </w:div>
        <w:div w:id="971130774">
          <w:marLeft w:val="0"/>
          <w:marRight w:val="0"/>
          <w:marTop w:val="0"/>
          <w:marBottom w:val="0"/>
          <w:divBdr>
            <w:top w:val="none" w:sz="0" w:space="0" w:color="auto"/>
            <w:left w:val="none" w:sz="0" w:space="0" w:color="auto"/>
            <w:bottom w:val="none" w:sz="0" w:space="0" w:color="auto"/>
            <w:right w:val="none" w:sz="0" w:space="0" w:color="auto"/>
          </w:divBdr>
        </w:div>
        <w:div w:id="1843811361">
          <w:marLeft w:val="0"/>
          <w:marRight w:val="0"/>
          <w:marTop w:val="0"/>
          <w:marBottom w:val="0"/>
          <w:divBdr>
            <w:top w:val="none" w:sz="0" w:space="0" w:color="auto"/>
            <w:left w:val="none" w:sz="0" w:space="0" w:color="auto"/>
            <w:bottom w:val="none" w:sz="0" w:space="0" w:color="auto"/>
            <w:right w:val="none" w:sz="0" w:space="0" w:color="auto"/>
          </w:divBdr>
        </w:div>
        <w:div w:id="438181462">
          <w:marLeft w:val="0"/>
          <w:marRight w:val="0"/>
          <w:marTop w:val="0"/>
          <w:marBottom w:val="0"/>
          <w:divBdr>
            <w:top w:val="none" w:sz="0" w:space="0" w:color="auto"/>
            <w:left w:val="none" w:sz="0" w:space="0" w:color="auto"/>
            <w:bottom w:val="none" w:sz="0" w:space="0" w:color="auto"/>
            <w:right w:val="none" w:sz="0" w:space="0" w:color="auto"/>
          </w:divBdr>
        </w:div>
        <w:div w:id="1568345495">
          <w:marLeft w:val="0"/>
          <w:marRight w:val="0"/>
          <w:marTop w:val="0"/>
          <w:marBottom w:val="0"/>
          <w:divBdr>
            <w:top w:val="none" w:sz="0" w:space="0" w:color="auto"/>
            <w:left w:val="none" w:sz="0" w:space="0" w:color="auto"/>
            <w:bottom w:val="none" w:sz="0" w:space="0" w:color="auto"/>
            <w:right w:val="none" w:sz="0" w:space="0" w:color="auto"/>
          </w:divBdr>
        </w:div>
        <w:div w:id="2026130307">
          <w:marLeft w:val="0"/>
          <w:marRight w:val="0"/>
          <w:marTop w:val="0"/>
          <w:marBottom w:val="0"/>
          <w:divBdr>
            <w:top w:val="none" w:sz="0" w:space="0" w:color="auto"/>
            <w:left w:val="none" w:sz="0" w:space="0" w:color="auto"/>
            <w:bottom w:val="none" w:sz="0" w:space="0" w:color="auto"/>
            <w:right w:val="none" w:sz="0" w:space="0" w:color="auto"/>
          </w:divBdr>
        </w:div>
        <w:div w:id="250817980">
          <w:marLeft w:val="0"/>
          <w:marRight w:val="0"/>
          <w:marTop w:val="0"/>
          <w:marBottom w:val="0"/>
          <w:divBdr>
            <w:top w:val="none" w:sz="0" w:space="0" w:color="auto"/>
            <w:left w:val="none" w:sz="0" w:space="0" w:color="auto"/>
            <w:bottom w:val="none" w:sz="0" w:space="0" w:color="auto"/>
            <w:right w:val="none" w:sz="0" w:space="0" w:color="auto"/>
          </w:divBdr>
        </w:div>
        <w:div w:id="343166947">
          <w:marLeft w:val="0"/>
          <w:marRight w:val="0"/>
          <w:marTop w:val="0"/>
          <w:marBottom w:val="0"/>
          <w:divBdr>
            <w:top w:val="none" w:sz="0" w:space="0" w:color="auto"/>
            <w:left w:val="none" w:sz="0" w:space="0" w:color="auto"/>
            <w:bottom w:val="none" w:sz="0" w:space="0" w:color="auto"/>
            <w:right w:val="none" w:sz="0" w:space="0" w:color="auto"/>
          </w:divBdr>
        </w:div>
        <w:div w:id="1292596507">
          <w:marLeft w:val="0"/>
          <w:marRight w:val="0"/>
          <w:marTop w:val="0"/>
          <w:marBottom w:val="0"/>
          <w:divBdr>
            <w:top w:val="none" w:sz="0" w:space="0" w:color="auto"/>
            <w:left w:val="none" w:sz="0" w:space="0" w:color="auto"/>
            <w:bottom w:val="none" w:sz="0" w:space="0" w:color="auto"/>
            <w:right w:val="none" w:sz="0" w:space="0" w:color="auto"/>
          </w:divBdr>
        </w:div>
        <w:div w:id="717124655">
          <w:marLeft w:val="0"/>
          <w:marRight w:val="0"/>
          <w:marTop w:val="0"/>
          <w:marBottom w:val="0"/>
          <w:divBdr>
            <w:top w:val="none" w:sz="0" w:space="0" w:color="auto"/>
            <w:left w:val="none" w:sz="0" w:space="0" w:color="auto"/>
            <w:bottom w:val="none" w:sz="0" w:space="0" w:color="auto"/>
            <w:right w:val="none" w:sz="0" w:space="0" w:color="auto"/>
          </w:divBdr>
        </w:div>
        <w:div w:id="1387685090">
          <w:marLeft w:val="0"/>
          <w:marRight w:val="0"/>
          <w:marTop w:val="0"/>
          <w:marBottom w:val="0"/>
          <w:divBdr>
            <w:top w:val="none" w:sz="0" w:space="0" w:color="auto"/>
            <w:left w:val="none" w:sz="0" w:space="0" w:color="auto"/>
            <w:bottom w:val="none" w:sz="0" w:space="0" w:color="auto"/>
            <w:right w:val="none" w:sz="0" w:space="0" w:color="auto"/>
          </w:divBdr>
        </w:div>
        <w:div w:id="1393188637">
          <w:marLeft w:val="0"/>
          <w:marRight w:val="0"/>
          <w:marTop w:val="0"/>
          <w:marBottom w:val="0"/>
          <w:divBdr>
            <w:top w:val="none" w:sz="0" w:space="0" w:color="auto"/>
            <w:left w:val="none" w:sz="0" w:space="0" w:color="auto"/>
            <w:bottom w:val="none" w:sz="0" w:space="0" w:color="auto"/>
            <w:right w:val="none" w:sz="0" w:space="0" w:color="auto"/>
          </w:divBdr>
        </w:div>
        <w:div w:id="1885823112">
          <w:marLeft w:val="0"/>
          <w:marRight w:val="0"/>
          <w:marTop w:val="0"/>
          <w:marBottom w:val="0"/>
          <w:divBdr>
            <w:top w:val="none" w:sz="0" w:space="0" w:color="auto"/>
            <w:left w:val="none" w:sz="0" w:space="0" w:color="auto"/>
            <w:bottom w:val="none" w:sz="0" w:space="0" w:color="auto"/>
            <w:right w:val="none" w:sz="0" w:space="0" w:color="auto"/>
          </w:divBdr>
        </w:div>
        <w:div w:id="1889605123">
          <w:marLeft w:val="0"/>
          <w:marRight w:val="0"/>
          <w:marTop w:val="0"/>
          <w:marBottom w:val="0"/>
          <w:divBdr>
            <w:top w:val="none" w:sz="0" w:space="0" w:color="auto"/>
            <w:left w:val="none" w:sz="0" w:space="0" w:color="auto"/>
            <w:bottom w:val="none" w:sz="0" w:space="0" w:color="auto"/>
            <w:right w:val="none" w:sz="0" w:space="0" w:color="auto"/>
          </w:divBdr>
        </w:div>
        <w:div w:id="2133740532">
          <w:marLeft w:val="0"/>
          <w:marRight w:val="0"/>
          <w:marTop w:val="0"/>
          <w:marBottom w:val="0"/>
          <w:divBdr>
            <w:top w:val="none" w:sz="0" w:space="0" w:color="auto"/>
            <w:left w:val="none" w:sz="0" w:space="0" w:color="auto"/>
            <w:bottom w:val="none" w:sz="0" w:space="0" w:color="auto"/>
            <w:right w:val="none" w:sz="0" w:space="0" w:color="auto"/>
          </w:divBdr>
        </w:div>
        <w:div w:id="2022931787">
          <w:marLeft w:val="0"/>
          <w:marRight w:val="0"/>
          <w:marTop w:val="0"/>
          <w:marBottom w:val="0"/>
          <w:divBdr>
            <w:top w:val="none" w:sz="0" w:space="0" w:color="auto"/>
            <w:left w:val="none" w:sz="0" w:space="0" w:color="auto"/>
            <w:bottom w:val="none" w:sz="0" w:space="0" w:color="auto"/>
            <w:right w:val="none" w:sz="0" w:space="0" w:color="auto"/>
          </w:divBdr>
        </w:div>
        <w:div w:id="1686402610">
          <w:marLeft w:val="0"/>
          <w:marRight w:val="0"/>
          <w:marTop w:val="0"/>
          <w:marBottom w:val="0"/>
          <w:divBdr>
            <w:top w:val="none" w:sz="0" w:space="0" w:color="auto"/>
            <w:left w:val="none" w:sz="0" w:space="0" w:color="auto"/>
            <w:bottom w:val="none" w:sz="0" w:space="0" w:color="auto"/>
            <w:right w:val="none" w:sz="0" w:space="0" w:color="auto"/>
          </w:divBdr>
        </w:div>
        <w:div w:id="139881644">
          <w:marLeft w:val="0"/>
          <w:marRight w:val="0"/>
          <w:marTop w:val="0"/>
          <w:marBottom w:val="0"/>
          <w:divBdr>
            <w:top w:val="none" w:sz="0" w:space="0" w:color="auto"/>
            <w:left w:val="none" w:sz="0" w:space="0" w:color="auto"/>
            <w:bottom w:val="none" w:sz="0" w:space="0" w:color="auto"/>
            <w:right w:val="none" w:sz="0" w:space="0" w:color="auto"/>
          </w:divBdr>
        </w:div>
        <w:div w:id="922379842">
          <w:marLeft w:val="0"/>
          <w:marRight w:val="0"/>
          <w:marTop w:val="0"/>
          <w:marBottom w:val="0"/>
          <w:divBdr>
            <w:top w:val="none" w:sz="0" w:space="0" w:color="auto"/>
            <w:left w:val="none" w:sz="0" w:space="0" w:color="auto"/>
            <w:bottom w:val="none" w:sz="0" w:space="0" w:color="auto"/>
            <w:right w:val="none" w:sz="0" w:space="0" w:color="auto"/>
          </w:divBdr>
        </w:div>
        <w:div w:id="143553074">
          <w:marLeft w:val="0"/>
          <w:marRight w:val="0"/>
          <w:marTop w:val="0"/>
          <w:marBottom w:val="0"/>
          <w:divBdr>
            <w:top w:val="none" w:sz="0" w:space="0" w:color="auto"/>
            <w:left w:val="none" w:sz="0" w:space="0" w:color="auto"/>
            <w:bottom w:val="none" w:sz="0" w:space="0" w:color="auto"/>
            <w:right w:val="none" w:sz="0" w:space="0" w:color="auto"/>
          </w:divBdr>
        </w:div>
        <w:div w:id="36395535">
          <w:marLeft w:val="0"/>
          <w:marRight w:val="0"/>
          <w:marTop w:val="0"/>
          <w:marBottom w:val="0"/>
          <w:divBdr>
            <w:top w:val="none" w:sz="0" w:space="0" w:color="auto"/>
            <w:left w:val="none" w:sz="0" w:space="0" w:color="auto"/>
            <w:bottom w:val="none" w:sz="0" w:space="0" w:color="auto"/>
            <w:right w:val="none" w:sz="0" w:space="0" w:color="auto"/>
          </w:divBdr>
        </w:div>
        <w:div w:id="166212180">
          <w:marLeft w:val="0"/>
          <w:marRight w:val="0"/>
          <w:marTop w:val="0"/>
          <w:marBottom w:val="0"/>
          <w:divBdr>
            <w:top w:val="none" w:sz="0" w:space="0" w:color="auto"/>
            <w:left w:val="none" w:sz="0" w:space="0" w:color="auto"/>
            <w:bottom w:val="none" w:sz="0" w:space="0" w:color="auto"/>
            <w:right w:val="none" w:sz="0" w:space="0" w:color="auto"/>
          </w:divBdr>
        </w:div>
        <w:div w:id="1220171311">
          <w:marLeft w:val="0"/>
          <w:marRight w:val="0"/>
          <w:marTop w:val="0"/>
          <w:marBottom w:val="0"/>
          <w:divBdr>
            <w:top w:val="none" w:sz="0" w:space="0" w:color="auto"/>
            <w:left w:val="none" w:sz="0" w:space="0" w:color="auto"/>
            <w:bottom w:val="none" w:sz="0" w:space="0" w:color="auto"/>
            <w:right w:val="none" w:sz="0" w:space="0" w:color="auto"/>
          </w:divBdr>
        </w:div>
        <w:div w:id="1691641503">
          <w:marLeft w:val="0"/>
          <w:marRight w:val="0"/>
          <w:marTop w:val="0"/>
          <w:marBottom w:val="0"/>
          <w:divBdr>
            <w:top w:val="none" w:sz="0" w:space="0" w:color="auto"/>
            <w:left w:val="none" w:sz="0" w:space="0" w:color="auto"/>
            <w:bottom w:val="none" w:sz="0" w:space="0" w:color="auto"/>
            <w:right w:val="none" w:sz="0" w:space="0" w:color="auto"/>
          </w:divBdr>
        </w:div>
        <w:div w:id="370762354">
          <w:marLeft w:val="0"/>
          <w:marRight w:val="0"/>
          <w:marTop w:val="0"/>
          <w:marBottom w:val="0"/>
          <w:divBdr>
            <w:top w:val="none" w:sz="0" w:space="0" w:color="auto"/>
            <w:left w:val="none" w:sz="0" w:space="0" w:color="auto"/>
            <w:bottom w:val="none" w:sz="0" w:space="0" w:color="auto"/>
            <w:right w:val="none" w:sz="0" w:space="0" w:color="auto"/>
          </w:divBdr>
        </w:div>
        <w:div w:id="1591085612">
          <w:marLeft w:val="0"/>
          <w:marRight w:val="0"/>
          <w:marTop w:val="0"/>
          <w:marBottom w:val="0"/>
          <w:divBdr>
            <w:top w:val="none" w:sz="0" w:space="0" w:color="auto"/>
            <w:left w:val="none" w:sz="0" w:space="0" w:color="auto"/>
            <w:bottom w:val="none" w:sz="0" w:space="0" w:color="auto"/>
            <w:right w:val="none" w:sz="0" w:space="0" w:color="auto"/>
          </w:divBdr>
        </w:div>
        <w:div w:id="1140730709">
          <w:marLeft w:val="0"/>
          <w:marRight w:val="0"/>
          <w:marTop w:val="0"/>
          <w:marBottom w:val="0"/>
          <w:divBdr>
            <w:top w:val="none" w:sz="0" w:space="0" w:color="auto"/>
            <w:left w:val="none" w:sz="0" w:space="0" w:color="auto"/>
            <w:bottom w:val="none" w:sz="0" w:space="0" w:color="auto"/>
            <w:right w:val="none" w:sz="0" w:space="0" w:color="auto"/>
          </w:divBdr>
        </w:div>
        <w:div w:id="1696341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Journal+of+Biotechnology+and+Biomaterials" TargetMode="External"/><Relationship Id="rId20" Type="http://schemas.openxmlformats.org/officeDocument/2006/relationships/theme" Target="theme/theme1.xml"/><Relationship Id="rId21" Type="http://schemas.microsoft.com/office/2011/relationships/commentsExtended" Target="commentsExtended.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chart" Target="charts/chart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remo\Desktop\Ph.D.%20related\PhD%20Preliminary%20Defence\Preliminary%20Defense%20Proposal\Defense%202nd%20try\Invasion%20assay%20results%20-%20Mt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Virulence Invasion Assay</a:t>
            </a:r>
          </a:p>
        </c:rich>
      </c:tx>
      <c:layout/>
      <c:overlay val="0"/>
    </c:title>
    <c:autoTitleDeleted val="0"/>
    <c:plotArea>
      <c:layout/>
      <c:lineChart>
        <c:grouping val="standard"/>
        <c:varyColors val="0"/>
        <c:ser>
          <c:idx val="0"/>
          <c:order val="0"/>
          <c:tx>
            <c:strRef>
              <c:f>Sheet1!$A$2</c:f>
              <c:strCache>
                <c:ptCount val="1"/>
                <c:pt idx="0">
                  <c:v>A</c:v>
                </c:pt>
              </c:strCache>
            </c:strRef>
          </c:tx>
          <c:marker>
            <c:symbol val="none"/>
          </c:marker>
          <c:errBars>
            <c:errDir val="y"/>
            <c:errBarType val="both"/>
            <c:errValType val="percentage"/>
            <c:noEndCap val="0"/>
            <c:val val="5.0"/>
          </c:errBars>
          <c:cat>
            <c:strRef>
              <c:f>Sheet1!$B$1:$D$1</c:f>
              <c:strCache>
                <c:ptCount val="3"/>
                <c:pt idx="0">
                  <c:v>24 hrs</c:v>
                </c:pt>
                <c:pt idx="1">
                  <c:v>48 hrs</c:v>
                </c:pt>
                <c:pt idx="2">
                  <c:v>72 hrs</c:v>
                </c:pt>
              </c:strCache>
            </c:strRef>
          </c:cat>
          <c:val>
            <c:numRef>
              <c:f>Sheet1!$B$2:$D$2</c:f>
              <c:numCache>
                <c:formatCode>General</c:formatCode>
                <c:ptCount val="3"/>
                <c:pt idx="0">
                  <c:v>4000.0</c:v>
                </c:pt>
                <c:pt idx="1">
                  <c:v>5820.0</c:v>
                </c:pt>
                <c:pt idx="2">
                  <c:v>2540.0</c:v>
                </c:pt>
              </c:numCache>
            </c:numRef>
          </c:val>
          <c:smooth val="0"/>
        </c:ser>
        <c:ser>
          <c:idx val="1"/>
          <c:order val="1"/>
          <c:tx>
            <c:strRef>
              <c:f>Sheet1!$A$3</c:f>
              <c:strCache>
                <c:ptCount val="1"/>
                <c:pt idx="0">
                  <c:v>B</c:v>
                </c:pt>
              </c:strCache>
            </c:strRef>
          </c:tx>
          <c:marker>
            <c:symbol val="none"/>
          </c:marker>
          <c:errBars>
            <c:errDir val="y"/>
            <c:errBarType val="both"/>
            <c:errValType val="percentage"/>
            <c:noEndCap val="0"/>
            <c:val val="5.0"/>
          </c:errBars>
          <c:cat>
            <c:strRef>
              <c:f>Sheet1!$B$1:$D$1</c:f>
              <c:strCache>
                <c:ptCount val="3"/>
                <c:pt idx="0">
                  <c:v>24 hrs</c:v>
                </c:pt>
                <c:pt idx="1">
                  <c:v>48 hrs</c:v>
                </c:pt>
                <c:pt idx="2">
                  <c:v>72 hrs</c:v>
                </c:pt>
              </c:strCache>
            </c:strRef>
          </c:cat>
          <c:val>
            <c:numRef>
              <c:f>Sheet1!$B$3:$D$3</c:f>
              <c:numCache>
                <c:formatCode>General</c:formatCode>
                <c:ptCount val="3"/>
                <c:pt idx="0">
                  <c:v>90.0</c:v>
                </c:pt>
                <c:pt idx="1">
                  <c:v>4520.0</c:v>
                </c:pt>
                <c:pt idx="2">
                  <c:v>18.0</c:v>
                </c:pt>
              </c:numCache>
            </c:numRef>
          </c:val>
          <c:smooth val="0"/>
        </c:ser>
        <c:ser>
          <c:idx val="2"/>
          <c:order val="2"/>
          <c:tx>
            <c:strRef>
              <c:f>Sheet1!$A$4</c:f>
              <c:strCache>
                <c:ptCount val="1"/>
                <c:pt idx="0">
                  <c:v>C</c:v>
                </c:pt>
              </c:strCache>
            </c:strRef>
          </c:tx>
          <c:marker>
            <c:symbol val="none"/>
          </c:marker>
          <c:errBars>
            <c:errDir val="y"/>
            <c:errBarType val="both"/>
            <c:errValType val="percentage"/>
            <c:noEndCap val="0"/>
            <c:val val="5.0"/>
          </c:errBars>
          <c:cat>
            <c:strRef>
              <c:f>Sheet1!$B$1:$D$1</c:f>
              <c:strCache>
                <c:ptCount val="3"/>
                <c:pt idx="0">
                  <c:v>24 hrs</c:v>
                </c:pt>
                <c:pt idx="1">
                  <c:v>48 hrs</c:v>
                </c:pt>
                <c:pt idx="2">
                  <c:v>72 hrs</c:v>
                </c:pt>
              </c:strCache>
            </c:strRef>
          </c:cat>
          <c:val>
            <c:numRef>
              <c:f>Sheet1!$B$4:$D$4</c:f>
              <c:numCache>
                <c:formatCode>General</c:formatCode>
                <c:ptCount val="3"/>
                <c:pt idx="0">
                  <c:v>280.0</c:v>
                </c:pt>
                <c:pt idx="1">
                  <c:v>620.0</c:v>
                </c:pt>
                <c:pt idx="2">
                  <c:v>2160.0</c:v>
                </c:pt>
              </c:numCache>
            </c:numRef>
          </c:val>
          <c:smooth val="0"/>
        </c:ser>
        <c:ser>
          <c:idx val="3"/>
          <c:order val="3"/>
          <c:tx>
            <c:strRef>
              <c:f>Sheet1!$A$5</c:f>
              <c:strCache>
                <c:ptCount val="1"/>
                <c:pt idx="0">
                  <c:v>D</c:v>
                </c:pt>
              </c:strCache>
            </c:strRef>
          </c:tx>
          <c:marker>
            <c:symbol val="none"/>
          </c:marker>
          <c:errBars>
            <c:errDir val="y"/>
            <c:errBarType val="both"/>
            <c:errValType val="percentage"/>
            <c:noEndCap val="0"/>
            <c:val val="5.0"/>
          </c:errBars>
          <c:cat>
            <c:strRef>
              <c:f>Sheet1!$B$1:$D$1</c:f>
              <c:strCache>
                <c:ptCount val="3"/>
                <c:pt idx="0">
                  <c:v>24 hrs</c:v>
                </c:pt>
                <c:pt idx="1">
                  <c:v>48 hrs</c:v>
                </c:pt>
                <c:pt idx="2">
                  <c:v>72 hrs</c:v>
                </c:pt>
              </c:strCache>
            </c:strRef>
          </c:cat>
          <c:val>
            <c:numRef>
              <c:f>Sheet1!$B$5:$D$5</c:f>
              <c:numCache>
                <c:formatCode>General</c:formatCode>
                <c:ptCount val="3"/>
                <c:pt idx="0">
                  <c:v>640.0</c:v>
                </c:pt>
                <c:pt idx="1">
                  <c:v>308.0</c:v>
                </c:pt>
                <c:pt idx="2">
                  <c:v>8.0</c:v>
                </c:pt>
              </c:numCache>
            </c:numRef>
          </c:val>
          <c:smooth val="0"/>
        </c:ser>
        <c:ser>
          <c:idx val="4"/>
          <c:order val="4"/>
          <c:tx>
            <c:strRef>
              <c:f>Sheet1!$A$6</c:f>
              <c:strCache>
                <c:ptCount val="1"/>
                <c:pt idx="0">
                  <c:v>F</c:v>
                </c:pt>
              </c:strCache>
            </c:strRef>
          </c:tx>
          <c:marker>
            <c:symbol val="none"/>
          </c:marker>
          <c:errBars>
            <c:errDir val="y"/>
            <c:errBarType val="both"/>
            <c:errValType val="percentage"/>
            <c:noEndCap val="0"/>
            <c:val val="5.0"/>
          </c:errBars>
          <c:cat>
            <c:strRef>
              <c:f>Sheet1!$B$1:$D$1</c:f>
              <c:strCache>
                <c:ptCount val="3"/>
                <c:pt idx="0">
                  <c:v>24 hrs</c:v>
                </c:pt>
                <c:pt idx="1">
                  <c:v>48 hrs</c:v>
                </c:pt>
                <c:pt idx="2">
                  <c:v>72 hrs</c:v>
                </c:pt>
              </c:strCache>
            </c:strRef>
          </c:cat>
          <c:val>
            <c:numRef>
              <c:f>Sheet1!$B$6:$D$6</c:f>
              <c:numCache>
                <c:formatCode>General</c:formatCode>
                <c:ptCount val="3"/>
                <c:pt idx="0">
                  <c:v>5.0</c:v>
                </c:pt>
                <c:pt idx="1">
                  <c:v>20.0</c:v>
                </c:pt>
                <c:pt idx="2">
                  <c:v>4.0</c:v>
                </c:pt>
              </c:numCache>
            </c:numRef>
          </c:val>
          <c:smooth val="0"/>
        </c:ser>
        <c:dLbls>
          <c:showLegendKey val="0"/>
          <c:showVal val="0"/>
          <c:showCatName val="0"/>
          <c:showSerName val="0"/>
          <c:showPercent val="0"/>
          <c:showBubbleSize val="0"/>
        </c:dLbls>
        <c:marker val="1"/>
        <c:smooth val="0"/>
        <c:axId val="2127564056"/>
        <c:axId val="-2128432008"/>
      </c:lineChart>
      <c:catAx>
        <c:axId val="2127564056"/>
        <c:scaling>
          <c:orientation val="minMax"/>
        </c:scaling>
        <c:delete val="0"/>
        <c:axPos val="b"/>
        <c:title>
          <c:tx>
            <c:rich>
              <a:bodyPr/>
              <a:lstStyle/>
              <a:p>
                <a:pPr>
                  <a:defRPr/>
                </a:pPr>
                <a:r>
                  <a:rPr lang="en-US"/>
                  <a:t>Time</a:t>
                </a:r>
                <a:r>
                  <a:rPr lang="en-US" baseline="0"/>
                  <a:t> post infection</a:t>
                </a:r>
                <a:endParaRPr lang="en-US"/>
              </a:p>
            </c:rich>
          </c:tx>
          <c:layout/>
          <c:overlay val="0"/>
        </c:title>
        <c:numFmt formatCode="General" sourceLinked="0"/>
        <c:majorTickMark val="none"/>
        <c:minorTickMark val="none"/>
        <c:tickLblPos val="nextTo"/>
        <c:crossAx val="-2128432008"/>
        <c:crosses val="autoZero"/>
        <c:auto val="1"/>
        <c:lblAlgn val="ctr"/>
        <c:lblOffset val="100"/>
        <c:noMultiLvlLbl val="0"/>
      </c:catAx>
      <c:valAx>
        <c:axId val="-2128432008"/>
        <c:scaling>
          <c:orientation val="minMax"/>
        </c:scaling>
        <c:delete val="0"/>
        <c:axPos val="l"/>
        <c:majorGridlines/>
        <c:title>
          <c:tx>
            <c:rich>
              <a:bodyPr/>
              <a:lstStyle/>
              <a:p>
                <a:pPr>
                  <a:defRPr/>
                </a:pPr>
                <a:r>
                  <a:rPr lang="en-US"/>
                  <a:t>Colonies</a:t>
                </a:r>
              </a:p>
            </c:rich>
          </c:tx>
          <c:layout/>
          <c:overlay val="0"/>
        </c:title>
        <c:numFmt formatCode="General" sourceLinked="1"/>
        <c:majorTickMark val="none"/>
        <c:minorTickMark val="none"/>
        <c:tickLblPos val="nextTo"/>
        <c:crossAx val="212756405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50</Pages>
  <Words>14597</Words>
  <Characters>83207</Characters>
  <Application>Microsoft Macintosh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UAB</Company>
  <LinksUpToDate>false</LinksUpToDate>
  <CharactersWithSpaces>97609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 George</dc:creator>
  <cp:lastModifiedBy>Na Ma</cp:lastModifiedBy>
  <cp:revision>2</cp:revision>
  <dcterms:created xsi:type="dcterms:W3CDTF">2015-06-09T23:41:00Z</dcterms:created>
  <dcterms:modified xsi:type="dcterms:W3CDTF">2015-06-09T23:41:00Z</dcterms:modified>
</cp:coreProperties>
</file>