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 xml:space="preserve">Name of Journal: </w:t>
      </w:r>
      <w:r w:rsidRPr="00A96D05">
        <w:rPr>
          <w:rFonts w:ascii="Book Antiqua" w:hAnsi="Book Antiqua" w:cs="Book Antiqua"/>
          <w:b/>
          <w:bCs/>
          <w:i/>
          <w:iCs/>
          <w:color w:val="000000"/>
          <w:sz w:val="24"/>
          <w:szCs w:val="24"/>
          <w:lang w:val="en-US"/>
        </w:rPr>
        <w:t>World Journal of Virology</w:t>
      </w: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ESPS Manuscript NO: 22098</w:t>
      </w: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Manuscript Type: Review</w:t>
      </w:r>
    </w:p>
    <w:p w:rsidR="005C6065" w:rsidRPr="00A96D05" w:rsidRDefault="005C6065" w:rsidP="00A96D05">
      <w:pPr>
        <w:widowControl w:val="0"/>
        <w:autoSpaceDE w:val="0"/>
        <w:autoSpaceDN w:val="0"/>
        <w:adjustRightInd w:val="0"/>
        <w:spacing w:after="0" w:line="360" w:lineRule="auto"/>
        <w:ind w:left="708" w:hanging="708"/>
        <w:jc w:val="both"/>
        <w:rPr>
          <w:rFonts w:ascii="Book Antiqua" w:hAnsi="Book Antiqua" w:cs="Book Antiqua"/>
          <w:color w:val="000000"/>
          <w:sz w:val="24"/>
          <w:szCs w:val="24"/>
          <w:lang w:val="en-US" w:eastAsia="zh-CN"/>
        </w:rPr>
      </w:pP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Inflammatory and oxidative stress in rotavirus infection</w:t>
      </w:r>
    </w:p>
    <w:p w:rsidR="005C6065" w:rsidRPr="00A96D05" w:rsidRDefault="005C6065" w:rsidP="00A96D05">
      <w:pPr>
        <w:spacing w:after="0" w:line="360" w:lineRule="auto"/>
        <w:jc w:val="both"/>
        <w:rPr>
          <w:rFonts w:ascii="Book Antiqua" w:hAnsi="Book Antiqua" w:cs="Book Antiqua"/>
          <w:color w:val="000000"/>
          <w:sz w:val="24"/>
          <w:szCs w:val="24"/>
          <w:lang w:val="en-US"/>
        </w:rPr>
      </w:pPr>
    </w:p>
    <w:p w:rsidR="005C6065" w:rsidRPr="00A96D05" w:rsidRDefault="005C6065" w:rsidP="00A96D05">
      <w:pPr>
        <w:spacing w:after="0" w:line="360" w:lineRule="auto"/>
        <w:jc w:val="both"/>
        <w:rPr>
          <w:rFonts w:ascii="Book Antiqua" w:hAnsi="Book Antiqua" w:cs="Book Antiqua"/>
          <w:b/>
          <w:bCs/>
          <w:color w:val="000000"/>
          <w:sz w:val="24"/>
          <w:szCs w:val="24"/>
          <w:lang w:val="en-US"/>
        </w:rPr>
      </w:pPr>
      <w:smartTag w:uri="urn:schemas-microsoft-com:office:smarttags" w:element="place">
        <w:smartTag w:uri="urn:schemas-microsoft-com:office:smarttags" w:element="City">
          <w:r w:rsidRPr="00A96D05">
            <w:rPr>
              <w:rFonts w:ascii="Book Antiqua" w:hAnsi="Book Antiqua" w:cs="Book Antiqua"/>
              <w:color w:val="000000"/>
              <w:sz w:val="24"/>
              <w:szCs w:val="24"/>
              <w:lang w:val="en-US"/>
            </w:rPr>
            <w:t>Guerrero</w:t>
          </w:r>
        </w:smartTag>
        <w:r w:rsidRPr="00A96D05">
          <w:rPr>
            <w:rFonts w:ascii="Book Antiqua" w:hAnsi="Book Antiqua" w:cs="Book Antiqua"/>
            <w:color w:val="000000"/>
            <w:sz w:val="24"/>
            <w:szCs w:val="24"/>
            <w:lang w:val="en-US" w:eastAsia="zh-CN"/>
          </w:rPr>
          <w:t xml:space="preserve"> </w:t>
        </w:r>
        <w:smartTag w:uri="urn:schemas-microsoft-com:office:smarttags" w:element="State">
          <w:r w:rsidRPr="00A96D05">
            <w:rPr>
              <w:rFonts w:ascii="Book Antiqua" w:hAnsi="Book Antiqua" w:cs="Book Antiqua"/>
              <w:color w:val="000000"/>
              <w:sz w:val="24"/>
              <w:szCs w:val="24"/>
              <w:lang w:val="en-US" w:eastAsia="zh-CN"/>
            </w:rPr>
            <w:t>CA</w:t>
          </w:r>
        </w:smartTag>
        <w:r w:rsidRPr="00A96D05">
          <w:rPr>
            <w:rFonts w:ascii="Book Antiqua" w:hAnsi="Book Antiqua" w:cs="Book Antiqua"/>
            <w:color w:val="000000"/>
            <w:sz w:val="24"/>
            <w:szCs w:val="24"/>
            <w:lang w:val="en-US" w:eastAsia="zh-CN"/>
          </w:rPr>
          <w:t xml:space="preserve"> </w:t>
        </w:r>
        <w:r w:rsidRPr="00A96D05">
          <w:rPr>
            <w:rFonts w:ascii="Book Antiqua" w:hAnsi="Book Antiqua" w:cs="Book Antiqua"/>
            <w:i/>
            <w:iCs/>
            <w:color w:val="000000"/>
            <w:sz w:val="24"/>
            <w:szCs w:val="24"/>
            <w:lang w:val="en-US" w:eastAsia="zh-CN"/>
          </w:rPr>
          <w:t>et al</w:t>
        </w:r>
        <w:r w:rsidRPr="00A96D05">
          <w:rPr>
            <w:rFonts w:ascii="Book Antiqua" w:hAnsi="Book Antiqua" w:cs="Book Antiqua"/>
            <w:color w:val="000000"/>
            <w:sz w:val="24"/>
            <w:szCs w:val="24"/>
            <w:lang w:val="en-US"/>
          </w:rPr>
          <w:t>.</w:t>
        </w:r>
      </w:smartTag>
      <w:r w:rsidRPr="00A96D05">
        <w:rPr>
          <w:rFonts w:ascii="Book Antiqua" w:hAnsi="Book Antiqua" w:cs="Book Antiqua"/>
          <w:b/>
          <w:bCs/>
          <w:color w:val="000000"/>
          <w:sz w:val="24"/>
          <w:szCs w:val="24"/>
          <w:lang w:val="en-US"/>
        </w:rPr>
        <w:t xml:space="preserve"> </w:t>
      </w:r>
      <w:r w:rsidRPr="00A96D05">
        <w:rPr>
          <w:rFonts w:ascii="Book Antiqua" w:hAnsi="Book Antiqua" w:cs="Book Antiqua"/>
          <w:color w:val="000000"/>
          <w:sz w:val="24"/>
          <w:szCs w:val="24"/>
          <w:lang w:val="en-US"/>
        </w:rPr>
        <w:t>Rotavirus, oxidative stress and inflammation</w:t>
      </w:r>
    </w:p>
    <w:p w:rsidR="005C6065" w:rsidRPr="00A96D05" w:rsidRDefault="005C6065" w:rsidP="00A96D05">
      <w:pPr>
        <w:spacing w:after="0" w:line="360" w:lineRule="auto"/>
        <w:jc w:val="both"/>
        <w:rPr>
          <w:rFonts w:ascii="Book Antiqua" w:hAnsi="Book Antiqua" w:cs="Book Antiqua"/>
          <w:b/>
          <w:bCs/>
          <w:color w:val="000000"/>
          <w:sz w:val="24"/>
          <w:szCs w:val="24"/>
          <w:lang w:val="en-US"/>
        </w:rPr>
      </w:pPr>
    </w:p>
    <w:p w:rsidR="005C6065" w:rsidRPr="00A96D05" w:rsidRDefault="005C6065" w:rsidP="00A96D05">
      <w:pPr>
        <w:spacing w:after="0" w:line="360" w:lineRule="auto"/>
        <w:jc w:val="both"/>
        <w:rPr>
          <w:rFonts w:ascii="Book Antiqua" w:hAnsi="Book Antiqua" w:cs="Book Antiqua"/>
          <w:b/>
          <w:bCs/>
          <w:color w:val="000000"/>
          <w:sz w:val="24"/>
          <w:szCs w:val="24"/>
          <w:lang w:eastAsia="zh-CN"/>
        </w:rPr>
      </w:pPr>
      <w:r w:rsidRPr="00A96D05">
        <w:rPr>
          <w:rFonts w:ascii="Book Antiqua" w:hAnsi="Book Antiqua" w:cs="Book Antiqua"/>
          <w:b/>
          <w:bCs/>
          <w:color w:val="000000"/>
          <w:sz w:val="24"/>
          <w:szCs w:val="24"/>
        </w:rPr>
        <w:t>Carlos A Guerrero</w:t>
      </w:r>
      <w:r w:rsidRPr="00A96D05">
        <w:rPr>
          <w:rFonts w:ascii="Book Antiqua" w:hAnsi="Book Antiqua" w:cs="Book Antiqua"/>
          <w:b/>
          <w:bCs/>
          <w:color w:val="000000"/>
          <w:sz w:val="24"/>
          <w:szCs w:val="24"/>
          <w:lang w:eastAsia="zh-CN"/>
        </w:rPr>
        <w:t xml:space="preserve">, </w:t>
      </w:r>
      <w:r w:rsidRPr="00A96D05">
        <w:rPr>
          <w:rFonts w:ascii="Book Antiqua" w:hAnsi="Book Antiqua" w:cs="Book Antiqua"/>
          <w:b/>
          <w:bCs/>
          <w:color w:val="000000"/>
          <w:sz w:val="24"/>
          <w:szCs w:val="24"/>
        </w:rPr>
        <w:t>Orlando Acosta</w:t>
      </w:r>
    </w:p>
    <w:p w:rsidR="005C6065" w:rsidRPr="00A96D05" w:rsidRDefault="005C6065" w:rsidP="00A96D05">
      <w:pPr>
        <w:spacing w:after="0" w:line="360" w:lineRule="auto"/>
        <w:jc w:val="both"/>
        <w:rPr>
          <w:rFonts w:ascii="Book Antiqua" w:hAnsi="Book Antiqua" w:cs="Book Antiqua"/>
          <w:b/>
          <w:bCs/>
          <w:color w:val="000000"/>
          <w:sz w:val="24"/>
          <w:szCs w:val="24"/>
          <w:lang w:eastAsia="zh-CN"/>
        </w:rPr>
      </w:pPr>
    </w:p>
    <w:p w:rsidR="005C6065" w:rsidRPr="00A96D05" w:rsidRDefault="005C6065" w:rsidP="00A96D05">
      <w:pPr>
        <w:spacing w:after="0" w:line="360" w:lineRule="auto"/>
        <w:jc w:val="both"/>
        <w:rPr>
          <w:rFonts w:ascii="Book Antiqua" w:hAnsi="Book Antiqua" w:cs="Book Antiqua"/>
          <w:color w:val="000000"/>
          <w:sz w:val="24"/>
          <w:szCs w:val="24"/>
          <w:lang w:eastAsia="zh-CN"/>
        </w:rPr>
      </w:pPr>
      <w:r w:rsidRPr="00A96D05">
        <w:rPr>
          <w:rFonts w:ascii="Book Antiqua" w:hAnsi="Book Antiqua" w:cs="Book Antiqua"/>
          <w:b/>
          <w:bCs/>
          <w:color w:val="000000"/>
          <w:sz w:val="24"/>
          <w:szCs w:val="24"/>
        </w:rPr>
        <w:t>Carlos A Guerrero</w:t>
      </w:r>
      <w:r w:rsidRPr="00A96D05">
        <w:rPr>
          <w:rFonts w:ascii="Book Antiqua" w:hAnsi="Book Antiqua" w:cs="Book Antiqua"/>
          <w:b/>
          <w:bCs/>
          <w:color w:val="000000"/>
          <w:sz w:val="24"/>
          <w:szCs w:val="24"/>
          <w:lang w:eastAsia="zh-CN"/>
        </w:rPr>
        <w:t xml:space="preserve">, </w:t>
      </w:r>
      <w:r w:rsidRPr="00A96D05">
        <w:rPr>
          <w:rFonts w:ascii="Book Antiqua" w:hAnsi="Book Antiqua" w:cs="Book Antiqua"/>
          <w:b/>
          <w:bCs/>
          <w:color w:val="000000"/>
          <w:sz w:val="24"/>
          <w:szCs w:val="24"/>
        </w:rPr>
        <w:t>Orlando Acosta</w:t>
      </w:r>
      <w:r w:rsidRPr="00A96D05">
        <w:rPr>
          <w:rFonts w:ascii="Book Antiqua" w:hAnsi="Book Antiqua" w:cs="Book Antiqua"/>
          <w:b/>
          <w:bCs/>
          <w:color w:val="000000"/>
          <w:sz w:val="24"/>
          <w:szCs w:val="24"/>
          <w:lang w:eastAsia="zh-CN"/>
        </w:rPr>
        <w:t xml:space="preserve">, </w:t>
      </w:r>
      <w:r w:rsidRPr="00A96D05">
        <w:rPr>
          <w:rFonts w:ascii="Book Antiqua" w:hAnsi="Book Antiqua" w:cs="Book Antiqua"/>
          <w:color w:val="000000"/>
          <w:sz w:val="24"/>
          <w:szCs w:val="24"/>
        </w:rPr>
        <w:t>Department of Physiological Sciences, Faculty of Medicine, Universidad Nacional de Colombia, Bogotá</w:t>
      </w:r>
      <w:r w:rsidRPr="00A96D05">
        <w:rPr>
          <w:rFonts w:ascii="Book Antiqua" w:hAnsi="Book Antiqua" w:cs="Book Antiqua"/>
          <w:color w:val="000000"/>
          <w:sz w:val="24"/>
          <w:szCs w:val="24"/>
          <w:lang w:eastAsia="zh-CN"/>
        </w:rPr>
        <w:t xml:space="preserve"> </w:t>
      </w:r>
      <w:r w:rsidRPr="00A96D05">
        <w:rPr>
          <w:rFonts w:ascii="Book Antiqua" w:hAnsi="Book Antiqua" w:cs="Book Antiqua"/>
          <w:color w:val="000000"/>
          <w:sz w:val="24"/>
          <w:szCs w:val="24"/>
        </w:rPr>
        <w:t>111311, Colombia</w:t>
      </w:r>
    </w:p>
    <w:p w:rsidR="005C6065" w:rsidRPr="00A96D05" w:rsidRDefault="005C6065" w:rsidP="00A96D05">
      <w:pPr>
        <w:spacing w:after="0" w:line="360" w:lineRule="auto"/>
        <w:jc w:val="both"/>
        <w:rPr>
          <w:rFonts w:ascii="Book Antiqua" w:hAnsi="Book Antiqua" w:cs="Book Antiqua"/>
          <w:color w:val="000000"/>
          <w:sz w:val="24"/>
          <w:szCs w:val="24"/>
          <w:lang w:eastAsia="zh-CN"/>
        </w:rPr>
      </w:pP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Author contributions:</w:t>
      </w:r>
      <w:r w:rsidRPr="00A96D05">
        <w:rPr>
          <w:rFonts w:ascii="Book Antiqua" w:hAnsi="Book Antiqua" w:cs="Book Antiqua"/>
          <w:b/>
          <w:bCs/>
          <w:color w:val="000000"/>
          <w:sz w:val="24"/>
          <w:szCs w:val="24"/>
          <w:lang w:val="en-US" w:eastAsia="zh-CN"/>
        </w:rPr>
        <w:t xml:space="preserve"> </w:t>
      </w:r>
      <w:r w:rsidRPr="00A96D05">
        <w:rPr>
          <w:rFonts w:ascii="Book Antiqua" w:hAnsi="Book Antiqua" w:cs="Book Antiqua"/>
          <w:color w:val="000000"/>
          <w:sz w:val="24"/>
          <w:szCs w:val="24"/>
          <w:lang w:val="en-US"/>
        </w:rPr>
        <w:t>Both authors contributed equally to critically read</w:t>
      </w:r>
      <w:r w:rsidRPr="00A96D05">
        <w:rPr>
          <w:rFonts w:ascii="Book Antiqua" w:hAnsi="Book Antiqua" w:cs="Book Antiqua"/>
          <w:color w:val="000000"/>
          <w:sz w:val="24"/>
          <w:szCs w:val="24"/>
          <w:lang w:val="en-US" w:eastAsia="zh-CN"/>
        </w:rPr>
        <w:t>ing</w:t>
      </w:r>
      <w:r w:rsidRPr="00A96D05">
        <w:rPr>
          <w:rFonts w:ascii="Book Antiqua" w:hAnsi="Book Antiqua" w:cs="Book Antiqua"/>
          <w:color w:val="000000"/>
          <w:sz w:val="24"/>
          <w:szCs w:val="24"/>
          <w:lang w:val="en-US"/>
        </w:rPr>
        <w:t>, analyz</w:t>
      </w:r>
      <w:r w:rsidRPr="00A96D05">
        <w:rPr>
          <w:rFonts w:ascii="Book Antiqua" w:hAnsi="Book Antiqua" w:cs="Book Antiqua"/>
          <w:color w:val="000000"/>
          <w:sz w:val="24"/>
          <w:szCs w:val="24"/>
          <w:lang w:val="en-US" w:eastAsia="zh-CN"/>
        </w:rPr>
        <w:t>ing</w:t>
      </w:r>
      <w:r w:rsidRPr="00A96D05">
        <w:rPr>
          <w:rFonts w:ascii="Book Antiqua" w:hAnsi="Book Antiqua" w:cs="Book Antiqua"/>
          <w:color w:val="000000"/>
          <w:sz w:val="24"/>
          <w:szCs w:val="24"/>
          <w:lang w:val="en-US"/>
        </w:rPr>
        <w:t xml:space="preserve"> and writ</w:t>
      </w:r>
      <w:r w:rsidRPr="00A96D05">
        <w:rPr>
          <w:rFonts w:ascii="Book Antiqua" w:hAnsi="Book Antiqua" w:cs="Book Antiqua"/>
          <w:color w:val="000000"/>
          <w:sz w:val="24"/>
          <w:szCs w:val="24"/>
          <w:lang w:val="en-US" w:eastAsia="zh-CN"/>
        </w:rPr>
        <w:t>ing</w:t>
      </w:r>
      <w:r w:rsidRPr="00A96D05">
        <w:rPr>
          <w:rFonts w:ascii="Book Antiqua" w:hAnsi="Book Antiqua" w:cs="Book Antiqua"/>
          <w:color w:val="000000"/>
          <w:sz w:val="24"/>
          <w:szCs w:val="24"/>
          <w:lang w:val="en-US"/>
        </w:rPr>
        <w:t xml:space="preserve"> the manuscript.</w:t>
      </w:r>
    </w:p>
    <w:p w:rsidR="005C6065" w:rsidRPr="00A96D05" w:rsidRDefault="005C6065" w:rsidP="00A96D05">
      <w:pPr>
        <w:spacing w:after="0" w:line="360" w:lineRule="auto"/>
        <w:jc w:val="both"/>
        <w:rPr>
          <w:rFonts w:ascii="Book Antiqua" w:hAnsi="Book Antiqua" w:cs="Book Antiqua"/>
          <w:color w:val="000000"/>
          <w:sz w:val="24"/>
          <w:szCs w:val="24"/>
          <w:lang w:val="en-US" w:eastAsia="zh-CN"/>
        </w:rPr>
      </w:pPr>
    </w:p>
    <w:p w:rsidR="005C6065" w:rsidRPr="00A96D05" w:rsidRDefault="005C6065" w:rsidP="00A96D05">
      <w:pPr>
        <w:spacing w:after="0" w:line="360" w:lineRule="auto"/>
        <w:jc w:val="both"/>
        <w:rPr>
          <w:rFonts w:ascii="Book Antiqua" w:hAnsi="Book Antiqua" w:cs="Book Antiqua"/>
          <w:color w:val="000000"/>
          <w:sz w:val="24"/>
          <w:szCs w:val="24"/>
          <w:lang w:val="en-US" w:eastAsia="zh-CN"/>
        </w:rPr>
      </w:pPr>
      <w:r w:rsidRPr="00A96D05">
        <w:rPr>
          <w:rFonts w:ascii="Book Antiqua" w:hAnsi="Book Antiqua" w:cs="Book Antiqua"/>
          <w:b/>
          <w:bCs/>
          <w:color w:val="000000"/>
          <w:sz w:val="24"/>
          <w:szCs w:val="24"/>
          <w:lang w:val="en-US"/>
        </w:rPr>
        <w:t>Conflict-of-interest statement:</w:t>
      </w:r>
      <w:r w:rsidRPr="00A96D05">
        <w:rPr>
          <w:rFonts w:ascii="Book Antiqua" w:hAnsi="Book Antiqua" w:cs="Book Antiqua"/>
          <w:b/>
          <w:bCs/>
          <w:color w:val="000000"/>
          <w:sz w:val="24"/>
          <w:szCs w:val="24"/>
          <w:lang w:val="en-US" w:eastAsia="zh-CN"/>
        </w:rPr>
        <w:t xml:space="preserve"> </w:t>
      </w:r>
      <w:r w:rsidRPr="00A96D05">
        <w:rPr>
          <w:rFonts w:ascii="Book Antiqua" w:hAnsi="Book Antiqua" w:cs="Book Antiqua"/>
          <w:color w:val="000000"/>
          <w:sz w:val="24"/>
          <w:szCs w:val="24"/>
          <w:lang w:val="en-US"/>
        </w:rPr>
        <w:t>The authors declare no conflict of interest</w:t>
      </w:r>
      <w:r w:rsidRPr="00A96D05">
        <w:rPr>
          <w:rFonts w:ascii="Book Antiqua" w:hAnsi="Book Antiqua" w:cs="Book Antiqua"/>
          <w:color w:val="000000"/>
          <w:sz w:val="24"/>
          <w:szCs w:val="24"/>
          <w:lang w:val="en-US" w:eastAsia="zh-CN"/>
        </w:rPr>
        <w:t>.</w:t>
      </w:r>
    </w:p>
    <w:p w:rsidR="005C6065" w:rsidRPr="00A96D05" w:rsidRDefault="005C6065" w:rsidP="00A96D05">
      <w:pPr>
        <w:spacing w:after="0" w:line="360" w:lineRule="auto"/>
        <w:jc w:val="both"/>
        <w:rPr>
          <w:rFonts w:ascii="Book Antiqua" w:hAnsi="Book Antiqua" w:cs="Book Antiqua"/>
          <w:b/>
          <w:bCs/>
          <w:color w:val="000000"/>
          <w:sz w:val="24"/>
          <w:szCs w:val="24"/>
          <w:lang w:val="en-US" w:eastAsia="zh-CN"/>
        </w:rPr>
      </w:pPr>
    </w:p>
    <w:p w:rsidR="005C6065" w:rsidRPr="00A96D05" w:rsidRDefault="005C6065" w:rsidP="00A96D05">
      <w:pPr>
        <w:spacing w:after="0" w:line="360" w:lineRule="auto"/>
        <w:jc w:val="both"/>
        <w:rPr>
          <w:rFonts w:ascii="Book Antiqua" w:hAnsi="Book Antiqua"/>
          <w:color w:val="000000"/>
          <w:sz w:val="24"/>
          <w:szCs w:val="24"/>
          <w:lang w:val="en-US"/>
        </w:rPr>
      </w:pPr>
      <w:bookmarkStart w:id="0" w:name="OLE_LINK507"/>
      <w:bookmarkStart w:id="1" w:name="OLE_LINK506"/>
      <w:bookmarkStart w:id="2" w:name="OLE_LINK496"/>
      <w:bookmarkStart w:id="3" w:name="OLE_LINK479"/>
      <w:r w:rsidRPr="00A96D05">
        <w:rPr>
          <w:rFonts w:ascii="Book Antiqua" w:hAnsi="Book Antiqua"/>
          <w:b/>
          <w:color w:val="000000"/>
          <w:sz w:val="24"/>
          <w:szCs w:val="24"/>
          <w:lang w:val="en-US"/>
        </w:rPr>
        <w:t xml:space="preserve">Open-Access: </w:t>
      </w:r>
      <w:r w:rsidRPr="00A96D05">
        <w:rPr>
          <w:rFonts w:ascii="Book Antiqua" w:hAnsi="Book Antiqua"/>
          <w:color w:val="000000"/>
          <w:sz w:val="24"/>
          <w:szCs w:val="24"/>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5C6065" w:rsidRPr="00A96D05" w:rsidRDefault="005C6065" w:rsidP="00A96D05">
      <w:pPr>
        <w:spacing w:after="0" w:line="360" w:lineRule="auto"/>
        <w:jc w:val="both"/>
        <w:rPr>
          <w:rFonts w:ascii="Book Antiqua" w:hAnsi="Book Antiqua" w:cs="Book Antiqua"/>
          <w:b/>
          <w:bCs/>
          <w:color w:val="000000"/>
          <w:sz w:val="24"/>
          <w:szCs w:val="24"/>
          <w:lang w:val="en-US" w:eastAsia="zh-CN"/>
        </w:rPr>
      </w:pPr>
    </w:p>
    <w:p w:rsidR="005C6065" w:rsidRPr="00A96D05" w:rsidRDefault="005C6065" w:rsidP="002438CD">
      <w:pPr>
        <w:spacing w:after="0" w:line="360" w:lineRule="auto"/>
        <w:ind w:rightChars="50" w:right="31680"/>
        <w:jc w:val="both"/>
        <w:rPr>
          <w:rFonts w:ascii="Book Antiqua" w:hAnsi="Book Antiqua" w:cs="Book Antiqua"/>
          <w:color w:val="000000"/>
          <w:sz w:val="24"/>
          <w:szCs w:val="24"/>
          <w:lang w:val="en-US" w:eastAsia="zh-CN"/>
        </w:rPr>
      </w:pPr>
      <w:r w:rsidRPr="00A96D05">
        <w:rPr>
          <w:rFonts w:ascii="Book Antiqua" w:hAnsi="Book Antiqua" w:cs="Book Antiqua"/>
          <w:b/>
          <w:bCs/>
          <w:color w:val="000000"/>
          <w:sz w:val="24"/>
          <w:szCs w:val="24"/>
          <w:lang w:val="en-US"/>
        </w:rPr>
        <w:t>Correspondence to:</w:t>
      </w:r>
      <w:r w:rsidRPr="00A96D05">
        <w:rPr>
          <w:rFonts w:ascii="Book Antiqua" w:hAnsi="Book Antiqua" w:cs="Book Antiqua"/>
          <w:b/>
          <w:bCs/>
          <w:color w:val="000000"/>
          <w:sz w:val="24"/>
          <w:szCs w:val="24"/>
          <w:lang w:val="en-US" w:eastAsia="zh-CN"/>
        </w:rPr>
        <w:t xml:space="preserve"> </w:t>
      </w:r>
      <w:r w:rsidRPr="00A96D05">
        <w:rPr>
          <w:rFonts w:ascii="Book Antiqua" w:hAnsi="Book Antiqua" w:cs="Book Antiqua"/>
          <w:b/>
          <w:bCs/>
          <w:color w:val="000000"/>
          <w:sz w:val="24"/>
          <w:szCs w:val="24"/>
          <w:lang w:val="en-US"/>
        </w:rPr>
        <w:t>Carlos A Guerrero</w:t>
      </w:r>
      <w:r w:rsidRPr="00A96D05">
        <w:rPr>
          <w:rFonts w:ascii="Book Antiqua" w:hAnsi="Book Antiqua" w:cs="Book Antiqua"/>
          <w:b/>
          <w:bCs/>
          <w:color w:val="000000"/>
          <w:sz w:val="24"/>
          <w:szCs w:val="24"/>
          <w:lang w:val="en-US" w:eastAsia="zh-CN"/>
        </w:rPr>
        <w:t>,</w:t>
      </w:r>
      <w:r w:rsidRPr="00A96D05">
        <w:rPr>
          <w:rFonts w:ascii="Book Antiqua" w:hAnsi="Book Antiqua" w:cs="Book Antiqua"/>
          <w:b/>
          <w:bCs/>
          <w:color w:val="000000"/>
          <w:sz w:val="24"/>
          <w:szCs w:val="24"/>
          <w:lang w:val="en-US"/>
        </w:rPr>
        <w:t xml:space="preserve"> MD, MSc, PhD</w:t>
      </w:r>
      <w:r w:rsidRPr="00A96D05">
        <w:rPr>
          <w:rFonts w:ascii="Book Antiqua" w:hAnsi="Book Antiqua" w:cs="Book Antiqua"/>
          <w:b/>
          <w:bCs/>
          <w:color w:val="000000"/>
          <w:sz w:val="24"/>
          <w:szCs w:val="24"/>
          <w:lang w:val="en-US" w:eastAsia="zh-CN"/>
        </w:rPr>
        <w:t>,</w:t>
      </w:r>
      <w:r w:rsidRPr="00A96D05">
        <w:rPr>
          <w:rFonts w:ascii="Book Antiqua" w:hAnsi="Book Antiqua" w:cs="Book Antiqua"/>
          <w:b/>
          <w:bCs/>
          <w:color w:val="000000"/>
          <w:sz w:val="24"/>
          <w:szCs w:val="24"/>
          <w:lang w:val="en-US"/>
        </w:rPr>
        <w:t xml:space="preserve"> Professor</w:t>
      </w:r>
      <w:r w:rsidRPr="00A96D05">
        <w:rPr>
          <w:rFonts w:ascii="Book Antiqua" w:hAnsi="Book Antiqua" w:cs="Book Antiqua"/>
          <w:color w:val="000000"/>
          <w:sz w:val="24"/>
          <w:szCs w:val="24"/>
          <w:lang w:val="en-US"/>
        </w:rPr>
        <w:t xml:space="preserve"> of Medicine, Department of Physiological Sciences, Faculty of Medicine, Universidad Nacional de Colombia, Carrera 45 # 26-85,</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Bogotá</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111311, Colombia.</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caguerrerof@unal.edu.co</w:t>
      </w:r>
    </w:p>
    <w:p w:rsidR="005C6065" w:rsidRPr="00A96D05" w:rsidRDefault="005C6065" w:rsidP="002438CD">
      <w:pPr>
        <w:spacing w:after="0" w:line="360" w:lineRule="auto"/>
        <w:ind w:rightChars="50" w:right="31680"/>
        <w:jc w:val="both"/>
        <w:rPr>
          <w:rFonts w:ascii="Book Antiqua" w:hAnsi="Book Antiqua" w:cs="Book Antiqua"/>
          <w:color w:val="000000"/>
          <w:sz w:val="24"/>
          <w:szCs w:val="24"/>
          <w:lang w:val="en-US" w:eastAsia="zh-CN"/>
        </w:rPr>
      </w:pPr>
      <w:r w:rsidRPr="00A96D05">
        <w:rPr>
          <w:rFonts w:ascii="Book Antiqua" w:hAnsi="Book Antiqua" w:cs="Book Antiqua"/>
          <w:b/>
          <w:bCs/>
          <w:color w:val="000000"/>
          <w:sz w:val="24"/>
          <w:szCs w:val="24"/>
          <w:lang w:val="en-US"/>
        </w:rPr>
        <w:t>Telephone:</w:t>
      </w:r>
      <w:r w:rsidRPr="00A96D05">
        <w:rPr>
          <w:rFonts w:ascii="Book Antiqua" w:hAnsi="Book Antiqua" w:cs="Book Antiqua"/>
          <w:b/>
          <w:bCs/>
          <w:color w:val="000000"/>
          <w:sz w:val="24"/>
          <w:szCs w:val="24"/>
          <w:lang w:val="en-US" w:eastAsia="zh-CN"/>
        </w:rPr>
        <w:t xml:space="preserve"> </w:t>
      </w:r>
      <w:r w:rsidRPr="00A96D05">
        <w:rPr>
          <w:rFonts w:ascii="Book Antiqua" w:hAnsi="Book Antiqua" w:cs="Book Antiqua"/>
          <w:color w:val="000000"/>
          <w:sz w:val="24"/>
          <w:szCs w:val="24"/>
          <w:lang w:val="en-US"/>
        </w:rPr>
        <w:t>+57-1-3165000</w:t>
      </w:r>
    </w:p>
    <w:p w:rsidR="005C6065" w:rsidRPr="00A96D05" w:rsidRDefault="005C6065" w:rsidP="002438CD">
      <w:pPr>
        <w:spacing w:after="0" w:line="360" w:lineRule="auto"/>
        <w:ind w:rightChars="50" w:right="31680"/>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Fax:</w:t>
      </w:r>
      <w:r w:rsidRPr="00A96D05">
        <w:rPr>
          <w:rFonts w:ascii="Book Antiqua" w:hAnsi="Book Antiqua" w:cs="Book Antiqua"/>
          <w:color w:val="000000"/>
          <w:sz w:val="24"/>
          <w:szCs w:val="24"/>
          <w:lang w:val="en-US"/>
        </w:rPr>
        <w:t xml:space="preserve"> +57-1-3165000</w:t>
      </w:r>
    </w:p>
    <w:p w:rsidR="005C6065" w:rsidRPr="00A96D05" w:rsidRDefault="005C6065" w:rsidP="00A96D05">
      <w:pPr>
        <w:spacing w:after="0" w:line="360" w:lineRule="auto"/>
        <w:jc w:val="both"/>
        <w:rPr>
          <w:rFonts w:ascii="Book Antiqua" w:hAnsi="Book Antiqua" w:cs="Book Antiqua"/>
          <w:b/>
          <w:bCs/>
          <w:color w:val="000000"/>
          <w:sz w:val="24"/>
          <w:szCs w:val="24"/>
          <w:lang w:val="en-US" w:eastAsia="zh-CN"/>
        </w:rPr>
      </w:pPr>
    </w:p>
    <w:p w:rsidR="005C6065" w:rsidRPr="002438CD" w:rsidRDefault="005C6065" w:rsidP="002438CD">
      <w:pPr>
        <w:spacing w:after="0" w:line="360" w:lineRule="auto"/>
        <w:jc w:val="both"/>
        <w:rPr>
          <w:rFonts w:ascii="Book Antiqua" w:hAnsi="Book Antiqua" w:cs="Book Antiqua"/>
          <w:b/>
          <w:bCs/>
          <w:color w:val="000000"/>
          <w:sz w:val="24"/>
          <w:szCs w:val="24"/>
          <w:lang w:val="en-US" w:eastAsia="zh-CN"/>
        </w:rPr>
      </w:pPr>
      <w:r w:rsidRPr="002438CD">
        <w:rPr>
          <w:rFonts w:ascii="Book Antiqua" w:hAnsi="Book Antiqua" w:cs="Book Antiqua"/>
          <w:b/>
          <w:bCs/>
          <w:color w:val="000000"/>
          <w:sz w:val="24"/>
          <w:szCs w:val="24"/>
          <w:lang w:val="en-US"/>
        </w:rPr>
        <w:t xml:space="preserve">Received: </w:t>
      </w:r>
      <w:r w:rsidRPr="002438CD">
        <w:rPr>
          <w:rFonts w:ascii="Book Antiqua" w:hAnsi="Book Antiqua"/>
          <w:color w:val="000000"/>
          <w:sz w:val="24"/>
          <w:szCs w:val="24"/>
          <w:lang w:val="en-US"/>
        </w:rPr>
        <w:t>August</w:t>
      </w:r>
      <w:r w:rsidRPr="002438CD">
        <w:rPr>
          <w:rFonts w:ascii="Book Antiqua" w:hAnsi="Book Antiqua"/>
          <w:color w:val="000000"/>
          <w:sz w:val="24"/>
          <w:szCs w:val="24"/>
          <w:lang w:val="en-US" w:eastAsia="zh-CN"/>
        </w:rPr>
        <w:t xml:space="preserve"> 12, 2015</w:t>
      </w:r>
    </w:p>
    <w:p w:rsidR="005C6065" w:rsidRPr="002438CD" w:rsidRDefault="005C6065" w:rsidP="002438CD">
      <w:pPr>
        <w:spacing w:after="0" w:line="360" w:lineRule="auto"/>
        <w:jc w:val="both"/>
        <w:rPr>
          <w:rFonts w:ascii="Book Antiqua" w:hAnsi="Book Antiqua" w:cs="Book Antiqua"/>
          <w:b/>
          <w:bCs/>
          <w:color w:val="000000"/>
          <w:sz w:val="24"/>
          <w:szCs w:val="24"/>
          <w:lang w:val="en-US" w:eastAsia="zh-CN"/>
        </w:rPr>
      </w:pPr>
      <w:r w:rsidRPr="002438CD">
        <w:rPr>
          <w:rFonts w:ascii="Book Antiqua" w:hAnsi="Book Antiqua" w:cs="Book Antiqua"/>
          <w:b/>
          <w:bCs/>
          <w:color w:val="000000"/>
          <w:sz w:val="24"/>
          <w:szCs w:val="24"/>
          <w:lang w:val="en-US"/>
        </w:rPr>
        <w:t>Peer-review started:</w:t>
      </w:r>
      <w:r w:rsidRPr="002438CD">
        <w:rPr>
          <w:rFonts w:ascii="Book Antiqua" w:hAnsi="Book Antiqua" w:cs="Book Antiqua"/>
          <w:b/>
          <w:bCs/>
          <w:color w:val="000000"/>
          <w:sz w:val="24"/>
          <w:szCs w:val="24"/>
          <w:lang w:val="en-US" w:eastAsia="zh-CN"/>
        </w:rPr>
        <w:t xml:space="preserve"> </w:t>
      </w:r>
      <w:r w:rsidRPr="002438CD">
        <w:rPr>
          <w:rFonts w:ascii="Book Antiqua" w:hAnsi="Book Antiqua"/>
          <w:color w:val="000000"/>
          <w:sz w:val="24"/>
          <w:szCs w:val="24"/>
          <w:lang w:val="en-US"/>
        </w:rPr>
        <w:t>August</w:t>
      </w:r>
      <w:r w:rsidRPr="002438CD">
        <w:rPr>
          <w:rFonts w:ascii="Book Antiqua" w:hAnsi="Book Antiqua"/>
          <w:color w:val="000000"/>
          <w:sz w:val="24"/>
          <w:szCs w:val="24"/>
          <w:lang w:val="en-US" w:eastAsia="zh-CN"/>
        </w:rPr>
        <w:t xml:space="preserve"> 13, 2015</w:t>
      </w:r>
    </w:p>
    <w:p w:rsidR="005C6065" w:rsidRPr="002438CD" w:rsidRDefault="005C6065" w:rsidP="002438CD">
      <w:pPr>
        <w:spacing w:after="0" w:line="360" w:lineRule="auto"/>
        <w:rPr>
          <w:rFonts w:ascii="Book Antiqua" w:hAnsi="Book Antiqua"/>
          <w:color w:val="000000"/>
          <w:sz w:val="24"/>
          <w:szCs w:val="24"/>
          <w:lang w:val="en-US" w:eastAsia="zh-CN"/>
        </w:rPr>
      </w:pPr>
      <w:r w:rsidRPr="002438CD">
        <w:rPr>
          <w:rFonts w:ascii="Book Antiqua" w:hAnsi="Book Antiqua" w:cs="Book Antiqua"/>
          <w:b/>
          <w:bCs/>
          <w:color w:val="000000"/>
          <w:sz w:val="24"/>
          <w:szCs w:val="24"/>
          <w:lang w:val="en-US"/>
        </w:rPr>
        <w:t>First decision:</w:t>
      </w:r>
      <w:r w:rsidRPr="002438CD">
        <w:rPr>
          <w:rFonts w:ascii="Book Antiqua" w:hAnsi="Book Antiqua" w:cs="Book Antiqua"/>
          <w:b/>
          <w:bCs/>
          <w:color w:val="000000"/>
          <w:sz w:val="24"/>
          <w:szCs w:val="24"/>
          <w:lang w:val="en-US" w:eastAsia="zh-CN"/>
        </w:rPr>
        <w:t xml:space="preserve"> </w:t>
      </w:r>
      <w:r w:rsidRPr="002438CD">
        <w:rPr>
          <w:rFonts w:ascii="Book Antiqua" w:hAnsi="Book Antiqua"/>
          <w:color w:val="000000"/>
          <w:sz w:val="24"/>
          <w:szCs w:val="24"/>
          <w:lang w:val="en-US"/>
        </w:rPr>
        <w:t>September</w:t>
      </w:r>
      <w:r w:rsidRPr="002438CD">
        <w:rPr>
          <w:rFonts w:ascii="Book Antiqua" w:hAnsi="Book Antiqua"/>
          <w:color w:val="000000"/>
          <w:sz w:val="24"/>
          <w:szCs w:val="24"/>
          <w:lang w:val="en-US" w:eastAsia="zh-CN"/>
        </w:rPr>
        <w:t xml:space="preserve"> 28, 2015</w:t>
      </w:r>
    </w:p>
    <w:p w:rsidR="005C6065" w:rsidRPr="002438CD" w:rsidRDefault="005C6065" w:rsidP="002438CD">
      <w:pPr>
        <w:spacing w:after="0" w:line="360" w:lineRule="auto"/>
        <w:jc w:val="both"/>
        <w:rPr>
          <w:rFonts w:ascii="Book Antiqua" w:hAnsi="Book Antiqua" w:cs="Book Antiqua"/>
          <w:b/>
          <w:bCs/>
          <w:color w:val="000000"/>
          <w:sz w:val="24"/>
          <w:szCs w:val="24"/>
          <w:lang w:val="en-US" w:eastAsia="zh-CN"/>
        </w:rPr>
      </w:pPr>
      <w:r w:rsidRPr="002438CD">
        <w:rPr>
          <w:rFonts w:ascii="Book Antiqua" w:hAnsi="Book Antiqua" w:cs="Book Antiqua"/>
          <w:b/>
          <w:bCs/>
          <w:color w:val="000000"/>
          <w:sz w:val="24"/>
          <w:szCs w:val="24"/>
          <w:lang w:val="en-US"/>
        </w:rPr>
        <w:t xml:space="preserve">Revised: </w:t>
      </w:r>
      <w:r w:rsidRPr="002438CD">
        <w:rPr>
          <w:rFonts w:ascii="Book Antiqua" w:hAnsi="Book Antiqua"/>
          <w:color w:val="000000"/>
          <w:sz w:val="24"/>
          <w:szCs w:val="24"/>
          <w:lang w:val="en-US"/>
        </w:rPr>
        <w:t>December</w:t>
      </w:r>
      <w:r w:rsidRPr="002438CD">
        <w:rPr>
          <w:rFonts w:ascii="Book Antiqua" w:hAnsi="Book Antiqua"/>
          <w:color w:val="000000"/>
          <w:sz w:val="24"/>
          <w:szCs w:val="24"/>
          <w:lang w:val="en-US" w:eastAsia="zh-CN"/>
        </w:rPr>
        <w:t xml:space="preserve"> 2, 2015</w:t>
      </w:r>
    </w:p>
    <w:p w:rsidR="005C6065" w:rsidRPr="002438CD" w:rsidRDefault="005C6065" w:rsidP="002438CD">
      <w:pPr>
        <w:spacing w:after="0" w:line="360" w:lineRule="auto"/>
        <w:rPr>
          <w:rFonts w:ascii="Book Antiqua" w:hAnsi="Book Antiqua"/>
          <w:iCs/>
          <w:sz w:val="24"/>
        </w:rPr>
      </w:pPr>
      <w:r w:rsidRPr="002438CD">
        <w:rPr>
          <w:rFonts w:ascii="Book Antiqua" w:hAnsi="Book Antiqua" w:cs="Book Antiqua"/>
          <w:b/>
          <w:bCs/>
          <w:color w:val="000000"/>
          <w:sz w:val="24"/>
          <w:szCs w:val="24"/>
          <w:lang w:val="en-US"/>
        </w:rPr>
        <w:t xml:space="preserve">Accepted: </w:t>
      </w:r>
      <w:r w:rsidRPr="002438CD">
        <w:rPr>
          <w:rStyle w:val="Emphasis"/>
          <w:rFonts w:cs="Calibri"/>
          <w:iCs/>
        </w:rPr>
        <w:t xml:space="preserve">January </w:t>
      </w:r>
      <w:r w:rsidRPr="002438CD">
        <w:rPr>
          <w:rStyle w:val="Emphasis"/>
          <w:rFonts w:cs="宋体"/>
          <w:iCs/>
        </w:rPr>
        <w:t>27</w:t>
      </w:r>
      <w:r w:rsidRPr="002438CD">
        <w:rPr>
          <w:rStyle w:val="Emphasis"/>
          <w:rFonts w:cs="Calibri"/>
          <w:iCs/>
        </w:rPr>
        <w:t>, 2016</w:t>
      </w:r>
    </w:p>
    <w:p w:rsidR="005C6065" w:rsidRPr="002438CD" w:rsidRDefault="005C6065" w:rsidP="002438CD">
      <w:pPr>
        <w:spacing w:after="0" w:line="360" w:lineRule="auto"/>
        <w:jc w:val="both"/>
        <w:rPr>
          <w:rFonts w:ascii="Book Antiqua" w:hAnsi="Book Antiqua" w:cs="Book Antiqua"/>
          <w:b/>
          <w:bCs/>
          <w:color w:val="000000"/>
          <w:sz w:val="24"/>
          <w:szCs w:val="24"/>
          <w:lang w:val="en-US"/>
        </w:rPr>
      </w:pPr>
      <w:r w:rsidRPr="002438CD">
        <w:rPr>
          <w:rFonts w:ascii="Book Antiqua" w:hAnsi="Book Antiqua" w:cs="Book Antiqua"/>
          <w:b/>
          <w:bCs/>
          <w:color w:val="000000"/>
          <w:sz w:val="24"/>
          <w:szCs w:val="24"/>
          <w:lang w:val="en-US"/>
        </w:rPr>
        <w:t>Article in press:</w:t>
      </w:r>
    </w:p>
    <w:p w:rsidR="005C6065" w:rsidRPr="002438CD" w:rsidRDefault="005C6065" w:rsidP="002438CD">
      <w:pPr>
        <w:spacing w:after="0" w:line="360" w:lineRule="auto"/>
        <w:jc w:val="both"/>
        <w:rPr>
          <w:rFonts w:ascii="Book Antiqua" w:hAnsi="Book Antiqua" w:cs="Book Antiqua"/>
          <w:b/>
          <w:bCs/>
          <w:color w:val="000000"/>
          <w:sz w:val="24"/>
          <w:szCs w:val="24"/>
          <w:lang w:val="en-US"/>
        </w:rPr>
      </w:pPr>
      <w:r w:rsidRPr="002438CD">
        <w:rPr>
          <w:rFonts w:ascii="Book Antiqua" w:hAnsi="Book Antiqua" w:cs="Book Antiqua"/>
          <w:b/>
          <w:bCs/>
          <w:color w:val="000000"/>
          <w:sz w:val="24"/>
          <w:szCs w:val="24"/>
          <w:lang w:val="en-US"/>
        </w:rPr>
        <w:t>Published online:</w:t>
      </w: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br w:type="page"/>
        <w:t>Abstract</w:t>
      </w:r>
    </w:p>
    <w:p w:rsidR="005C6065" w:rsidRPr="00A96D05" w:rsidRDefault="005C6065" w:rsidP="00A96D05">
      <w:pPr>
        <w:spacing w:after="0" w:line="360" w:lineRule="auto"/>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lang w:val="en-US"/>
        </w:rPr>
        <w:t xml:space="preserve">Rotaviruses are the single leading cause of life-threatening diarrhea affecting children under 5 years of age. </w:t>
      </w:r>
      <w:r w:rsidRPr="00A96D05">
        <w:rPr>
          <w:rFonts w:ascii="Book Antiqua" w:hAnsi="Book Antiqua" w:cs="Book Antiqua"/>
          <w:color w:val="000000"/>
          <w:sz w:val="24"/>
          <w:szCs w:val="24"/>
          <w:shd w:val="clear" w:color="auto" w:fill="FFFFFF"/>
          <w:lang w:val="en-US"/>
        </w:rPr>
        <w:t>Rotavirus entry into the host cell seems to occur by sequential interactions between virion proteins and various cell surface molecules. The entry mechanisms seem to involve the contribution of cellular molecules having binding, chaperoning and oxido-reducing activities. It appears to be that the receptor usage and tropism of rotaviruses is determined by the species, cell line and rotavirus strain. Rotaviruses have evolved functions which can antagonize the host innate immune response, whereas are able to induce endoplasmic reticulum (ER) stress, oxidative stress and inflammatory signaling. A</w:t>
      </w:r>
      <w:r w:rsidRPr="00A96D05">
        <w:rPr>
          <w:rFonts w:ascii="Book Antiqua" w:hAnsi="Book Antiqua" w:cs="Book Antiqua"/>
          <w:color w:val="000000"/>
          <w:sz w:val="24"/>
          <w:szCs w:val="24"/>
          <w:lang w:val="en-US"/>
        </w:rPr>
        <w:t xml:space="preserve"> networking between ER stress, inflammation and oxidative stress is suggested, in which release of calcium from the ER increases the generation of mitochondrial reactive oxygen species (ROS) leading to toxic accumulation of ROS within ER and mitochondria. Sustained ER stress potentially stimulates inflammatory response through unfolded protein response pathways.</w:t>
      </w:r>
      <w:r w:rsidRPr="00A96D05">
        <w:rPr>
          <w:rFonts w:ascii="Book Antiqua" w:hAnsi="Book Antiqua" w:cs="Book Antiqua"/>
          <w:color w:val="000000"/>
          <w:sz w:val="24"/>
          <w:szCs w:val="24"/>
          <w:shd w:val="clear" w:color="auto" w:fill="FFFFFF"/>
          <w:lang w:val="en-US"/>
        </w:rPr>
        <w:t xml:space="preserve"> However, the detailed characterization of the molecular mechanisms underpinning these rotavirus-induced stressful conditions is still lacking. The signaling events triggered by host recognition of </w:t>
      </w:r>
      <w:r w:rsidRPr="00A96D05">
        <w:rPr>
          <w:rFonts w:ascii="Book Antiqua" w:hAnsi="Book Antiqua" w:cs="Book Antiqua"/>
          <w:color w:val="000000"/>
          <w:sz w:val="24"/>
          <w:szCs w:val="24"/>
          <w:lang w:val="en-US"/>
        </w:rPr>
        <w:t>virus-associated molecular patterns</w:t>
      </w:r>
      <w:r w:rsidRPr="00A96D05">
        <w:rPr>
          <w:rFonts w:ascii="Book Antiqua" w:hAnsi="Book Antiqua" w:cs="Book Antiqua"/>
          <w:color w:val="000000"/>
          <w:sz w:val="24"/>
          <w:szCs w:val="24"/>
          <w:shd w:val="clear" w:color="auto" w:fill="FFFFFF"/>
          <w:lang w:val="en-US"/>
        </w:rPr>
        <w:t xml:space="preserve"> offers an opportunity for the development of novel therapeutic strategies aimed at interfering with rotavirus infection. The use of N-acetylcysteine, non-steroidal anti-inflammatory agonists to inhibit rotavirus infection opens a new way for treating the rotavirus-induced diarrhea and complementing vaccines. </w:t>
      </w:r>
    </w:p>
    <w:p w:rsidR="005C6065" w:rsidRPr="00A96D05" w:rsidRDefault="005C6065" w:rsidP="00A96D05">
      <w:pPr>
        <w:spacing w:after="0" w:line="360" w:lineRule="auto"/>
        <w:jc w:val="both"/>
        <w:rPr>
          <w:rFonts w:ascii="Book Antiqua" w:hAnsi="Book Antiqua" w:cs="Book Antiqua"/>
          <w:b/>
          <w:bCs/>
          <w:color w:val="000000"/>
          <w:sz w:val="24"/>
          <w:szCs w:val="24"/>
          <w:lang w:val="en-US"/>
        </w:rPr>
      </w:pPr>
    </w:p>
    <w:p w:rsidR="005C6065" w:rsidRPr="00A96D05" w:rsidRDefault="005C6065" w:rsidP="00A96D05">
      <w:pPr>
        <w:spacing w:after="0" w:line="360" w:lineRule="auto"/>
        <w:jc w:val="both"/>
        <w:rPr>
          <w:rFonts w:ascii="Book Antiqua" w:hAnsi="Book Antiqua" w:cs="Book Antiqua"/>
          <w:color w:val="000000"/>
          <w:sz w:val="24"/>
          <w:szCs w:val="24"/>
          <w:shd w:val="clear" w:color="auto" w:fill="FFFFFF"/>
          <w:lang w:val="en-US" w:eastAsia="zh-CN"/>
        </w:rPr>
      </w:pPr>
      <w:r w:rsidRPr="00A96D05">
        <w:rPr>
          <w:rFonts w:ascii="Book Antiqua" w:hAnsi="Book Antiqua" w:cs="Book Antiqua"/>
          <w:b/>
          <w:bCs/>
          <w:color w:val="000000"/>
          <w:sz w:val="24"/>
          <w:szCs w:val="24"/>
          <w:lang w:val="en-US"/>
        </w:rPr>
        <w:t>Key words:</w:t>
      </w:r>
      <w:r w:rsidRPr="00A96D05">
        <w:rPr>
          <w:rFonts w:ascii="Book Antiqua" w:hAnsi="Book Antiqua" w:cs="Book Antiqua"/>
          <w:color w:val="000000"/>
          <w:sz w:val="24"/>
          <w:szCs w:val="24"/>
          <w:lang w:val="en-US"/>
        </w:rPr>
        <w:t xml:space="preserve"> Rotaviruses; Oxidative stress; Inflammatory signaling; Antioxidant treatment; Anti-inflammatory treatment</w:t>
      </w:r>
    </w:p>
    <w:p w:rsidR="005C6065" w:rsidRPr="00A96D05" w:rsidRDefault="005C6065" w:rsidP="00A96D05">
      <w:pPr>
        <w:spacing w:after="0" w:line="360" w:lineRule="auto"/>
        <w:jc w:val="both"/>
        <w:rPr>
          <w:rFonts w:ascii="Book Antiqua" w:hAnsi="Book Antiqua" w:cs="Book Antiqua"/>
          <w:b/>
          <w:bCs/>
          <w:color w:val="000000"/>
          <w:sz w:val="24"/>
          <w:szCs w:val="24"/>
          <w:shd w:val="clear" w:color="auto" w:fill="FFFFFF"/>
          <w:lang w:val="en-US" w:eastAsia="zh-CN"/>
        </w:rPr>
      </w:pPr>
    </w:p>
    <w:p w:rsidR="005C6065" w:rsidRPr="00A96D05" w:rsidRDefault="005C6065" w:rsidP="00A96D05">
      <w:pPr>
        <w:snapToGrid w:val="0"/>
        <w:spacing w:after="0" w:line="360" w:lineRule="auto"/>
        <w:jc w:val="both"/>
        <w:rPr>
          <w:rFonts w:ascii="Book Antiqua" w:hAnsi="Book Antiqua"/>
          <w:color w:val="000000"/>
          <w:sz w:val="24"/>
          <w:szCs w:val="24"/>
          <w:lang w:val="en-US"/>
        </w:rPr>
      </w:pPr>
      <w:r w:rsidRPr="00A96D05">
        <w:rPr>
          <w:rFonts w:ascii="Book Antiqua" w:hAnsi="Book Antiqua"/>
          <w:color w:val="000000"/>
          <w:sz w:val="24"/>
          <w:szCs w:val="24"/>
          <w:lang w:val="en-US"/>
        </w:rPr>
        <w:t xml:space="preserve">© </w:t>
      </w:r>
      <w:r w:rsidRPr="00A96D05">
        <w:rPr>
          <w:rFonts w:ascii="Book Antiqua" w:hAnsi="Book Antiqua"/>
          <w:b/>
          <w:color w:val="000000"/>
          <w:sz w:val="24"/>
          <w:szCs w:val="24"/>
          <w:lang w:val="en-US"/>
        </w:rPr>
        <w:t>The Author(s) 2016</w:t>
      </w:r>
      <w:r w:rsidRPr="00A96D05">
        <w:rPr>
          <w:rFonts w:ascii="Book Antiqua" w:hAnsi="Book Antiqua"/>
          <w:color w:val="000000"/>
          <w:sz w:val="24"/>
          <w:szCs w:val="24"/>
          <w:lang w:val="en-US"/>
        </w:rPr>
        <w:t>. Published by Baishideng Publishing Group Inc. All rights reserved.</w:t>
      </w:r>
    </w:p>
    <w:p w:rsidR="005C6065" w:rsidRPr="00A96D05" w:rsidRDefault="005C6065" w:rsidP="00A96D05">
      <w:pPr>
        <w:spacing w:after="0" w:line="360" w:lineRule="auto"/>
        <w:jc w:val="both"/>
        <w:rPr>
          <w:rFonts w:ascii="Book Antiqua" w:hAnsi="Book Antiqua" w:cs="Book Antiqua"/>
          <w:b/>
          <w:bCs/>
          <w:color w:val="000000"/>
          <w:sz w:val="24"/>
          <w:szCs w:val="24"/>
          <w:shd w:val="clear" w:color="auto" w:fill="FFFFFF"/>
          <w:lang w:val="en-US" w:eastAsia="zh-CN"/>
        </w:rPr>
      </w:pPr>
    </w:p>
    <w:p w:rsidR="005C6065" w:rsidRPr="00A96D05" w:rsidRDefault="005C6065" w:rsidP="00A96D05">
      <w:pPr>
        <w:spacing w:after="0" w:line="360" w:lineRule="auto"/>
        <w:jc w:val="both"/>
        <w:rPr>
          <w:rFonts w:ascii="Book Antiqua" w:hAnsi="Book Antiqua" w:cs="Book Antiqua"/>
          <w:b/>
          <w:bCs/>
          <w:color w:val="000000"/>
          <w:sz w:val="24"/>
          <w:szCs w:val="24"/>
          <w:shd w:val="clear" w:color="auto" w:fill="FFFFFF"/>
          <w:lang w:val="en-US" w:eastAsia="zh-CN"/>
        </w:rPr>
      </w:pPr>
      <w:r w:rsidRPr="00A96D05">
        <w:rPr>
          <w:rFonts w:ascii="Book Antiqua" w:hAnsi="Book Antiqua" w:cs="Book Antiqua"/>
          <w:b/>
          <w:bCs/>
          <w:color w:val="000000"/>
          <w:sz w:val="24"/>
          <w:szCs w:val="24"/>
          <w:shd w:val="clear" w:color="auto" w:fill="FFFFFF"/>
          <w:lang w:val="en-US"/>
        </w:rPr>
        <w:t>Core tip</w:t>
      </w:r>
      <w:r w:rsidRPr="00A96D05">
        <w:rPr>
          <w:rFonts w:ascii="Book Antiqua" w:hAnsi="Book Antiqua" w:cs="Book Antiqua"/>
          <w:b/>
          <w:bCs/>
          <w:color w:val="000000"/>
          <w:sz w:val="24"/>
          <w:szCs w:val="24"/>
          <w:shd w:val="clear" w:color="auto" w:fill="FFFFFF"/>
          <w:lang w:val="en-US" w:eastAsia="zh-CN"/>
        </w:rPr>
        <w:t xml:space="preserve">: </w:t>
      </w:r>
      <w:r w:rsidRPr="00A96D05">
        <w:rPr>
          <w:rFonts w:ascii="Book Antiqua" w:hAnsi="Book Antiqua" w:cs="Book Antiqua"/>
          <w:color w:val="000000"/>
          <w:sz w:val="24"/>
          <w:szCs w:val="24"/>
          <w:shd w:val="clear" w:color="auto" w:fill="FFFFFF"/>
          <w:lang w:val="en-US"/>
        </w:rPr>
        <w:t xml:space="preserve">Rotavirus entry into the host cell requires cell surface molecules providing binding, chaperoning and oxido-reducing functions. Sialic acid/integrin </w:t>
      </w:r>
      <w:r>
        <w:rPr>
          <w:rFonts w:ascii="Book Antiqua" w:hAnsi="Book Antiqua"/>
          <w:bCs/>
          <w:color w:val="000000"/>
          <w:kern w:val="24"/>
          <w:sz w:val="24"/>
          <w:szCs w:val="24"/>
        </w:rPr>
        <w:t>α</w:t>
      </w:r>
      <w:r w:rsidRPr="00A96D05">
        <w:rPr>
          <w:rFonts w:ascii="Book Antiqua" w:hAnsi="Book Antiqua" w:cs="Book Antiqua"/>
          <w:color w:val="000000"/>
          <w:sz w:val="24"/>
          <w:szCs w:val="24"/>
          <w:lang w:val="en-US"/>
        </w:rPr>
        <w:t>2β1,</w:t>
      </w:r>
      <w:r w:rsidRPr="00A96D05">
        <w:rPr>
          <w:rFonts w:ascii="Book Antiqua" w:hAnsi="Book Antiqua" w:cs="Book Antiqua"/>
          <w:color w:val="000000"/>
          <w:sz w:val="24"/>
          <w:szCs w:val="24"/>
          <w:shd w:val="clear" w:color="auto" w:fill="FFFFFF"/>
          <w:lang w:val="en-US"/>
        </w:rPr>
        <w:t xml:space="preserve"> </w:t>
      </w:r>
      <w:r w:rsidRPr="00A96D05">
        <w:rPr>
          <w:rFonts w:ascii="Book Antiqua" w:hAnsi="Book Antiqua" w:cs="Book Antiqua"/>
          <w:color w:val="000000"/>
          <w:sz w:val="24"/>
          <w:szCs w:val="24"/>
          <w:lang w:val="en-US"/>
        </w:rPr>
        <w:t>heat shock cognate protein 70 and protein disulfide isomerase (PDI) seem to perform these functions. Recently, the cell surface oxido-reduction activity based at least on PDI has been highlighted as a potential determinant of the conformational changes that are required by viral structural proteins in order to facilitate virus entry. The rotavirus-induced oxidative stress and inflammatory signaling is an attractive target for therapeutic intervention as antioxidant and anti-inflammatory treatment has proved to efficiently inhibit rotavirus infection.</w:t>
      </w:r>
    </w:p>
    <w:p w:rsidR="005C6065" w:rsidRPr="00A96D05" w:rsidRDefault="005C6065" w:rsidP="00A96D05">
      <w:pPr>
        <w:spacing w:after="0" w:line="360" w:lineRule="auto"/>
        <w:jc w:val="both"/>
        <w:rPr>
          <w:rFonts w:ascii="Book Antiqua" w:hAnsi="Book Antiqua" w:cs="Book Antiqua"/>
          <w:color w:val="000000"/>
          <w:sz w:val="24"/>
          <w:szCs w:val="24"/>
          <w:lang w:val="en-US"/>
        </w:rPr>
      </w:pPr>
    </w:p>
    <w:p w:rsidR="005C6065" w:rsidRPr="00A96D05" w:rsidRDefault="005C6065" w:rsidP="00A96D05">
      <w:pPr>
        <w:spacing w:after="0" w:line="360" w:lineRule="auto"/>
        <w:jc w:val="both"/>
        <w:rPr>
          <w:rFonts w:ascii="Book Antiqua" w:hAnsi="Book Antiqua" w:cs="Book Antiqua"/>
          <w:b/>
          <w:bCs/>
          <w:color w:val="000000"/>
          <w:sz w:val="24"/>
          <w:szCs w:val="24"/>
          <w:lang w:val="en-US" w:eastAsia="zh-CN"/>
        </w:rPr>
      </w:pPr>
      <w:smartTag w:uri="urn:schemas-microsoft-com:office:smarttags" w:element="place">
        <w:smartTag w:uri="urn:schemas-microsoft-com:office:smarttags" w:element="City">
          <w:r w:rsidRPr="00A96D05">
            <w:rPr>
              <w:rFonts w:ascii="Book Antiqua" w:hAnsi="Book Antiqua" w:cs="Book Antiqua"/>
              <w:color w:val="000000"/>
              <w:sz w:val="24"/>
              <w:szCs w:val="24"/>
              <w:lang w:val="en-US"/>
            </w:rPr>
            <w:t>Guerrero</w:t>
          </w:r>
        </w:smartTag>
        <w:r w:rsidRPr="00A96D05">
          <w:rPr>
            <w:rFonts w:ascii="Book Antiqua" w:hAnsi="Book Antiqua" w:cs="Book Antiqua"/>
            <w:color w:val="000000"/>
            <w:sz w:val="24"/>
            <w:szCs w:val="24"/>
            <w:lang w:val="en-US" w:eastAsia="zh-CN"/>
          </w:rPr>
          <w:t xml:space="preserve"> </w:t>
        </w:r>
        <w:smartTag w:uri="urn:schemas-microsoft-com:office:smarttags" w:element="State">
          <w:r w:rsidRPr="00A96D05">
            <w:rPr>
              <w:rFonts w:ascii="Book Antiqua" w:hAnsi="Book Antiqua" w:cs="Book Antiqua"/>
              <w:color w:val="000000"/>
              <w:sz w:val="24"/>
              <w:szCs w:val="24"/>
              <w:lang w:val="en-US" w:eastAsia="zh-CN"/>
            </w:rPr>
            <w:t>CA</w:t>
          </w:r>
        </w:smartTag>
      </w:smartTag>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Acosta</w:t>
      </w:r>
      <w:r w:rsidRPr="00A96D05">
        <w:rPr>
          <w:rFonts w:ascii="Book Antiqua" w:hAnsi="Book Antiqua" w:cs="Book Antiqua"/>
          <w:color w:val="000000"/>
          <w:sz w:val="24"/>
          <w:szCs w:val="24"/>
          <w:lang w:val="en-US" w:eastAsia="zh-CN"/>
        </w:rPr>
        <w:t xml:space="preserve"> O. </w:t>
      </w:r>
      <w:r w:rsidRPr="00A96D05">
        <w:rPr>
          <w:rFonts w:ascii="Book Antiqua" w:hAnsi="Book Antiqua" w:cs="Book Antiqua"/>
          <w:color w:val="000000"/>
          <w:sz w:val="24"/>
          <w:szCs w:val="24"/>
          <w:lang w:val="en-US"/>
        </w:rPr>
        <w:t>Inflammatory and oxidative stress in rotavirus infection</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i/>
          <w:iCs/>
          <w:color w:val="000000"/>
          <w:sz w:val="24"/>
          <w:szCs w:val="24"/>
          <w:lang w:val="en-US"/>
        </w:rPr>
        <w:t>World J Virol</w:t>
      </w:r>
      <w:r w:rsidRPr="00A96D05">
        <w:rPr>
          <w:rFonts w:ascii="Book Antiqua" w:hAnsi="Book Antiqua" w:cs="Book Antiqua"/>
          <w:color w:val="000000"/>
          <w:sz w:val="24"/>
          <w:szCs w:val="24"/>
          <w:lang w:val="en-US" w:eastAsia="zh-CN"/>
        </w:rPr>
        <w:t xml:space="preserve"> 2016; In press</w:t>
      </w: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color w:val="000000"/>
          <w:sz w:val="24"/>
          <w:szCs w:val="24"/>
          <w:lang w:val="en-US" w:eastAsia="zh-CN"/>
        </w:rPr>
        <w:br w:type="page"/>
      </w:r>
      <w:r w:rsidRPr="00A96D05">
        <w:rPr>
          <w:rFonts w:ascii="Book Antiqua" w:hAnsi="Book Antiqua" w:cs="Book Antiqua"/>
          <w:b/>
          <w:bCs/>
          <w:color w:val="000000"/>
          <w:sz w:val="24"/>
          <w:szCs w:val="24"/>
          <w:lang w:val="en-US"/>
        </w:rPr>
        <w:t>INTRODUCTION</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Rotaviruses are the major cause of severe, acute, and dehydrating diarrhea in children under 5 years of age worldwide.  World Health Organization estimates that more than 25 million outpatient visits and 2 million hospitalizations attributable to rotavirus infections occurred each year</w:t>
      </w:r>
      <w:r w:rsidRPr="00A96D05">
        <w:rPr>
          <w:rFonts w:ascii="Book Antiqua" w:hAnsi="Book Antiqua" w:cs="Book Antiqua"/>
          <w:noProof/>
          <w:color w:val="000000"/>
          <w:sz w:val="24"/>
          <w:szCs w:val="24"/>
          <w:vertAlign w:val="superscript"/>
          <w:lang w:val="en-US"/>
        </w:rPr>
        <w:t>[1]</w:t>
      </w:r>
      <w:r w:rsidRPr="00A96D05">
        <w:rPr>
          <w:rFonts w:ascii="Book Antiqua" w:hAnsi="Book Antiqua" w:cs="Book Antiqua"/>
          <w:color w:val="000000"/>
          <w:sz w:val="24"/>
          <w:szCs w:val="24"/>
          <w:lang w:val="en-US"/>
        </w:rPr>
        <w:t>. Child deaths caused by rotaviruses were estimated at more than 453000 in 2008 globally</w:t>
      </w:r>
      <w:r w:rsidRPr="00A96D05">
        <w:rPr>
          <w:rFonts w:ascii="Book Antiqua" w:hAnsi="Book Antiqua" w:cs="Book Antiqua"/>
          <w:noProof/>
          <w:color w:val="000000"/>
          <w:sz w:val="24"/>
          <w:szCs w:val="24"/>
          <w:vertAlign w:val="superscript"/>
          <w:lang w:val="en-US"/>
        </w:rPr>
        <w:t>[2]</w:t>
      </w:r>
      <w:r w:rsidRPr="00A96D05">
        <w:rPr>
          <w:rFonts w:ascii="Book Antiqua" w:hAnsi="Book Antiqua" w:cs="Book Antiqua"/>
          <w:color w:val="000000"/>
          <w:sz w:val="24"/>
          <w:szCs w:val="24"/>
          <w:lang w:val="en-US"/>
        </w:rPr>
        <w:t>. Rotaviruses belong to the family Reoviridae and their 11-segmented double-stranded RNA (dsRNA</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genome is encapsidated within a non-enveloped virion composed by three concentric protein layers </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triple-layered particle </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TLP)</w:t>
      </w:r>
      <w:r w:rsidRPr="00A96D05">
        <w:rPr>
          <w:rFonts w:ascii="Book Antiqua" w:hAnsi="Book Antiqua" w:cs="Book Antiqua"/>
          <w:color w:val="000000"/>
          <w:sz w:val="24"/>
          <w:szCs w:val="24"/>
          <w:lang w:val="en-US" w:eastAsia="zh-CN"/>
        </w:rPr>
        <w:t>]</w:t>
      </w:r>
      <w:r w:rsidRPr="00A96D05">
        <w:rPr>
          <w:rFonts w:ascii="Book Antiqua" w:hAnsi="Book Antiqua" w:cs="Book Antiqua"/>
          <w:noProof/>
          <w:color w:val="000000"/>
          <w:sz w:val="24"/>
          <w:szCs w:val="24"/>
          <w:vertAlign w:val="superscript"/>
          <w:lang w:val="en-US"/>
        </w:rPr>
        <w:t>[3]</w:t>
      </w:r>
      <w:r w:rsidRPr="00A96D05">
        <w:rPr>
          <w:rFonts w:ascii="Book Antiqua" w:hAnsi="Book Antiqua" w:cs="Book Antiqua"/>
          <w:color w:val="000000"/>
          <w:sz w:val="24"/>
          <w:szCs w:val="24"/>
          <w:lang w:val="en-US"/>
        </w:rPr>
        <w:t>. The outer layer is made of two structural proteins, VP4 and VP7. The middle layer is composed of VP6 that surrounds the core shell. The inner layer is composed of the core shell (VP2), which encloses VP1, VP3 and the genomic RNA</w:t>
      </w:r>
      <w:r w:rsidRPr="00A96D05">
        <w:rPr>
          <w:rFonts w:ascii="Book Antiqua" w:hAnsi="Book Antiqua" w:cs="Book Antiqua"/>
          <w:noProof/>
          <w:color w:val="000000"/>
          <w:sz w:val="24"/>
          <w:szCs w:val="24"/>
          <w:vertAlign w:val="superscript"/>
          <w:lang w:val="en-US"/>
        </w:rPr>
        <w:t>[4,5]</w:t>
      </w:r>
      <w:r w:rsidRPr="00A96D05">
        <w:rPr>
          <w:rFonts w:ascii="Book Antiqua" w:hAnsi="Book Antiqua" w:cs="Book Antiqua"/>
          <w:color w:val="000000"/>
          <w:sz w:val="24"/>
          <w:szCs w:val="24"/>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lang w:val="en-US"/>
        </w:rPr>
        <w:t>Rotavirus entry into the host cell seems to be mediated by the sequential interaction of virions with various cell surface molecules including sialic acid (SA)</w:t>
      </w:r>
      <w:r w:rsidRPr="00A96D05">
        <w:rPr>
          <w:rFonts w:ascii="Book Antiqua" w:hAnsi="Book Antiqua" w:cs="Book Antiqua"/>
          <w:noProof/>
          <w:color w:val="000000"/>
          <w:sz w:val="24"/>
          <w:szCs w:val="24"/>
          <w:vertAlign w:val="superscript"/>
          <w:lang w:val="en-US"/>
        </w:rPr>
        <w:t>[6]</w:t>
      </w:r>
      <w:r w:rsidRPr="00A96D05">
        <w:rPr>
          <w:rFonts w:ascii="Book Antiqua" w:hAnsi="Book Antiqua" w:cs="Book Antiqua"/>
          <w:color w:val="000000"/>
          <w:sz w:val="24"/>
          <w:szCs w:val="24"/>
          <w:lang w:val="en-US"/>
        </w:rPr>
        <w:t>, heat shock cognate protein 70 (Hsc70)</w:t>
      </w:r>
      <w:r w:rsidRPr="00A96D05">
        <w:rPr>
          <w:rFonts w:ascii="Book Antiqua" w:hAnsi="Book Antiqua" w:cs="Book Antiqua"/>
          <w:noProof/>
          <w:color w:val="000000"/>
          <w:sz w:val="24"/>
          <w:szCs w:val="24"/>
          <w:vertAlign w:val="superscript"/>
          <w:lang w:val="en-US"/>
        </w:rPr>
        <w:t>[7,8]</w:t>
      </w:r>
      <w:r w:rsidRPr="00A96D05">
        <w:rPr>
          <w:rFonts w:ascii="Book Antiqua" w:hAnsi="Book Antiqua" w:cs="Book Antiqua"/>
          <w:color w:val="000000"/>
          <w:sz w:val="24"/>
          <w:szCs w:val="24"/>
          <w:lang w:val="en-US"/>
        </w:rPr>
        <w:t>, integrins</w:t>
      </w:r>
      <w:r w:rsidRPr="00A96D05">
        <w:rPr>
          <w:rFonts w:ascii="Book Antiqua" w:hAnsi="Book Antiqua" w:cs="Book Antiqua"/>
          <w:noProof/>
          <w:color w:val="000000"/>
          <w:sz w:val="24"/>
          <w:szCs w:val="24"/>
          <w:vertAlign w:val="superscript"/>
          <w:lang w:val="en-US"/>
        </w:rPr>
        <w:t>[9-11]</w:t>
      </w:r>
      <w:r w:rsidRPr="00A96D05">
        <w:rPr>
          <w:rFonts w:ascii="Book Antiqua" w:hAnsi="Book Antiqua" w:cs="Book Antiqua"/>
          <w:color w:val="000000"/>
          <w:sz w:val="24"/>
          <w:szCs w:val="24"/>
          <w:lang w:val="en-US"/>
        </w:rPr>
        <w:t xml:space="preserve"> and protein disulfide isomerase (PDI)</w:t>
      </w:r>
      <w:r w:rsidRPr="00A96D05">
        <w:rPr>
          <w:rFonts w:ascii="Book Antiqua" w:hAnsi="Book Antiqua" w:cs="Book Antiqua"/>
          <w:noProof/>
          <w:color w:val="000000"/>
          <w:sz w:val="24"/>
          <w:szCs w:val="24"/>
          <w:vertAlign w:val="superscript"/>
          <w:lang w:val="en-US"/>
        </w:rPr>
        <w:t>[12]</w:t>
      </w:r>
      <w:r w:rsidRPr="00A96D05">
        <w:rPr>
          <w:rFonts w:ascii="Book Antiqua" w:hAnsi="Book Antiqua" w:cs="Book Antiqua"/>
          <w:color w:val="000000"/>
          <w:sz w:val="24"/>
          <w:szCs w:val="24"/>
          <w:lang w:val="en-US"/>
        </w:rPr>
        <w:t>. Virion penetration into the host cell involves the loss of VP4 and VP7 converting the TLP into a double-layered particle (DLP), which becomes transcriptionally active by generating positive-strand RNAs (mRNAs)</w:t>
      </w:r>
      <w:r w:rsidRPr="00A96D05">
        <w:rPr>
          <w:rFonts w:ascii="Book Antiqua" w:hAnsi="Book Antiqua" w:cs="Book Antiqua"/>
          <w:noProof/>
          <w:color w:val="000000"/>
          <w:sz w:val="24"/>
          <w:szCs w:val="24"/>
          <w:vertAlign w:val="superscript"/>
          <w:lang w:val="en-US"/>
        </w:rPr>
        <w:t>[13]</w:t>
      </w:r>
      <w:r w:rsidRPr="00A96D05">
        <w:rPr>
          <w:rFonts w:ascii="Book Antiqua" w:hAnsi="Book Antiqua" w:cs="Book Antiqua"/>
          <w:color w:val="000000"/>
          <w:sz w:val="24"/>
          <w:szCs w:val="24"/>
          <w:lang w:val="en-US"/>
        </w:rPr>
        <w:t>.</w:t>
      </w:r>
      <w:r w:rsidRPr="00A96D05">
        <w:rPr>
          <w:rFonts w:ascii="Book Antiqua" w:hAnsi="Book Antiqua" w:cs="Book Antiqua"/>
          <w:color w:val="000000"/>
          <w:sz w:val="24"/>
          <w:szCs w:val="24"/>
          <w:shd w:val="clear" w:color="auto" w:fill="FFFFFF"/>
          <w:lang w:val="en-US"/>
        </w:rPr>
        <w:t xml:space="preserve"> Besides translation into viral proteins, positive-strand RNAs also serve as template for synthesizing the new dsRNA genomic segments. Electron-dense structures, named viroplasms, appear early in the cytoplasm of rotavirus-infected infected cells. The dsRNA synthesis and the initial steps of virion assembly occur in viroplasms</w:t>
      </w:r>
      <w:r w:rsidRPr="00A96D05">
        <w:rPr>
          <w:rFonts w:ascii="Book Antiqua" w:hAnsi="Book Antiqua" w:cs="Book Antiqua"/>
          <w:noProof/>
          <w:color w:val="000000"/>
          <w:sz w:val="24"/>
          <w:szCs w:val="24"/>
          <w:shd w:val="clear" w:color="auto" w:fill="FFFFFF"/>
          <w:vertAlign w:val="superscript"/>
          <w:lang w:val="en-US"/>
        </w:rPr>
        <w:t>[14]</w:t>
      </w:r>
      <w:r w:rsidRPr="00A96D05">
        <w:rPr>
          <w:rFonts w:ascii="Book Antiqua" w:hAnsi="Book Antiqua" w:cs="Book Antiqua"/>
          <w:color w:val="000000"/>
          <w:sz w:val="24"/>
          <w:szCs w:val="24"/>
          <w:shd w:val="clear" w:color="auto" w:fill="FFFFFF"/>
          <w:lang w:val="en-US"/>
        </w:rPr>
        <w:t>. Several structural and non-structural virus-encoded proteins accumulate in viroplasms for participating in the formation of viroplasms and contributing to dsRNA synthesis and viral replication</w:t>
      </w:r>
      <w:r w:rsidRPr="00A96D05">
        <w:rPr>
          <w:rFonts w:ascii="Book Antiqua" w:hAnsi="Book Antiqua" w:cs="Book Antiqua"/>
          <w:noProof/>
          <w:color w:val="000000"/>
          <w:sz w:val="24"/>
          <w:szCs w:val="24"/>
          <w:shd w:val="clear" w:color="auto" w:fill="FFFFFF"/>
          <w:vertAlign w:val="superscript"/>
          <w:lang w:val="en-US"/>
        </w:rPr>
        <w:t>[15,16]</w:t>
      </w:r>
      <w:r w:rsidRPr="00A96D05">
        <w:rPr>
          <w:rFonts w:ascii="Book Antiqua" w:hAnsi="Book Antiqua" w:cs="Book Antiqua"/>
          <w:color w:val="000000"/>
          <w:sz w:val="24"/>
          <w:szCs w:val="24"/>
          <w:shd w:val="clear" w:color="auto" w:fill="FFFFFF"/>
          <w:lang w:val="en-US"/>
        </w:rPr>
        <w:t>. The newly assembled DLPs bud into the endoplasmic reticulum (ER) lumen where a transiently acquired envelope is later replaced by an outer protein layer consisting of VP4 and VP7</w:t>
      </w:r>
      <w:r w:rsidRPr="00A96D05">
        <w:rPr>
          <w:rFonts w:ascii="Book Antiqua" w:hAnsi="Book Antiqua" w:cs="Book Antiqua"/>
          <w:noProof/>
          <w:color w:val="000000"/>
          <w:sz w:val="24"/>
          <w:szCs w:val="24"/>
          <w:shd w:val="clear" w:color="auto" w:fill="FFFFFF"/>
          <w:vertAlign w:val="superscript"/>
          <w:lang w:val="en-US"/>
        </w:rPr>
        <w:t>[17]</w:t>
      </w:r>
      <w:r w:rsidRPr="00A96D05">
        <w:rPr>
          <w:rFonts w:ascii="Book Antiqua" w:hAnsi="Book Antiqua" w:cs="Book Antiqua"/>
          <w:color w:val="000000"/>
          <w:sz w:val="24"/>
          <w:szCs w:val="24"/>
          <w:shd w:val="clear" w:color="auto" w:fill="FFFFFF"/>
          <w:lang w:val="en-US"/>
        </w:rPr>
        <w:t>. Releasing of mature virions from infected cells take place by either cell lysis or by</w:t>
      </w:r>
      <w:r w:rsidRPr="00A96D05">
        <w:rPr>
          <w:rFonts w:ascii="Book Antiqua" w:hAnsi="Book Antiqua" w:cs="Book Antiqua"/>
          <w:color w:val="000000"/>
          <w:sz w:val="24"/>
          <w:szCs w:val="24"/>
          <w:lang w:val="en-US"/>
        </w:rPr>
        <w:t xml:space="preserve"> </w:t>
      </w:r>
      <w:r w:rsidRPr="00A96D05">
        <w:rPr>
          <w:rFonts w:ascii="Book Antiqua" w:hAnsi="Book Antiqua" w:cs="Book Antiqua"/>
          <w:color w:val="000000"/>
          <w:sz w:val="24"/>
          <w:szCs w:val="24"/>
          <w:shd w:val="clear" w:color="auto" w:fill="FFFFFF"/>
          <w:lang w:val="en-US"/>
        </w:rPr>
        <w:t>a non-classical, Golgi apparatus-independent, vesicular transport pathway</w:t>
      </w:r>
      <w:r w:rsidRPr="00A96D05">
        <w:rPr>
          <w:rFonts w:ascii="Book Antiqua" w:hAnsi="Book Antiqua" w:cs="Book Antiqua"/>
          <w:noProof/>
          <w:color w:val="000000"/>
          <w:sz w:val="24"/>
          <w:szCs w:val="24"/>
          <w:shd w:val="clear" w:color="auto" w:fill="FFFFFF"/>
          <w:vertAlign w:val="superscript"/>
          <w:lang w:val="en-US"/>
        </w:rPr>
        <w:t>[16, 17]</w:t>
      </w:r>
      <w:r w:rsidRPr="00A96D05">
        <w:rPr>
          <w:rFonts w:ascii="Book Antiqua" w:hAnsi="Book Antiqua" w:cs="Book Antiqua"/>
          <w:color w:val="000000"/>
          <w:sz w:val="24"/>
          <w:szCs w:val="24"/>
          <w:shd w:val="clear" w:color="auto" w:fill="FFFFFF"/>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eastAsia="zh-CN"/>
        </w:rPr>
      </w:pPr>
      <w:r w:rsidRPr="00A96D05">
        <w:rPr>
          <w:rFonts w:ascii="Book Antiqua" w:hAnsi="Book Antiqua" w:cs="Book Antiqua"/>
          <w:color w:val="000000"/>
          <w:sz w:val="24"/>
          <w:szCs w:val="24"/>
          <w:lang w:val="en-US"/>
        </w:rPr>
        <w:t xml:space="preserve">Here, we review the current knowledge on the oxidative stress and inflammation responses induced by rotavirus infection and the contribution of these responses to viral pathogenesis. The analysis of the implication of cellular proteins having oxidoreductase, thiol isomerization and chaperone activities is also emphasized in the context of rotavirus entry into the host cell. </w:t>
      </w:r>
    </w:p>
    <w:p w:rsidR="005C6065" w:rsidRPr="00A96D05" w:rsidRDefault="005C6065" w:rsidP="00A96D05">
      <w:pPr>
        <w:spacing w:after="0" w:line="360" w:lineRule="auto"/>
        <w:jc w:val="both"/>
        <w:rPr>
          <w:rFonts w:ascii="Book Antiqua" w:hAnsi="Book Antiqua" w:cs="Book Antiqua"/>
          <w:color w:val="000000"/>
          <w:sz w:val="24"/>
          <w:szCs w:val="24"/>
          <w:lang w:val="en-US" w:eastAsia="zh-CN"/>
        </w:rPr>
      </w:pPr>
    </w:p>
    <w:p w:rsidR="005C6065" w:rsidRPr="00A96D05" w:rsidRDefault="005C6065" w:rsidP="00A96D05">
      <w:pPr>
        <w:autoSpaceDE w:val="0"/>
        <w:autoSpaceDN w:val="0"/>
        <w:adjustRightInd w:val="0"/>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OXIDATIVE STRESS</w:t>
      </w:r>
    </w:p>
    <w:p w:rsidR="005C6065" w:rsidRPr="00A96D05" w:rsidRDefault="005C6065" w:rsidP="00A96D05">
      <w:pPr>
        <w:spacing w:after="0" w:line="360" w:lineRule="auto"/>
        <w:jc w:val="both"/>
        <w:rPr>
          <w:rFonts w:ascii="Book Antiqua" w:hAnsi="Book Antiqua" w:cs="Book Antiqua"/>
          <w:color w:val="000000"/>
          <w:sz w:val="24"/>
          <w:szCs w:val="24"/>
          <w:lang w:val="en-US" w:eastAsia="zh-CN"/>
        </w:rPr>
      </w:pPr>
      <w:r w:rsidRPr="00A96D05">
        <w:rPr>
          <w:rFonts w:ascii="Book Antiqua" w:hAnsi="Book Antiqua" w:cs="Book Antiqua"/>
          <w:color w:val="000000"/>
          <w:sz w:val="24"/>
          <w:szCs w:val="24"/>
          <w:lang w:val="en-US"/>
        </w:rPr>
        <w:t>Balancing oxidation-reduction (redox) status in cells seems to be a crucial event for maintaining life</w:t>
      </w:r>
      <w:r w:rsidRPr="00A96D05">
        <w:rPr>
          <w:rFonts w:ascii="Book Antiqua" w:hAnsi="Book Antiqua" w:cs="Book Antiqua"/>
          <w:noProof/>
          <w:color w:val="000000"/>
          <w:sz w:val="24"/>
          <w:szCs w:val="24"/>
          <w:vertAlign w:val="superscript"/>
          <w:lang w:val="en-US"/>
        </w:rPr>
        <w:t>[18,19]</w:t>
      </w:r>
      <w:r w:rsidRPr="00A96D05">
        <w:rPr>
          <w:rFonts w:ascii="Book Antiqua" w:hAnsi="Book Antiqua" w:cs="Book Antiqua"/>
          <w:color w:val="000000"/>
          <w:sz w:val="24"/>
          <w:szCs w:val="24"/>
          <w:lang w:val="en-US"/>
        </w:rPr>
        <w:t>. Molecular oxygen has the ability to form free radicals which are highly reactive species having a single unpaired electron in their outermost shell. Reactive oxygen species (ROS) include the superoxide anion (O</w:t>
      </w:r>
      <w:r w:rsidRPr="00A96D05">
        <w:rPr>
          <w:rFonts w:ascii="Book Antiqua" w:hAnsi="Book Antiqua" w:cs="Book Antiqua"/>
          <w:color w:val="000000"/>
          <w:sz w:val="24"/>
          <w:szCs w:val="24"/>
          <w:vertAlign w:val="subscript"/>
          <w:lang w:val="en-US"/>
        </w:rPr>
        <w:t>2</w:t>
      </w:r>
      <w:r w:rsidRPr="00A96D05">
        <w:rPr>
          <w:rFonts w:ascii="Book Antiqua" w:hAnsi="Book Antiqua" w:cs="Book Antiqua"/>
          <w:color w:val="000000"/>
          <w:sz w:val="24"/>
          <w:szCs w:val="24"/>
          <w:vertAlign w:val="superscript"/>
          <w:lang w:val="en-US" w:eastAsia="zh-CN"/>
        </w:rPr>
        <w:t>-</w:t>
      </w:r>
      <w:r w:rsidRPr="00A96D05">
        <w:rPr>
          <w:rFonts w:ascii="Book Antiqua" w:hAnsi="Book Antiqua" w:cs="Book Antiqua"/>
          <w:color w:val="000000"/>
          <w:sz w:val="24"/>
          <w:szCs w:val="24"/>
          <w:lang w:val="en-US"/>
        </w:rPr>
        <w:t>) that is transformed into H</w:t>
      </w:r>
      <w:r w:rsidRPr="00A96D05">
        <w:rPr>
          <w:rFonts w:ascii="Book Antiqua" w:hAnsi="Book Antiqua" w:cs="Book Antiqua"/>
          <w:color w:val="000000"/>
          <w:sz w:val="24"/>
          <w:szCs w:val="24"/>
          <w:vertAlign w:val="subscript"/>
          <w:lang w:val="en-US"/>
        </w:rPr>
        <w:t>2</w:t>
      </w:r>
      <w:r w:rsidRPr="00A96D05">
        <w:rPr>
          <w:rFonts w:ascii="Book Antiqua" w:hAnsi="Book Antiqua" w:cs="Book Antiqua"/>
          <w:color w:val="000000"/>
          <w:sz w:val="24"/>
          <w:szCs w:val="24"/>
          <w:lang w:val="en-US"/>
        </w:rPr>
        <w:t>O</w:t>
      </w:r>
      <w:r w:rsidRPr="00A96D05">
        <w:rPr>
          <w:rFonts w:ascii="Book Antiqua" w:hAnsi="Book Antiqua" w:cs="Book Antiqua"/>
          <w:color w:val="000000"/>
          <w:sz w:val="24"/>
          <w:szCs w:val="24"/>
          <w:vertAlign w:val="subscript"/>
          <w:lang w:val="en-US"/>
        </w:rPr>
        <w:t>2</w:t>
      </w:r>
      <w:r w:rsidRPr="00A96D05">
        <w:rPr>
          <w:rFonts w:ascii="Book Antiqua" w:hAnsi="Book Antiqua" w:cs="Book Antiqua"/>
          <w:color w:val="000000"/>
          <w:sz w:val="24"/>
          <w:szCs w:val="24"/>
          <w:lang w:val="en-US"/>
        </w:rPr>
        <w:t xml:space="preserve"> through the reaction catalyzed by superoxide dismutase (SOD). H</w:t>
      </w:r>
      <w:r w:rsidRPr="00A96D05">
        <w:rPr>
          <w:rFonts w:ascii="Book Antiqua" w:hAnsi="Book Antiqua" w:cs="Book Antiqua"/>
          <w:color w:val="000000"/>
          <w:sz w:val="24"/>
          <w:szCs w:val="24"/>
          <w:vertAlign w:val="subscript"/>
          <w:lang w:val="en-US"/>
        </w:rPr>
        <w:t>2</w:t>
      </w:r>
      <w:r w:rsidRPr="00A96D05">
        <w:rPr>
          <w:rFonts w:ascii="Book Antiqua" w:hAnsi="Book Antiqua" w:cs="Book Antiqua"/>
          <w:color w:val="000000"/>
          <w:sz w:val="24"/>
          <w:szCs w:val="24"/>
          <w:lang w:val="en-US"/>
        </w:rPr>
        <w:t>O</w:t>
      </w:r>
      <w:r w:rsidRPr="00A96D05">
        <w:rPr>
          <w:rFonts w:ascii="Book Antiqua" w:hAnsi="Book Antiqua" w:cs="Book Antiqua"/>
          <w:color w:val="000000"/>
          <w:sz w:val="24"/>
          <w:szCs w:val="24"/>
          <w:vertAlign w:val="subscript"/>
          <w:lang w:val="en-US"/>
        </w:rPr>
        <w:t>2</w:t>
      </w:r>
      <w:r w:rsidRPr="00A96D05">
        <w:rPr>
          <w:rFonts w:ascii="Book Antiqua" w:hAnsi="Book Antiqua" w:cs="Book Antiqua"/>
          <w:color w:val="000000"/>
          <w:sz w:val="24"/>
          <w:szCs w:val="24"/>
          <w:lang w:val="en-US"/>
        </w:rPr>
        <w:t xml:space="preserve"> may interact with transition metals such as iron and cupper to form the hydroxyl radical (</w:t>
      </w:r>
      <w:smartTag w:uri="urn:schemas-microsoft-com:office:smarttags" w:element="place">
        <w:smartTag w:uri="urn:schemas-microsoft-com:office:smarttags" w:element="State">
          <w:r w:rsidRPr="00A96D05">
            <w:rPr>
              <w:rFonts w:ascii="Book Antiqua" w:hAnsi="Book Antiqua" w:cs="Book Antiqua"/>
              <w:color w:val="000000"/>
              <w:sz w:val="24"/>
              <w:szCs w:val="24"/>
              <w:shd w:val="clear" w:color="auto" w:fill="FFFFFF"/>
              <w:lang w:val="en-US"/>
            </w:rPr>
            <w:t>OH</w:t>
          </w:r>
          <w:r w:rsidRPr="00A96D05">
            <w:rPr>
              <w:rFonts w:ascii="Book Antiqua" w:hAnsi="Book Antiqua" w:cs="Book Antiqua"/>
              <w:color w:val="000000"/>
              <w:sz w:val="24"/>
              <w:szCs w:val="24"/>
              <w:shd w:val="clear" w:color="auto" w:fill="FFFFFF"/>
              <w:vertAlign w:val="superscript"/>
              <w:lang w:val="en-US"/>
            </w:rPr>
            <w:t>-</w:t>
          </w:r>
        </w:smartTag>
      </w:smartTag>
      <w:r w:rsidRPr="00A96D05">
        <w:rPr>
          <w:rFonts w:ascii="Book Antiqua" w:hAnsi="Book Antiqua" w:cs="Book Antiqua"/>
          <w:color w:val="000000"/>
          <w:sz w:val="24"/>
          <w:szCs w:val="24"/>
          <w:shd w:val="clear" w:color="auto" w:fill="FFFFFF"/>
          <w:lang w:val="en-US"/>
        </w:rPr>
        <w:t xml:space="preserve">). Reactive nitrogen species (RNS) are initially produced in cells by the reaction of nitric oxide (NO) and </w:t>
      </w:r>
      <w:r w:rsidRPr="00A96D05">
        <w:rPr>
          <w:rFonts w:ascii="Book Antiqua" w:hAnsi="Book Antiqua" w:cs="Book Antiqua"/>
          <w:color w:val="000000"/>
          <w:sz w:val="24"/>
          <w:szCs w:val="24"/>
          <w:lang w:val="en-US"/>
        </w:rPr>
        <w:t>O</w:t>
      </w:r>
      <w:r w:rsidRPr="00A96D05">
        <w:rPr>
          <w:rFonts w:ascii="Book Antiqua" w:hAnsi="Book Antiqua" w:cs="Book Antiqua"/>
          <w:color w:val="000000"/>
          <w:sz w:val="24"/>
          <w:szCs w:val="24"/>
          <w:vertAlign w:val="subscript"/>
          <w:lang w:val="en-US"/>
        </w:rPr>
        <w:t>2</w:t>
      </w:r>
      <w:r w:rsidRPr="00A96D05">
        <w:rPr>
          <w:rFonts w:ascii="Book Antiqua" w:hAnsi="Book Antiqua" w:cs="Book Antiqua"/>
          <w:color w:val="000000"/>
          <w:sz w:val="24"/>
          <w:szCs w:val="24"/>
          <w:vertAlign w:val="superscript"/>
          <w:lang w:val="en-US" w:eastAsia="zh-CN"/>
        </w:rPr>
        <w:t>-</w:t>
      </w:r>
      <w:r w:rsidRPr="00A96D05">
        <w:rPr>
          <w:rFonts w:ascii="Book Antiqua" w:hAnsi="Book Antiqua" w:cs="Book Antiqua"/>
          <w:color w:val="000000"/>
          <w:sz w:val="24"/>
          <w:szCs w:val="24"/>
          <w:vertAlign w:val="superscript"/>
          <w:lang w:val="en-US"/>
        </w:rPr>
        <w:t xml:space="preserve"> </w:t>
      </w:r>
      <w:r w:rsidRPr="00A96D05">
        <w:rPr>
          <w:rFonts w:ascii="Book Antiqua" w:hAnsi="Book Antiqua" w:cs="Book Antiqua"/>
          <w:color w:val="000000"/>
          <w:sz w:val="24"/>
          <w:szCs w:val="24"/>
          <w:lang w:val="en-US"/>
        </w:rPr>
        <w:t>that produces peroxynitrite (ONOO−), whereas NO is biosynthesized by various nitric oxide synthases. ROS and RNS are normally generated by cellular metabolism and at low or moderate concentrations play physiological roles including cellular response to infectious agents, cellular signaling, induction of mitogenic response, neurotransmission, blood pressure regulation, smooth muscle relaxation, and immune regulation</w:t>
      </w:r>
      <w:r w:rsidRPr="00A96D05">
        <w:rPr>
          <w:rFonts w:ascii="Book Antiqua" w:hAnsi="Book Antiqua" w:cs="Book Antiqua"/>
          <w:noProof/>
          <w:color w:val="000000"/>
          <w:sz w:val="24"/>
          <w:szCs w:val="24"/>
          <w:vertAlign w:val="superscript"/>
          <w:lang w:val="en-US"/>
        </w:rPr>
        <w:t>[20]</w:t>
      </w:r>
      <w:r w:rsidRPr="00A96D05">
        <w:rPr>
          <w:rFonts w:ascii="Book Antiqua" w:hAnsi="Book Antiqua" w:cs="Book Antiqua"/>
          <w:color w:val="000000"/>
          <w:sz w:val="24"/>
          <w:szCs w:val="24"/>
          <w:lang w:val="en-US"/>
        </w:rPr>
        <w:t>. Oxidative stress occurs when the production of ROS and other reactive species overwhelm the capacity of cellular antioxidant defenses to detoxify these potentially injurious species. Redox imbalance can be produced through an increased generation of ROS, depletion of cellular antioxidant molecules and decrease in antioxidant molecules</w:t>
      </w:r>
      <w:r w:rsidRPr="00A96D05">
        <w:rPr>
          <w:rFonts w:ascii="Book Antiqua" w:hAnsi="Book Antiqua" w:cs="Book Antiqua"/>
          <w:noProof/>
          <w:color w:val="000000"/>
          <w:sz w:val="24"/>
          <w:szCs w:val="24"/>
          <w:vertAlign w:val="superscript"/>
          <w:lang w:val="en-US"/>
        </w:rPr>
        <w:t>[21]</w:t>
      </w:r>
      <w:r w:rsidRPr="00A96D05">
        <w:rPr>
          <w:rFonts w:ascii="Book Antiqua" w:hAnsi="Book Antiqua" w:cs="Book Antiqua"/>
          <w:color w:val="000000"/>
          <w:sz w:val="24"/>
          <w:szCs w:val="24"/>
          <w:lang w:val="en-US"/>
        </w:rPr>
        <w:t>. Harmful effects of ROS are represented by oxidative damage to proteins, lipids and DNA, whereas RNS can cause protein nitrosylation, lipid oxidation and DNA fragmentation</w:t>
      </w:r>
      <w:r w:rsidRPr="00A96D05">
        <w:rPr>
          <w:rFonts w:ascii="Book Antiqua" w:hAnsi="Book Antiqua" w:cs="Book Antiqua"/>
          <w:noProof/>
          <w:color w:val="000000"/>
          <w:sz w:val="24"/>
          <w:szCs w:val="24"/>
          <w:vertAlign w:val="superscript"/>
          <w:lang w:val="en-US"/>
        </w:rPr>
        <w:t>[20]</w:t>
      </w:r>
      <w:r w:rsidRPr="00A96D05">
        <w:rPr>
          <w:rFonts w:ascii="Book Antiqua" w:hAnsi="Book Antiqua" w:cs="Book Antiqua"/>
          <w:color w:val="000000"/>
          <w:sz w:val="24"/>
          <w:szCs w:val="24"/>
          <w:lang w:val="en-US"/>
        </w:rPr>
        <w:t>. On the other hand, excessive ROS and RNS have been linked to pathogenesis of cancer, cardiovascular disease, atherosclerosis, hypertension, ischemia/reperfusion injury, diabetes mellitus, neurodegenerative diseases, rheumatoid arthritis, pulmonary disease, and ageing</w:t>
      </w:r>
      <w:r w:rsidRPr="00A96D05">
        <w:rPr>
          <w:rFonts w:ascii="Book Antiqua" w:hAnsi="Book Antiqua" w:cs="Book Antiqua"/>
          <w:noProof/>
          <w:color w:val="000000"/>
          <w:sz w:val="24"/>
          <w:szCs w:val="24"/>
          <w:vertAlign w:val="superscript"/>
          <w:lang w:val="en-US"/>
        </w:rPr>
        <w:t>[20,22]</w:t>
      </w:r>
      <w:r w:rsidRPr="00A96D05">
        <w:rPr>
          <w:rFonts w:ascii="Book Antiqua" w:hAnsi="Book Antiqua" w:cs="Book Antiqua"/>
          <w:color w:val="000000"/>
          <w:sz w:val="24"/>
          <w:szCs w:val="24"/>
          <w:lang w:val="en-US"/>
        </w:rPr>
        <w:t>. Oxidative stress has been implicated in pathological conditions associated with different human inflammatory diseases</w:t>
      </w:r>
      <w:r w:rsidRPr="00A96D05">
        <w:rPr>
          <w:rFonts w:ascii="Book Antiqua" w:hAnsi="Book Antiqua" w:cs="Book Antiqua"/>
          <w:noProof/>
          <w:color w:val="000000"/>
          <w:sz w:val="24"/>
          <w:szCs w:val="24"/>
          <w:vertAlign w:val="superscript"/>
          <w:lang w:val="en-US"/>
        </w:rPr>
        <w:t>[23]</w:t>
      </w:r>
      <w:r w:rsidRPr="00A96D05">
        <w:rPr>
          <w:rFonts w:ascii="Book Antiqua" w:hAnsi="Book Antiqua" w:cs="Book Antiqua"/>
          <w:color w:val="000000"/>
          <w:sz w:val="24"/>
          <w:szCs w:val="24"/>
          <w:lang w:val="en-US"/>
        </w:rPr>
        <w:t>. Cells have developed mechanisms to deal with damaging oxidative environments. These mechanisms include intracellular redox systems such as GSH/GSSG (the glutathione system), NADH/NAD+, NADPH/NADP+ and Trx(SH)2/Trx(S-S) (the thioredoxin system). GSH is the most abundant and ubiquitous intracellular antioxidant in cells from higher organisms and oxidative stress is commonly associated with decreased GSH or increased GSSG levels. However, cellular oxidative stress has been defined in terms of the disruption of biological redox signaling events rather than a simple imbalance between pro- and ant-oxidant systems</w:t>
      </w:r>
      <w:r w:rsidRPr="00A96D05">
        <w:rPr>
          <w:rFonts w:ascii="Book Antiqua" w:hAnsi="Book Antiqua" w:cs="Book Antiqua"/>
          <w:noProof/>
          <w:color w:val="000000"/>
          <w:sz w:val="24"/>
          <w:szCs w:val="24"/>
          <w:vertAlign w:val="superscript"/>
          <w:lang w:val="en-US"/>
        </w:rPr>
        <w:t>[24,25]</w:t>
      </w:r>
      <w:r w:rsidRPr="00A96D05">
        <w:rPr>
          <w:rFonts w:ascii="Book Antiqua" w:hAnsi="Book Antiqua" w:cs="Book Antiqua"/>
          <w:color w:val="000000"/>
          <w:sz w:val="24"/>
          <w:szCs w:val="24"/>
          <w:lang w:val="en-US"/>
        </w:rPr>
        <w:t>. Increasing data suggest that oxidative stress is involved in the pathogenesis of many diseases and disorders, including infectious diseases caused by viruses affecting the gastrointestinal tract.</w:t>
      </w:r>
    </w:p>
    <w:p w:rsidR="005C6065" w:rsidRPr="00A96D05" w:rsidRDefault="005C6065" w:rsidP="00A96D05">
      <w:pPr>
        <w:spacing w:after="0" w:line="360" w:lineRule="auto"/>
        <w:jc w:val="both"/>
        <w:rPr>
          <w:rFonts w:ascii="Book Antiqua" w:hAnsi="Book Antiqua" w:cs="Book Antiqua"/>
          <w:color w:val="000000"/>
          <w:sz w:val="24"/>
          <w:szCs w:val="24"/>
          <w:lang w:val="en-US" w:eastAsia="zh-CN"/>
        </w:rPr>
      </w:pP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INTESTINAL REDOX BALANCE</w:t>
      </w:r>
    </w:p>
    <w:p w:rsidR="005C6065" w:rsidRPr="00A96D05" w:rsidRDefault="005C6065" w:rsidP="00A96D05">
      <w:pPr>
        <w:spacing w:after="0" w:line="360" w:lineRule="auto"/>
        <w:jc w:val="both"/>
        <w:rPr>
          <w:rFonts w:ascii="Book Antiqua" w:hAnsi="Book Antiqua" w:cs="Book Antiqua"/>
          <w:color w:val="000000"/>
          <w:sz w:val="24"/>
          <w:szCs w:val="24"/>
          <w:lang w:val="en-US" w:eastAsia="zh-CN"/>
        </w:rPr>
      </w:pPr>
      <w:r w:rsidRPr="00A96D05">
        <w:rPr>
          <w:rFonts w:ascii="Book Antiqua" w:hAnsi="Book Antiqua" w:cs="Book Antiqua"/>
          <w:color w:val="000000"/>
          <w:sz w:val="24"/>
          <w:szCs w:val="24"/>
          <w:lang w:val="en-US"/>
        </w:rPr>
        <w:t>The mammalian gastrointestinal epithelium, the largest surface area contacting the external environment, consists of five major cell types (enterocytes, mucus-secreting goblet cells, hormone-secreting enteroendocrine cells, Paneth cells, and tuft cells)</w:t>
      </w:r>
      <w:r w:rsidRPr="00A96D05">
        <w:rPr>
          <w:rFonts w:ascii="Book Antiqua" w:hAnsi="Book Antiqua" w:cs="Book Antiqua"/>
          <w:noProof/>
          <w:color w:val="000000"/>
          <w:sz w:val="24"/>
          <w:szCs w:val="24"/>
          <w:vertAlign w:val="superscript"/>
          <w:lang w:val="en-US"/>
        </w:rPr>
        <w:t>[26]</w:t>
      </w:r>
      <w:r w:rsidRPr="00A96D05">
        <w:rPr>
          <w:rFonts w:ascii="Book Antiqua" w:hAnsi="Book Antiqua" w:cs="Book Antiqua"/>
          <w:color w:val="000000"/>
          <w:sz w:val="24"/>
          <w:szCs w:val="24"/>
          <w:lang w:val="en-US"/>
        </w:rPr>
        <w:t>. Normally, the villus tip enterocytes at 4-5 d post-differentiation spontaneously undergo anoikis (apoptosis) before being shed into the gut lumen</w:t>
      </w:r>
      <w:r w:rsidRPr="00A96D05">
        <w:rPr>
          <w:rFonts w:ascii="Book Antiqua" w:hAnsi="Book Antiqua" w:cs="Book Antiqua"/>
          <w:noProof/>
          <w:color w:val="000000"/>
          <w:sz w:val="24"/>
          <w:szCs w:val="24"/>
          <w:vertAlign w:val="superscript"/>
          <w:lang w:val="en-US"/>
        </w:rPr>
        <w:t>[27]</w:t>
      </w:r>
      <w:r w:rsidRPr="00A96D05">
        <w:rPr>
          <w:rFonts w:ascii="Book Antiqua" w:hAnsi="Book Antiqua" w:cs="Book Antiqua"/>
          <w:color w:val="000000"/>
          <w:sz w:val="24"/>
          <w:szCs w:val="24"/>
          <w:lang w:val="en-US"/>
        </w:rPr>
        <w:t>. Rotaviruses proliferate in the non-dividing mature enterocytes localized near the tips of the villi causing alterations in the small intestinal epithelium leading to diarrhea</w:t>
      </w:r>
      <w:r w:rsidRPr="00A96D05">
        <w:rPr>
          <w:rFonts w:ascii="Book Antiqua" w:hAnsi="Book Antiqua" w:cs="Book Antiqua"/>
          <w:noProof/>
          <w:color w:val="000000"/>
          <w:sz w:val="24"/>
          <w:szCs w:val="24"/>
          <w:vertAlign w:val="superscript"/>
          <w:lang w:val="en-US"/>
        </w:rPr>
        <w:t>[28]</w:t>
      </w:r>
      <w:r w:rsidRPr="00A96D05">
        <w:rPr>
          <w:rFonts w:ascii="Book Antiqua" w:hAnsi="Book Antiqua" w:cs="Book Antiqua"/>
          <w:color w:val="000000"/>
          <w:sz w:val="24"/>
          <w:szCs w:val="24"/>
          <w:lang w:val="en-US"/>
        </w:rPr>
        <w:t>. Homeostatic control of the intestinal redox environment seems to be a critical factor for maintaining intestine functions. Cells from intestinal epithelium must face the challenge not only of endogenously generated ROS but also of oxidant agents, mutagens and carcinogens accessing the luminal environment. Mucosal integrity is ensured by the luminal redox balance of the GSH/GSSG and cysteine/cystine (Cys/CySS) couples, that are also involved in maintaining luminal nutrient absorption, mucus fluidity, and microbiota</w:t>
      </w:r>
      <w:r w:rsidRPr="00A96D05">
        <w:rPr>
          <w:rFonts w:ascii="Book Antiqua" w:hAnsi="Book Antiqua" w:cs="Book Antiqua"/>
          <w:noProof/>
          <w:color w:val="000000"/>
          <w:sz w:val="24"/>
          <w:szCs w:val="24"/>
          <w:vertAlign w:val="superscript"/>
          <w:lang w:val="en-US"/>
        </w:rPr>
        <w:t>[27,29]</w:t>
      </w:r>
      <w:r w:rsidRPr="00A96D05">
        <w:rPr>
          <w:rFonts w:ascii="Book Antiqua" w:hAnsi="Book Antiqua" w:cs="Book Antiqua"/>
          <w:color w:val="000000"/>
          <w:sz w:val="24"/>
          <w:szCs w:val="24"/>
          <w:lang w:val="en-US"/>
        </w:rPr>
        <w:t>. Normal intestinal cell transition from proliferative state to non-dividing differentiated state or apoptosis has been associated with increasing oxidation of intracellular GSH/GSSG or extracellular Cys/CySS redox systems</w:t>
      </w:r>
      <w:r w:rsidRPr="00A96D05">
        <w:rPr>
          <w:rFonts w:ascii="Book Antiqua" w:hAnsi="Book Antiqua" w:cs="Book Antiqua"/>
          <w:noProof/>
          <w:color w:val="000000"/>
          <w:sz w:val="24"/>
          <w:szCs w:val="24"/>
          <w:vertAlign w:val="superscript"/>
          <w:lang w:val="en-US"/>
        </w:rPr>
        <w:t>[29]</w:t>
      </w:r>
      <w:r w:rsidRPr="00A96D05">
        <w:rPr>
          <w:rFonts w:ascii="Book Antiqua" w:hAnsi="Book Antiqua" w:cs="Book Antiqua"/>
          <w:color w:val="000000"/>
          <w:sz w:val="24"/>
          <w:szCs w:val="24"/>
          <w:lang w:val="en-US"/>
        </w:rPr>
        <w:t>. The homeostasis of the mucosal GSH is maintained through GSH uptake</w:t>
      </w:r>
      <w:r w:rsidRPr="00A96D05">
        <w:rPr>
          <w:rFonts w:ascii="Book Antiqua" w:hAnsi="Book Antiqua" w:cs="Book Antiqua"/>
          <w:noProof/>
          <w:color w:val="000000"/>
          <w:sz w:val="24"/>
          <w:szCs w:val="24"/>
          <w:vertAlign w:val="superscript"/>
          <w:lang w:val="en-US"/>
        </w:rPr>
        <w:t>[30]</w:t>
      </w:r>
      <w:r w:rsidRPr="00A96D05">
        <w:rPr>
          <w:rFonts w:ascii="Book Antiqua" w:hAnsi="Book Antiqua" w:cs="Book Antiqua"/>
          <w:color w:val="000000"/>
          <w:sz w:val="24"/>
          <w:szCs w:val="24"/>
          <w:lang w:val="en-US"/>
        </w:rPr>
        <w:t>, regeneration from GSSG</w:t>
      </w:r>
      <w:r w:rsidRPr="00A96D05">
        <w:rPr>
          <w:rFonts w:ascii="Book Antiqua" w:hAnsi="Book Antiqua" w:cs="Book Antiqua"/>
          <w:noProof/>
          <w:color w:val="000000"/>
          <w:sz w:val="24"/>
          <w:szCs w:val="24"/>
          <w:vertAlign w:val="superscript"/>
          <w:lang w:val="en-US"/>
        </w:rPr>
        <w:t>[31]</w:t>
      </w:r>
      <w:r w:rsidRPr="00A96D05">
        <w:rPr>
          <w:rFonts w:ascii="Book Antiqua" w:hAnsi="Book Antiqua" w:cs="Book Antiqua"/>
          <w:color w:val="000000"/>
          <w:sz w:val="24"/>
          <w:szCs w:val="24"/>
          <w:lang w:val="en-US"/>
        </w:rPr>
        <w:t xml:space="preserve">, and </w:t>
      </w:r>
      <w:r w:rsidRPr="00A96D05">
        <w:rPr>
          <w:rFonts w:ascii="Book Antiqua" w:hAnsi="Book Antiqua" w:cs="Book Antiqua"/>
          <w:i/>
          <w:iCs/>
          <w:color w:val="000000"/>
          <w:sz w:val="24"/>
          <w:szCs w:val="24"/>
          <w:lang w:val="en-US"/>
        </w:rPr>
        <w:t>de novo</w:t>
      </w:r>
      <w:r w:rsidRPr="00A96D05">
        <w:rPr>
          <w:rFonts w:ascii="Book Antiqua" w:hAnsi="Book Antiqua" w:cs="Book Antiqua"/>
          <w:color w:val="000000"/>
          <w:sz w:val="24"/>
          <w:szCs w:val="24"/>
          <w:lang w:val="en-US"/>
        </w:rPr>
        <w:t xml:space="preserve"> synthesis</w:t>
      </w:r>
      <w:r w:rsidRPr="00A96D05">
        <w:rPr>
          <w:rFonts w:ascii="Book Antiqua" w:hAnsi="Book Antiqua" w:cs="Book Antiqua"/>
          <w:noProof/>
          <w:color w:val="000000"/>
          <w:sz w:val="24"/>
          <w:szCs w:val="24"/>
          <w:vertAlign w:val="superscript"/>
          <w:lang w:val="en-US"/>
        </w:rPr>
        <w:t>[32]</w:t>
      </w:r>
      <w:r w:rsidRPr="00A96D05">
        <w:rPr>
          <w:rFonts w:ascii="Book Antiqua" w:hAnsi="Book Antiqua" w:cs="Book Antiqua"/>
          <w:color w:val="000000"/>
          <w:sz w:val="24"/>
          <w:szCs w:val="24"/>
          <w:lang w:val="en-US"/>
        </w:rPr>
        <w:t>. Nevertheless, the extracellular/luminal redox environment is predominantly maintained by the Cys/CySS couple, with contributions from the GSH system</w:t>
      </w:r>
      <w:r w:rsidRPr="00A96D05">
        <w:rPr>
          <w:rFonts w:ascii="Book Antiqua" w:hAnsi="Book Antiqua" w:cs="Book Antiqua"/>
          <w:noProof/>
          <w:color w:val="000000"/>
          <w:sz w:val="24"/>
          <w:szCs w:val="24"/>
          <w:vertAlign w:val="superscript"/>
          <w:lang w:val="en-US"/>
        </w:rPr>
        <w:t>[33]</w:t>
      </w:r>
      <w:r w:rsidRPr="00A96D05">
        <w:rPr>
          <w:rFonts w:ascii="Book Antiqua" w:hAnsi="Book Antiqua" w:cs="Book Antiqua"/>
          <w:color w:val="000000"/>
          <w:sz w:val="24"/>
          <w:szCs w:val="24"/>
          <w:lang w:val="en-US"/>
        </w:rPr>
        <w:t>. Recent advances on intestinal redox biology suggest that the loss of intestinal homeostasis caused by oxidative stress in the mucosal and adjacent tissues can alter nutrient digestion and absorption, stem cell proliferation, enterocyte apoptosis, and immune response</w:t>
      </w:r>
      <w:r w:rsidRPr="00A96D05">
        <w:rPr>
          <w:rFonts w:ascii="Book Antiqua" w:hAnsi="Book Antiqua" w:cs="Book Antiqua"/>
          <w:noProof/>
          <w:color w:val="000000"/>
          <w:sz w:val="24"/>
          <w:szCs w:val="24"/>
          <w:vertAlign w:val="superscript"/>
          <w:lang w:val="en-US"/>
        </w:rPr>
        <w:t>[27]</w:t>
      </w:r>
      <w:r w:rsidRPr="00A96D05">
        <w:rPr>
          <w:rFonts w:ascii="Book Antiqua" w:hAnsi="Book Antiqua" w:cs="Book Antiqua"/>
          <w:color w:val="000000"/>
          <w:sz w:val="24"/>
          <w:szCs w:val="24"/>
          <w:lang w:val="en-US"/>
        </w:rPr>
        <w:t>. Understanding the mechanisms by which rotaviruses alter the intestinal homeostasis through the induction of oxidative stress open the way for designing new strategies based on the use of antioxidants as therapeutic tools for treating the severe and dehydrating rotavirus-induced diarrhea.</w:t>
      </w:r>
    </w:p>
    <w:p w:rsidR="005C6065" w:rsidRPr="00A96D05" w:rsidRDefault="005C6065" w:rsidP="00A96D05">
      <w:pPr>
        <w:spacing w:after="0" w:line="360" w:lineRule="auto"/>
        <w:jc w:val="both"/>
        <w:rPr>
          <w:rFonts w:ascii="Book Antiqua" w:hAnsi="Book Antiqua" w:cs="Book Antiqua"/>
          <w:color w:val="000000"/>
          <w:sz w:val="24"/>
          <w:szCs w:val="24"/>
          <w:lang w:val="en-US" w:eastAsia="zh-CN"/>
        </w:rPr>
      </w:pPr>
    </w:p>
    <w:p w:rsidR="005C6065" w:rsidRPr="00A96D05" w:rsidRDefault="005C6065" w:rsidP="00A96D05">
      <w:pPr>
        <w:spacing w:after="0" w:line="360" w:lineRule="auto"/>
        <w:jc w:val="both"/>
        <w:rPr>
          <w:rFonts w:ascii="Book Antiqua" w:hAnsi="Book Antiqua" w:cs="Book Antiqua"/>
          <w:b/>
          <w:bCs/>
          <w:color w:val="000000"/>
          <w:sz w:val="24"/>
          <w:szCs w:val="24"/>
          <w:shd w:val="clear" w:color="auto" w:fill="FFFFFF"/>
          <w:lang w:val="en-US"/>
        </w:rPr>
      </w:pPr>
      <w:r w:rsidRPr="00A96D05">
        <w:rPr>
          <w:rFonts w:ascii="Book Antiqua" w:hAnsi="Book Antiqua" w:cs="Book Antiqua"/>
          <w:b/>
          <w:bCs/>
          <w:color w:val="000000"/>
          <w:sz w:val="24"/>
          <w:szCs w:val="24"/>
          <w:shd w:val="clear" w:color="auto" w:fill="FFFFFF"/>
          <w:lang w:val="en-US"/>
        </w:rPr>
        <w:t xml:space="preserve">INNATE IMMUNE RESPONSE </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Innate immunity, the first arm of the host immunity system, plays an important role in immediately controlling the pathogen invasion before induction of the mechanisms leading to an adaptive immune response. Innate immune system activation occurs through the recognition of pathogens by the germ-line-encoded pattern-recognition receptors (PRR). These receptors recognize specific structures present in pathogens, such as bacterial wall components or viral dsRNA. PRRs function by recognizing conserved pathogen-associated molecular patterns (PAMP) that are expressed by the invading pathogens. PRRs include toll-like receptors (TLRs), NOD-like receptors (NLRs), RIG-I-like receptors (RLRs) and AIM2-like receptors. Ten different TLRs have been identified in humans, whereas there are 12 functional TLRs known in mice</w:t>
      </w:r>
      <w:r w:rsidRPr="00A96D05">
        <w:rPr>
          <w:rFonts w:ascii="Book Antiqua" w:hAnsi="Book Antiqua" w:cs="Book Antiqua"/>
          <w:noProof/>
          <w:color w:val="000000"/>
          <w:sz w:val="24"/>
          <w:szCs w:val="24"/>
          <w:vertAlign w:val="superscript"/>
          <w:lang w:val="en-US"/>
        </w:rPr>
        <w:t>[34]</w:t>
      </w:r>
      <w:r w:rsidRPr="00A96D05">
        <w:rPr>
          <w:rFonts w:ascii="Book Antiqua" w:hAnsi="Book Antiqua" w:cs="Book Antiqua"/>
          <w:color w:val="000000"/>
          <w:sz w:val="24"/>
          <w:szCs w:val="24"/>
          <w:lang w:val="en-US"/>
        </w:rPr>
        <w:t>. TLR9 is activated upon stimulation with viral DNA, TLR7 and TLR8 are activated by viral single-stranded RNA, while TLR3 activation is produced by viral double-stranded RNA</w:t>
      </w:r>
      <w:r w:rsidRPr="00A96D05">
        <w:rPr>
          <w:rFonts w:ascii="Book Antiqua" w:hAnsi="Book Antiqua" w:cs="Book Antiqua"/>
          <w:noProof/>
          <w:color w:val="000000"/>
          <w:sz w:val="24"/>
          <w:szCs w:val="24"/>
          <w:vertAlign w:val="superscript"/>
          <w:lang w:val="en-US"/>
        </w:rPr>
        <w:t>[35]</w:t>
      </w:r>
      <w:r w:rsidRPr="00A96D05">
        <w:rPr>
          <w:rFonts w:ascii="Book Antiqua" w:hAnsi="Book Antiqua" w:cs="Book Antiqua"/>
          <w:color w:val="000000"/>
          <w:sz w:val="24"/>
          <w:szCs w:val="24"/>
          <w:lang w:val="en-US"/>
        </w:rPr>
        <w:t xml:space="preserve">. Following receptor activation by virus associated molecular patterns and recruitment of several adaptor proteins, signaling pathways are activated resulting in the induction of cytokine production in virus-infected cells. Activation of TLRs stimulates nuclear factor-κB </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NF-κB</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and IRF3/7 signaling leading to the expression of type I interferons (IFNs) IFN-</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xml:space="preserve"> and IFN-β, the production of pro-inflammatory cytokines, such as pro-IL-1β, and the activation of natural killer cells</w:t>
      </w:r>
      <w:r w:rsidRPr="00A96D05">
        <w:rPr>
          <w:rFonts w:ascii="Book Antiqua" w:hAnsi="Book Antiqua" w:cs="Book Antiqua"/>
          <w:noProof/>
          <w:color w:val="000000"/>
          <w:sz w:val="24"/>
          <w:szCs w:val="24"/>
          <w:vertAlign w:val="superscript"/>
          <w:lang w:val="en-US"/>
        </w:rPr>
        <w:t>[36]</w:t>
      </w:r>
      <w:r w:rsidRPr="00A96D05">
        <w:rPr>
          <w:rFonts w:ascii="Book Antiqua" w:hAnsi="Book Antiqua" w:cs="Book Antiqua"/>
          <w:color w:val="000000"/>
          <w:sz w:val="24"/>
          <w:szCs w:val="24"/>
          <w:lang w:val="en-US"/>
        </w:rPr>
        <w:t>. RLRs, including RNA helicases such as retinoic acid inducible gene I (</w:t>
      </w:r>
      <w:r w:rsidRPr="00A96D05">
        <w:rPr>
          <w:rFonts w:ascii="Book Antiqua" w:hAnsi="Book Antiqua" w:cs="Book Antiqua"/>
          <w:i/>
          <w:iCs/>
          <w:color w:val="000000"/>
          <w:sz w:val="24"/>
          <w:szCs w:val="24"/>
          <w:lang w:val="en-US"/>
        </w:rPr>
        <w:t>RIG-I</w:t>
      </w:r>
      <w:r w:rsidRPr="00A96D05">
        <w:rPr>
          <w:rFonts w:ascii="Book Antiqua" w:hAnsi="Book Antiqua" w:cs="Book Antiqua"/>
          <w:color w:val="000000"/>
          <w:sz w:val="24"/>
          <w:szCs w:val="24"/>
          <w:lang w:val="en-US"/>
        </w:rPr>
        <w:t>) and melanoma differentiation associated gene 5 (</w:t>
      </w:r>
      <w:r w:rsidRPr="00A96D05">
        <w:rPr>
          <w:rFonts w:ascii="Book Antiqua" w:hAnsi="Book Antiqua" w:cs="Book Antiqua"/>
          <w:i/>
          <w:iCs/>
          <w:color w:val="000000"/>
          <w:sz w:val="24"/>
          <w:szCs w:val="24"/>
          <w:lang w:val="en-US"/>
        </w:rPr>
        <w:t>MDA5</w:t>
      </w:r>
      <w:r w:rsidRPr="00A96D05">
        <w:rPr>
          <w:rFonts w:ascii="Book Antiqua" w:hAnsi="Book Antiqua" w:cs="Book Antiqua"/>
          <w:color w:val="000000"/>
          <w:sz w:val="24"/>
          <w:szCs w:val="24"/>
          <w:lang w:val="en-US"/>
        </w:rPr>
        <w:t>), and double stranded RNA-dependent protein kinase (PKR) are particularly important in viral infections</w:t>
      </w:r>
      <w:r w:rsidRPr="00A96D05">
        <w:rPr>
          <w:rFonts w:ascii="Book Antiqua" w:hAnsi="Book Antiqua" w:cs="Book Antiqua"/>
          <w:noProof/>
          <w:color w:val="000000"/>
          <w:sz w:val="24"/>
          <w:szCs w:val="24"/>
          <w:vertAlign w:val="superscript"/>
          <w:lang w:val="en-US"/>
        </w:rPr>
        <w:t>[37]</w:t>
      </w:r>
      <w:r w:rsidRPr="00A96D05">
        <w:rPr>
          <w:rFonts w:ascii="Book Antiqua" w:hAnsi="Book Antiqua" w:cs="Book Antiqua"/>
          <w:color w:val="000000"/>
          <w:sz w:val="24"/>
          <w:szCs w:val="24"/>
          <w:lang w:val="en-US"/>
        </w:rPr>
        <w:t>. The NLR family consists of 22 proteins in humans and 34 in mice</w:t>
      </w:r>
      <w:r w:rsidRPr="00A96D05">
        <w:rPr>
          <w:rFonts w:ascii="Book Antiqua" w:hAnsi="Book Antiqua" w:cs="Book Antiqua"/>
          <w:noProof/>
          <w:color w:val="000000"/>
          <w:sz w:val="24"/>
          <w:szCs w:val="24"/>
          <w:vertAlign w:val="superscript"/>
          <w:lang w:val="en-US"/>
        </w:rPr>
        <w:t>[38]</w:t>
      </w:r>
      <w:r w:rsidRPr="00A96D05">
        <w:rPr>
          <w:rFonts w:ascii="Book Antiqua" w:hAnsi="Book Antiqua" w:cs="Book Antiqua"/>
          <w:color w:val="000000"/>
          <w:sz w:val="24"/>
          <w:szCs w:val="24"/>
          <w:lang w:val="en-US"/>
        </w:rPr>
        <w:t>. NLRs are involved in various innate immunity-associated functions including their assembly into multimeric protein complexes named as inflammasomes which are in charge of processing precursors of cytokines IL-1β and IL-18</w:t>
      </w:r>
      <w:r w:rsidRPr="00A96D05">
        <w:rPr>
          <w:rFonts w:ascii="Book Antiqua" w:hAnsi="Book Antiqua" w:cs="Book Antiqua"/>
          <w:noProof/>
          <w:color w:val="000000"/>
          <w:sz w:val="24"/>
          <w:szCs w:val="24"/>
          <w:vertAlign w:val="superscript"/>
          <w:lang w:val="en-US"/>
        </w:rPr>
        <w:t>[39]</w:t>
      </w:r>
      <w:r w:rsidRPr="00A96D05">
        <w:rPr>
          <w:rFonts w:ascii="Book Antiqua" w:hAnsi="Book Antiqua" w:cs="Book Antiqua"/>
          <w:color w:val="000000"/>
          <w:sz w:val="24"/>
          <w:szCs w:val="24"/>
          <w:lang w:val="en-US"/>
        </w:rPr>
        <w:t>. NLRP1, NLRP3, NLRP6, NLRP12 and NLRC4 have been found in distinct inflammasomes which participate in the recognition of different stimuli such as bacteria and viruses, among others</w:t>
      </w:r>
      <w:r w:rsidRPr="00A96D05">
        <w:rPr>
          <w:rFonts w:ascii="Book Antiqua" w:hAnsi="Book Antiqua" w:cs="Book Antiqua"/>
          <w:noProof/>
          <w:color w:val="000000"/>
          <w:sz w:val="24"/>
          <w:szCs w:val="24"/>
          <w:vertAlign w:val="superscript"/>
          <w:lang w:val="en-US"/>
        </w:rPr>
        <w:t>[39]</w:t>
      </w:r>
      <w:r w:rsidRPr="00A96D05">
        <w:rPr>
          <w:rFonts w:ascii="Book Antiqua" w:hAnsi="Book Antiqua" w:cs="Book Antiqua"/>
          <w:color w:val="000000"/>
          <w:sz w:val="24"/>
          <w:szCs w:val="24"/>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Host cells response to viral infections through an early innate response consisting in the expression and secretion of type I, II and III interferons which, in turn, stimulate the expression of numerous IFN-stimulated gene (</w:t>
      </w:r>
      <w:r w:rsidRPr="00A96D05">
        <w:rPr>
          <w:rFonts w:ascii="Book Antiqua" w:hAnsi="Book Antiqua" w:cs="Book Antiqua"/>
          <w:i/>
          <w:iCs/>
          <w:color w:val="000000"/>
          <w:sz w:val="24"/>
          <w:szCs w:val="24"/>
          <w:lang w:val="en-US"/>
        </w:rPr>
        <w:t>ISG</w:t>
      </w:r>
      <w:r w:rsidRPr="00A96D05">
        <w:rPr>
          <w:rFonts w:ascii="Book Antiqua" w:hAnsi="Book Antiqua" w:cs="Book Antiqua"/>
          <w:color w:val="000000"/>
          <w:sz w:val="24"/>
          <w:szCs w:val="24"/>
          <w:lang w:val="en-US"/>
        </w:rPr>
        <w:t>) products having antiviral activities</w:t>
      </w:r>
      <w:r w:rsidRPr="00A96D05">
        <w:rPr>
          <w:rFonts w:ascii="Book Antiqua" w:hAnsi="Book Antiqua" w:cs="Book Antiqua"/>
          <w:noProof/>
          <w:color w:val="000000"/>
          <w:sz w:val="24"/>
          <w:szCs w:val="24"/>
          <w:vertAlign w:val="superscript"/>
          <w:lang w:val="en-US"/>
        </w:rPr>
        <w:t>[40]</w:t>
      </w:r>
      <w:r w:rsidRPr="00A96D05">
        <w:rPr>
          <w:rFonts w:ascii="Book Antiqua" w:hAnsi="Book Antiqua" w:cs="Book Antiqua"/>
          <w:color w:val="000000"/>
          <w:sz w:val="24"/>
          <w:szCs w:val="24"/>
          <w:lang w:val="en-US"/>
        </w:rPr>
        <w:t>. The IFN-regulatory factor (IRF) family of transcription factors comprises nine members (IRF1 to IRF9) which play crucial roles in activating innate and adaptive immune responses to viral infection</w:t>
      </w:r>
      <w:r w:rsidRPr="00A96D05">
        <w:rPr>
          <w:rFonts w:ascii="Book Antiqua" w:hAnsi="Book Antiqua" w:cs="Book Antiqua"/>
          <w:noProof/>
          <w:color w:val="000000"/>
          <w:sz w:val="24"/>
          <w:szCs w:val="24"/>
          <w:vertAlign w:val="superscript"/>
          <w:lang w:val="en-US"/>
        </w:rPr>
        <w:t>[41]</w:t>
      </w:r>
      <w:r w:rsidRPr="00A96D05">
        <w:rPr>
          <w:rFonts w:ascii="Book Antiqua" w:hAnsi="Book Antiqua" w:cs="Book Antiqua"/>
          <w:color w:val="000000"/>
          <w:sz w:val="24"/>
          <w:szCs w:val="24"/>
          <w:lang w:val="en-US"/>
        </w:rPr>
        <w:t>. IRF3, IRF5, and IRF7 are particularly important for inducing the expression of type I IFN</w:t>
      </w:r>
      <w:r w:rsidRPr="00A96D05">
        <w:rPr>
          <w:rFonts w:ascii="Book Antiqua" w:hAnsi="Book Antiqua" w:cs="Book Antiqua"/>
          <w:noProof/>
          <w:color w:val="000000"/>
          <w:sz w:val="24"/>
          <w:szCs w:val="24"/>
          <w:vertAlign w:val="superscript"/>
          <w:lang w:val="en-US"/>
        </w:rPr>
        <w:t>[42]</w:t>
      </w:r>
      <w:r w:rsidRPr="00A96D05">
        <w:rPr>
          <w:rFonts w:ascii="Book Antiqua" w:hAnsi="Book Antiqua" w:cs="Book Antiqua"/>
          <w:color w:val="000000"/>
          <w:sz w:val="24"/>
          <w:szCs w:val="24"/>
          <w:lang w:val="en-US"/>
        </w:rPr>
        <w:t>. The activation of the NF-κB by virus infection plays an important role during the induction of innate immune responses</w:t>
      </w:r>
      <w:r w:rsidRPr="00A96D05">
        <w:rPr>
          <w:rFonts w:ascii="Book Antiqua" w:hAnsi="Book Antiqua" w:cs="Book Antiqua"/>
          <w:noProof/>
          <w:color w:val="000000"/>
          <w:sz w:val="24"/>
          <w:szCs w:val="24"/>
          <w:vertAlign w:val="superscript"/>
          <w:lang w:val="en-US"/>
        </w:rPr>
        <w:t>[43]</w:t>
      </w:r>
      <w:r w:rsidRPr="00A96D05">
        <w:rPr>
          <w:rFonts w:ascii="Book Antiqua" w:hAnsi="Book Antiqua" w:cs="Book Antiqua"/>
          <w:color w:val="000000"/>
          <w:sz w:val="24"/>
          <w:szCs w:val="24"/>
          <w:lang w:val="en-US"/>
        </w:rPr>
        <w:t>. Transcription of type I IFN is induced by activation of RLRs RIG-I and MDA5 following recognition of cytoplasmic RNA</w:t>
      </w:r>
      <w:r w:rsidRPr="00A96D05">
        <w:rPr>
          <w:rFonts w:ascii="Book Antiqua" w:hAnsi="Book Antiqua" w:cs="Book Antiqua"/>
          <w:noProof/>
          <w:color w:val="000000"/>
          <w:sz w:val="24"/>
          <w:szCs w:val="24"/>
          <w:vertAlign w:val="superscript"/>
          <w:lang w:val="en-US"/>
        </w:rPr>
        <w:t>[44]</w:t>
      </w:r>
      <w:r w:rsidRPr="00A96D05">
        <w:rPr>
          <w:rFonts w:ascii="Book Antiqua" w:hAnsi="Book Antiqua" w:cs="Book Antiqua"/>
          <w:color w:val="000000"/>
          <w:sz w:val="24"/>
          <w:szCs w:val="24"/>
          <w:lang w:val="en-US"/>
        </w:rPr>
        <w:t>. NF-κB plays a role in the expression control of over 500 genes involved in immune inflammatory responses, acute-phase inflammatory responses, angiogenesis, oxidative stress responses, cell adhesion, differentiation, apoptosis, AIDS, atherosclerosis, asthma, arthritis and metastasis</w:t>
      </w:r>
      <w:r w:rsidRPr="00A96D05">
        <w:rPr>
          <w:rFonts w:ascii="Book Antiqua" w:hAnsi="Book Antiqua" w:cs="Book Antiqua"/>
          <w:noProof/>
          <w:color w:val="000000"/>
          <w:sz w:val="24"/>
          <w:szCs w:val="24"/>
          <w:vertAlign w:val="superscript"/>
          <w:lang w:val="en-US"/>
        </w:rPr>
        <w:t>[45,46]</w:t>
      </w:r>
      <w:r w:rsidRPr="00A96D05">
        <w:rPr>
          <w:rFonts w:ascii="Book Antiqua" w:hAnsi="Book Antiqua" w:cs="Book Antiqua"/>
          <w:color w:val="000000"/>
          <w:sz w:val="24"/>
          <w:szCs w:val="24"/>
          <w:lang w:val="en-US"/>
        </w:rPr>
        <w:t>. The central role played by NF-κB signal pathway in physiological and pathological conditions has made it a potential target for pharmacological intervention</w:t>
      </w:r>
      <w:r w:rsidRPr="00A96D05">
        <w:rPr>
          <w:rFonts w:ascii="Book Antiqua" w:hAnsi="Book Antiqua" w:cs="Book Antiqua"/>
          <w:noProof/>
          <w:color w:val="000000"/>
          <w:sz w:val="24"/>
          <w:szCs w:val="24"/>
          <w:vertAlign w:val="superscript"/>
          <w:lang w:val="en-US"/>
        </w:rPr>
        <w:t>[45,47]</w:t>
      </w:r>
      <w:r w:rsidRPr="00A96D05">
        <w:rPr>
          <w:rFonts w:ascii="Book Antiqua" w:hAnsi="Book Antiqua" w:cs="Book Antiqua"/>
          <w:color w:val="000000"/>
          <w:sz w:val="24"/>
          <w:szCs w:val="24"/>
          <w:lang w:val="en-US"/>
        </w:rPr>
        <w:t xml:space="preserve">. </w:t>
      </w:r>
    </w:p>
    <w:p w:rsidR="005C6065" w:rsidRPr="00A96D05" w:rsidRDefault="005C6065" w:rsidP="002438CD">
      <w:pPr>
        <w:pStyle w:val="NormalWeb"/>
        <w:shd w:val="clear" w:color="auto" w:fill="FFFFFF"/>
        <w:spacing w:before="0" w:beforeAutospacing="0" w:after="0" w:afterAutospacing="0" w:line="360" w:lineRule="auto"/>
        <w:ind w:firstLineChars="100" w:firstLine="31680"/>
        <w:jc w:val="both"/>
        <w:rPr>
          <w:rFonts w:ascii="Book Antiqua" w:hAnsi="Book Antiqua" w:cs="Book Antiqua"/>
          <w:color w:val="000000"/>
          <w:lang w:val="en-US" w:eastAsia="zh-CN"/>
        </w:rPr>
      </w:pPr>
      <w:r w:rsidRPr="00A96D05">
        <w:rPr>
          <w:rFonts w:ascii="Book Antiqua" w:hAnsi="Book Antiqua" w:cs="Book Antiqua"/>
          <w:color w:val="000000"/>
          <w:shd w:val="clear" w:color="auto" w:fill="FFFFFF"/>
          <w:lang w:val="en-US"/>
        </w:rPr>
        <w:t xml:space="preserve">Rotavirus infection stimulates early antiviral gene expression and IFN-β </w:t>
      </w:r>
      <w:r w:rsidRPr="00A96D05">
        <w:rPr>
          <w:rFonts w:ascii="Book Antiqua" w:hAnsi="Book Antiqua" w:cs="Book Antiqua"/>
          <w:i/>
          <w:iCs/>
          <w:color w:val="000000"/>
          <w:shd w:val="clear" w:color="auto" w:fill="FFFFFF"/>
          <w:lang w:val="en-US"/>
        </w:rPr>
        <w:t>via</w:t>
      </w:r>
      <w:r w:rsidRPr="00A96D05">
        <w:rPr>
          <w:rFonts w:ascii="Book Antiqua" w:hAnsi="Book Antiqua" w:cs="Book Antiqua"/>
          <w:color w:val="000000"/>
          <w:shd w:val="clear" w:color="auto" w:fill="FFFFFF"/>
          <w:lang w:val="en-US"/>
        </w:rPr>
        <w:t xml:space="preserve"> a signaling pathway that involves the participation of IFN-β promoter stimulator 1 which is recruited to signaling complexes after activation of RIG-I or MDA-5</w:t>
      </w:r>
      <w:r w:rsidRPr="00A96D05">
        <w:rPr>
          <w:rFonts w:ascii="Book Antiqua" w:hAnsi="Book Antiqua" w:cs="Book Antiqua"/>
          <w:noProof/>
          <w:color w:val="000000"/>
          <w:shd w:val="clear" w:color="auto" w:fill="FFFFFF"/>
          <w:vertAlign w:val="superscript"/>
          <w:lang w:val="en-US"/>
        </w:rPr>
        <w:t>[48,49]</w:t>
      </w:r>
      <w:r w:rsidRPr="00A96D05">
        <w:rPr>
          <w:rFonts w:ascii="Book Antiqua" w:hAnsi="Book Antiqua" w:cs="Book Antiqua"/>
          <w:color w:val="000000"/>
          <w:shd w:val="clear" w:color="auto" w:fill="FFFFFF"/>
          <w:lang w:val="en-US"/>
        </w:rPr>
        <w:t>. However, rotavirus PAMPs have not been exactly characterized and some rotavirus replication products have been suggested as activators of RIG-I and MDA-5</w:t>
      </w:r>
      <w:r w:rsidRPr="00A96D05">
        <w:rPr>
          <w:rFonts w:ascii="Book Antiqua" w:hAnsi="Book Antiqua" w:cs="Book Antiqua"/>
          <w:noProof/>
          <w:color w:val="000000"/>
          <w:shd w:val="clear" w:color="auto" w:fill="FFFFFF"/>
          <w:vertAlign w:val="superscript"/>
          <w:lang w:val="en-US"/>
        </w:rPr>
        <w:t>[48,49]</w:t>
      </w:r>
      <w:r w:rsidRPr="00A96D05">
        <w:rPr>
          <w:rFonts w:ascii="Book Antiqua" w:hAnsi="Book Antiqua" w:cs="Book Antiqua"/>
          <w:color w:val="000000"/>
          <w:shd w:val="clear" w:color="auto" w:fill="FFFFFF"/>
          <w:lang w:val="en-US"/>
        </w:rPr>
        <w:t>. The exact identification of rotavirus PAMPs that are recognized by RLRs have been judged to be critical for understanding of rotavirus-host cell interactions</w:t>
      </w:r>
      <w:r w:rsidRPr="00A96D05">
        <w:rPr>
          <w:rFonts w:ascii="Book Antiqua" w:hAnsi="Book Antiqua" w:cs="Book Antiqua"/>
          <w:noProof/>
          <w:color w:val="000000"/>
          <w:shd w:val="clear" w:color="auto" w:fill="FFFFFF"/>
          <w:vertAlign w:val="superscript"/>
          <w:lang w:val="en-US"/>
        </w:rPr>
        <w:t>[50]</w:t>
      </w:r>
      <w:r w:rsidRPr="00A96D05">
        <w:rPr>
          <w:rFonts w:ascii="Book Antiqua" w:hAnsi="Book Antiqua" w:cs="Book Antiqua"/>
          <w:color w:val="000000"/>
          <w:shd w:val="clear" w:color="auto" w:fill="FFFFFF"/>
          <w:lang w:val="en-US"/>
        </w:rPr>
        <w:t xml:space="preserve">. </w:t>
      </w:r>
      <w:r w:rsidRPr="00A96D05">
        <w:rPr>
          <w:rFonts w:ascii="Book Antiqua" w:hAnsi="Book Antiqua" w:cs="Book Antiqua"/>
          <w:color w:val="000000"/>
          <w:lang w:val="en-US"/>
        </w:rPr>
        <w:t>Endosomal and cell surface membrane-associated PRRs, including TLR3, TLR7 and TLR9, have been implicated in rotavirus recognition for stimulating innate immune response to infection</w:t>
      </w:r>
      <w:r w:rsidRPr="00A96D05">
        <w:rPr>
          <w:rFonts w:ascii="Book Antiqua" w:hAnsi="Book Antiqua" w:cs="Book Antiqua"/>
          <w:noProof/>
          <w:color w:val="000000"/>
          <w:vertAlign w:val="superscript"/>
          <w:lang w:val="en-US"/>
        </w:rPr>
        <w:t>[51</w:t>
      </w:r>
      <w:r w:rsidRPr="00A96D05">
        <w:rPr>
          <w:rFonts w:ascii="Book Antiqua" w:hAnsi="Book Antiqua" w:cs="Book Antiqua"/>
          <w:noProof/>
          <w:color w:val="000000"/>
          <w:vertAlign w:val="superscript"/>
          <w:lang w:val="en-US" w:eastAsia="zh-CN"/>
        </w:rPr>
        <w:t>-</w:t>
      </w:r>
      <w:r w:rsidRPr="00A96D05">
        <w:rPr>
          <w:rFonts w:ascii="Book Antiqua" w:hAnsi="Book Antiqua" w:cs="Book Antiqua"/>
          <w:noProof/>
          <w:color w:val="000000"/>
          <w:vertAlign w:val="superscript"/>
          <w:lang w:val="en-US"/>
        </w:rPr>
        <w:t>53]</w:t>
      </w:r>
      <w:r w:rsidRPr="00A96D05">
        <w:rPr>
          <w:rFonts w:ascii="Book Antiqua" w:hAnsi="Book Antiqua" w:cs="Book Antiqua"/>
          <w:color w:val="000000"/>
          <w:lang w:val="en-US"/>
        </w:rPr>
        <w:t>. An increased level of type I and II IFNs has been found in children and animals as a consequence of rotavirus recognition by host PRRs</w:t>
      </w:r>
      <w:r w:rsidRPr="00A96D05">
        <w:rPr>
          <w:rFonts w:ascii="Book Antiqua" w:hAnsi="Book Antiqua" w:cs="Book Antiqua"/>
          <w:noProof/>
          <w:color w:val="000000"/>
          <w:vertAlign w:val="superscript"/>
          <w:lang w:val="en-US"/>
        </w:rPr>
        <w:t>[54,55]</w:t>
      </w:r>
      <w:r w:rsidRPr="00A96D05">
        <w:rPr>
          <w:rFonts w:ascii="Book Antiqua" w:hAnsi="Book Antiqua" w:cs="Book Antiqua"/>
          <w:color w:val="000000"/>
          <w:lang w:val="en-US"/>
        </w:rPr>
        <w:t>. However, some studies have suggested that whereas rotaviruses are able to trigger IFN production, they also can suppress the IFN effects</w:t>
      </w:r>
      <w:r w:rsidRPr="00A96D05">
        <w:rPr>
          <w:rFonts w:ascii="Book Antiqua" w:hAnsi="Book Antiqua" w:cs="Book Antiqua"/>
          <w:noProof/>
          <w:color w:val="000000"/>
          <w:vertAlign w:val="superscript"/>
          <w:lang w:val="en-US"/>
        </w:rPr>
        <w:t>[56]</w:t>
      </w:r>
      <w:r w:rsidRPr="00A96D05">
        <w:rPr>
          <w:rFonts w:ascii="Book Antiqua" w:hAnsi="Book Antiqua" w:cs="Book Antiqua"/>
          <w:color w:val="000000"/>
          <w:lang w:val="en-US"/>
        </w:rPr>
        <w:t>. Evidence has been provided that both IFN-</w:t>
      </w:r>
      <w:r w:rsidRPr="00A96D05">
        <w:rPr>
          <w:rFonts w:ascii="Book Antiqua" w:hAnsi="Book Antiqua"/>
          <w:bCs/>
          <w:color w:val="000000"/>
          <w:kern w:val="24"/>
        </w:rPr>
        <w:sym w:font="Symbol" w:char="F061"/>
      </w:r>
      <w:r w:rsidRPr="00A96D05">
        <w:rPr>
          <w:rFonts w:ascii="Book Antiqua" w:hAnsi="Book Antiqua" w:cs="Book Antiqua"/>
          <w:color w:val="000000"/>
          <w:lang w:val="en-US"/>
        </w:rPr>
        <w:t>/β and IFN-λ play an important role in host response to rotavirus infection. However, their relative contribution may depend on the nature of rotavirus strain, site of replication, synergistic effects of IFN-γ, sustained replication and host age</w:t>
      </w:r>
      <w:r w:rsidRPr="00A96D05">
        <w:rPr>
          <w:rFonts w:ascii="Book Antiqua" w:hAnsi="Book Antiqua" w:cs="Book Antiqua"/>
          <w:noProof/>
          <w:color w:val="000000"/>
          <w:vertAlign w:val="superscript"/>
          <w:lang w:val="en-US"/>
        </w:rPr>
        <w:t>[50]</w:t>
      </w:r>
      <w:r w:rsidRPr="00A96D05">
        <w:rPr>
          <w:rFonts w:ascii="Book Antiqua" w:hAnsi="Book Antiqua" w:cs="Book Antiqua"/>
          <w:color w:val="000000"/>
          <w:lang w:val="en-US"/>
        </w:rPr>
        <w:t xml:space="preserve">. </w:t>
      </w:r>
      <w:r w:rsidRPr="00A96D05">
        <w:rPr>
          <w:rFonts w:ascii="Book Antiqua" w:hAnsi="Book Antiqua" w:cs="Book Antiqua"/>
          <w:color w:val="000000"/>
          <w:shd w:val="clear" w:color="auto" w:fill="FFFFFF"/>
          <w:lang w:val="en-US"/>
        </w:rPr>
        <w:t>It has been shown that type II IFNs have a relatively modest effect in restricting early replication of homologous rotavirus strains in comparison with a higher effect on heterologous strains</w:t>
      </w:r>
      <w:r w:rsidRPr="00A96D05">
        <w:rPr>
          <w:rFonts w:ascii="Book Antiqua" w:hAnsi="Book Antiqua" w:cs="Book Antiqua"/>
          <w:noProof/>
          <w:color w:val="000000"/>
          <w:shd w:val="clear" w:color="auto" w:fill="FFFFFF"/>
          <w:vertAlign w:val="superscript"/>
          <w:lang w:val="en-US"/>
        </w:rPr>
        <w:t>[57]</w:t>
      </w:r>
      <w:r w:rsidRPr="00A96D05">
        <w:rPr>
          <w:rFonts w:ascii="Book Antiqua" w:hAnsi="Book Antiqua" w:cs="Book Antiqua"/>
          <w:color w:val="000000"/>
          <w:shd w:val="clear" w:color="auto" w:fill="FFFFFF"/>
          <w:lang w:val="en-US"/>
        </w:rPr>
        <w:t xml:space="preserve">. </w:t>
      </w:r>
      <w:r w:rsidRPr="00A96D05">
        <w:rPr>
          <w:rFonts w:ascii="Book Antiqua" w:hAnsi="Book Antiqua" w:cs="Book Antiqua"/>
          <w:color w:val="000000"/>
          <w:lang w:val="en-US"/>
        </w:rPr>
        <w:t xml:space="preserve">Further studies are needed to assess the roles of TLRs and IFNs during the early infection by homologous and heterologous rotavirus strains. </w:t>
      </w:r>
    </w:p>
    <w:p w:rsidR="005C6065" w:rsidRPr="00A96D05" w:rsidRDefault="005C6065" w:rsidP="00A96D05">
      <w:pPr>
        <w:pStyle w:val="NormalWeb"/>
        <w:shd w:val="clear" w:color="auto" w:fill="FFFFFF"/>
        <w:spacing w:before="0" w:beforeAutospacing="0" w:after="0" w:afterAutospacing="0" w:line="360" w:lineRule="auto"/>
        <w:jc w:val="both"/>
        <w:rPr>
          <w:rFonts w:ascii="Book Antiqua" w:hAnsi="Book Antiqua" w:cs="Book Antiqua"/>
          <w:color w:val="000000"/>
          <w:lang w:val="en-US" w:eastAsia="zh-CN"/>
        </w:rPr>
      </w:pPr>
    </w:p>
    <w:p w:rsidR="005C6065" w:rsidRPr="00A96D05" w:rsidRDefault="005C6065" w:rsidP="00A96D05">
      <w:pPr>
        <w:autoSpaceDE w:val="0"/>
        <w:autoSpaceDN w:val="0"/>
        <w:adjustRightInd w:val="0"/>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 xml:space="preserve">CELLULAR PROTEINS CONTRIBUTING REDOX AND CHAPERONE ACTIVITIES </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Cellular proteins having oxidoreduction and/or chaperone activities have been shown to be essential for successful replication of many viruses. In this context, PDI and Hsc70, and other related cellular proteins, deserve to be highlighted. The PDI family of dithiol-disulfide oxidoreductases comprises at least 17 members in mammalian cells</w:t>
      </w:r>
      <w:r w:rsidRPr="00A96D05">
        <w:rPr>
          <w:rFonts w:ascii="Book Antiqua" w:hAnsi="Book Antiqua" w:cs="Book Antiqua"/>
          <w:noProof/>
          <w:color w:val="000000"/>
          <w:sz w:val="24"/>
          <w:szCs w:val="24"/>
          <w:vertAlign w:val="superscript"/>
          <w:lang w:val="en-US"/>
        </w:rPr>
        <w:t>[58]</w:t>
      </w:r>
      <w:r w:rsidRPr="00A96D05">
        <w:rPr>
          <w:rFonts w:ascii="Book Antiqua" w:hAnsi="Book Antiqua" w:cs="Book Antiqua"/>
          <w:color w:val="000000"/>
          <w:sz w:val="24"/>
          <w:szCs w:val="24"/>
          <w:lang w:val="en-US"/>
        </w:rPr>
        <w:t xml:space="preserve"> and up to 21 members including other organisms</w:t>
      </w:r>
      <w:r w:rsidRPr="00A96D05">
        <w:rPr>
          <w:rFonts w:ascii="Book Antiqua" w:hAnsi="Book Antiqua" w:cs="Book Antiqua"/>
          <w:noProof/>
          <w:color w:val="000000"/>
          <w:sz w:val="24"/>
          <w:szCs w:val="24"/>
          <w:vertAlign w:val="superscript"/>
          <w:lang w:val="en-US"/>
        </w:rPr>
        <w:t>[59]</w:t>
      </w:r>
      <w:r w:rsidRPr="00A96D05">
        <w:rPr>
          <w:rFonts w:ascii="Book Antiqua" w:hAnsi="Book Antiqua" w:cs="Book Antiqua"/>
          <w:color w:val="000000"/>
          <w:sz w:val="24"/>
          <w:szCs w:val="24"/>
          <w:lang w:val="en-US"/>
        </w:rPr>
        <w:t xml:space="preserve">. PDI is mostly present in the ER where it </w:t>
      </w:r>
      <w:r w:rsidRPr="00A96D05">
        <w:rPr>
          <w:rFonts w:ascii="Book Antiqua" w:hAnsi="Book Antiqua" w:cs="Book Antiqua"/>
          <w:color w:val="000000"/>
          <w:sz w:val="24"/>
          <w:szCs w:val="24"/>
          <w:shd w:val="clear" w:color="auto" w:fill="FFFFFF"/>
          <w:lang w:val="en-US"/>
        </w:rPr>
        <w:t>catalyzes the oxidative formation of disulfide bonds in nascent proteins entering the secretory pathway</w:t>
      </w:r>
      <w:r w:rsidRPr="00A96D05">
        <w:rPr>
          <w:rFonts w:ascii="Book Antiqua" w:hAnsi="Book Antiqua" w:cs="Book Antiqua"/>
          <w:noProof/>
          <w:color w:val="000000"/>
          <w:sz w:val="24"/>
          <w:szCs w:val="24"/>
          <w:vertAlign w:val="superscript"/>
          <w:lang w:val="en-US"/>
        </w:rPr>
        <w:t>[60,61]</w:t>
      </w:r>
      <w:r w:rsidRPr="00A96D05">
        <w:rPr>
          <w:rFonts w:ascii="Book Antiqua" w:hAnsi="Book Antiqua" w:cs="Book Antiqua"/>
          <w:color w:val="000000"/>
          <w:sz w:val="24"/>
          <w:szCs w:val="24"/>
          <w:lang w:val="en-US"/>
        </w:rPr>
        <w:t>. Conversely, PDI acts as a reductase on cell membrane surface, thereby reducing cell membrane-bound protein disulfide bonds</w:t>
      </w:r>
      <w:r w:rsidRPr="00A96D05">
        <w:rPr>
          <w:rFonts w:ascii="Book Antiqua" w:hAnsi="Book Antiqua" w:cs="Book Antiqua"/>
          <w:noProof/>
          <w:color w:val="000000"/>
          <w:sz w:val="24"/>
          <w:szCs w:val="24"/>
          <w:vertAlign w:val="superscript"/>
          <w:lang w:val="en-US"/>
        </w:rPr>
        <w:t>[59,62]</w:t>
      </w:r>
      <w:r w:rsidRPr="00A96D05">
        <w:rPr>
          <w:rFonts w:ascii="Book Antiqua" w:hAnsi="Book Antiqua" w:cs="Book Antiqua"/>
          <w:color w:val="000000"/>
          <w:sz w:val="24"/>
          <w:szCs w:val="24"/>
          <w:lang w:val="en-US"/>
        </w:rPr>
        <w:t>. Erp57, a protein disulfide isomerase chaperone similar to PDI, has been found to be involved in ER quality control of newly-synthesized glycoproteins</w:t>
      </w:r>
      <w:r w:rsidRPr="00A96D05">
        <w:rPr>
          <w:rFonts w:ascii="Book Antiqua" w:hAnsi="Book Antiqua" w:cs="Book Antiqua"/>
          <w:noProof/>
          <w:color w:val="000000"/>
          <w:sz w:val="24"/>
          <w:szCs w:val="24"/>
          <w:vertAlign w:val="superscript"/>
          <w:lang w:val="en-US"/>
        </w:rPr>
        <w:t>[63]</w:t>
      </w:r>
      <w:r w:rsidRPr="00A96D05">
        <w:rPr>
          <w:rFonts w:ascii="Book Antiqua" w:hAnsi="Book Antiqua" w:cs="Book Antiqua"/>
          <w:color w:val="000000"/>
          <w:sz w:val="24"/>
          <w:szCs w:val="24"/>
          <w:lang w:val="en-US"/>
        </w:rPr>
        <w:t>. Erp57 is located in the ER but it is also present on the cell surface and plasma membrane lipid microdomains (rafts) from some cells</w:t>
      </w:r>
      <w:r w:rsidRPr="00A96D05">
        <w:rPr>
          <w:rFonts w:ascii="Book Antiqua" w:hAnsi="Book Antiqua" w:cs="Book Antiqua"/>
          <w:noProof/>
          <w:color w:val="000000"/>
          <w:sz w:val="24"/>
          <w:szCs w:val="24"/>
          <w:vertAlign w:val="superscript"/>
          <w:lang w:val="en-US"/>
        </w:rPr>
        <w:t>[64]</w:t>
      </w:r>
      <w:r w:rsidRPr="00A96D05">
        <w:rPr>
          <w:rFonts w:ascii="Book Antiqua" w:hAnsi="Book Antiqua" w:cs="Book Antiqua"/>
          <w:color w:val="000000"/>
          <w:sz w:val="24"/>
          <w:szCs w:val="24"/>
          <w:lang w:val="en-US"/>
        </w:rPr>
        <w:t xml:space="preserve">. PDI family proteins </w:t>
      </w:r>
      <w:r w:rsidRPr="00A96D05">
        <w:rPr>
          <w:rFonts w:ascii="Book Antiqua" w:hAnsi="Book Antiqua" w:cs="Book Antiqua"/>
          <w:color w:val="000000"/>
          <w:sz w:val="24"/>
          <w:szCs w:val="24"/>
          <w:shd w:val="clear" w:color="auto" w:fill="FFFFFF"/>
          <w:lang w:val="en-US"/>
        </w:rPr>
        <w:t>catalyze the introduction, reduction and isomerization of disulfides bonds and</w:t>
      </w:r>
      <w:r w:rsidRPr="00A96D05">
        <w:rPr>
          <w:rFonts w:ascii="Book Antiqua" w:hAnsi="Book Antiqua" w:cs="Book Antiqua"/>
          <w:color w:val="000000"/>
          <w:sz w:val="24"/>
          <w:szCs w:val="24"/>
          <w:lang w:val="en-US"/>
        </w:rPr>
        <w:t xml:space="preserve"> are also enzymatic chaperones reconstructing misfolded proteins</w:t>
      </w:r>
      <w:r w:rsidRPr="00A96D05">
        <w:rPr>
          <w:rFonts w:ascii="Book Antiqua" w:hAnsi="Book Antiqua" w:cs="Book Antiqua"/>
          <w:color w:val="000000"/>
          <w:sz w:val="24"/>
          <w:szCs w:val="24"/>
          <w:shd w:val="clear" w:color="auto" w:fill="FFFFFF"/>
          <w:lang w:val="en-US"/>
        </w:rPr>
        <w:t xml:space="preserve">. </w:t>
      </w:r>
      <w:r w:rsidRPr="00A96D05">
        <w:rPr>
          <w:rFonts w:ascii="Book Antiqua" w:hAnsi="Book Antiqua" w:cs="Book Antiqua"/>
          <w:color w:val="000000"/>
          <w:sz w:val="24"/>
          <w:szCs w:val="24"/>
          <w:lang w:val="en-US"/>
        </w:rPr>
        <w:t>Human PDI is a 57 kDa protein containing four characteristic thioredoxin-like domains, two of which containing the common structural motif CXXC in the active site</w:t>
      </w:r>
      <w:r w:rsidRPr="00A96D05">
        <w:rPr>
          <w:rFonts w:ascii="Book Antiqua" w:hAnsi="Book Antiqua" w:cs="Book Antiqua"/>
          <w:noProof/>
          <w:color w:val="000000"/>
          <w:sz w:val="24"/>
          <w:szCs w:val="24"/>
          <w:vertAlign w:val="superscript"/>
          <w:lang w:val="en-US"/>
        </w:rPr>
        <w:t>[65]</w:t>
      </w:r>
      <w:r w:rsidRPr="00A96D05">
        <w:rPr>
          <w:rFonts w:ascii="Book Antiqua" w:hAnsi="Book Antiqua" w:cs="Book Antiqua"/>
          <w:color w:val="000000"/>
          <w:sz w:val="24"/>
          <w:szCs w:val="24"/>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lang w:val="en-US"/>
        </w:rPr>
        <w:t>PDI redox activity can be inhibited by cell membrane-impermeant thiol/disulfide-reactive agents such as DTNB [5,</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5-dithio-bis-(2-nitrobenzoic acid)] and bacitracin</w:t>
      </w:r>
      <w:r w:rsidRPr="00A96D05">
        <w:rPr>
          <w:rFonts w:ascii="Book Antiqua" w:hAnsi="Book Antiqua" w:cs="Book Antiqua"/>
          <w:noProof/>
          <w:color w:val="000000"/>
          <w:sz w:val="24"/>
          <w:szCs w:val="24"/>
          <w:vertAlign w:val="superscript"/>
          <w:lang w:val="en-US"/>
        </w:rPr>
        <w:t>[66,67]</w:t>
      </w:r>
      <w:r w:rsidRPr="00A96D05">
        <w:rPr>
          <w:rFonts w:ascii="Book Antiqua" w:hAnsi="Book Antiqua" w:cs="Book Antiqua"/>
          <w:color w:val="000000"/>
          <w:sz w:val="24"/>
          <w:szCs w:val="24"/>
          <w:lang w:val="en-US"/>
        </w:rPr>
        <w:t>.</w:t>
      </w:r>
      <w:r w:rsidRPr="00A96D05">
        <w:rPr>
          <w:rFonts w:ascii="Book Antiqua" w:hAnsi="Book Antiqua" w:cs="Book Antiqua"/>
          <w:color w:val="000000"/>
          <w:sz w:val="24"/>
          <w:szCs w:val="24"/>
          <w:shd w:val="clear" w:color="auto" w:fill="FFFFFF"/>
          <w:lang w:val="en-US"/>
        </w:rPr>
        <w:t xml:space="preserve"> Recent studies have shown that Bak, a pro-apoptotic Bcl-2 protein, mediates the pro-apoptotic function previously reported for several PDI members. This Bak-dependent function of PDI is performed by inducing mitochondrial outer membrane permeabilization, linking in this way ER chaperone proteins and apoptotic signalling</w:t>
      </w:r>
      <w:r w:rsidRPr="00A96D05">
        <w:rPr>
          <w:rFonts w:ascii="Book Antiqua" w:hAnsi="Book Antiqua" w:cs="Book Antiqua"/>
          <w:noProof/>
          <w:color w:val="000000"/>
          <w:sz w:val="24"/>
          <w:szCs w:val="24"/>
          <w:shd w:val="clear" w:color="auto" w:fill="FFFFFF"/>
          <w:vertAlign w:val="superscript"/>
          <w:lang w:val="en-US"/>
        </w:rPr>
        <w:t>[68]</w:t>
      </w:r>
      <w:r w:rsidRPr="00A96D05">
        <w:rPr>
          <w:rFonts w:ascii="Book Antiqua" w:hAnsi="Book Antiqua" w:cs="Book Antiqua"/>
          <w:color w:val="000000"/>
          <w:sz w:val="24"/>
          <w:szCs w:val="24"/>
          <w:shd w:val="clear" w:color="auto" w:fill="FFFFFF"/>
          <w:lang w:val="en-US"/>
        </w:rPr>
        <w:t>. NADPH oxidase complex (Nox) is the major contributor of ROS in cells. PDI has been shown to interact with Nox within the ER and also in the citosol</w:t>
      </w:r>
      <w:r w:rsidRPr="00A96D05">
        <w:rPr>
          <w:rFonts w:ascii="Book Antiqua" w:hAnsi="Book Antiqua" w:cs="Book Antiqua"/>
          <w:noProof/>
          <w:color w:val="000000"/>
          <w:sz w:val="24"/>
          <w:szCs w:val="24"/>
          <w:shd w:val="clear" w:color="auto" w:fill="FFFFFF"/>
          <w:vertAlign w:val="superscript"/>
          <w:lang w:val="en-US"/>
        </w:rPr>
        <w:t>[69,70]</w:t>
      </w:r>
      <w:r w:rsidRPr="00A96D05">
        <w:rPr>
          <w:rFonts w:ascii="Book Antiqua" w:hAnsi="Book Antiqua" w:cs="Book Antiqua"/>
          <w:color w:val="000000"/>
          <w:sz w:val="24"/>
          <w:szCs w:val="24"/>
          <w:shd w:val="clear" w:color="auto" w:fill="FFFFFF"/>
          <w:lang w:val="en-US"/>
        </w:rPr>
        <w:t>. The PDI overexpression has been shown to produce an increase in NADPH oxidase activity, leading to increased levels of cellular ROS</w:t>
      </w:r>
      <w:r w:rsidRPr="00A96D05">
        <w:rPr>
          <w:rFonts w:ascii="Book Antiqua" w:hAnsi="Book Antiqua" w:cs="Book Antiqua"/>
          <w:noProof/>
          <w:color w:val="000000"/>
          <w:sz w:val="24"/>
          <w:szCs w:val="24"/>
          <w:shd w:val="clear" w:color="auto" w:fill="FFFFFF"/>
          <w:vertAlign w:val="superscript"/>
          <w:lang w:val="en-US"/>
        </w:rPr>
        <w:t>[71]</w:t>
      </w:r>
      <w:r w:rsidRPr="00A96D05">
        <w:rPr>
          <w:rFonts w:ascii="Book Antiqua" w:hAnsi="Book Antiqua" w:cs="Book Antiqua"/>
          <w:color w:val="000000"/>
          <w:sz w:val="24"/>
          <w:szCs w:val="24"/>
          <w:shd w:val="clear" w:color="auto" w:fill="FFFFFF"/>
          <w:lang w:val="en-US"/>
        </w:rPr>
        <w:t>.</w:t>
      </w:r>
    </w:p>
    <w:p w:rsidR="005C6065" w:rsidRPr="00A96D05" w:rsidRDefault="005C6065" w:rsidP="002438CD">
      <w:pPr>
        <w:autoSpaceDE w:val="0"/>
        <w:autoSpaceDN w:val="0"/>
        <w:adjustRightInd w:val="0"/>
        <w:spacing w:after="0" w:line="360" w:lineRule="auto"/>
        <w:ind w:firstLineChars="100" w:firstLine="31680"/>
        <w:jc w:val="both"/>
        <w:rPr>
          <w:rFonts w:ascii="Book Antiqua" w:hAnsi="Book Antiqua" w:cs="Book Antiqua"/>
          <w:color w:val="000000"/>
          <w:sz w:val="24"/>
          <w:szCs w:val="24"/>
          <w:lang w:val="en-US" w:eastAsia="zh-CN"/>
        </w:rPr>
      </w:pPr>
      <w:r w:rsidRPr="00A96D05">
        <w:rPr>
          <w:rFonts w:ascii="Book Antiqua" w:hAnsi="Book Antiqua" w:cs="Book Antiqua"/>
          <w:color w:val="000000"/>
          <w:sz w:val="24"/>
          <w:szCs w:val="24"/>
          <w:lang w:val="en-US"/>
        </w:rPr>
        <w:t>In the context of cellular chaperone activity, Hsc70 has been shown to play an important role in the virus life cycle by modulating infectivity</w:t>
      </w:r>
      <w:r w:rsidRPr="00A96D05">
        <w:rPr>
          <w:rFonts w:ascii="Book Antiqua" w:hAnsi="Book Antiqua" w:cs="Book Antiqua"/>
          <w:noProof/>
          <w:color w:val="000000"/>
          <w:sz w:val="24"/>
          <w:szCs w:val="24"/>
          <w:vertAlign w:val="superscript"/>
          <w:lang w:val="en-US"/>
        </w:rPr>
        <w:t>[72,73]</w:t>
      </w:r>
      <w:r w:rsidRPr="00A96D05">
        <w:rPr>
          <w:rFonts w:ascii="Book Antiqua" w:hAnsi="Book Antiqua" w:cs="Book Antiqua"/>
          <w:color w:val="000000"/>
          <w:sz w:val="24"/>
          <w:szCs w:val="24"/>
          <w:lang w:val="en-US"/>
        </w:rPr>
        <w:t>, serving as a receptor molecule</w:t>
      </w:r>
      <w:r w:rsidRPr="00A96D05">
        <w:rPr>
          <w:rFonts w:ascii="Book Antiqua" w:hAnsi="Book Antiqua" w:cs="Book Antiqua"/>
          <w:noProof/>
          <w:color w:val="000000"/>
          <w:sz w:val="24"/>
          <w:szCs w:val="24"/>
          <w:vertAlign w:val="superscript"/>
          <w:lang w:val="en-US"/>
        </w:rPr>
        <w:t>[7,8]</w:t>
      </w:r>
      <w:r w:rsidRPr="00A96D05">
        <w:rPr>
          <w:rFonts w:ascii="Book Antiqua" w:hAnsi="Book Antiqua" w:cs="Book Antiqua"/>
          <w:color w:val="000000"/>
          <w:sz w:val="24"/>
          <w:szCs w:val="24"/>
          <w:lang w:val="en-US"/>
        </w:rPr>
        <w:t xml:space="preserve"> or participating in viral assembly and morphogenesis</w:t>
      </w:r>
      <w:r w:rsidRPr="00A96D05">
        <w:rPr>
          <w:rFonts w:ascii="Book Antiqua" w:hAnsi="Book Antiqua" w:cs="Book Antiqua"/>
          <w:noProof/>
          <w:color w:val="000000"/>
          <w:sz w:val="24"/>
          <w:szCs w:val="24"/>
          <w:vertAlign w:val="superscript"/>
          <w:lang w:val="en-US"/>
        </w:rPr>
        <w:t>[74,75]</w:t>
      </w:r>
      <w:r w:rsidRPr="00A96D05">
        <w:rPr>
          <w:rFonts w:ascii="Book Antiqua" w:hAnsi="Book Antiqua" w:cs="Book Antiqua"/>
          <w:color w:val="000000"/>
          <w:sz w:val="24"/>
          <w:szCs w:val="24"/>
          <w:lang w:val="en-US"/>
        </w:rPr>
        <w:t>. Hsc70 is a constitutively expressed molecular chaperone belonging to the Hsp70 family. Hsc70 has been reported to be involved in protection from several forms of cellular stress performing multiple cellular functions including assistance in folding of nascent polypeptides, prevention of protein aggregation, translocation of proteins across membranes, chaperone mediation of autophagy, survival of cancer cells, and disassembly of clathrin-coated vesicles</w:t>
      </w:r>
      <w:r w:rsidRPr="00A96D05">
        <w:rPr>
          <w:rFonts w:ascii="Book Antiqua" w:hAnsi="Book Antiqua" w:cs="Book Antiqua"/>
          <w:noProof/>
          <w:color w:val="000000"/>
          <w:sz w:val="24"/>
          <w:szCs w:val="24"/>
          <w:vertAlign w:val="superscript"/>
          <w:lang w:val="en-US"/>
        </w:rPr>
        <w:t>[76]</w:t>
      </w:r>
      <w:r w:rsidRPr="00A96D05">
        <w:rPr>
          <w:rFonts w:ascii="Book Antiqua" w:hAnsi="Book Antiqua" w:cs="Book Antiqua"/>
          <w:color w:val="000000"/>
          <w:sz w:val="24"/>
          <w:szCs w:val="24"/>
          <w:lang w:val="en-US"/>
        </w:rPr>
        <w:t>. Hsc70 has been reported to protect cells from oxidative stress and apoptosis</w:t>
      </w:r>
      <w:r w:rsidRPr="00A96D05">
        <w:rPr>
          <w:rFonts w:ascii="Book Antiqua" w:hAnsi="Book Antiqua" w:cs="Book Antiqua"/>
          <w:noProof/>
          <w:color w:val="000000"/>
          <w:sz w:val="24"/>
          <w:szCs w:val="24"/>
          <w:vertAlign w:val="superscript"/>
          <w:lang w:val="en-US"/>
        </w:rPr>
        <w:t>[77]</w:t>
      </w:r>
      <w:r w:rsidRPr="00A96D05">
        <w:rPr>
          <w:rFonts w:ascii="Book Antiqua" w:hAnsi="Book Antiqua" w:cs="Book Antiqua"/>
          <w:color w:val="000000"/>
          <w:sz w:val="24"/>
          <w:szCs w:val="24"/>
          <w:lang w:val="en-US"/>
        </w:rPr>
        <w:t xml:space="preserve">. Although Hsc70 has not been reported as a cell surface receptor facilitating attachment of Japanese encephalitis virus (JEV) virions, it has been found to be associated with virus penetration </w:t>
      </w:r>
      <w:r w:rsidRPr="00A96D05">
        <w:rPr>
          <w:rFonts w:ascii="Book Antiqua" w:hAnsi="Book Antiqua" w:cs="Book Antiqua"/>
          <w:i/>
          <w:iCs/>
          <w:color w:val="000000"/>
          <w:sz w:val="24"/>
          <w:szCs w:val="24"/>
          <w:lang w:val="en-US"/>
        </w:rPr>
        <w:t>via</w:t>
      </w:r>
      <w:r w:rsidRPr="00A96D05">
        <w:rPr>
          <w:rFonts w:ascii="Book Antiqua" w:hAnsi="Book Antiqua" w:cs="Book Antiqua"/>
          <w:color w:val="000000"/>
          <w:sz w:val="24"/>
          <w:szCs w:val="24"/>
          <w:lang w:val="en-US"/>
        </w:rPr>
        <w:t xml:space="preserve"> clathrin-mediated endocitosis</w:t>
      </w:r>
      <w:r w:rsidRPr="00A96D05">
        <w:rPr>
          <w:rFonts w:ascii="Book Antiqua" w:hAnsi="Book Antiqua" w:cs="Book Antiqua"/>
          <w:noProof/>
          <w:color w:val="000000"/>
          <w:sz w:val="24"/>
          <w:szCs w:val="24"/>
          <w:vertAlign w:val="superscript"/>
          <w:lang w:val="en-US"/>
        </w:rPr>
        <w:t>[78]</w:t>
      </w:r>
      <w:r w:rsidRPr="00A96D05">
        <w:rPr>
          <w:rFonts w:ascii="Book Antiqua" w:hAnsi="Book Antiqua" w:cs="Book Antiqua"/>
          <w:color w:val="000000"/>
          <w:sz w:val="24"/>
          <w:szCs w:val="24"/>
          <w:lang w:val="en-US"/>
        </w:rPr>
        <w:t xml:space="preserve">. There is evidence showing that </w:t>
      </w:r>
      <w:r w:rsidRPr="00A96D05">
        <w:rPr>
          <w:rFonts w:ascii="Book Antiqua" w:hAnsi="Book Antiqua" w:cs="Book Antiqua"/>
          <w:color w:val="000000"/>
          <w:sz w:val="24"/>
          <w:szCs w:val="24"/>
          <w:shd w:val="clear" w:color="auto" w:fill="FFFFFF"/>
          <w:lang w:val="en-US"/>
        </w:rPr>
        <w:t>NF-κB p65-induced cell proliferation is dependent on a NF-κB p65-mediated decrease of Hsc70 levels</w:t>
      </w:r>
      <w:r w:rsidRPr="00A96D05">
        <w:rPr>
          <w:rFonts w:ascii="Book Antiqua" w:hAnsi="Book Antiqua" w:cs="Book Antiqua"/>
          <w:noProof/>
          <w:color w:val="000000"/>
          <w:sz w:val="24"/>
          <w:szCs w:val="24"/>
          <w:shd w:val="clear" w:color="auto" w:fill="FFFFFF"/>
          <w:vertAlign w:val="superscript"/>
          <w:lang w:val="en-US"/>
        </w:rPr>
        <w:t>[79]</w:t>
      </w:r>
      <w:r w:rsidRPr="00A96D05">
        <w:rPr>
          <w:rFonts w:ascii="Book Antiqua" w:hAnsi="Book Antiqua" w:cs="Book Antiqua"/>
          <w:color w:val="000000"/>
          <w:sz w:val="24"/>
          <w:szCs w:val="24"/>
          <w:shd w:val="clear" w:color="auto" w:fill="FFFFFF"/>
          <w:lang w:val="en-US"/>
        </w:rPr>
        <w:t>.</w:t>
      </w:r>
      <w:r w:rsidRPr="00A96D05">
        <w:rPr>
          <w:rFonts w:ascii="Book Antiqua" w:hAnsi="Book Antiqua" w:cs="Book Antiqua"/>
          <w:color w:val="000000"/>
          <w:sz w:val="24"/>
          <w:szCs w:val="24"/>
          <w:lang w:val="en-US"/>
        </w:rPr>
        <w:t xml:space="preserve"> The above-mentioned evidences indicate that chaperone and oxidoreduction activities are present at different subcellular locations which can be used by viruses during their life cycle stages. Further studies must be conducted in order to better understand the specific implications of chaperone and oxidoreduction activities in both physiological and pathophysiological conditions. </w:t>
      </w:r>
    </w:p>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lang w:val="en-US" w:eastAsia="zh-CN"/>
        </w:rPr>
      </w:pP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shd w:val="clear" w:color="auto" w:fill="FFFFFF"/>
          <w:lang w:val="en-US"/>
        </w:rPr>
        <w:t>PDI IMPLICATION IN VIRUS ENTRY</w:t>
      </w:r>
    </w:p>
    <w:p w:rsidR="005C6065" w:rsidRPr="00A96D05" w:rsidRDefault="005C6065" w:rsidP="00A96D05">
      <w:pPr>
        <w:pStyle w:val="NoSpacing"/>
        <w:spacing w:line="360" w:lineRule="auto"/>
        <w:rPr>
          <w:rFonts w:ascii="Book Antiqua" w:hAnsi="Book Antiqua" w:cs="Book Antiqua"/>
          <w:color w:val="000000"/>
          <w:sz w:val="24"/>
          <w:szCs w:val="24"/>
          <w:lang w:val="en-US"/>
        </w:rPr>
      </w:pPr>
      <w:r w:rsidRPr="00A96D05">
        <w:rPr>
          <w:rFonts w:ascii="Book Antiqua" w:hAnsi="Book Antiqua" w:cs="Book Antiqua"/>
          <w:color w:val="000000"/>
          <w:sz w:val="24"/>
          <w:szCs w:val="24"/>
          <w:shd w:val="clear" w:color="auto" w:fill="FFFFFF"/>
          <w:lang w:val="en-US"/>
        </w:rPr>
        <w:t xml:space="preserve">PDI redox function has been found to be needed for entry of some viruses into the host cell. Early </w:t>
      </w:r>
      <w:r w:rsidRPr="00A96D05">
        <w:rPr>
          <w:rFonts w:ascii="Book Antiqua" w:hAnsi="Book Antiqua" w:cs="Book Antiqua"/>
          <w:color w:val="000000"/>
          <w:sz w:val="24"/>
          <w:szCs w:val="24"/>
          <w:lang w:val="en-US"/>
        </w:rPr>
        <w:t>studies demonstrated that  </w:t>
      </w:r>
      <w:r w:rsidRPr="00A96D05">
        <w:rPr>
          <w:rFonts w:ascii="Book Antiqua" w:hAnsi="Book Antiqua" w:cs="Book Antiqua"/>
          <w:color w:val="000000"/>
          <w:sz w:val="24"/>
          <w:szCs w:val="24"/>
          <w:shd w:val="clear" w:color="auto" w:fill="FFFFFF"/>
          <w:lang w:val="en-US"/>
        </w:rPr>
        <w:t>human immunodeficiency virus (HIV) entry was</w:t>
      </w:r>
      <w:r w:rsidRPr="00A96D05">
        <w:rPr>
          <w:rFonts w:ascii="Book Antiqua" w:hAnsi="Book Antiqua" w:cs="Book Antiqua"/>
          <w:color w:val="000000"/>
          <w:sz w:val="24"/>
          <w:szCs w:val="24"/>
          <w:lang w:val="en-US"/>
        </w:rPr>
        <w:t xml:space="preserve"> inhibited by membrane-impermeant thiol/disulfide-reactive agents through inhibiting PDI redox function</w:t>
      </w:r>
      <w:r w:rsidRPr="00A96D05">
        <w:rPr>
          <w:rFonts w:ascii="Book Antiqua" w:hAnsi="Book Antiqua" w:cs="Book Antiqua"/>
          <w:noProof/>
          <w:color w:val="000000"/>
          <w:sz w:val="24"/>
          <w:szCs w:val="24"/>
          <w:vertAlign w:val="superscript"/>
          <w:lang w:val="en-US"/>
        </w:rPr>
        <w:t>[66]</w:t>
      </w:r>
      <w:r w:rsidRPr="00A96D05">
        <w:rPr>
          <w:rFonts w:ascii="Book Antiqua" w:hAnsi="Book Antiqua" w:cs="Book Antiqua"/>
          <w:color w:val="000000"/>
          <w:sz w:val="24"/>
          <w:szCs w:val="24"/>
          <w:lang w:val="en-US"/>
        </w:rPr>
        <w:t xml:space="preserve"> or other cell-surface molecules showing redox activity</w:t>
      </w:r>
      <w:r w:rsidRPr="00A96D05">
        <w:rPr>
          <w:rFonts w:ascii="Book Antiqua" w:hAnsi="Book Antiqua" w:cs="Book Antiqua"/>
          <w:noProof/>
          <w:color w:val="000000"/>
          <w:sz w:val="24"/>
          <w:szCs w:val="24"/>
          <w:vertAlign w:val="superscript"/>
          <w:lang w:val="en-US"/>
        </w:rPr>
        <w:t>[80,81]</w:t>
      </w:r>
      <w:r w:rsidRPr="00A96D05">
        <w:rPr>
          <w:rFonts w:ascii="Book Antiqua" w:hAnsi="Book Antiqua" w:cs="Book Antiqua"/>
          <w:color w:val="000000"/>
          <w:sz w:val="24"/>
          <w:szCs w:val="24"/>
          <w:lang w:val="en-US"/>
        </w:rPr>
        <w:t>. PDI and thioredoxin-1 (Trx1) have been shown to reduce the disulfide bonds present on HIV glycoprotein gp120 facilitating the virus entry</w:t>
      </w:r>
      <w:r w:rsidRPr="00A96D05">
        <w:rPr>
          <w:rFonts w:ascii="Book Antiqua" w:hAnsi="Book Antiqua" w:cs="Book Antiqua"/>
          <w:noProof/>
          <w:color w:val="000000"/>
          <w:sz w:val="24"/>
          <w:szCs w:val="24"/>
          <w:vertAlign w:val="superscript"/>
          <w:lang w:val="en-US"/>
        </w:rPr>
        <w:t>[82]</w:t>
      </w:r>
      <w:r w:rsidRPr="00A96D05">
        <w:rPr>
          <w:rFonts w:ascii="Book Antiqua" w:hAnsi="Book Antiqua" w:cs="Book Antiqua"/>
          <w:color w:val="000000"/>
          <w:sz w:val="24"/>
          <w:szCs w:val="24"/>
          <w:lang w:val="en-US"/>
        </w:rPr>
        <w:t>. It has been suggested that endothelial PDI reduces integrins β1 and β3 causing the internalization of dengue virus</w:t>
      </w:r>
      <w:r w:rsidRPr="00A96D05">
        <w:rPr>
          <w:rFonts w:ascii="Book Antiqua" w:hAnsi="Book Antiqua" w:cs="Book Antiqua"/>
          <w:noProof/>
          <w:color w:val="000000"/>
          <w:sz w:val="24"/>
          <w:szCs w:val="24"/>
          <w:vertAlign w:val="superscript"/>
          <w:lang w:val="en-US"/>
        </w:rPr>
        <w:t>[83]</w:t>
      </w:r>
      <w:r w:rsidRPr="00A96D05">
        <w:rPr>
          <w:rFonts w:ascii="Book Antiqua" w:hAnsi="Book Antiqua" w:cs="Book Antiqua"/>
          <w:color w:val="000000"/>
          <w:sz w:val="24"/>
          <w:szCs w:val="24"/>
          <w:lang w:val="en-US"/>
        </w:rPr>
        <w:t>. Avian leukosis virus</w:t>
      </w:r>
      <w:r w:rsidRPr="00A96D05">
        <w:rPr>
          <w:rFonts w:ascii="Book Antiqua" w:hAnsi="Book Antiqua" w:cs="Book Antiqua"/>
          <w:noProof/>
          <w:color w:val="000000"/>
          <w:sz w:val="24"/>
          <w:szCs w:val="24"/>
          <w:vertAlign w:val="superscript"/>
          <w:lang w:val="en-US"/>
        </w:rPr>
        <w:t>[84]</w:t>
      </w:r>
      <w:r w:rsidRPr="00A96D05">
        <w:rPr>
          <w:rFonts w:ascii="Book Antiqua" w:hAnsi="Book Antiqua" w:cs="Book Antiqua"/>
          <w:color w:val="000000"/>
          <w:sz w:val="24"/>
          <w:szCs w:val="24"/>
          <w:lang w:val="en-US"/>
        </w:rPr>
        <w:t xml:space="preserve"> and Sindbis virus</w:t>
      </w:r>
      <w:r w:rsidRPr="00A96D05">
        <w:rPr>
          <w:rFonts w:ascii="Book Antiqua" w:hAnsi="Book Antiqua" w:cs="Book Antiqua"/>
          <w:noProof/>
          <w:color w:val="000000"/>
          <w:sz w:val="24"/>
          <w:szCs w:val="24"/>
          <w:vertAlign w:val="superscript"/>
          <w:lang w:val="en-US"/>
        </w:rPr>
        <w:t>[85]</w:t>
      </w:r>
      <w:r w:rsidRPr="00A96D05">
        <w:rPr>
          <w:rFonts w:ascii="Book Antiqua" w:hAnsi="Book Antiqua" w:cs="Book Antiqua"/>
          <w:color w:val="000000"/>
          <w:sz w:val="24"/>
          <w:szCs w:val="24"/>
          <w:lang w:val="en-US"/>
        </w:rPr>
        <w:t xml:space="preserve"> entry has been found to be dependent on the generation of free thiols in their fusion protein. The conserved cysteine residues from the hepatitis B virus (HBV) envelope protein coating hepatitis delta virus particles have been shown to be essential for virus entry</w:t>
      </w:r>
      <w:r w:rsidRPr="00A96D05">
        <w:rPr>
          <w:rFonts w:ascii="Book Antiqua" w:hAnsi="Book Antiqua" w:cs="Book Antiqua"/>
          <w:noProof/>
          <w:color w:val="000000"/>
          <w:sz w:val="24"/>
          <w:szCs w:val="24"/>
          <w:vertAlign w:val="superscript"/>
          <w:lang w:val="en-US"/>
        </w:rPr>
        <w:t>[86]</w:t>
      </w:r>
      <w:r w:rsidRPr="00A96D05">
        <w:rPr>
          <w:rFonts w:ascii="Book Antiqua" w:hAnsi="Book Antiqua" w:cs="Book Antiqua"/>
          <w:color w:val="000000"/>
          <w:sz w:val="24"/>
          <w:szCs w:val="24"/>
          <w:lang w:val="en-US"/>
        </w:rPr>
        <w:t>. Generation of free thiols in Newcastle disease virus fusion (F) protein have been shown to be required for virus entry into cells and cell fusion</w:t>
      </w:r>
      <w:r w:rsidRPr="00A96D05">
        <w:rPr>
          <w:rFonts w:ascii="Book Antiqua" w:hAnsi="Book Antiqua" w:cs="Book Antiqua"/>
          <w:noProof/>
          <w:color w:val="000000"/>
          <w:sz w:val="24"/>
          <w:szCs w:val="24"/>
          <w:vertAlign w:val="superscript"/>
          <w:lang w:val="en-US"/>
        </w:rPr>
        <w:t>[87,88]</w:t>
      </w:r>
      <w:r w:rsidRPr="00A96D05">
        <w:rPr>
          <w:rFonts w:ascii="Book Antiqua" w:hAnsi="Book Antiqua" w:cs="Book Antiqua"/>
          <w:color w:val="000000"/>
          <w:sz w:val="24"/>
          <w:szCs w:val="24"/>
          <w:lang w:val="en-US"/>
        </w:rPr>
        <w:t>; it has been suggested that PDI family isomerases could be responsible for such thiol generation</w:t>
      </w:r>
      <w:r w:rsidRPr="00A96D05">
        <w:rPr>
          <w:rFonts w:ascii="Book Antiqua" w:hAnsi="Book Antiqua" w:cs="Book Antiqua"/>
          <w:noProof/>
          <w:color w:val="000000"/>
          <w:sz w:val="24"/>
          <w:szCs w:val="24"/>
          <w:vertAlign w:val="superscript"/>
          <w:lang w:val="en-US"/>
        </w:rPr>
        <w:t>[89]</w:t>
      </w:r>
      <w:r w:rsidRPr="00A96D05">
        <w:rPr>
          <w:rFonts w:ascii="Book Antiqua" w:hAnsi="Book Antiqua" w:cs="Book Antiqua"/>
          <w:color w:val="000000"/>
          <w:sz w:val="24"/>
          <w:szCs w:val="24"/>
          <w:lang w:val="en-US"/>
        </w:rPr>
        <w:t>. Cell surface PDI has been found to facilitate the infection of HeLa cells by mouse polyoma virus</w:t>
      </w:r>
      <w:r w:rsidRPr="00A96D05">
        <w:rPr>
          <w:rFonts w:ascii="Book Antiqua" w:hAnsi="Book Antiqua" w:cs="Book Antiqua"/>
          <w:noProof/>
          <w:color w:val="000000"/>
          <w:sz w:val="24"/>
          <w:szCs w:val="24"/>
          <w:vertAlign w:val="superscript"/>
          <w:lang w:val="en-US"/>
        </w:rPr>
        <w:t>[90]</w:t>
      </w:r>
      <w:r w:rsidRPr="00A96D05">
        <w:rPr>
          <w:rFonts w:ascii="Book Antiqua" w:hAnsi="Book Antiqua" w:cs="Book Antiqua"/>
          <w:color w:val="000000"/>
          <w:sz w:val="24"/>
          <w:szCs w:val="24"/>
          <w:lang w:val="en-US"/>
        </w:rPr>
        <w:t>. Studies have identified novel functions of PDI that are relevant for various diseases including virus infections</w:t>
      </w:r>
      <w:r w:rsidRPr="00A96D05">
        <w:rPr>
          <w:rFonts w:ascii="Book Antiqua" w:hAnsi="Book Antiqua" w:cs="Book Antiqua"/>
          <w:noProof/>
          <w:color w:val="000000"/>
          <w:sz w:val="24"/>
          <w:szCs w:val="24"/>
          <w:vertAlign w:val="superscript"/>
          <w:lang w:val="en-US"/>
        </w:rPr>
        <w:t>[91-93]</w:t>
      </w:r>
      <w:r w:rsidRPr="00A96D05">
        <w:rPr>
          <w:rFonts w:ascii="Book Antiqua" w:hAnsi="Book Antiqua" w:cs="Book Antiqua"/>
          <w:color w:val="000000"/>
          <w:sz w:val="24"/>
          <w:szCs w:val="24"/>
          <w:lang w:val="en-US"/>
        </w:rPr>
        <w:t>.</w:t>
      </w:r>
    </w:p>
    <w:p w:rsidR="005C6065" w:rsidRPr="00A96D05" w:rsidRDefault="005C6065" w:rsidP="002438CD">
      <w:pPr>
        <w:pStyle w:val="NoSpacing"/>
        <w:spacing w:line="360" w:lineRule="auto"/>
        <w:ind w:firstLineChars="100" w:firstLine="31680"/>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Rotavirus infectivity inhibition has been reported to be caused by treatment of MA104 cells with DTNB, bacitracin or anti-PDI antibodies</w:t>
      </w:r>
      <w:r w:rsidRPr="00A96D05">
        <w:rPr>
          <w:rFonts w:ascii="Book Antiqua" w:hAnsi="Book Antiqua" w:cs="Book Antiqua"/>
          <w:noProof/>
          <w:color w:val="000000"/>
          <w:sz w:val="24"/>
          <w:szCs w:val="24"/>
          <w:vertAlign w:val="superscript"/>
          <w:lang w:val="en-US"/>
        </w:rPr>
        <w:t>[12]</w:t>
      </w:r>
      <w:r w:rsidRPr="00A96D05">
        <w:rPr>
          <w:rFonts w:ascii="Book Antiqua" w:hAnsi="Book Antiqua" w:cs="Book Antiqua"/>
          <w:color w:val="000000"/>
          <w:sz w:val="24"/>
          <w:szCs w:val="24"/>
          <w:lang w:val="en-US"/>
        </w:rPr>
        <w:t xml:space="preserve">. It was suggested that thiol/disulfide exchange activity on cell membrane surface was involved in rotavirus infection as DTNB can modified thiol-containing cell surface proteins and bacitracin can react with proteins containing the tetra-peptide motif CXXC. The cell surface PDI implication in rotavirus entry was concluded from results showing a physical </w:t>
      </w:r>
      <w:r w:rsidRPr="00A96D05">
        <w:rPr>
          <w:rFonts w:ascii="Book Antiqua" w:hAnsi="Book Antiqua" w:cs="Book Antiqua"/>
          <w:i/>
          <w:iCs/>
          <w:color w:val="000000"/>
          <w:sz w:val="24"/>
          <w:szCs w:val="24"/>
          <w:lang w:val="en-US"/>
        </w:rPr>
        <w:t>in vitro</w:t>
      </w:r>
      <w:r w:rsidRPr="00A96D05">
        <w:rPr>
          <w:rFonts w:ascii="Book Antiqua" w:hAnsi="Book Antiqua" w:cs="Book Antiqua"/>
          <w:color w:val="000000"/>
          <w:sz w:val="24"/>
          <w:szCs w:val="24"/>
          <w:lang w:val="en-US"/>
        </w:rPr>
        <w:t xml:space="preserve"> interaction between PDI and TLPs and a significant rotavirus inhibition caused by cell pre-treatment with anti-PDI monoclonal antibodies (mAbs)</w:t>
      </w:r>
      <w:r w:rsidRPr="00A96D05">
        <w:rPr>
          <w:rFonts w:ascii="Book Antiqua" w:hAnsi="Book Antiqua" w:cs="Book Antiqua"/>
          <w:noProof/>
          <w:color w:val="000000"/>
          <w:sz w:val="24"/>
          <w:szCs w:val="24"/>
          <w:vertAlign w:val="superscript"/>
          <w:lang w:val="en-US"/>
        </w:rPr>
        <w:t>[12]</w:t>
      </w:r>
      <w:r w:rsidRPr="00A96D05">
        <w:rPr>
          <w:rFonts w:ascii="Book Antiqua" w:hAnsi="Book Antiqua" w:cs="Book Antiqua"/>
          <w:color w:val="000000"/>
          <w:sz w:val="24"/>
          <w:szCs w:val="24"/>
          <w:lang w:val="en-US"/>
        </w:rPr>
        <w:t>. In the same study, it was observed that infectivity of rotavirus TLPs was reduced by pre-treating them with DTNB, whereas pre-treatment of TLPs with bacitracin or anti-PDI mAb did not affect TLP infectivity. These findings suggested that rotavirus virions contain thiol groups that are required for virus infectivity. From this study, it was concluded that membrane-impermeant thiol/disulfide-reactive agents and anti-PDI mAbs inhibit rotavirus infectivity at entry but during a post-binding step</w:t>
      </w:r>
      <w:r w:rsidRPr="00A96D05">
        <w:rPr>
          <w:rFonts w:ascii="Book Antiqua" w:hAnsi="Book Antiqua" w:cs="Book Antiqua"/>
          <w:noProof/>
          <w:color w:val="000000"/>
          <w:sz w:val="24"/>
          <w:szCs w:val="24"/>
          <w:vertAlign w:val="superscript"/>
          <w:lang w:val="en-US"/>
        </w:rPr>
        <w:t>[12]</w:t>
      </w:r>
      <w:r w:rsidRPr="00A96D05">
        <w:rPr>
          <w:rFonts w:ascii="Book Antiqua" w:hAnsi="Book Antiqua" w:cs="Book Antiqua"/>
          <w:color w:val="000000"/>
          <w:sz w:val="24"/>
          <w:szCs w:val="24"/>
          <w:lang w:val="en-US"/>
        </w:rPr>
        <w:t>. The implication of PDI during the rotavirus entry process has been further studied using synthetic peptides derived from rotavirus structural protein amino acid sequences potentially mediating cell surface PDI–substrate interactions</w:t>
      </w:r>
      <w:r w:rsidRPr="00A96D05">
        <w:rPr>
          <w:rFonts w:ascii="Book Antiqua" w:hAnsi="Book Antiqua" w:cs="Book Antiqua"/>
          <w:noProof/>
          <w:color w:val="000000"/>
          <w:sz w:val="24"/>
          <w:szCs w:val="24"/>
          <w:vertAlign w:val="superscript"/>
          <w:lang w:val="en-US"/>
        </w:rPr>
        <w:t>[94]</w:t>
      </w:r>
      <w:r w:rsidRPr="00A96D05">
        <w:rPr>
          <w:rFonts w:ascii="Book Antiqua" w:hAnsi="Book Antiqua" w:cs="Book Antiqua"/>
          <w:color w:val="000000"/>
          <w:sz w:val="24"/>
          <w:szCs w:val="24"/>
          <w:lang w:val="en-US"/>
        </w:rPr>
        <w:t>. Cysteine-containing VP4 and VP7 peptides were observed to cause a significant inhibitory effect of infectivity when added to MA104 cells by competing with infectious virions. It was also found that antibodies against these cysteine-containing VP7 or VP4 peptides significantly inhibited rotavirus infectivity suggesting that PDI can use at least these viral amino acid sequences for interacting with rotavirus structural proteins</w:t>
      </w:r>
      <w:r w:rsidRPr="00A96D05">
        <w:rPr>
          <w:rFonts w:ascii="Book Antiqua" w:hAnsi="Book Antiqua" w:cs="Book Antiqua"/>
          <w:noProof/>
          <w:color w:val="000000"/>
          <w:sz w:val="24"/>
          <w:szCs w:val="24"/>
          <w:vertAlign w:val="superscript"/>
          <w:lang w:val="en-US"/>
        </w:rPr>
        <w:t>[94]</w:t>
      </w:r>
      <w:r w:rsidRPr="00A96D05">
        <w:rPr>
          <w:rFonts w:ascii="Book Antiqua" w:hAnsi="Book Antiqua" w:cs="Book Antiqua"/>
          <w:color w:val="000000"/>
          <w:sz w:val="24"/>
          <w:szCs w:val="24"/>
          <w:lang w:val="en-US"/>
        </w:rPr>
        <w:t>. Interestingly, antibodies to VP7-derived amino acid sequences inhibited virus infectivity only after virions were attached to host cell surface membrane. These finding allowed authors to suggest that these VP7 amino acid sequences were exposed after a cell surface interaction-dependent conformational change occurred</w:t>
      </w:r>
      <w:r w:rsidRPr="00A96D05">
        <w:rPr>
          <w:rFonts w:ascii="Book Antiqua" w:hAnsi="Book Antiqua" w:cs="Book Antiqua"/>
          <w:noProof/>
          <w:color w:val="000000"/>
          <w:sz w:val="24"/>
          <w:szCs w:val="24"/>
          <w:vertAlign w:val="superscript"/>
          <w:lang w:val="en-US"/>
        </w:rPr>
        <w:t>[94]</w:t>
      </w:r>
      <w:r w:rsidRPr="00A96D05">
        <w:rPr>
          <w:rFonts w:ascii="Book Antiqua" w:hAnsi="Book Antiqua" w:cs="Book Antiqua"/>
          <w:color w:val="000000"/>
          <w:sz w:val="24"/>
          <w:szCs w:val="24"/>
          <w:lang w:val="en-US"/>
        </w:rPr>
        <w:t>. From these findings it can be summarized that a thiol/disulfide exchange is contributing to rotavirus entry to MA104 cells and that cell-surface PDI is a potential target for DTNB and bacitracin-induced infectivity inhibition as cell surface thiol/disulfide exchange blockade prevented at least viral structural proteins from being modified by cell surface proteins catalyzing thiol/disulfide exchange (</w:t>
      </w:r>
      <w:r w:rsidRPr="00A96D05">
        <w:rPr>
          <w:rFonts w:ascii="Book Antiqua" w:hAnsi="Book Antiqua" w:cs="Book Antiqua"/>
          <w:i/>
          <w:iCs/>
          <w:color w:val="000000"/>
          <w:sz w:val="24"/>
          <w:szCs w:val="24"/>
          <w:lang w:val="en-US"/>
        </w:rPr>
        <w:t>i.e.</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PDI). Incubation of TLPs, VP5, VP6 or VP7 with rPDI or PDI in membrane-enriched fractions resulted in redox changes in viral proteins as such proteins reacted with maleimide, a thiol reactive moiety (Rivera M, Guerrero CA, Acosta O. Manuscript in preparation). Taken together, the above described findings suggest that cell surface PDI reducing activity is implicated during rotavirus entry. This fact opens the way for the rational design of membrane-impermeant thiol/disulfide compounds able to specifically inhibit the virus entry into the host cell.</w:t>
      </w:r>
    </w:p>
    <w:p w:rsidR="005C6065" w:rsidRPr="00A96D05" w:rsidRDefault="005C6065" w:rsidP="00A96D05">
      <w:pPr>
        <w:pStyle w:val="NoSpacing"/>
        <w:spacing w:line="360" w:lineRule="auto"/>
        <w:rPr>
          <w:rFonts w:ascii="Book Antiqua" w:hAnsi="Book Antiqua" w:cs="Book Antiqua"/>
          <w:color w:val="000000"/>
          <w:sz w:val="24"/>
          <w:szCs w:val="24"/>
          <w:lang w:val="en-US" w:eastAsia="zh-CN"/>
        </w:rPr>
      </w:pPr>
    </w:p>
    <w:p w:rsidR="005C6065" w:rsidRPr="00A96D05" w:rsidRDefault="005C6065" w:rsidP="00A96D05">
      <w:pPr>
        <w:spacing w:after="0" w:line="360" w:lineRule="auto"/>
        <w:jc w:val="both"/>
        <w:rPr>
          <w:rFonts w:ascii="Book Antiqua" w:hAnsi="Book Antiqua" w:cs="Book Antiqua"/>
          <w:b/>
          <w:bCs/>
          <w:color w:val="000000"/>
          <w:sz w:val="24"/>
          <w:szCs w:val="24"/>
          <w:shd w:val="clear" w:color="auto" w:fill="FFFFFF"/>
          <w:lang w:val="en-US"/>
        </w:rPr>
      </w:pPr>
      <w:r w:rsidRPr="00A96D05">
        <w:rPr>
          <w:rFonts w:ascii="Book Antiqua" w:hAnsi="Book Antiqua" w:cs="Book Antiqua"/>
          <w:b/>
          <w:bCs/>
          <w:color w:val="000000"/>
          <w:sz w:val="24"/>
          <w:szCs w:val="24"/>
          <w:lang w:val="en-US"/>
        </w:rPr>
        <w:t>ROTAVIRUS ENTRY INTO HOST CELL</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 xml:space="preserve">Several cell-surface molecules have been involved in the early interactions between rotavirus virions and host cells. </w:t>
      </w:r>
      <w:r w:rsidRPr="00A96D05">
        <w:rPr>
          <w:rFonts w:ascii="Book Antiqua" w:hAnsi="Book Antiqua" w:cs="Book Antiqua"/>
          <w:color w:val="000000"/>
          <w:sz w:val="24"/>
          <w:szCs w:val="24"/>
          <w:shd w:val="clear" w:color="auto" w:fill="FFFFFF"/>
          <w:lang w:val="en-US"/>
        </w:rPr>
        <w:t>Rotavirus entry seems to occur by sequential interactions between virion proteins and various cell surface molecules</w:t>
      </w:r>
      <w:r w:rsidRPr="00A96D05">
        <w:rPr>
          <w:rFonts w:ascii="Book Antiqua" w:hAnsi="Book Antiqua" w:cs="Book Antiqua"/>
          <w:noProof/>
          <w:color w:val="000000"/>
          <w:sz w:val="24"/>
          <w:szCs w:val="24"/>
          <w:shd w:val="clear" w:color="auto" w:fill="FFFFFF"/>
          <w:vertAlign w:val="superscript"/>
          <w:lang w:val="en-US"/>
        </w:rPr>
        <w:t>[95,96]</w:t>
      </w:r>
      <w:r w:rsidRPr="00A96D05">
        <w:rPr>
          <w:rFonts w:ascii="Book Antiqua" w:hAnsi="Book Antiqua" w:cs="Book Antiqua"/>
          <w:color w:val="000000"/>
          <w:sz w:val="24"/>
          <w:szCs w:val="24"/>
          <w:shd w:val="clear" w:color="auto" w:fill="FFFFFF"/>
          <w:lang w:val="en-US"/>
        </w:rPr>
        <w:t>. After these initial interactions, the internalization of rotaviruses into the host cell takes place through distinct endocytic pathways that are determined by the viral structural protein VP4</w:t>
      </w:r>
      <w:r w:rsidRPr="00A96D05">
        <w:rPr>
          <w:rFonts w:ascii="Book Antiqua" w:hAnsi="Book Antiqua" w:cs="Book Antiqua"/>
          <w:noProof/>
          <w:color w:val="000000"/>
          <w:sz w:val="24"/>
          <w:szCs w:val="24"/>
          <w:shd w:val="clear" w:color="auto" w:fill="FFFFFF"/>
          <w:vertAlign w:val="superscript"/>
          <w:lang w:val="en-US"/>
        </w:rPr>
        <w:t>[97-99</w:t>
      </w:r>
      <w:r w:rsidRPr="00A96D05">
        <w:rPr>
          <w:rFonts w:ascii="Book Antiqua" w:hAnsi="Book Antiqua" w:cs="Book Antiqua"/>
          <w:noProof/>
          <w:color w:val="000000"/>
          <w:sz w:val="24"/>
          <w:szCs w:val="24"/>
          <w:vertAlign w:val="superscript"/>
          <w:lang w:val="en-US"/>
        </w:rPr>
        <w:t>]</w:t>
      </w:r>
      <w:r w:rsidRPr="00A96D05">
        <w:rPr>
          <w:rFonts w:ascii="Book Antiqua" w:hAnsi="Book Antiqua" w:cs="Book Antiqua"/>
          <w:color w:val="000000"/>
          <w:sz w:val="24"/>
          <w:szCs w:val="24"/>
          <w:shd w:val="clear" w:color="auto" w:fill="FFFFFF"/>
          <w:lang w:val="en-US"/>
        </w:rPr>
        <w:t xml:space="preserve">. The rotavirus spike protein </w:t>
      </w:r>
      <w:r w:rsidRPr="00A96D05">
        <w:rPr>
          <w:rFonts w:ascii="Book Antiqua" w:hAnsi="Book Antiqua" w:cs="Book Antiqua"/>
          <w:color w:val="000000"/>
          <w:sz w:val="24"/>
          <w:szCs w:val="24"/>
          <w:lang w:val="en-US"/>
        </w:rPr>
        <w:t>VP4 is cleaved by trypsin into N-terminal VP8* and C-terminal VP5* fragments to prime TLPs for efficient infectivity</w:t>
      </w:r>
      <w:r w:rsidRPr="00A96D05">
        <w:rPr>
          <w:rFonts w:ascii="Book Antiqua" w:hAnsi="Book Antiqua" w:cs="Book Antiqua"/>
          <w:noProof/>
          <w:color w:val="000000"/>
          <w:sz w:val="24"/>
          <w:szCs w:val="24"/>
          <w:vertAlign w:val="superscript"/>
          <w:lang w:val="en-US"/>
        </w:rPr>
        <w:t>[100]</w:t>
      </w:r>
      <w:r w:rsidRPr="00A96D05">
        <w:rPr>
          <w:rFonts w:ascii="Book Antiqua" w:hAnsi="Book Antiqua" w:cs="Book Antiqua"/>
          <w:color w:val="000000"/>
          <w:sz w:val="24"/>
          <w:szCs w:val="24"/>
          <w:lang w:val="en-US"/>
        </w:rPr>
        <w:t>. The structural characterization of an infectious rotavirus particle has allowed authors to propose a model involving a sequence of conformational changes in VP4 leading to the distortion of host cell membrane during entry</w:t>
      </w:r>
      <w:r w:rsidRPr="00A96D05">
        <w:rPr>
          <w:rFonts w:ascii="Book Antiqua" w:hAnsi="Book Antiqua" w:cs="Book Antiqua"/>
          <w:noProof/>
          <w:color w:val="000000"/>
          <w:sz w:val="24"/>
          <w:szCs w:val="24"/>
          <w:vertAlign w:val="superscript"/>
          <w:lang w:val="en-US"/>
        </w:rPr>
        <w:t>[4,101,102]</w:t>
      </w:r>
      <w:r w:rsidRPr="00A96D05">
        <w:rPr>
          <w:rFonts w:ascii="Book Antiqua" w:hAnsi="Book Antiqua" w:cs="Book Antiqua"/>
          <w:color w:val="000000"/>
          <w:sz w:val="24"/>
          <w:szCs w:val="24"/>
          <w:lang w:val="en-US"/>
        </w:rPr>
        <w:t xml:space="preserve">. </w:t>
      </w:r>
      <w:r w:rsidRPr="00A96D05">
        <w:rPr>
          <w:rFonts w:ascii="Book Antiqua" w:hAnsi="Book Antiqua" w:cs="Book Antiqua"/>
          <w:color w:val="000000"/>
          <w:sz w:val="24"/>
          <w:szCs w:val="24"/>
          <w:shd w:val="clear" w:color="auto" w:fill="FFFFFF"/>
          <w:lang w:val="en-US"/>
        </w:rPr>
        <w:t>However, the complete understanding of the mechanisms by which rotavirus enter cells is still lacking.</w:t>
      </w:r>
      <w:r w:rsidRPr="00A96D05">
        <w:rPr>
          <w:rFonts w:ascii="Book Antiqua" w:hAnsi="Book Antiqua" w:cs="Book Antiqua"/>
          <w:color w:val="000000"/>
          <w:sz w:val="24"/>
          <w:szCs w:val="24"/>
          <w:lang w:val="en-US"/>
        </w:rPr>
        <w:t xml:space="preserve"> Rotavirus structural proteins VP4 (VP5* and VP8*), VP6 and VP7</w:t>
      </w:r>
      <w:r w:rsidRPr="00A96D05">
        <w:rPr>
          <w:rFonts w:ascii="Book Antiqua" w:hAnsi="Book Antiqua" w:cs="Book Antiqua"/>
          <w:noProof/>
          <w:color w:val="000000"/>
          <w:sz w:val="24"/>
          <w:szCs w:val="24"/>
          <w:vertAlign w:val="superscript"/>
          <w:lang w:val="en-US"/>
        </w:rPr>
        <w:t>[96,103]</w:t>
      </w:r>
      <w:r w:rsidRPr="00A96D05">
        <w:rPr>
          <w:rFonts w:ascii="Book Antiqua" w:hAnsi="Book Antiqua" w:cs="Book Antiqua"/>
          <w:color w:val="000000"/>
          <w:sz w:val="24"/>
          <w:szCs w:val="24"/>
          <w:lang w:val="en-US"/>
        </w:rPr>
        <w:t xml:space="preserve"> have been involved in different interactions with cell surface molecules during entry. Experimental results indicated that N-acetyl neuraminic (sialic) acid (SA)-dependent/neuraminidase-sensitive strains bind first through VP8* to SA before interacting with integrin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2β1 whereas this integrin is directly bound by SA-independent/neuraminidase-insensitive strains through VP5*</w:t>
      </w:r>
      <w:r w:rsidRPr="00A96D05">
        <w:rPr>
          <w:rFonts w:ascii="Book Antiqua" w:hAnsi="Book Antiqua" w:cs="Book Antiqua"/>
          <w:noProof/>
          <w:color w:val="000000"/>
          <w:sz w:val="24"/>
          <w:szCs w:val="24"/>
          <w:vertAlign w:val="superscript"/>
          <w:lang w:val="en-US"/>
        </w:rPr>
        <w:t>[104-106]</w:t>
      </w:r>
      <w:r w:rsidRPr="00A96D05">
        <w:rPr>
          <w:rFonts w:ascii="Book Antiqua" w:hAnsi="Book Antiqua" w:cs="Book Antiqua"/>
          <w:color w:val="000000"/>
          <w:sz w:val="24"/>
          <w:szCs w:val="24"/>
          <w:lang w:val="en-US"/>
        </w:rPr>
        <w:t>. Available evidence has indicated that SA is a crucial determinant for the binding of both neuraminidase-sensitive and neuraminidase-insensitive rotavirus strains</w:t>
      </w:r>
      <w:r w:rsidRPr="00A96D05">
        <w:rPr>
          <w:rFonts w:ascii="Book Antiqua" w:hAnsi="Book Antiqua" w:cs="Book Antiqua"/>
          <w:noProof/>
          <w:color w:val="000000"/>
          <w:sz w:val="24"/>
          <w:szCs w:val="24"/>
          <w:vertAlign w:val="superscript"/>
          <w:lang w:val="en-US"/>
        </w:rPr>
        <w:t>[6]</w:t>
      </w:r>
      <w:r w:rsidRPr="00A96D05">
        <w:rPr>
          <w:rFonts w:ascii="Book Antiqua" w:hAnsi="Book Antiqua" w:cs="Book Antiqua"/>
          <w:color w:val="000000"/>
          <w:sz w:val="24"/>
          <w:szCs w:val="24"/>
          <w:lang w:val="en-US"/>
        </w:rPr>
        <w:t>. Most commonly occurring human VP4 serotypes use their VP8* subunit to interact with cell surface GM1 ganglioside containing the internal N-acetylneuraminic acid, the most common SA</w:t>
      </w:r>
      <w:r w:rsidRPr="00A96D05">
        <w:rPr>
          <w:rFonts w:ascii="Book Antiqua" w:hAnsi="Book Antiqua" w:cs="Book Antiqua"/>
          <w:noProof/>
          <w:color w:val="000000"/>
          <w:sz w:val="24"/>
          <w:szCs w:val="24"/>
          <w:vertAlign w:val="superscript"/>
          <w:lang w:val="en-US"/>
        </w:rPr>
        <w:t>[107,108]</w:t>
      </w:r>
      <w:r w:rsidRPr="00A96D05">
        <w:rPr>
          <w:rFonts w:ascii="Book Antiqua" w:hAnsi="Book Antiqua" w:cs="Book Antiqua"/>
          <w:color w:val="000000"/>
          <w:sz w:val="24"/>
          <w:szCs w:val="24"/>
          <w:lang w:val="en-US"/>
        </w:rPr>
        <w:t>. This is in contrast with most animal rotaviruses that bind terminal sialic acids without using GM1 for VP4 cell binding or infection</w:t>
      </w:r>
      <w:r w:rsidRPr="00A96D05">
        <w:rPr>
          <w:rFonts w:ascii="Book Antiqua" w:hAnsi="Book Antiqua" w:cs="Book Antiqua"/>
          <w:noProof/>
          <w:color w:val="000000"/>
          <w:sz w:val="24"/>
          <w:szCs w:val="24"/>
          <w:vertAlign w:val="superscript"/>
          <w:lang w:val="en-US"/>
        </w:rPr>
        <w:t>[107]</w:t>
      </w:r>
      <w:r w:rsidRPr="00A96D05">
        <w:rPr>
          <w:rFonts w:ascii="Book Antiqua" w:hAnsi="Book Antiqua" w:cs="Book Antiqua"/>
          <w:color w:val="000000"/>
          <w:sz w:val="24"/>
          <w:szCs w:val="24"/>
          <w:lang w:val="en-US"/>
        </w:rPr>
        <w:t>. It has also been shown that VP8* of a human rotavirus strains specifically recognizes histo-blood group antigens</w:t>
      </w:r>
      <w:r w:rsidRPr="00A96D05">
        <w:rPr>
          <w:rFonts w:ascii="Book Antiqua" w:hAnsi="Book Antiqua" w:cs="Book Antiqua"/>
          <w:noProof/>
          <w:color w:val="000000"/>
          <w:sz w:val="24"/>
          <w:szCs w:val="24"/>
          <w:vertAlign w:val="superscript"/>
          <w:lang w:val="en-US"/>
        </w:rPr>
        <w:t>[109-112]</w:t>
      </w:r>
      <w:r w:rsidRPr="00A96D05">
        <w:rPr>
          <w:rFonts w:ascii="Book Antiqua" w:hAnsi="Book Antiqua" w:cs="Book Antiqua"/>
          <w:color w:val="000000"/>
          <w:sz w:val="24"/>
          <w:szCs w:val="24"/>
          <w:lang w:val="en-US"/>
        </w:rPr>
        <w:t xml:space="preserve">. After the initial binding to SA and integrin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2β1, post-binding studies have led to conclude that that rotavirus interacts with cell surface Hsc70</w:t>
      </w:r>
      <w:r w:rsidRPr="00A96D05">
        <w:rPr>
          <w:rFonts w:ascii="Book Antiqua" w:hAnsi="Book Antiqua" w:cs="Book Antiqua"/>
          <w:noProof/>
          <w:color w:val="000000"/>
          <w:sz w:val="24"/>
          <w:szCs w:val="24"/>
          <w:vertAlign w:val="superscript"/>
          <w:lang w:val="en-US"/>
        </w:rPr>
        <w:t>[7,8]</w:t>
      </w:r>
      <w:r w:rsidRPr="00A96D05">
        <w:rPr>
          <w:rFonts w:ascii="Book Antiqua" w:hAnsi="Book Antiqua" w:cs="Book Antiqua"/>
          <w:color w:val="000000"/>
          <w:sz w:val="24"/>
          <w:szCs w:val="24"/>
          <w:lang w:val="en-US"/>
        </w:rPr>
        <w:t xml:space="preserve">. Similar studies have also shown that rotavirus virions interact with integrins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xml:space="preserve">4β1,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xml:space="preserve">xβ2 or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xml:space="preserve">vβ3 after their binding to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2β1</w:t>
      </w:r>
      <w:r w:rsidRPr="00A96D05">
        <w:rPr>
          <w:rFonts w:ascii="Book Antiqua" w:hAnsi="Book Antiqua" w:cs="Book Antiqua"/>
          <w:noProof/>
          <w:color w:val="000000"/>
          <w:sz w:val="24"/>
          <w:szCs w:val="24"/>
          <w:vertAlign w:val="superscript"/>
          <w:lang w:val="en-US"/>
        </w:rPr>
        <w:t>[9,10,113]</w:t>
      </w:r>
      <w:r w:rsidRPr="00A96D05">
        <w:rPr>
          <w:rFonts w:ascii="Book Antiqua" w:hAnsi="Book Antiqua" w:cs="Book Antiqua"/>
          <w:color w:val="000000"/>
          <w:sz w:val="24"/>
          <w:szCs w:val="24"/>
          <w:lang w:val="en-US"/>
        </w:rPr>
        <w:t>. Recently, it has been reported that rotaviruses also interact with reducing cell surface PDI during entry</w:t>
      </w:r>
      <w:r w:rsidRPr="00A96D05">
        <w:rPr>
          <w:rFonts w:ascii="Book Antiqua" w:hAnsi="Book Antiqua" w:cs="Book Antiqua"/>
          <w:noProof/>
          <w:color w:val="000000"/>
          <w:sz w:val="24"/>
          <w:szCs w:val="24"/>
          <w:vertAlign w:val="superscript"/>
          <w:lang w:val="en-US"/>
        </w:rPr>
        <w:t>[12,94]</w:t>
      </w:r>
      <w:r w:rsidRPr="00A96D05">
        <w:rPr>
          <w:rFonts w:ascii="Book Antiqua" w:hAnsi="Book Antiqua" w:cs="Book Antiqua"/>
          <w:color w:val="000000"/>
          <w:sz w:val="24"/>
          <w:szCs w:val="24"/>
          <w:lang w:val="en-US"/>
        </w:rPr>
        <w:t>, most probably through their structural proteins VP5*, VP6 and VP7 which are potential substrates of PDI (Rivera M, Guerrero CA, Acosta O, manuscript in preparation). Post-binding interactions of VP5 and VP6 with Hsc70 has been well documented</w:t>
      </w:r>
      <w:r w:rsidRPr="00A96D05">
        <w:rPr>
          <w:rFonts w:ascii="Book Antiqua" w:eastAsia="@Arial Unicode MS" w:hAnsi="Book Antiqua" w:cs="Book Antiqua"/>
          <w:noProof/>
          <w:color w:val="000000"/>
          <w:sz w:val="24"/>
          <w:szCs w:val="24"/>
          <w:vertAlign w:val="superscript"/>
          <w:lang w:val="en-US"/>
        </w:rPr>
        <w:t>[7,8,103]</w:t>
      </w:r>
      <w:r w:rsidRPr="00A96D05">
        <w:rPr>
          <w:rFonts w:ascii="Book Antiqua" w:eastAsia="@Arial Unicode MS" w:hAnsi="Book Antiqua" w:cs="Book Antiqua"/>
          <w:color w:val="000000"/>
          <w:sz w:val="24"/>
          <w:szCs w:val="24"/>
          <w:lang w:val="en-US"/>
        </w:rPr>
        <w:t xml:space="preserve">, whereas post-binding interactions with </w:t>
      </w:r>
      <w:r w:rsidRPr="00A96D05">
        <w:rPr>
          <w:rFonts w:ascii="Book Antiqua" w:hAnsi="Book Antiqua" w:cs="Book Antiqua"/>
          <w:color w:val="000000"/>
          <w:sz w:val="24"/>
          <w:szCs w:val="24"/>
          <w:lang w:val="en-US"/>
        </w:rPr>
        <w:t xml:space="preserve">integrins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xml:space="preserve">4β1,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xml:space="preserve">xβ2 or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vβ3 have involved VP7</w:t>
      </w:r>
      <w:r w:rsidRPr="00A96D05">
        <w:rPr>
          <w:rFonts w:ascii="Book Antiqua" w:hAnsi="Book Antiqua" w:cs="Book Antiqua"/>
          <w:noProof/>
          <w:color w:val="000000"/>
          <w:sz w:val="24"/>
          <w:szCs w:val="24"/>
          <w:vertAlign w:val="superscript"/>
          <w:lang w:val="en-US"/>
        </w:rPr>
        <w:t>[9,10,113,114]</w:t>
      </w:r>
      <w:r w:rsidRPr="00A96D05">
        <w:rPr>
          <w:rFonts w:ascii="Book Antiqua" w:hAnsi="Book Antiqua" w:cs="Book Antiqua"/>
          <w:color w:val="000000"/>
          <w:sz w:val="24"/>
          <w:szCs w:val="24"/>
          <w:lang w:val="en-US"/>
        </w:rPr>
        <w:t>. However, the sequence in which these post-binding interactions occur has not been yet established. Interactions of cell surface molecules and rotavirus structural proteins are summarized and schematized in Fig</w:t>
      </w:r>
      <w:r w:rsidRPr="00A96D05">
        <w:rPr>
          <w:rFonts w:ascii="Book Antiqua" w:hAnsi="Book Antiqua" w:cs="Book Antiqua"/>
          <w:color w:val="000000"/>
          <w:sz w:val="24"/>
          <w:szCs w:val="24"/>
          <w:lang w:val="en-US" w:eastAsia="zh-CN"/>
        </w:rPr>
        <w:t>ure</w:t>
      </w:r>
      <w:r w:rsidRPr="00A96D05">
        <w:rPr>
          <w:rFonts w:ascii="Book Antiqua" w:hAnsi="Book Antiqua" w:cs="Book Antiqua"/>
          <w:color w:val="000000"/>
          <w:sz w:val="24"/>
          <w:szCs w:val="24"/>
          <w:lang w:val="en-US"/>
        </w:rPr>
        <w:t xml:space="preserve"> 1.</w:t>
      </w:r>
    </w:p>
    <w:p w:rsidR="005C6065" w:rsidRPr="00A96D05" w:rsidRDefault="005C6065" w:rsidP="002438CD">
      <w:pPr>
        <w:autoSpaceDE w:val="0"/>
        <w:autoSpaceDN w:val="0"/>
        <w:adjustRightInd w:val="0"/>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Crystallographic studies of VP5* have suggested that the trypsin cleavage of VP4 is determinant in generating conformational changes priming the VP8* and VP5* cleavage products for interacting with their corresponding cell surface receptors</w:t>
      </w:r>
      <w:r w:rsidRPr="00A96D05">
        <w:rPr>
          <w:rFonts w:ascii="Book Antiqua" w:hAnsi="Book Antiqua" w:cs="Book Antiqua"/>
          <w:noProof/>
          <w:color w:val="000000"/>
          <w:sz w:val="24"/>
          <w:szCs w:val="24"/>
          <w:vertAlign w:val="superscript"/>
          <w:lang w:val="en-US"/>
        </w:rPr>
        <w:t>[101,102]</w:t>
      </w:r>
      <w:r w:rsidRPr="00A96D05">
        <w:rPr>
          <w:rFonts w:ascii="Book Antiqua" w:hAnsi="Book Antiqua" w:cs="Book Antiqua"/>
          <w:color w:val="000000"/>
          <w:sz w:val="24"/>
          <w:szCs w:val="24"/>
          <w:lang w:val="en-US"/>
        </w:rPr>
        <w:t>. It has been hypothesized that a conformational transition from a dimer to a folded-back trimer of VP5* would facilitate the interaction of VP5* with the lipid bilayer membrane, resembling the fusogenic conformational changes in enveloped-virus fusion proteins</w:t>
      </w:r>
      <w:r w:rsidRPr="00A96D05">
        <w:rPr>
          <w:rFonts w:ascii="Book Antiqua" w:hAnsi="Book Antiqua" w:cs="Book Antiqua"/>
          <w:noProof/>
          <w:color w:val="000000"/>
          <w:sz w:val="24"/>
          <w:szCs w:val="24"/>
          <w:vertAlign w:val="superscript"/>
          <w:lang w:val="en-US"/>
        </w:rPr>
        <w:t>[101]</w:t>
      </w:r>
      <w:r w:rsidRPr="00A96D05">
        <w:rPr>
          <w:rFonts w:ascii="Book Antiqua" w:hAnsi="Book Antiqua" w:cs="Book Antiqua"/>
          <w:color w:val="000000"/>
          <w:sz w:val="24"/>
          <w:szCs w:val="24"/>
          <w:lang w:val="en-US"/>
        </w:rPr>
        <w:t>. Regarding the functional identity of Hsc70, this protein could be a candidate contributing to such conformational transition. Hsc70 has been proposed as a penetration receptor mediating JEV entry into cell by generating conformational changes in the envelope glycoprotein E of JEV, the protein responsible for receptor binding and membrane fusion</w:t>
      </w:r>
      <w:r w:rsidRPr="00A96D05">
        <w:rPr>
          <w:rFonts w:ascii="Book Antiqua" w:hAnsi="Book Antiqua" w:cs="Book Antiqua"/>
          <w:noProof/>
          <w:color w:val="000000"/>
          <w:sz w:val="24"/>
          <w:szCs w:val="24"/>
          <w:vertAlign w:val="superscript"/>
          <w:lang w:val="en-US"/>
        </w:rPr>
        <w:t>[115]</w:t>
      </w:r>
      <w:r w:rsidRPr="00A96D05">
        <w:rPr>
          <w:rFonts w:ascii="Book Antiqua" w:hAnsi="Book Antiqua" w:cs="Book Antiqua"/>
          <w:color w:val="000000"/>
          <w:sz w:val="24"/>
          <w:szCs w:val="24"/>
          <w:lang w:val="en-US"/>
        </w:rPr>
        <w:t xml:space="preserve">. Most likely, Hsc70 not only plays a role in anchoring rotavirus virions to cell membrane but also generating conformational transitions in VP5* to facilitate its transition from a dimeric to trimeric conformation. Other studies have suggested that VP5* bound to integrin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2β1 could undergo conformational changes associated to its trimerization</w:t>
      </w:r>
      <w:r w:rsidRPr="00A96D05">
        <w:rPr>
          <w:rFonts w:ascii="Book Antiqua" w:hAnsi="Book Antiqua" w:cs="Book Antiqua"/>
          <w:noProof/>
          <w:color w:val="000000"/>
          <w:sz w:val="24"/>
          <w:szCs w:val="24"/>
          <w:vertAlign w:val="superscript"/>
          <w:lang w:val="en-US"/>
        </w:rPr>
        <w:t>[10,116]</w:t>
      </w:r>
      <w:r w:rsidRPr="00A96D05">
        <w:rPr>
          <w:rFonts w:ascii="Book Antiqua" w:hAnsi="Book Antiqua" w:cs="Book Antiqua"/>
          <w:color w:val="000000"/>
          <w:sz w:val="24"/>
          <w:szCs w:val="24"/>
          <w:lang w:val="en-US"/>
        </w:rPr>
        <w:t xml:space="preserve">. Integrin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2β1 has also been shown to undergo conformational changes and activation that may facilitate binding of VP5* to cell membrane</w:t>
      </w:r>
      <w:r w:rsidRPr="00A96D05">
        <w:rPr>
          <w:rFonts w:ascii="Book Antiqua" w:hAnsi="Book Antiqua" w:cs="Book Antiqua"/>
          <w:noProof/>
          <w:color w:val="000000"/>
          <w:sz w:val="24"/>
          <w:szCs w:val="24"/>
          <w:vertAlign w:val="superscript"/>
          <w:lang w:val="en-US"/>
        </w:rPr>
        <w:t>[10]</w:t>
      </w:r>
      <w:r w:rsidRPr="00A96D05">
        <w:rPr>
          <w:rFonts w:ascii="Book Antiqua" w:hAnsi="Book Antiqua" w:cs="Book Antiqua"/>
          <w:color w:val="000000"/>
          <w:sz w:val="24"/>
          <w:szCs w:val="24"/>
          <w:lang w:val="en-US"/>
        </w:rPr>
        <w:t xml:space="preserve">. </w:t>
      </w:r>
    </w:p>
    <w:p w:rsidR="005C6065" w:rsidRPr="00A96D05" w:rsidRDefault="005C6065" w:rsidP="002438CD">
      <w:pPr>
        <w:autoSpaceDE w:val="0"/>
        <w:autoSpaceDN w:val="0"/>
        <w:adjustRightInd w:val="0"/>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Chaperones such as Hsc70 commonly interact with hydrophobic regions of target proteins to perform ATP-dependent protein complex disassembly</w:t>
      </w:r>
      <w:r w:rsidRPr="00A96D05">
        <w:rPr>
          <w:rFonts w:ascii="Book Antiqua" w:hAnsi="Book Antiqua" w:cs="Book Antiqua"/>
          <w:noProof/>
          <w:color w:val="000000"/>
          <w:sz w:val="24"/>
          <w:szCs w:val="24"/>
          <w:vertAlign w:val="superscript"/>
          <w:lang w:val="en-US"/>
        </w:rPr>
        <w:t>[117]</w:t>
      </w:r>
      <w:r w:rsidRPr="00A96D05">
        <w:rPr>
          <w:rFonts w:ascii="Book Antiqua" w:hAnsi="Book Antiqua" w:cs="Book Antiqua"/>
          <w:color w:val="000000"/>
          <w:sz w:val="24"/>
          <w:szCs w:val="24"/>
          <w:lang w:val="en-US"/>
        </w:rPr>
        <w:t>. Although Hsc70 interacts with VP4 through the domains aa 642-658</w:t>
      </w:r>
      <w:r w:rsidRPr="00A96D05">
        <w:rPr>
          <w:rFonts w:ascii="Book Antiqua" w:hAnsi="Book Antiqua" w:cs="Book Antiqua"/>
          <w:noProof/>
          <w:color w:val="000000"/>
          <w:sz w:val="24"/>
          <w:szCs w:val="24"/>
          <w:vertAlign w:val="superscript"/>
          <w:lang w:val="en-US"/>
        </w:rPr>
        <w:t>[8]</w:t>
      </w:r>
      <w:r w:rsidRPr="00A96D05">
        <w:rPr>
          <w:rFonts w:ascii="Book Antiqua" w:hAnsi="Book Antiqua" w:cs="Book Antiqua"/>
          <w:color w:val="000000"/>
          <w:sz w:val="24"/>
          <w:szCs w:val="24"/>
          <w:lang w:val="en-US"/>
        </w:rPr>
        <w:t xml:space="preserve"> and aa 531-554</w:t>
      </w:r>
      <w:r w:rsidRPr="00A96D05">
        <w:rPr>
          <w:rFonts w:ascii="Book Antiqua" w:hAnsi="Book Antiqua" w:cs="Book Antiqua"/>
          <w:noProof/>
          <w:color w:val="000000"/>
          <w:sz w:val="24"/>
          <w:szCs w:val="24"/>
          <w:vertAlign w:val="superscript"/>
          <w:lang w:val="en-US"/>
        </w:rPr>
        <w:t>[103]</w:t>
      </w:r>
      <w:r w:rsidRPr="00A96D05">
        <w:rPr>
          <w:rFonts w:ascii="Book Antiqua" w:hAnsi="Book Antiqua" w:cs="Book Antiqua"/>
          <w:color w:val="000000"/>
          <w:sz w:val="24"/>
          <w:szCs w:val="24"/>
          <w:lang w:val="en-US"/>
        </w:rPr>
        <w:t>, the potentially fusogenic domain of VP5* (aa 385-404) could be a Hsc70 substrate. Hsc70-TLP interaction in solution seemed to induce conformational changes in VP5* and VP7</w:t>
      </w:r>
      <w:r w:rsidRPr="00A96D05">
        <w:rPr>
          <w:rFonts w:ascii="Book Antiqua" w:hAnsi="Book Antiqua" w:cs="Book Antiqua"/>
          <w:noProof/>
          <w:color w:val="000000"/>
          <w:sz w:val="24"/>
          <w:szCs w:val="24"/>
          <w:vertAlign w:val="superscript"/>
          <w:lang w:val="en-US"/>
        </w:rPr>
        <w:t>[118]</w:t>
      </w:r>
      <w:r w:rsidRPr="00A96D05">
        <w:rPr>
          <w:rFonts w:ascii="Book Antiqua" w:hAnsi="Book Antiqua" w:cs="Book Antiqua"/>
          <w:color w:val="000000"/>
          <w:sz w:val="24"/>
          <w:szCs w:val="24"/>
          <w:lang w:val="en-US"/>
        </w:rPr>
        <w:t>. Moreover, there are studies showing that DLPs interact physically with Hsc70 at least through the VP6 sequence aa 280-297 and that cell treatment with a synthetic peptide comprising this sequence was able to inhibit infection by animal and human rotavirus strains</w:t>
      </w:r>
      <w:r w:rsidRPr="00A96D05">
        <w:rPr>
          <w:rFonts w:ascii="Book Antiqua" w:hAnsi="Book Antiqua" w:cs="Book Antiqua"/>
          <w:noProof/>
          <w:color w:val="000000"/>
          <w:sz w:val="24"/>
          <w:szCs w:val="24"/>
          <w:vertAlign w:val="superscript"/>
          <w:lang w:val="en-US"/>
        </w:rPr>
        <w:t>[103]</w:t>
      </w:r>
      <w:r w:rsidRPr="00A96D05">
        <w:rPr>
          <w:rFonts w:ascii="Book Antiqua" w:hAnsi="Book Antiqua" w:cs="Book Antiqua"/>
          <w:color w:val="000000"/>
          <w:sz w:val="24"/>
          <w:szCs w:val="24"/>
          <w:lang w:val="en-US"/>
        </w:rPr>
        <w:t>. In the same study, the presence of antibodies to the VP6 synthetic peptide was shown to also inhibit rotavirus infectivity, suggesting that DLPs interact with Hsc70 during the entry process. Overall, it is not unlikely that post-binding interactions of rotavirus virions with Hsc70 might facilitate the generation of conformational changes in VP5* leading to the trimeric conformation able to destabilize de lipid bi-layer of cell membrane or endocytic vesicle</w:t>
      </w:r>
      <w:r w:rsidRPr="00A96D05">
        <w:rPr>
          <w:rFonts w:ascii="Book Antiqua" w:hAnsi="Book Antiqua" w:cs="Book Antiqua"/>
          <w:noProof/>
          <w:color w:val="000000"/>
          <w:sz w:val="24"/>
          <w:szCs w:val="24"/>
          <w:vertAlign w:val="superscript"/>
          <w:lang w:val="en-US"/>
        </w:rPr>
        <w:t>[119,120]</w:t>
      </w:r>
      <w:r w:rsidRPr="00A96D05">
        <w:rPr>
          <w:rFonts w:ascii="Book Antiqua" w:hAnsi="Book Antiqua" w:cs="Book Antiqua"/>
          <w:color w:val="000000"/>
          <w:sz w:val="24"/>
          <w:szCs w:val="24"/>
          <w:lang w:val="en-US"/>
        </w:rPr>
        <w:t xml:space="preserve">. </w:t>
      </w:r>
    </w:p>
    <w:p w:rsidR="005C6065" w:rsidRPr="00A96D05" w:rsidRDefault="005C6065" w:rsidP="002438CD">
      <w:pPr>
        <w:autoSpaceDE w:val="0"/>
        <w:autoSpaceDN w:val="0"/>
        <w:adjustRightInd w:val="0"/>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Despite the identification of these potential receptors, there is no known single cell surface protein whose reaction with specific antibodies leads to an almost complete abolition of rotavirus infectivity. For instance, partial inhibition of rotavirus infectivity by anti-Hsc70 or anti-integrin antibodies might be reflecting the existence of alternative entry routes</w:t>
      </w:r>
      <w:r w:rsidRPr="00A96D05">
        <w:rPr>
          <w:rFonts w:ascii="Book Antiqua" w:hAnsi="Book Antiqua" w:cs="Book Antiqua"/>
          <w:noProof/>
          <w:color w:val="000000"/>
          <w:sz w:val="24"/>
          <w:szCs w:val="24"/>
          <w:vertAlign w:val="superscript"/>
          <w:lang w:val="en-US"/>
        </w:rPr>
        <w:t>[96,99,121,122]</w:t>
      </w:r>
      <w:r w:rsidRPr="00A96D05">
        <w:rPr>
          <w:rFonts w:ascii="Book Antiqua" w:hAnsi="Book Antiqua" w:cs="Book Antiqua"/>
          <w:color w:val="000000"/>
          <w:sz w:val="24"/>
          <w:szCs w:val="24"/>
          <w:lang w:val="en-US"/>
        </w:rPr>
        <w:t xml:space="preserve"> or “dead-end” pathways</w:t>
      </w:r>
      <w:r w:rsidRPr="00A96D05">
        <w:rPr>
          <w:rFonts w:ascii="Book Antiqua" w:hAnsi="Book Antiqua" w:cs="Book Antiqua"/>
          <w:noProof/>
          <w:color w:val="000000"/>
          <w:sz w:val="24"/>
          <w:szCs w:val="24"/>
          <w:vertAlign w:val="superscript"/>
          <w:lang w:val="en-US"/>
        </w:rPr>
        <w:t>[123]</w:t>
      </w:r>
      <w:r w:rsidRPr="00A96D05">
        <w:rPr>
          <w:rFonts w:ascii="Book Antiqua" w:hAnsi="Book Antiqua" w:cs="Book Antiqua"/>
          <w:color w:val="000000"/>
          <w:sz w:val="24"/>
          <w:szCs w:val="24"/>
          <w:lang w:val="en-US"/>
        </w:rPr>
        <w:t>. Partial inhibition of rotavirus infectivity by anti-PDI mAbs might be suggesting that rotaviruses use alternative entry paths or that the anti-PDI mAbs used partially inhibited PDI activity</w:t>
      </w:r>
      <w:r w:rsidRPr="00A96D05">
        <w:rPr>
          <w:rFonts w:ascii="Book Antiqua" w:hAnsi="Book Antiqua" w:cs="Book Antiqua"/>
          <w:noProof/>
          <w:color w:val="000000"/>
          <w:sz w:val="24"/>
          <w:szCs w:val="24"/>
          <w:vertAlign w:val="superscript"/>
          <w:lang w:val="en-US"/>
        </w:rPr>
        <w:t>[12]</w:t>
      </w:r>
      <w:r w:rsidRPr="00A96D05">
        <w:rPr>
          <w:rFonts w:ascii="Book Antiqua" w:hAnsi="Book Antiqua" w:cs="Book Antiqua"/>
          <w:color w:val="000000"/>
          <w:sz w:val="24"/>
          <w:szCs w:val="24"/>
          <w:lang w:val="en-US"/>
        </w:rPr>
        <w:t>. These mAbs have been shown to inhibit PDI activity by 49% to 90%, depending on the assay system used</w:t>
      </w:r>
      <w:r w:rsidRPr="00A96D05">
        <w:rPr>
          <w:rFonts w:ascii="Book Antiqua" w:hAnsi="Book Antiqua" w:cs="Book Antiqua"/>
          <w:noProof/>
          <w:color w:val="000000"/>
          <w:sz w:val="24"/>
          <w:szCs w:val="24"/>
          <w:vertAlign w:val="superscript"/>
          <w:lang w:val="en-US"/>
        </w:rPr>
        <w:t>[66,124-126]</w:t>
      </w:r>
      <w:r w:rsidRPr="00A96D05">
        <w:rPr>
          <w:rFonts w:ascii="Book Antiqua" w:hAnsi="Book Antiqua" w:cs="Book Antiqua"/>
          <w:color w:val="000000"/>
          <w:sz w:val="24"/>
          <w:szCs w:val="24"/>
          <w:lang w:val="en-US"/>
        </w:rPr>
        <w:t xml:space="preserve">. The finding that bacitracin greatly inhibit PDI-TLP interaction </w:t>
      </w:r>
      <w:r w:rsidRPr="00A96D05">
        <w:rPr>
          <w:rFonts w:ascii="Book Antiqua" w:hAnsi="Book Antiqua" w:cs="Book Antiqua"/>
          <w:i/>
          <w:iCs/>
          <w:color w:val="000000"/>
          <w:sz w:val="24"/>
          <w:szCs w:val="24"/>
          <w:lang w:val="en-US"/>
        </w:rPr>
        <w:t>in vitro</w:t>
      </w:r>
      <w:r w:rsidRPr="00A96D05">
        <w:rPr>
          <w:rFonts w:ascii="Book Antiqua" w:hAnsi="Book Antiqua" w:cs="Book Antiqua"/>
          <w:color w:val="000000"/>
          <w:sz w:val="24"/>
          <w:szCs w:val="24"/>
          <w:lang w:val="en-US"/>
        </w:rPr>
        <w:t xml:space="preserve"> suggested that the CXXC motif in the PDI catalytic domain was required for this interaction rather than the presence of free thiols in virion proteins, as shown by the insensitivity of this interaction to DTNB treatment</w:t>
      </w:r>
      <w:r w:rsidRPr="00A96D05">
        <w:rPr>
          <w:rFonts w:ascii="Book Antiqua" w:hAnsi="Book Antiqua" w:cs="Book Antiqua"/>
          <w:noProof/>
          <w:color w:val="000000"/>
          <w:sz w:val="24"/>
          <w:szCs w:val="24"/>
          <w:vertAlign w:val="superscript"/>
          <w:lang w:val="en-US"/>
        </w:rPr>
        <w:t>[12]</w:t>
      </w:r>
      <w:r w:rsidRPr="00A96D05">
        <w:rPr>
          <w:rFonts w:ascii="Book Antiqua" w:hAnsi="Book Antiqua" w:cs="Book Antiqua"/>
          <w:color w:val="000000"/>
          <w:sz w:val="24"/>
          <w:szCs w:val="24"/>
          <w:lang w:val="en-US"/>
        </w:rPr>
        <w:t xml:space="preserve">. Obviously, the PDI’s chaperone activity implication in PDI-TLP interaction cannot be ruled out because such activity has been reported to have become notably reduced by bacitracin treatment. </w:t>
      </w:r>
    </w:p>
    <w:p w:rsidR="005C6065" w:rsidRPr="00A96D05" w:rsidRDefault="005C6065" w:rsidP="002438CD">
      <w:pPr>
        <w:autoSpaceDE w:val="0"/>
        <w:autoSpaceDN w:val="0"/>
        <w:adjustRightInd w:val="0"/>
        <w:spacing w:after="0" w:line="360" w:lineRule="auto"/>
        <w:ind w:firstLineChars="100" w:firstLine="31680"/>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lang w:val="en-US"/>
        </w:rPr>
        <w:t xml:space="preserve">PDI, Hsc70 and integrin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vβ3 have been found to interact in lipid microdomains (“rafts”)</w:t>
      </w:r>
      <w:r w:rsidRPr="00A96D05">
        <w:rPr>
          <w:rFonts w:ascii="Book Antiqua" w:hAnsi="Book Antiqua" w:cs="Book Antiqua"/>
          <w:noProof/>
          <w:color w:val="000000"/>
          <w:sz w:val="24"/>
          <w:szCs w:val="24"/>
          <w:vertAlign w:val="superscript"/>
          <w:lang w:val="en-US"/>
        </w:rPr>
        <w:t>[12,127]</w:t>
      </w:r>
      <w:r w:rsidRPr="00A96D05">
        <w:rPr>
          <w:rFonts w:ascii="Book Antiqua" w:hAnsi="Book Antiqua" w:cs="Book Antiqua"/>
          <w:color w:val="000000"/>
          <w:sz w:val="24"/>
          <w:szCs w:val="24"/>
          <w:lang w:val="en-US"/>
        </w:rPr>
        <w:t>, which have been proposed as being essential platforms facilitating efficient interaction between virus particles and cellular receptors</w:t>
      </w:r>
      <w:r w:rsidRPr="00A96D05">
        <w:rPr>
          <w:rFonts w:ascii="Book Antiqua" w:hAnsi="Book Antiqua" w:cs="Book Antiqua"/>
          <w:noProof/>
          <w:color w:val="000000"/>
          <w:sz w:val="24"/>
          <w:szCs w:val="24"/>
          <w:vertAlign w:val="superscript"/>
          <w:lang w:val="en-US"/>
        </w:rPr>
        <w:t>[96,128]</w:t>
      </w:r>
      <w:r w:rsidRPr="00A96D05">
        <w:rPr>
          <w:rFonts w:ascii="Book Antiqua" w:hAnsi="Book Antiqua" w:cs="Book Antiqua"/>
          <w:color w:val="000000"/>
          <w:sz w:val="24"/>
          <w:szCs w:val="24"/>
          <w:lang w:val="en-US"/>
        </w:rPr>
        <w:t>. On the other hand, some reports</w:t>
      </w:r>
      <w:r w:rsidRPr="00A96D05">
        <w:rPr>
          <w:rFonts w:ascii="Book Antiqua" w:hAnsi="Book Antiqua" w:cs="Book Antiqua"/>
          <w:b/>
          <w:bCs/>
          <w:color w:val="000000"/>
          <w:sz w:val="24"/>
          <w:szCs w:val="24"/>
          <w:lang w:val="en-US"/>
        </w:rPr>
        <w:t xml:space="preserve"> </w:t>
      </w:r>
      <w:r w:rsidRPr="00A96D05">
        <w:rPr>
          <w:rFonts w:ascii="Book Antiqua" w:hAnsi="Book Antiqua" w:cs="Book Antiqua"/>
          <w:color w:val="000000"/>
          <w:sz w:val="24"/>
          <w:szCs w:val="24"/>
          <w:lang w:val="en-US"/>
        </w:rPr>
        <w:t xml:space="preserve">have indicated that PDI forms complexes with integrins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xml:space="preserve">2β1 and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vβ3</w:t>
      </w:r>
      <w:r w:rsidRPr="00A96D05">
        <w:rPr>
          <w:rFonts w:ascii="Book Antiqua" w:hAnsi="Book Antiqua" w:cs="Book Antiqua"/>
          <w:noProof/>
          <w:color w:val="000000"/>
          <w:sz w:val="24"/>
          <w:szCs w:val="24"/>
          <w:vertAlign w:val="superscript"/>
          <w:lang w:val="en-US"/>
        </w:rPr>
        <w:t>[129,130]</w:t>
      </w:r>
      <w:r w:rsidRPr="00A96D05">
        <w:rPr>
          <w:rFonts w:ascii="Book Antiqua" w:hAnsi="Book Antiqua" w:cs="Book Antiqua"/>
          <w:color w:val="000000"/>
          <w:sz w:val="24"/>
          <w:szCs w:val="24"/>
          <w:lang w:val="en-US"/>
        </w:rPr>
        <w:t xml:space="preserve"> that have been identified as cell surface rotavirus receptors in MA104 cells. Since integrin β3 is known to be an endothelial cell-surface PDI substrate</w:t>
      </w:r>
      <w:r w:rsidRPr="00A96D05">
        <w:rPr>
          <w:rFonts w:ascii="Book Antiqua" w:hAnsi="Book Antiqua" w:cs="Book Antiqua"/>
          <w:noProof/>
          <w:color w:val="000000"/>
          <w:sz w:val="24"/>
          <w:szCs w:val="24"/>
          <w:vertAlign w:val="superscript"/>
          <w:lang w:val="en-US"/>
        </w:rPr>
        <w:t>[129]</w:t>
      </w:r>
      <w:r w:rsidRPr="00A96D05">
        <w:rPr>
          <w:rFonts w:ascii="Book Antiqua" w:hAnsi="Book Antiqua" w:cs="Book Antiqua"/>
          <w:color w:val="000000"/>
          <w:sz w:val="24"/>
          <w:szCs w:val="24"/>
          <w:lang w:val="en-US"/>
        </w:rPr>
        <w:t>, it would be interesting to determine whether free thiol generation in this integrin is required for its activation and interaction with rotavirus during entry. Evidence has been provided that IL-1</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-mediated innate response of macrophages to adenovirus implicating the interaction of virus RGD motif with integrin β3 for triggering the activation of pro-inflammatory responses to the virus</w:t>
      </w:r>
      <w:r w:rsidRPr="00A96D05">
        <w:rPr>
          <w:rFonts w:ascii="Book Antiqua" w:hAnsi="Book Antiqua" w:cs="Book Antiqua"/>
          <w:noProof/>
          <w:color w:val="000000"/>
          <w:sz w:val="24"/>
          <w:szCs w:val="24"/>
          <w:vertAlign w:val="superscript"/>
          <w:lang w:val="en-US"/>
        </w:rPr>
        <w:t>[131]</w:t>
      </w:r>
      <w:r w:rsidRPr="00A96D05">
        <w:rPr>
          <w:rFonts w:ascii="Book Antiqua" w:hAnsi="Book Antiqua" w:cs="Book Antiqua"/>
          <w:color w:val="000000"/>
          <w:sz w:val="24"/>
          <w:szCs w:val="24"/>
          <w:lang w:val="en-US"/>
        </w:rPr>
        <w:t>. Interestingly, results have been presented that a specific inhibitor of integrin β3 (a secondary adenoviral receptor) attenuated the cytokine release and the inflammatory hepatic toxicity induced by an oncolytic adenovirus without interfering with its infectivity and oncolytic properties</w:t>
      </w:r>
      <w:r w:rsidRPr="00A96D05">
        <w:rPr>
          <w:rFonts w:ascii="Book Antiqua" w:hAnsi="Book Antiqua" w:cs="Book Antiqua"/>
          <w:noProof/>
          <w:color w:val="000000"/>
          <w:sz w:val="24"/>
          <w:szCs w:val="24"/>
          <w:vertAlign w:val="superscript"/>
          <w:lang w:val="en-US"/>
        </w:rPr>
        <w:t>[132]</w:t>
      </w:r>
      <w:r w:rsidRPr="00A96D05">
        <w:rPr>
          <w:rFonts w:ascii="Book Antiqua" w:hAnsi="Book Antiqua" w:cs="Book Antiqua"/>
          <w:color w:val="000000"/>
          <w:sz w:val="24"/>
          <w:szCs w:val="24"/>
          <w:lang w:val="en-US"/>
        </w:rPr>
        <w:t>. Integrin β3 expression has been shown to be required and up-regulated by classical swine fever virus (CSFV) infection</w:t>
      </w:r>
      <w:r w:rsidRPr="00A96D05">
        <w:rPr>
          <w:rFonts w:ascii="Book Antiqua" w:hAnsi="Book Antiqua" w:cs="Book Antiqua"/>
          <w:noProof/>
          <w:color w:val="000000"/>
          <w:sz w:val="24"/>
          <w:szCs w:val="24"/>
          <w:vertAlign w:val="superscript"/>
          <w:lang w:val="en-US"/>
        </w:rPr>
        <w:t>[133]</w:t>
      </w:r>
      <w:r w:rsidRPr="00A96D05">
        <w:rPr>
          <w:rFonts w:ascii="Book Antiqua" w:hAnsi="Book Antiqua" w:cs="Book Antiqua"/>
          <w:color w:val="000000"/>
          <w:sz w:val="24"/>
          <w:szCs w:val="24"/>
          <w:lang w:val="en-US"/>
        </w:rPr>
        <w:t>. However, PDI expression has been found to be inhibited in the heart, liver, spleen, lung, kidney and mesenteric lymph node tissue from a CSFV-positive pig</w:t>
      </w:r>
      <w:r w:rsidRPr="00A96D05">
        <w:rPr>
          <w:rFonts w:ascii="Book Antiqua" w:hAnsi="Book Antiqua" w:cs="Book Antiqua"/>
          <w:noProof/>
          <w:color w:val="000000"/>
          <w:sz w:val="24"/>
          <w:szCs w:val="24"/>
          <w:vertAlign w:val="superscript"/>
          <w:lang w:val="en-US"/>
        </w:rPr>
        <w:t>[134]</w:t>
      </w:r>
      <w:r w:rsidRPr="00A96D05">
        <w:rPr>
          <w:rFonts w:ascii="Book Antiqua" w:hAnsi="Book Antiqua" w:cs="Book Antiqua"/>
          <w:color w:val="000000"/>
          <w:sz w:val="24"/>
          <w:szCs w:val="24"/>
          <w:lang w:val="en-US"/>
        </w:rPr>
        <w:t>. Evidence has been provided that dengue virus serotype 2 (DV2) induce up-regulation of integrin β3 which is also required for DV2 entry into the cell</w:t>
      </w:r>
      <w:r w:rsidRPr="00A96D05">
        <w:rPr>
          <w:rFonts w:ascii="Book Antiqua" w:hAnsi="Book Antiqua" w:cs="Book Antiqua"/>
          <w:noProof/>
          <w:color w:val="000000"/>
          <w:sz w:val="24"/>
          <w:szCs w:val="24"/>
          <w:vertAlign w:val="superscript"/>
          <w:lang w:val="en-US"/>
        </w:rPr>
        <w:t>[135]</w:t>
      </w:r>
      <w:r w:rsidRPr="00A96D05">
        <w:rPr>
          <w:rFonts w:ascii="Book Antiqua" w:hAnsi="Book Antiqua" w:cs="Book Antiqua"/>
          <w:color w:val="000000"/>
          <w:sz w:val="24"/>
          <w:szCs w:val="24"/>
          <w:lang w:val="en-US"/>
        </w:rPr>
        <w:t xml:space="preserve">. However, studies using intestinal cell lines showed that rotavirus infection </w:t>
      </w:r>
      <w:r w:rsidRPr="00A96D05">
        <w:rPr>
          <w:rFonts w:ascii="Book Antiqua" w:hAnsi="Book Antiqua" w:cs="Book Antiqua"/>
          <w:color w:val="000000"/>
          <w:sz w:val="24"/>
          <w:szCs w:val="24"/>
          <w:shd w:val="clear" w:color="auto" w:fill="FFFFFF"/>
          <w:lang w:val="en-US"/>
        </w:rPr>
        <w:t xml:space="preserve">up-regulated the expression of integrins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shd w:val="clear" w:color="auto" w:fill="FFFFFF"/>
          <w:lang w:val="en-US"/>
        </w:rPr>
        <w:t xml:space="preserve">2β1 and β2, whereas down-regulated that of integrins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shd w:val="clear" w:color="auto" w:fill="FFFFFF"/>
          <w:lang w:val="en-US"/>
        </w:rPr>
        <w:t xml:space="preserve">vβ3,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shd w:val="clear" w:color="auto" w:fill="FFFFFF"/>
          <w:lang w:val="en-US"/>
        </w:rPr>
        <w:t xml:space="preserve">vβ5, and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shd w:val="clear" w:color="auto" w:fill="FFFFFF"/>
          <w:lang w:val="en-US"/>
        </w:rPr>
        <w:t>5β1</w:t>
      </w:r>
      <w:r w:rsidRPr="00A96D05">
        <w:rPr>
          <w:rFonts w:ascii="Book Antiqua" w:hAnsi="Book Antiqua" w:cs="Book Antiqua"/>
          <w:noProof/>
          <w:color w:val="000000"/>
          <w:sz w:val="24"/>
          <w:szCs w:val="24"/>
          <w:shd w:val="clear" w:color="auto" w:fill="FFFFFF"/>
          <w:vertAlign w:val="superscript"/>
          <w:lang w:val="en-US"/>
        </w:rPr>
        <w:t>[136]</w:t>
      </w:r>
      <w:r w:rsidRPr="00A96D05">
        <w:rPr>
          <w:rFonts w:ascii="Book Antiqua" w:hAnsi="Book Antiqua" w:cs="Book Antiqua"/>
          <w:color w:val="000000"/>
          <w:sz w:val="24"/>
          <w:szCs w:val="24"/>
          <w:shd w:val="clear" w:color="auto" w:fill="FFFFFF"/>
          <w:lang w:val="en-US"/>
        </w:rPr>
        <w:t>. It would be interesting to examine whether cell surface PDI activates integrin β3 to facilitate rotavirus infection since PDI expression has been up-regulated by rotavirus infection</w:t>
      </w:r>
      <w:r w:rsidRPr="00A96D05">
        <w:rPr>
          <w:rFonts w:ascii="Book Antiqua" w:hAnsi="Book Antiqua" w:cs="Book Antiqua"/>
          <w:noProof/>
          <w:color w:val="000000"/>
          <w:sz w:val="24"/>
          <w:szCs w:val="24"/>
          <w:shd w:val="clear" w:color="auto" w:fill="FFFFFF"/>
          <w:vertAlign w:val="superscript"/>
          <w:lang w:val="en-US"/>
        </w:rPr>
        <w:t>[127]</w:t>
      </w:r>
      <w:r w:rsidRPr="00A96D05">
        <w:rPr>
          <w:rFonts w:ascii="Book Antiqua" w:hAnsi="Book Antiqua" w:cs="Book Antiqua"/>
          <w:color w:val="000000"/>
          <w:sz w:val="24"/>
          <w:szCs w:val="24"/>
          <w:shd w:val="clear" w:color="auto" w:fill="FFFFFF"/>
          <w:lang w:val="en-US"/>
        </w:rPr>
        <w:t>. It has been found that dengue virus infection increases cell surface PDI expression for activating integrins β1 and β3 and facilitating virus entry into epithelial cells</w:t>
      </w:r>
      <w:r w:rsidRPr="00A96D05">
        <w:rPr>
          <w:rFonts w:ascii="Book Antiqua" w:hAnsi="Book Antiqua" w:cs="Book Antiqua"/>
          <w:noProof/>
          <w:color w:val="000000"/>
          <w:sz w:val="24"/>
          <w:szCs w:val="24"/>
          <w:shd w:val="clear" w:color="auto" w:fill="FFFFFF"/>
          <w:vertAlign w:val="superscript"/>
          <w:lang w:val="en-US"/>
        </w:rPr>
        <w:t>[83]</w:t>
      </w:r>
      <w:r w:rsidRPr="00A96D05">
        <w:rPr>
          <w:rFonts w:ascii="Book Antiqua" w:hAnsi="Book Antiqua" w:cs="Book Antiqua"/>
          <w:color w:val="000000"/>
          <w:sz w:val="24"/>
          <w:szCs w:val="24"/>
          <w:shd w:val="clear" w:color="auto" w:fill="FFFFFF"/>
          <w:lang w:val="en-US"/>
        </w:rPr>
        <w:t>. Chaperone and thiol-disulfide exchange activities are schematized in Fig</w:t>
      </w:r>
      <w:r w:rsidRPr="00A96D05">
        <w:rPr>
          <w:rFonts w:ascii="Book Antiqua" w:hAnsi="Book Antiqua" w:cs="Book Antiqua"/>
          <w:color w:val="000000"/>
          <w:sz w:val="24"/>
          <w:szCs w:val="24"/>
          <w:shd w:val="clear" w:color="auto" w:fill="FFFFFF"/>
          <w:lang w:val="en-US" w:eastAsia="zh-CN"/>
        </w:rPr>
        <w:t>ure</w:t>
      </w:r>
      <w:r w:rsidRPr="00A96D05">
        <w:rPr>
          <w:rFonts w:ascii="Book Antiqua" w:hAnsi="Book Antiqua" w:cs="Book Antiqua"/>
          <w:color w:val="000000"/>
          <w:sz w:val="24"/>
          <w:szCs w:val="24"/>
          <w:shd w:val="clear" w:color="auto" w:fill="FFFFFF"/>
          <w:lang w:val="en-US"/>
        </w:rPr>
        <w:t xml:space="preserve"> 2.</w:t>
      </w:r>
    </w:p>
    <w:p w:rsidR="005C6065" w:rsidRPr="00A96D05" w:rsidRDefault="005C6065" w:rsidP="002438CD">
      <w:pPr>
        <w:autoSpaceDE w:val="0"/>
        <w:autoSpaceDN w:val="0"/>
        <w:adjustRightInd w:val="0"/>
        <w:spacing w:after="0" w:line="360" w:lineRule="auto"/>
        <w:ind w:firstLineChars="100" w:firstLine="31680"/>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lang w:val="en-US"/>
        </w:rPr>
        <w:t xml:space="preserve">Rotavirus virion binding to the cell surface and the subsequent post-binding events seem to involve conformational changes and oxidoreduction reactions in the virus structural proteins. Regarding the properties of cell surface proteins interacting with virus structural proteins, it can be proposed that conformational changes could be produced by the chaperone activity characterizing Hsc70 and PDI, whereas redox status changes involving also conformational changes could be induced by oxidoreductase and thiol/disulfide isomerase activities present in PDI and integrin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vβ3</w:t>
      </w:r>
      <w:r w:rsidRPr="00A96D05">
        <w:rPr>
          <w:rFonts w:ascii="Book Antiqua" w:hAnsi="Book Antiqua" w:cs="Book Antiqua"/>
          <w:noProof/>
          <w:color w:val="000000"/>
          <w:sz w:val="24"/>
          <w:szCs w:val="24"/>
          <w:vertAlign w:val="superscript"/>
          <w:lang w:val="en-US"/>
        </w:rPr>
        <w:t>[129,137]</w:t>
      </w:r>
      <w:r w:rsidRPr="00A96D05">
        <w:rPr>
          <w:rFonts w:ascii="Book Antiqua" w:hAnsi="Book Antiqua" w:cs="Book Antiqua"/>
          <w:color w:val="000000"/>
          <w:sz w:val="24"/>
          <w:szCs w:val="24"/>
          <w:lang w:val="en-US"/>
        </w:rPr>
        <w:t xml:space="preserve">. On the other hand, there is evidence suggesting that thiol isomerases such as PDI and Erp57 bind to β3 subunit of integrins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shd w:val="clear" w:color="auto" w:fill="FFFFFF"/>
          <w:lang w:val="en-US"/>
        </w:rPr>
        <w:t xml:space="preserve">IIbβ3 and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shd w:val="clear" w:color="auto" w:fill="FFFFFF"/>
          <w:lang w:val="en-US"/>
        </w:rPr>
        <w:t xml:space="preserve">vβ3 for regulating their function during thrombus formation and that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shd w:val="clear" w:color="auto" w:fill="FFFFFF"/>
          <w:lang w:val="en-US"/>
        </w:rPr>
        <w:t>IIbβ3 also has an endogenous thiol isomerase activity</w:t>
      </w:r>
      <w:r w:rsidRPr="00A96D05">
        <w:rPr>
          <w:rFonts w:ascii="Book Antiqua" w:hAnsi="Book Antiqua" w:cs="Book Antiqua"/>
          <w:noProof/>
          <w:color w:val="000000"/>
          <w:sz w:val="24"/>
          <w:szCs w:val="24"/>
          <w:shd w:val="clear" w:color="auto" w:fill="FFFFFF"/>
          <w:vertAlign w:val="superscript"/>
          <w:lang w:val="en-US"/>
        </w:rPr>
        <w:t>[138]</w:t>
      </w:r>
      <w:r w:rsidRPr="00A96D05">
        <w:rPr>
          <w:rFonts w:ascii="Book Antiqua" w:hAnsi="Book Antiqua" w:cs="Book Antiqua"/>
          <w:color w:val="000000"/>
          <w:sz w:val="24"/>
          <w:szCs w:val="24"/>
          <w:shd w:val="clear" w:color="auto" w:fill="FFFFFF"/>
          <w:lang w:val="en-US"/>
        </w:rPr>
        <w:t>. These results have led to propose that integrin β3 function might be regulated by both exogenous and endogenous thiol isomerase activity and that PDI inhibitors could be useful therapeutic tools for treating integrin-associated diseases</w:t>
      </w:r>
      <w:r w:rsidRPr="00A96D05">
        <w:rPr>
          <w:rFonts w:ascii="Book Antiqua" w:hAnsi="Book Antiqua" w:cs="Book Antiqua"/>
          <w:noProof/>
          <w:color w:val="000000"/>
          <w:sz w:val="24"/>
          <w:szCs w:val="24"/>
          <w:shd w:val="clear" w:color="auto" w:fill="FFFFFF"/>
          <w:vertAlign w:val="superscript"/>
          <w:lang w:val="en-US"/>
        </w:rPr>
        <w:t>[138]</w:t>
      </w:r>
      <w:r w:rsidRPr="00A96D05">
        <w:rPr>
          <w:rFonts w:ascii="Book Antiqua" w:hAnsi="Book Antiqua" w:cs="Book Antiqua"/>
          <w:color w:val="000000"/>
          <w:sz w:val="24"/>
          <w:szCs w:val="24"/>
          <w:shd w:val="clear" w:color="auto" w:fill="FFFFFF"/>
          <w:lang w:val="en-US"/>
        </w:rPr>
        <w:t xml:space="preserve">. </w:t>
      </w:r>
    </w:p>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shd w:val="clear" w:color="auto" w:fill="FFFFFF"/>
          <w:lang w:val="en-US"/>
        </w:rPr>
      </w:pPr>
    </w:p>
    <w:p w:rsidR="005C6065" w:rsidRPr="00A96D05" w:rsidRDefault="005C6065" w:rsidP="002438CD">
      <w:pPr>
        <w:pStyle w:val="NoSpacing"/>
        <w:spacing w:line="360" w:lineRule="auto"/>
        <w:ind w:firstLineChars="100" w:firstLine="31680"/>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Rotavirus structural proteins VP4, VP6 and VP7 have been reported to contain cysteine residues able to form intramolecular disulfide bonds</w:t>
      </w:r>
      <w:r w:rsidRPr="00A96D05">
        <w:rPr>
          <w:rFonts w:ascii="Book Antiqua" w:hAnsi="Book Antiqua" w:cs="Book Antiqua"/>
          <w:noProof/>
          <w:color w:val="000000"/>
          <w:sz w:val="24"/>
          <w:szCs w:val="24"/>
          <w:vertAlign w:val="superscript"/>
          <w:lang w:val="en-US"/>
        </w:rPr>
        <w:t>[139-141]</w:t>
      </w:r>
      <w:r w:rsidRPr="00A96D05">
        <w:rPr>
          <w:rFonts w:ascii="Book Antiqua" w:hAnsi="Book Antiqua" w:cs="Book Antiqua"/>
          <w:color w:val="000000"/>
          <w:sz w:val="24"/>
          <w:szCs w:val="24"/>
          <w:lang w:val="en-US"/>
        </w:rPr>
        <w:t>. However, crystal structure studies of VP6</w:t>
      </w:r>
      <w:r w:rsidRPr="00A96D05">
        <w:rPr>
          <w:rFonts w:ascii="Book Antiqua" w:hAnsi="Book Antiqua" w:cs="Book Antiqua"/>
          <w:noProof/>
          <w:color w:val="000000"/>
          <w:sz w:val="24"/>
          <w:szCs w:val="24"/>
          <w:vertAlign w:val="superscript"/>
          <w:lang w:val="en-US"/>
        </w:rPr>
        <w:t>[142]</w:t>
      </w:r>
      <w:r w:rsidRPr="00A96D05">
        <w:rPr>
          <w:rFonts w:ascii="Book Antiqua" w:hAnsi="Book Antiqua" w:cs="Book Antiqua"/>
          <w:color w:val="000000"/>
          <w:sz w:val="24"/>
          <w:szCs w:val="24"/>
          <w:lang w:val="en-US"/>
        </w:rPr>
        <w:t xml:space="preserve"> VP8*</w:t>
      </w:r>
      <w:r w:rsidRPr="00A96D05">
        <w:rPr>
          <w:rFonts w:ascii="Book Antiqua" w:hAnsi="Book Antiqua" w:cs="Book Antiqua"/>
          <w:noProof/>
          <w:color w:val="000000"/>
          <w:sz w:val="24"/>
          <w:szCs w:val="24"/>
          <w:vertAlign w:val="superscript"/>
          <w:lang w:val="en-US"/>
        </w:rPr>
        <w:t>[108]</w:t>
      </w:r>
      <w:r w:rsidRPr="00A96D05">
        <w:rPr>
          <w:rFonts w:ascii="Book Antiqua" w:hAnsi="Book Antiqua" w:cs="Book Antiqua"/>
          <w:color w:val="000000"/>
          <w:sz w:val="24"/>
          <w:szCs w:val="24"/>
          <w:lang w:val="en-US"/>
        </w:rPr>
        <w:t xml:space="preserve"> and VP5*</w:t>
      </w:r>
      <w:r w:rsidRPr="00A96D05">
        <w:rPr>
          <w:rFonts w:ascii="Book Antiqua" w:hAnsi="Book Antiqua" w:cs="Book Antiqua"/>
          <w:noProof/>
          <w:color w:val="000000"/>
          <w:sz w:val="24"/>
          <w:szCs w:val="24"/>
          <w:vertAlign w:val="superscript"/>
          <w:lang w:val="en-US"/>
        </w:rPr>
        <w:t>[101,143]</w:t>
      </w:r>
      <w:r w:rsidRPr="00A96D05">
        <w:rPr>
          <w:rFonts w:ascii="Book Antiqua" w:hAnsi="Book Antiqua" w:cs="Book Antiqua"/>
          <w:color w:val="000000"/>
          <w:sz w:val="24"/>
          <w:szCs w:val="24"/>
          <w:lang w:val="en-US"/>
        </w:rPr>
        <w:t xml:space="preserve"> have shown that these proteins lack disulfide bonds. </w:t>
      </w:r>
      <w:r w:rsidRPr="00A96D05">
        <w:rPr>
          <w:rFonts w:ascii="Book Antiqua" w:hAnsi="Book Antiqua" w:cs="Book Antiqua"/>
          <w:color w:val="000000"/>
          <w:sz w:val="24"/>
          <w:szCs w:val="24"/>
          <w:shd w:val="clear" w:color="auto" w:fill="FFFFFF"/>
          <w:lang w:val="en-US"/>
        </w:rPr>
        <w:t>Rotavirus VP4 from many SA-dependent animal strains contains five conserved cysteines at positions</w:t>
      </w:r>
      <w:r w:rsidRPr="00A96D05">
        <w:rPr>
          <w:rFonts w:ascii="Book Antiqua" w:hAnsi="Book Antiqua" w:cs="Book Antiqua"/>
          <w:color w:val="000000"/>
          <w:sz w:val="24"/>
          <w:szCs w:val="24"/>
          <w:lang w:val="en-US"/>
        </w:rPr>
        <w:t xml:space="preserve"> 203, 216, 318, 380 and 774. It has been shown for simian RRV and SA11 that their VP4 contains two disulfide bonds residing in the VP8* (Cys-203/Cis-216) and VP5* (Cys-318/Cis-380) domains</w:t>
      </w:r>
      <w:r w:rsidRPr="00A96D05">
        <w:rPr>
          <w:rFonts w:ascii="Book Antiqua" w:hAnsi="Book Antiqua" w:cs="Book Antiqua"/>
          <w:noProof/>
          <w:color w:val="000000"/>
          <w:sz w:val="24"/>
          <w:szCs w:val="24"/>
          <w:vertAlign w:val="superscript"/>
          <w:lang w:val="en-US"/>
        </w:rPr>
        <w:t>[139]</w:t>
      </w:r>
      <w:r w:rsidRPr="00A96D05">
        <w:rPr>
          <w:rFonts w:ascii="Book Antiqua" w:hAnsi="Book Antiqua" w:cs="Book Antiqua"/>
          <w:color w:val="000000"/>
          <w:sz w:val="24"/>
          <w:szCs w:val="24"/>
          <w:lang w:val="en-US"/>
        </w:rPr>
        <w:t>. A SA-independent variant of RRV was reported to have an additional cysteine at position 267 that was able to form an alternative disulfide bond implicating Cys-318 while co-existing with the disulfide bond Cys-318/Cys-380</w:t>
      </w:r>
      <w:r w:rsidRPr="00A96D05">
        <w:rPr>
          <w:rFonts w:ascii="Book Antiqua" w:hAnsi="Book Antiqua" w:cs="Book Antiqua"/>
          <w:noProof/>
          <w:color w:val="000000"/>
          <w:sz w:val="24"/>
          <w:szCs w:val="24"/>
          <w:vertAlign w:val="superscript"/>
          <w:lang w:val="en-US"/>
        </w:rPr>
        <w:t>[144]</w:t>
      </w:r>
      <w:r w:rsidRPr="00A96D05">
        <w:rPr>
          <w:rFonts w:ascii="Book Antiqua" w:hAnsi="Book Antiqua" w:cs="Book Antiqua"/>
          <w:color w:val="000000"/>
          <w:sz w:val="24"/>
          <w:szCs w:val="24"/>
          <w:lang w:val="en-US"/>
        </w:rPr>
        <w:t>. The presence of highly conserved disulfide bonds in VP5* has been suggested to facilitate bringing together the trypsin cleavage sites, the integrin binding site and the putative fusogenic peptide into intimate proximity</w:t>
      </w:r>
      <w:r w:rsidRPr="00A96D05">
        <w:rPr>
          <w:rFonts w:ascii="Book Antiqua" w:hAnsi="Book Antiqua" w:cs="Book Antiqua"/>
          <w:noProof/>
          <w:color w:val="000000"/>
          <w:sz w:val="24"/>
          <w:szCs w:val="24"/>
          <w:vertAlign w:val="superscript"/>
          <w:lang w:val="en-US"/>
        </w:rPr>
        <w:t>[121,139]</w:t>
      </w:r>
      <w:r w:rsidRPr="00A96D05">
        <w:rPr>
          <w:rFonts w:ascii="Book Antiqua" w:hAnsi="Book Antiqua" w:cs="Book Antiqua"/>
          <w:color w:val="000000"/>
          <w:sz w:val="24"/>
          <w:szCs w:val="24"/>
          <w:lang w:val="en-US"/>
        </w:rPr>
        <w:t>. The mutant VP5* containing mixed species of disulfide bonds was supposed to have an altered conformation explaining its ability interact with the host cell surface independently from SA interaction</w:t>
      </w:r>
      <w:r w:rsidRPr="00A96D05">
        <w:rPr>
          <w:rFonts w:ascii="Book Antiqua" w:hAnsi="Book Antiqua" w:cs="Book Antiqua"/>
          <w:noProof/>
          <w:color w:val="000000"/>
          <w:sz w:val="24"/>
          <w:szCs w:val="24"/>
          <w:vertAlign w:val="superscript"/>
          <w:lang w:val="en-US"/>
        </w:rPr>
        <w:t>[144]</w:t>
      </w:r>
      <w:r w:rsidRPr="00A96D05">
        <w:rPr>
          <w:rFonts w:ascii="Book Antiqua" w:hAnsi="Book Antiqua" w:cs="Book Antiqua"/>
          <w:color w:val="000000"/>
          <w:sz w:val="24"/>
          <w:szCs w:val="24"/>
          <w:lang w:val="en-US"/>
        </w:rPr>
        <w:t>. In this context, the concept of functional disulfide bonds</w:t>
      </w:r>
      <w:r w:rsidRPr="00A96D05">
        <w:rPr>
          <w:rFonts w:ascii="Book Antiqua" w:hAnsi="Book Antiqua" w:cs="Book Antiqua"/>
          <w:noProof/>
          <w:color w:val="000000"/>
          <w:sz w:val="24"/>
          <w:szCs w:val="24"/>
          <w:vertAlign w:val="superscript"/>
          <w:lang w:val="en-US"/>
        </w:rPr>
        <w:t>[145]</w:t>
      </w:r>
      <w:r w:rsidRPr="00A96D05">
        <w:rPr>
          <w:rFonts w:ascii="Book Antiqua" w:hAnsi="Book Antiqua" w:cs="Book Antiqua"/>
          <w:color w:val="000000"/>
          <w:sz w:val="24"/>
          <w:szCs w:val="24"/>
          <w:lang w:val="en-US"/>
        </w:rPr>
        <w:t xml:space="preserve"> could be extended to the interactions between disulfide bond-containing proteins of rotavirus virions and the cell surface proteins having thiol isomerase activity including PDI and integrins. Interactions of rotavirus structural proteins and cell surface molecules during entry are summarized in Table 1.</w:t>
      </w:r>
    </w:p>
    <w:p w:rsidR="005C6065" w:rsidRPr="00A96D05" w:rsidRDefault="005C6065" w:rsidP="002438CD">
      <w:pPr>
        <w:pStyle w:val="NoSpacing"/>
        <w:spacing w:line="360" w:lineRule="auto"/>
        <w:ind w:firstLineChars="100" w:firstLine="31680"/>
        <w:rPr>
          <w:rFonts w:ascii="Book Antiqua" w:hAnsi="Book Antiqua" w:cs="Book Antiqua"/>
          <w:color w:val="000000"/>
          <w:sz w:val="24"/>
          <w:szCs w:val="24"/>
          <w:lang w:val="en-US" w:eastAsia="zh-CN"/>
        </w:rPr>
      </w:pPr>
      <w:r w:rsidRPr="00A96D05">
        <w:rPr>
          <w:rFonts w:ascii="Book Antiqua" w:hAnsi="Book Antiqua" w:cs="Book Antiqua"/>
          <w:color w:val="000000"/>
          <w:sz w:val="24"/>
          <w:szCs w:val="24"/>
          <w:lang w:val="en-US"/>
        </w:rPr>
        <w:t>Research aims at unraveling the mechanisms involved in rotavirus entry is very critical for understanding versatility of rotaviruses in using different cell surface receptors. However, the accumulated findings on rotavirus entry mechanisms suggest that in addition to the initial attachment to SA-containing molecules, rotavirus structural proteins undergo conformational changes mediated by cell surface chaperone and thiol-disulfide activities. Clearly more research is needed to fully understand if rotavirus certainly use alternative entry pathways or at least partially shared pathways that finally lead to the conversion of TLPs into transcriptionally active DLPs</w:t>
      </w:r>
      <w:r w:rsidRPr="00A96D05">
        <w:rPr>
          <w:rFonts w:ascii="Book Antiqua" w:hAnsi="Book Antiqua" w:cs="Book Antiqua"/>
          <w:noProof/>
          <w:color w:val="000000"/>
          <w:sz w:val="24"/>
          <w:szCs w:val="24"/>
          <w:vertAlign w:val="superscript"/>
          <w:lang w:val="en-US"/>
        </w:rPr>
        <w:t>[146]</w:t>
      </w:r>
      <w:r w:rsidRPr="00A96D05">
        <w:rPr>
          <w:rFonts w:ascii="Book Antiqua" w:hAnsi="Book Antiqua" w:cs="Book Antiqua"/>
          <w:color w:val="000000"/>
          <w:sz w:val="24"/>
          <w:szCs w:val="24"/>
          <w:lang w:val="en-US"/>
        </w:rPr>
        <w:t xml:space="preserve">. </w:t>
      </w:r>
    </w:p>
    <w:p w:rsidR="005C6065" w:rsidRPr="00A96D05" w:rsidRDefault="005C6065" w:rsidP="00A96D05">
      <w:pPr>
        <w:pStyle w:val="NoSpacing"/>
        <w:spacing w:line="360" w:lineRule="auto"/>
        <w:rPr>
          <w:rFonts w:ascii="Book Antiqua" w:hAnsi="Book Antiqua" w:cs="Book Antiqua"/>
          <w:color w:val="000000"/>
          <w:sz w:val="24"/>
          <w:szCs w:val="24"/>
          <w:lang w:val="en-US" w:eastAsia="zh-CN"/>
        </w:rPr>
      </w:pPr>
    </w:p>
    <w:p w:rsidR="005C6065" w:rsidRPr="00A96D05" w:rsidRDefault="005C6065" w:rsidP="00A96D05">
      <w:pPr>
        <w:autoSpaceDE w:val="0"/>
        <w:autoSpaceDN w:val="0"/>
        <w:adjustRightInd w:val="0"/>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 xml:space="preserve">DLP-TLP INTER-CONVERSION </w:t>
      </w:r>
    </w:p>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shd w:val="clear" w:color="auto" w:fill="FFFFFF"/>
          <w:lang w:val="en-US"/>
        </w:rPr>
        <w:t>Rotavirus entry process contributes to convert TLPs into transcriptionally active DLPs, whereas newly formed DLPs are converted into new TLPs. Although the mechanisms involved in this inter-conversion are not entirely composed by the same reactions in opposite directions, it sounds illustrative to compare some of these membrane-associated reactions: those aimed at removing VP4 and VP7 from TLPs to generate DLPs and those aimed at coating DLPs to generate TLPs. Cell membrane must possess molecular systems capable of inducing the necessary conformational changes facilitating viral proteins to disturb cell membrane</w:t>
      </w:r>
      <w:r w:rsidRPr="00A96D05">
        <w:rPr>
          <w:rStyle w:val="apple-converted-space"/>
          <w:rFonts w:ascii="Book Antiqua" w:hAnsi="Book Antiqua" w:cs="Book Antiqua"/>
          <w:color w:val="000000"/>
          <w:sz w:val="24"/>
          <w:szCs w:val="24"/>
          <w:shd w:val="clear" w:color="auto" w:fill="FFFFFF"/>
          <w:lang w:val="en-US"/>
        </w:rPr>
        <w:t> for penetration</w:t>
      </w:r>
      <w:r w:rsidRPr="00A96D05">
        <w:rPr>
          <w:rStyle w:val="apple-converted-space"/>
          <w:rFonts w:ascii="Book Antiqua" w:hAnsi="Book Antiqua" w:cs="Book Antiqua"/>
          <w:noProof/>
          <w:color w:val="000000"/>
          <w:sz w:val="24"/>
          <w:szCs w:val="24"/>
          <w:shd w:val="clear" w:color="auto" w:fill="FFFFFF"/>
          <w:vertAlign w:val="superscript"/>
          <w:lang w:val="en-US"/>
        </w:rPr>
        <w:t>[147]</w:t>
      </w:r>
      <w:r w:rsidRPr="00A96D05">
        <w:rPr>
          <w:rStyle w:val="apple-converted-space"/>
          <w:rFonts w:ascii="Book Antiqua" w:hAnsi="Book Antiqua" w:cs="Book Antiqua"/>
          <w:color w:val="000000"/>
          <w:sz w:val="24"/>
          <w:szCs w:val="24"/>
          <w:shd w:val="clear" w:color="auto" w:fill="FFFFFF"/>
          <w:lang w:val="en-US"/>
        </w:rPr>
        <w:t>. In the case of rotaviruses, potential receptors having chaperone and oxidoreductase activity has been identified</w:t>
      </w:r>
      <w:r w:rsidRPr="00A96D05">
        <w:rPr>
          <w:rStyle w:val="apple-converted-space"/>
          <w:rFonts w:ascii="Book Antiqua" w:hAnsi="Book Antiqua" w:cs="Book Antiqua"/>
          <w:noProof/>
          <w:color w:val="000000"/>
          <w:sz w:val="24"/>
          <w:szCs w:val="24"/>
          <w:shd w:val="clear" w:color="auto" w:fill="FFFFFF"/>
          <w:vertAlign w:val="superscript"/>
          <w:lang w:val="en-US"/>
        </w:rPr>
        <w:t>[7,12]</w:t>
      </w:r>
      <w:r w:rsidRPr="00A96D05">
        <w:rPr>
          <w:rStyle w:val="apple-converted-space"/>
          <w:rFonts w:ascii="Book Antiqua" w:hAnsi="Book Antiqua" w:cs="Book Antiqua"/>
          <w:color w:val="000000"/>
          <w:sz w:val="24"/>
          <w:szCs w:val="24"/>
          <w:shd w:val="clear" w:color="auto" w:fill="FFFFFF"/>
          <w:lang w:val="en-US"/>
        </w:rPr>
        <w:t>. The ER has been described as complex membranous network that is used by many viruses during infection</w:t>
      </w:r>
      <w:r w:rsidRPr="00A96D05">
        <w:rPr>
          <w:rFonts w:ascii="Book Antiqua" w:hAnsi="Book Antiqua" w:cs="Book Antiqua"/>
          <w:noProof/>
          <w:color w:val="000000"/>
          <w:sz w:val="24"/>
          <w:szCs w:val="24"/>
          <w:vertAlign w:val="superscript"/>
          <w:lang w:val="en-US"/>
        </w:rPr>
        <w:t>[148]</w:t>
      </w:r>
      <w:r w:rsidRPr="00A96D05">
        <w:rPr>
          <w:rFonts w:ascii="Book Antiqua" w:hAnsi="Book Antiqua" w:cs="Book Antiqua"/>
          <w:color w:val="000000"/>
          <w:sz w:val="24"/>
          <w:szCs w:val="24"/>
          <w:lang w:val="en-US"/>
        </w:rPr>
        <w:t xml:space="preserve">. </w:t>
      </w:r>
      <w:r w:rsidRPr="00A96D05">
        <w:rPr>
          <w:rStyle w:val="apple-converted-space"/>
          <w:rFonts w:ascii="Book Antiqua" w:hAnsi="Book Antiqua" w:cs="Book Antiqua"/>
          <w:color w:val="000000"/>
          <w:sz w:val="24"/>
          <w:szCs w:val="24"/>
          <w:shd w:val="clear" w:color="auto" w:fill="FFFFFF"/>
          <w:lang w:val="en-US"/>
        </w:rPr>
        <w:t>ER participates in rotavirus assembly especially during the late steps of the morphogenesis events converting DLPs into TLPs. NSP4 recruits VP4 and DLP to the ER membrane before budding into the ER lumen where a transient membrane layer is removed and replaced by VP7 to generate mature TLPs budding from the ER</w:t>
      </w:r>
      <w:r w:rsidRPr="00A96D05">
        <w:rPr>
          <w:rStyle w:val="apple-converted-space"/>
          <w:rFonts w:ascii="Book Antiqua" w:hAnsi="Book Antiqua" w:cs="Book Antiqua"/>
          <w:noProof/>
          <w:color w:val="000000"/>
          <w:sz w:val="24"/>
          <w:szCs w:val="24"/>
          <w:shd w:val="clear" w:color="auto" w:fill="FFFFFF"/>
          <w:vertAlign w:val="superscript"/>
          <w:lang w:val="en-US"/>
        </w:rPr>
        <w:t>[16,149]</w:t>
      </w:r>
      <w:r w:rsidRPr="00A96D05">
        <w:rPr>
          <w:rStyle w:val="apple-converted-space"/>
          <w:rFonts w:ascii="Book Antiqua" w:hAnsi="Book Antiqua" w:cs="Book Antiqua"/>
          <w:color w:val="000000"/>
          <w:sz w:val="24"/>
          <w:szCs w:val="24"/>
          <w:shd w:val="clear" w:color="auto" w:fill="FFFFFF"/>
          <w:lang w:val="en-US"/>
        </w:rPr>
        <w:t>. The mechanisms involved in removing the ER-derived transient membrane layer are unclear, except that</w:t>
      </w:r>
      <w:r w:rsidRPr="00A96D05">
        <w:rPr>
          <w:rFonts w:ascii="Book Antiqua" w:hAnsi="Book Antiqua" w:cs="Book Antiqua"/>
          <w:color w:val="000000"/>
          <w:sz w:val="24"/>
          <w:szCs w:val="24"/>
          <w:lang w:val="en-US"/>
        </w:rPr>
        <w:t xml:space="preserve"> </w:t>
      </w:r>
      <w:r w:rsidRPr="00A96D05">
        <w:rPr>
          <w:rStyle w:val="apple-converted-space"/>
          <w:rFonts w:ascii="Book Antiqua" w:hAnsi="Book Antiqua" w:cs="Book Antiqua"/>
          <w:color w:val="000000"/>
          <w:sz w:val="24"/>
          <w:szCs w:val="24"/>
          <w:shd w:val="clear" w:color="auto" w:fill="FFFFFF"/>
          <w:lang w:val="en-US"/>
        </w:rPr>
        <w:t>unassembled VP7 has been reported to have a membrane lytic activity</w:t>
      </w:r>
      <w:r w:rsidRPr="00A96D05">
        <w:rPr>
          <w:rStyle w:val="apple-converted-space"/>
          <w:rFonts w:ascii="Book Antiqua" w:hAnsi="Book Antiqua" w:cs="Book Antiqua"/>
          <w:noProof/>
          <w:color w:val="000000"/>
          <w:sz w:val="24"/>
          <w:szCs w:val="24"/>
          <w:shd w:val="clear" w:color="auto" w:fill="FFFFFF"/>
          <w:vertAlign w:val="superscript"/>
          <w:lang w:val="en-US"/>
        </w:rPr>
        <w:t>[150]</w:t>
      </w:r>
      <w:r w:rsidRPr="00A96D05">
        <w:rPr>
          <w:rStyle w:val="apple-converted-space"/>
          <w:rFonts w:ascii="Book Antiqua" w:hAnsi="Book Antiqua" w:cs="Book Antiqua"/>
          <w:color w:val="000000"/>
          <w:sz w:val="24"/>
          <w:szCs w:val="24"/>
          <w:shd w:val="clear" w:color="auto" w:fill="FFFFFF"/>
          <w:lang w:val="en-US"/>
        </w:rPr>
        <w:t>. Although</w:t>
      </w:r>
      <w:r w:rsidRPr="00A96D05">
        <w:rPr>
          <w:rFonts w:ascii="Book Antiqua" w:hAnsi="Book Antiqua" w:cs="Book Antiqua"/>
          <w:color w:val="000000"/>
          <w:sz w:val="24"/>
          <w:szCs w:val="24"/>
          <w:shd w:val="clear" w:color="auto" w:fill="FFFFFF"/>
          <w:lang w:val="en-US"/>
        </w:rPr>
        <w:t xml:space="preserve"> formation of virus-induced ER-derived structures is considered critical for viral replication and assembly</w:t>
      </w:r>
      <w:r w:rsidRPr="00A96D05">
        <w:rPr>
          <w:rFonts w:ascii="Book Antiqua" w:hAnsi="Book Antiqua" w:cs="Book Antiqua"/>
          <w:noProof/>
          <w:color w:val="000000"/>
          <w:sz w:val="24"/>
          <w:szCs w:val="24"/>
          <w:shd w:val="clear" w:color="auto" w:fill="FFFFFF"/>
          <w:vertAlign w:val="superscript"/>
          <w:lang w:val="en-US"/>
        </w:rPr>
        <w:t>[148]</w:t>
      </w:r>
      <w:r w:rsidRPr="00A96D05">
        <w:rPr>
          <w:rFonts w:ascii="Book Antiqua" w:hAnsi="Book Antiqua" w:cs="Book Antiqua"/>
          <w:color w:val="000000"/>
          <w:sz w:val="24"/>
          <w:szCs w:val="24"/>
          <w:shd w:val="clear" w:color="auto" w:fill="FFFFFF"/>
          <w:lang w:val="en-US"/>
        </w:rPr>
        <w:t>, viral infections induce ER stress and interferon responses that are interfered by viruses to ensure viral replication or pathogenesis</w:t>
      </w:r>
      <w:r w:rsidRPr="00A96D05">
        <w:rPr>
          <w:rFonts w:ascii="Book Antiqua" w:hAnsi="Book Antiqua" w:cs="Book Antiqua"/>
          <w:noProof/>
          <w:color w:val="000000"/>
          <w:sz w:val="24"/>
          <w:szCs w:val="24"/>
          <w:shd w:val="clear" w:color="auto" w:fill="FFFFFF"/>
          <w:vertAlign w:val="superscript"/>
          <w:lang w:val="en-US"/>
        </w:rPr>
        <w:t>[151]</w:t>
      </w:r>
      <w:r w:rsidRPr="00A96D05">
        <w:rPr>
          <w:rFonts w:ascii="Book Antiqua" w:hAnsi="Book Antiqua" w:cs="Book Antiqua"/>
          <w:color w:val="000000"/>
          <w:sz w:val="24"/>
          <w:szCs w:val="24"/>
          <w:shd w:val="clear" w:color="auto" w:fill="FFFFFF"/>
          <w:lang w:val="en-US"/>
        </w:rPr>
        <w:t xml:space="preserve">. </w:t>
      </w:r>
    </w:p>
    <w:p w:rsidR="005C6065" w:rsidRPr="00A96D05" w:rsidRDefault="005C6065" w:rsidP="002438CD">
      <w:pPr>
        <w:autoSpaceDE w:val="0"/>
        <w:autoSpaceDN w:val="0"/>
        <w:adjustRightInd w:val="0"/>
        <w:spacing w:after="0" w:line="360" w:lineRule="auto"/>
        <w:ind w:firstLineChars="100" w:firstLine="31680"/>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lang w:val="en-US"/>
        </w:rPr>
        <w:t>Despite the advances in structural characterization, the sequence of events occurring during uncoating for generating and releasing DLPs into cytoplasm is still unknown</w:t>
      </w:r>
      <w:r w:rsidRPr="00A96D05">
        <w:rPr>
          <w:rFonts w:ascii="Book Antiqua" w:hAnsi="Book Antiqua" w:cs="Book Antiqua"/>
          <w:noProof/>
          <w:color w:val="000000"/>
          <w:sz w:val="24"/>
          <w:szCs w:val="24"/>
          <w:vertAlign w:val="superscript"/>
          <w:lang w:val="en-US"/>
        </w:rPr>
        <w:t>[4,97]</w:t>
      </w:r>
      <w:r w:rsidRPr="00A96D05">
        <w:rPr>
          <w:rFonts w:ascii="Book Antiqua" w:hAnsi="Book Antiqua" w:cs="Book Antiqua"/>
          <w:color w:val="000000"/>
          <w:sz w:val="24"/>
          <w:szCs w:val="24"/>
          <w:lang w:val="en-US"/>
        </w:rPr>
        <w:t xml:space="preserve">. </w:t>
      </w:r>
      <w:r w:rsidRPr="00A96D05">
        <w:rPr>
          <w:rFonts w:ascii="Book Antiqua" w:hAnsi="Book Antiqua" w:cs="Book Antiqua"/>
          <w:color w:val="000000"/>
          <w:sz w:val="24"/>
          <w:szCs w:val="24"/>
          <w:shd w:val="clear" w:color="auto" w:fill="FFFFFF"/>
          <w:lang w:val="en-US"/>
        </w:rPr>
        <w:t>These events involve removing of structural proteins VP4 and VP7 to produce DLPs. To this step, the general event could be assumed as a set of reactions proceeding in the opposite direction to those reported for the morphogenesis of TLPS from DLPs during the ER budding. Removing VP4 and VP7 led to generating a hydrophobic surface that might facilitate the translocation of DLPs into the cytoplasm through cellular or endosomal membrane. However, the sequence of VP4 and VP7 assembly did not explain the mechanisms of entry-associated uncoating</w:t>
      </w:r>
      <w:r w:rsidRPr="00A96D05">
        <w:rPr>
          <w:rFonts w:ascii="Book Antiqua" w:hAnsi="Book Antiqua" w:cs="Book Antiqua"/>
          <w:noProof/>
          <w:color w:val="000000"/>
          <w:sz w:val="24"/>
          <w:szCs w:val="24"/>
          <w:shd w:val="clear" w:color="auto" w:fill="FFFFFF"/>
          <w:vertAlign w:val="superscript"/>
          <w:lang w:val="en-US"/>
        </w:rPr>
        <w:t>[123]</w:t>
      </w:r>
      <w:r w:rsidRPr="00A96D05">
        <w:rPr>
          <w:rFonts w:ascii="Book Antiqua" w:hAnsi="Book Antiqua" w:cs="Book Antiqua"/>
          <w:color w:val="000000"/>
          <w:sz w:val="24"/>
          <w:szCs w:val="24"/>
          <w:shd w:val="clear" w:color="auto" w:fill="FFFFFF"/>
          <w:lang w:val="en-US"/>
        </w:rPr>
        <w:t xml:space="preserve">. Recoating experiments in which rotavirus DLPs are recoated </w:t>
      </w:r>
      <w:r w:rsidRPr="00A96D05">
        <w:rPr>
          <w:rFonts w:ascii="Book Antiqua" w:hAnsi="Book Antiqua" w:cs="Book Antiqua"/>
          <w:i/>
          <w:iCs/>
          <w:color w:val="000000"/>
          <w:sz w:val="24"/>
          <w:szCs w:val="24"/>
          <w:shd w:val="clear" w:color="auto" w:fill="FFFFFF"/>
          <w:lang w:val="en-US"/>
        </w:rPr>
        <w:t>in vitro</w:t>
      </w:r>
      <w:r w:rsidRPr="00A96D05">
        <w:rPr>
          <w:rFonts w:ascii="Book Antiqua" w:hAnsi="Book Antiqua" w:cs="Book Antiqua"/>
          <w:color w:val="000000"/>
          <w:sz w:val="24"/>
          <w:szCs w:val="24"/>
          <w:shd w:val="clear" w:color="auto" w:fill="FFFFFF"/>
          <w:lang w:val="en-US"/>
        </w:rPr>
        <w:t xml:space="preserve"> with recombinant outer proteins have been useful in approaching the sequence of virion assembly </w:t>
      </w:r>
      <w:r w:rsidRPr="00A96D05">
        <w:rPr>
          <w:rFonts w:ascii="Book Antiqua" w:hAnsi="Book Antiqua" w:cs="Book Antiqua"/>
          <w:i/>
          <w:iCs/>
          <w:color w:val="000000"/>
          <w:sz w:val="24"/>
          <w:szCs w:val="24"/>
          <w:shd w:val="clear" w:color="auto" w:fill="FFFFFF"/>
          <w:lang w:val="en-US"/>
        </w:rPr>
        <w:t>in vivo</w:t>
      </w:r>
      <w:r w:rsidRPr="00A96D05">
        <w:rPr>
          <w:rFonts w:ascii="Book Antiqua" w:hAnsi="Book Antiqua" w:cs="Book Antiqua"/>
          <w:color w:val="000000"/>
          <w:sz w:val="24"/>
          <w:szCs w:val="24"/>
          <w:shd w:val="clear" w:color="auto" w:fill="FFFFFF"/>
          <w:lang w:val="en-US"/>
        </w:rPr>
        <w:t xml:space="preserve">. These experiments allow obtaining an efficient </w:t>
      </w:r>
      <w:r w:rsidRPr="00A96D05">
        <w:rPr>
          <w:rFonts w:ascii="Book Antiqua" w:hAnsi="Book Antiqua" w:cs="Book Antiqua"/>
          <w:i/>
          <w:iCs/>
          <w:color w:val="000000"/>
          <w:sz w:val="24"/>
          <w:szCs w:val="24"/>
          <w:shd w:val="clear" w:color="auto" w:fill="FFFFFF"/>
          <w:lang w:val="en-US"/>
        </w:rPr>
        <w:t>in vitro</w:t>
      </w:r>
      <w:r w:rsidRPr="00A96D05">
        <w:rPr>
          <w:rFonts w:ascii="Book Antiqua" w:hAnsi="Book Antiqua" w:cs="Book Antiqua"/>
          <w:color w:val="000000"/>
          <w:sz w:val="24"/>
          <w:szCs w:val="24"/>
          <w:shd w:val="clear" w:color="auto" w:fill="FFFFFF"/>
          <w:lang w:val="en-US"/>
        </w:rPr>
        <w:t xml:space="preserve"> coating of DLPs that favors the hypothesis that </w:t>
      </w:r>
      <w:r w:rsidRPr="00A96D05">
        <w:rPr>
          <w:rFonts w:ascii="Book Antiqua" w:hAnsi="Book Antiqua" w:cs="Book Antiqua"/>
          <w:i/>
          <w:iCs/>
          <w:color w:val="000000"/>
          <w:sz w:val="24"/>
          <w:szCs w:val="24"/>
          <w:shd w:val="clear" w:color="auto" w:fill="FFFFFF"/>
          <w:lang w:val="en-US"/>
        </w:rPr>
        <w:t>in vivo</w:t>
      </w:r>
      <w:r w:rsidRPr="00A96D05">
        <w:rPr>
          <w:rFonts w:ascii="Book Antiqua" w:hAnsi="Book Antiqua" w:cs="Book Antiqua"/>
          <w:color w:val="000000"/>
          <w:sz w:val="24"/>
          <w:szCs w:val="24"/>
          <w:shd w:val="clear" w:color="auto" w:fill="FFFFFF"/>
          <w:lang w:val="en-US"/>
        </w:rPr>
        <w:t xml:space="preserve"> VP4 assembly precedes that of VP7</w:t>
      </w:r>
      <w:r w:rsidRPr="00A96D05">
        <w:rPr>
          <w:rFonts w:ascii="Book Antiqua" w:hAnsi="Book Antiqua" w:cs="Book Antiqua"/>
          <w:noProof/>
          <w:color w:val="000000"/>
          <w:sz w:val="24"/>
          <w:szCs w:val="24"/>
          <w:shd w:val="clear" w:color="auto" w:fill="FFFFFF"/>
          <w:vertAlign w:val="superscript"/>
          <w:lang w:val="en-US"/>
        </w:rPr>
        <w:t>[123]</w:t>
      </w:r>
      <w:r w:rsidRPr="00A96D05">
        <w:rPr>
          <w:rFonts w:ascii="Book Antiqua" w:hAnsi="Book Antiqua" w:cs="Book Antiqua"/>
          <w:color w:val="000000"/>
          <w:sz w:val="24"/>
          <w:szCs w:val="24"/>
          <w:shd w:val="clear" w:color="auto" w:fill="FFFFFF"/>
          <w:lang w:val="en-US"/>
        </w:rPr>
        <w:t>. Reversing the coating assembly during entry means that VP7 should be removed before VP4, except that VP4 underwent a previous trypsin cleavage that generates VP8* and VP5*. However, VP8* is supposed to be released from VP5* before cell membrane destabilization</w:t>
      </w:r>
      <w:r w:rsidRPr="00A96D05">
        <w:rPr>
          <w:rFonts w:ascii="Book Antiqua" w:hAnsi="Book Antiqua" w:cs="Book Antiqua"/>
          <w:noProof/>
          <w:color w:val="000000"/>
          <w:sz w:val="24"/>
          <w:szCs w:val="24"/>
          <w:shd w:val="clear" w:color="auto" w:fill="FFFFFF"/>
          <w:vertAlign w:val="superscript"/>
          <w:lang w:val="en-US"/>
        </w:rPr>
        <w:t>[101]</w:t>
      </w:r>
      <w:r w:rsidRPr="00A96D05">
        <w:rPr>
          <w:rFonts w:ascii="Book Antiqua" w:hAnsi="Book Antiqua" w:cs="Book Antiqua"/>
          <w:color w:val="000000"/>
          <w:sz w:val="24"/>
          <w:szCs w:val="24"/>
          <w:shd w:val="clear" w:color="auto" w:fill="FFFFFF"/>
          <w:lang w:val="en-US"/>
        </w:rPr>
        <w:t xml:space="preserve">. </w:t>
      </w:r>
    </w:p>
    <w:p w:rsidR="005C6065" w:rsidRPr="00A96D05" w:rsidRDefault="005C6065" w:rsidP="002438CD">
      <w:pPr>
        <w:autoSpaceDE w:val="0"/>
        <w:autoSpaceDN w:val="0"/>
        <w:adjustRightInd w:val="0"/>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shd w:val="clear" w:color="auto" w:fill="FFFFFF"/>
          <w:lang w:val="en-US"/>
        </w:rPr>
        <w:t>Studies using cysteine-containing synthetic peptides derived from VP4 and VP7 suggested that VP4 and VP7 probably are PDI substrates as pre-treatment of cells with these peptides inhibited rotavirus infection</w:t>
      </w:r>
      <w:r w:rsidRPr="00A96D05">
        <w:rPr>
          <w:rFonts w:ascii="Book Antiqua" w:hAnsi="Book Antiqua" w:cs="Book Antiqua"/>
          <w:noProof/>
          <w:color w:val="000000"/>
          <w:sz w:val="24"/>
          <w:szCs w:val="24"/>
          <w:shd w:val="clear" w:color="auto" w:fill="FFFFFF"/>
          <w:vertAlign w:val="superscript"/>
          <w:lang w:val="en-US"/>
        </w:rPr>
        <w:t>[94]</w:t>
      </w:r>
      <w:r w:rsidRPr="00A96D05">
        <w:rPr>
          <w:rFonts w:ascii="Book Antiqua" w:hAnsi="Book Antiqua" w:cs="Book Antiqua"/>
          <w:color w:val="000000"/>
          <w:sz w:val="24"/>
          <w:szCs w:val="24"/>
          <w:shd w:val="clear" w:color="auto" w:fill="FFFFFF"/>
          <w:lang w:val="en-US"/>
        </w:rPr>
        <w:t xml:space="preserve">. Similarly, pre-treatment of TLPs with antibodies against these peptides led to decreased infectivity. These findings allow hypothesizing that the disulfide bonds present in VP8* or VP5* could be reduced by PDI facilitating the TLP uncoating. The fact that PDI can produce </w:t>
      </w:r>
      <w:r w:rsidRPr="00A96D05">
        <w:rPr>
          <w:rFonts w:ascii="Book Antiqua" w:hAnsi="Book Antiqua" w:cs="Book Antiqua"/>
          <w:i/>
          <w:iCs/>
          <w:color w:val="000000"/>
          <w:sz w:val="24"/>
          <w:szCs w:val="24"/>
          <w:shd w:val="clear" w:color="auto" w:fill="FFFFFF"/>
          <w:lang w:val="en-US"/>
        </w:rPr>
        <w:t>in vitro</w:t>
      </w:r>
      <w:r w:rsidRPr="00A96D05">
        <w:rPr>
          <w:rFonts w:ascii="Book Antiqua" w:hAnsi="Book Antiqua" w:cs="Book Antiqua"/>
          <w:color w:val="000000"/>
          <w:sz w:val="24"/>
          <w:szCs w:val="24"/>
          <w:shd w:val="clear" w:color="auto" w:fill="FFFFFF"/>
          <w:lang w:val="en-US"/>
        </w:rPr>
        <w:t xml:space="preserve"> modifications in the redox status of VP4 and VP7 </w:t>
      </w:r>
      <w:r w:rsidRPr="00A96D05">
        <w:rPr>
          <w:rFonts w:ascii="Book Antiqua" w:hAnsi="Book Antiqua" w:cs="Book Antiqua"/>
          <w:color w:val="000000"/>
          <w:sz w:val="24"/>
          <w:szCs w:val="24"/>
          <w:lang w:val="en-US"/>
        </w:rPr>
        <w:t>(Rivera M, Guerrero CA, Acosta O, manuscript in preparation)</w:t>
      </w:r>
      <w:r w:rsidRPr="00A96D05">
        <w:rPr>
          <w:rFonts w:ascii="Book Antiqua" w:hAnsi="Book Antiqua" w:cs="Book Antiqua"/>
          <w:color w:val="000000"/>
          <w:sz w:val="24"/>
          <w:szCs w:val="24"/>
          <w:shd w:val="clear" w:color="auto" w:fill="FFFFFF"/>
          <w:lang w:val="en-US"/>
        </w:rPr>
        <w:t xml:space="preserve"> gives support to this hypothesis. It would be interesting to know whether the mechanism causing the release of VP8* from VP5* involves redox reactions. Disulfide bond reduction could be a plausible candidate mechanism for ensuring the conformational changes needed for detachment of VP5* from integrin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2β1, contributing in this way to make the entry process irreversible. VP7 maturation in the ER lumen has been reported to involve oxidation reactions caused by the oxidant PDI to generate intra-molecular disulfide bonds and a proper conformation to ensure its assembly on DLPs</w:t>
      </w:r>
      <w:r w:rsidRPr="00A96D05">
        <w:rPr>
          <w:rFonts w:ascii="Book Antiqua" w:hAnsi="Book Antiqua" w:cs="Book Antiqua"/>
          <w:noProof/>
          <w:color w:val="000000"/>
          <w:sz w:val="24"/>
          <w:szCs w:val="24"/>
          <w:vertAlign w:val="superscript"/>
          <w:lang w:val="en-US"/>
        </w:rPr>
        <w:t>[140,152,153]</w:t>
      </w:r>
      <w:r w:rsidRPr="00A96D05">
        <w:rPr>
          <w:rFonts w:ascii="Book Antiqua" w:hAnsi="Book Antiqua" w:cs="Book Antiqua"/>
          <w:color w:val="000000"/>
          <w:sz w:val="24"/>
          <w:szCs w:val="24"/>
          <w:lang w:val="en-US"/>
        </w:rPr>
        <w:t>. The contribution of disulfide bonds to VP7 conformation seems to be crucial for the structural and functional roles of this protein during assembly and interaction of virions with cell surface receptors. Since virus entry leads to uncoating of TLPs by losing VP4 and VP7 to release the transcriptionally active DLPs into cytoplasm, it is tempting to propose that the reducing cell surface PDI could contribute to destabilize VP7 by reducing its disulfide bonds beside the contributions of the decreased Ca</w:t>
      </w:r>
      <w:r w:rsidRPr="00A96D05">
        <w:rPr>
          <w:rFonts w:ascii="Book Antiqua" w:hAnsi="Book Antiqua" w:cs="Book Antiqua"/>
          <w:color w:val="000000"/>
          <w:sz w:val="24"/>
          <w:szCs w:val="24"/>
          <w:vertAlign w:val="superscript"/>
          <w:lang w:val="en-US"/>
        </w:rPr>
        <w:t>2+</w:t>
      </w:r>
      <w:r w:rsidRPr="00A96D05">
        <w:rPr>
          <w:rFonts w:ascii="Book Antiqua" w:hAnsi="Book Antiqua" w:cs="Book Antiqua"/>
          <w:color w:val="000000"/>
          <w:sz w:val="24"/>
          <w:szCs w:val="24"/>
          <w:lang w:val="en-US"/>
        </w:rPr>
        <w:t xml:space="preserve"> concentration and acidification reported to occur in the endocytic environment</w:t>
      </w:r>
      <w:r w:rsidRPr="00A96D05">
        <w:rPr>
          <w:rFonts w:ascii="Book Antiqua" w:hAnsi="Book Antiqua" w:cs="Book Antiqua"/>
          <w:noProof/>
          <w:color w:val="000000"/>
          <w:sz w:val="24"/>
          <w:szCs w:val="24"/>
          <w:vertAlign w:val="superscript"/>
          <w:lang w:val="en-US"/>
        </w:rPr>
        <w:t>[154-156]</w:t>
      </w:r>
      <w:r w:rsidRPr="00A96D05">
        <w:rPr>
          <w:rFonts w:ascii="Book Antiqua" w:hAnsi="Book Antiqua" w:cs="Book Antiqua"/>
          <w:color w:val="000000"/>
          <w:sz w:val="24"/>
          <w:szCs w:val="24"/>
          <w:lang w:val="en-US"/>
        </w:rPr>
        <w:t>. DLPs in the absence of VP4 and VP7 have been shown to be able to bud into the ER lumen. Taking into account that the reduced VP7 seem to have low affinity for DLPs, it is not unlikely that DLPs present in the endosomal vesicles can bud into the cytoplasm through the permeabilized endosomal membrane</w:t>
      </w:r>
      <w:r w:rsidRPr="00A96D05">
        <w:rPr>
          <w:rFonts w:ascii="Book Antiqua" w:hAnsi="Book Antiqua" w:cs="Book Antiqua"/>
          <w:noProof/>
          <w:color w:val="000000"/>
          <w:sz w:val="24"/>
          <w:szCs w:val="24"/>
          <w:vertAlign w:val="superscript"/>
          <w:lang w:val="en-US"/>
        </w:rPr>
        <w:t>[156]</w:t>
      </w:r>
      <w:r w:rsidRPr="00A96D05">
        <w:rPr>
          <w:rFonts w:ascii="Book Antiqua" w:hAnsi="Book Antiqua" w:cs="Book Antiqua"/>
          <w:color w:val="000000"/>
          <w:sz w:val="24"/>
          <w:szCs w:val="24"/>
          <w:lang w:val="en-US"/>
        </w:rPr>
        <w:t>. In the opposite redox reaction, oxidized VP7 has been shown to be required to remove the transient lipid envelope in a calcium-dependent process to generate mature TLPs in the ER lumen</w:t>
      </w:r>
      <w:r w:rsidRPr="00A96D05">
        <w:rPr>
          <w:rFonts w:ascii="Book Antiqua" w:hAnsi="Book Antiqua" w:cs="Book Antiqua"/>
          <w:noProof/>
          <w:color w:val="000000"/>
          <w:sz w:val="24"/>
          <w:szCs w:val="24"/>
          <w:vertAlign w:val="superscript"/>
          <w:lang w:val="en-US"/>
        </w:rPr>
        <w:t>[16]</w:t>
      </w:r>
      <w:r w:rsidRPr="00A96D05">
        <w:rPr>
          <w:rFonts w:ascii="Book Antiqua" w:hAnsi="Book Antiqua" w:cs="Book Antiqua"/>
          <w:color w:val="000000"/>
          <w:sz w:val="24"/>
          <w:szCs w:val="24"/>
          <w:lang w:val="en-US"/>
        </w:rPr>
        <w:t xml:space="preserve">. Research aims at knowing whether the reducing PDI is modifying the redox status of VP7 in the endosomal membrane would be useful to determine the potential participation of redox reactions during generation of DLPs </w:t>
      </w:r>
      <w:r w:rsidRPr="00A96D05">
        <w:rPr>
          <w:rFonts w:ascii="Book Antiqua" w:hAnsi="Book Antiqua" w:cs="Book Antiqua"/>
          <w:i/>
          <w:iCs/>
          <w:color w:val="000000"/>
          <w:sz w:val="24"/>
          <w:szCs w:val="24"/>
          <w:lang w:val="en-US"/>
        </w:rPr>
        <w:t>in vivo</w:t>
      </w:r>
      <w:r w:rsidRPr="00A96D05">
        <w:rPr>
          <w:rFonts w:ascii="Book Antiqua" w:hAnsi="Book Antiqua" w:cs="Book Antiqua"/>
          <w:color w:val="000000"/>
          <w:sz w:val="24"/>
          <w:szCs w:val="24"/>
          <w:lang w:val="en-US"/>
        </w:rPr>
        <w:t xml:space="preserve">. Interaction between the outer capsid proteins (VP4 and VP7) and PDI has been demonstrated </w:t>
      </w:r>
      <w:r w:rsidRPr="00A96D05">
        <w:rPr>
          <w:rFonts w:ascii="Book Antiqua" w:hAnsi="Book Antiqua" w:cs="Book Antiqua"/>
          <w:i/>
          <w:iCs/>
          <w:color w:val="000000"/>
          <w:sz w:val="24"/>
          <w:szCs w:val="24"/>
          <w:lang w:val="en-US"/>
        </w:rPr>
        <w:t>in vitro</w:t>
      </w:r>
      <w:r w:rsidRPr="00A96D05">
        <w:rPr>
          <w:rFonts w:ascii="Book Antiqua" w:hAnsi="Book Antiqua" w:cs="Book Antiqua"/>
          <w:color w:val="000000"/>
          <w:sz w:val="24"/>
          <w:szCs w:val="24"/>
          <w:lang w:val="en-US"/>
        </w:rPr>
        <w:t xml:space="preserve"> and also the generation of free thiols in these proteins after this interaction. Similarly, thiol groups are generated in the outer capsid proteins after TLPs contact the cell surface, suggesting that PDI or other related thioredoxins are able to reduce disulfide bonds in viral proteins (Rivera M, Guerrero CA, Acosta O, manuscript in preparation). Studies characterizing potential cell surface receptors for rotavirus infection of small intestinal villus cells from mice showed that raft-associated Hsc70, PDI and integrin β3 played an important role in the rotavirus entry process as previously shown for MA104 cells</w:t>
      </w:r>
      <w:r w:rsidRPr="00A96D05">
        <w:rPr>
          <w:rFonts w:ascii="Book Antiqua" w:hAnsi="Book Antiqua" w:cs="Book Antiqua"/>
          <w:noProof/>
          <w:color w:val="000000"/>
          <w:sz w:val="24"/>
          <w:szCs w:val="24"/>
          <w:vertAlign w:val="superscript"/>
          <w:lang w:val="en-US"/>
        </w:rPr>
        <w:t>[127]</w:t>
      </w:r>
      <w:r w:rsidRPr="00A96D05">
        <w:rPr>
          <w:rFonts w:ascii="Book Antiqua" w:hAnsi="Book Antiqua" w:cs="Book Antiqua"/>
          <w:color w:val="000000"/>
          <w:sz w:val="24"/>
          <w:szCs w:val="24"/>
          <w:lang w:val="en-US"/>
        </w:rPr>
        <w:t xml:space="preserve">. It has been reported that integrin subunit β3 and integrin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2β1 are present on the cell surface of murine and human enterocytes</w:t>
      </w:r>
      <w:r w:rsidRPr="00A96D05">
        <w:rPr>
          <w:rFonts w:ascii="Book Antiqua" w:hAnsi="Book Antiqua" w:cs="Book Antiqua"/>
          <w:noProof/>
          <w:color w:val="000000"/>
          <w:sz w:val="24"/>
          <w:szCs w:val="24"/>
          <w:vertAlign w:val="superscript"/>
          <w:lang w:val="en-US"/>
        </w:rPr>
        <w:t>[157,158]</w:t>
      </w:r>
      <w:r w:rsidRPr="00A96D05">
        <w:rPr>
          <w:rFonts w:ascii="Book Antiqua" w:hAnsi="Book Antiqua" w:cs="Book Antiqua"/>
          <w:color w:val="000000"/>
          <w:sz w:val="24"/>
          <w:szCs w:val="24"/>
          <w:lang w:val="en-US"/>
        </w:rPr>
        <w:t xml:space="preserve">, and that rotavirus-susceptible MA104, COS7 and Caco-2 cells also contain cell surface receptors including </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vβ3 and Hsc70</w:t>
      </w:r>
      <w:r w:rsidRPr="00A96D05">
        <w:rPr>
          <w:rFonts w:ascii="Book Antiqua" w:hAnsi="Book Antiqua" w:cs="Book Antiqua"/>
          <w:noProof/>
          <w:color w:val="000000"/>
          <w:sz w:val="24"/>
          <w:szCs w:val="24"/>
          <w:vertAlign w:val="superscript"/>
          <w:lang w:val="en-US"/>
        </w:rPr>
        <w:t>[113,128]</w:t>
      </w:r>
      <w:r w:rsidRPr="00A96D05">
        <w:rPr>
          <w:rFonts w:ascii="Book Antiqua" w:hAnsi="Book Antiqua" w:cs="Book Antiqua"/>
          <w:color w:val="000000"/>
          <w:sz w:val="24"/>
          <w:szCs w:val="24"/>
          <w:lang w:val="en-US"/>
        </w:rPr>
        <w:t>. The colocalization of PDI, integrin β3, Hsc70 and rotavirus particles in lipid microdomains (rafts) from MA104 and intestinal villus cells</w:t>
      </w:r>
      <w:r w:rsidRPr="00A96D05">
        <w:rPr>
          <w:rFonts w:ascii="Book Antiqua" w:hAnsi="Book Antiqua" w:cs="Book Antiqua"/>
          <w:noProof/>
          <w:color w:val="000000"/>
          <w:sz w:val="24"/>
          <w:szCs w:val="24"/>
          <w:vertAlign w:val="superscript"/>
          <w:lang w:val="en-US"/>
        </w:rPr>
        <w:t>[12,127]</w:t>
      </w:r>
      <w:r w:rsidRPr="00A96D05">
        <w:rPr>
          <w:rFonts w:ascii="Book Antiqua" w:hAnsi="Book Antiqua" w:cs="Book Antiqua"/>
          <w:color w:val="000000"/>
          <w:sz w:val="24"/>
          <w:szCs w:val="24"/>
          <w:lang w:val="en-US"/>
        </w:rPr>
        <w:t xml:space="preserve"> suggest that PDI reducing function at cell surface can activate either integrins or VP7 to interact each other during entry</w:t>
      </w:r>
      <w:r w:rsidRPr="00A96D05">
        <w:rPr>
          <w:rFonts w:ascii="Book Antiqua" w:hAnsi="Book Antiqua" w:cs="Book Antiqua"/>
          <w:noProof/>
          <w:color w:val="000000"/>
          <w:sz w:val="24"/>
          <w:szCs w:val="24"/>
          <w:vertAlign w:val="superscript"/>
          <w:lang w:val="en-US"/>
        </w:rPr>
        <w:t>[94]</w:t>
      </w:r>
      <w:r w:rsidRPr="00A96D05">
        <w:rPr>
          <w:rFonts w:ascii="Book Antiqua" w:hAnsi="Book Antiqua" w:cs="Book Antiqua"/>
          <w:color w:val="000000"/>
          <w:sz w:val="24"/>
          <w:szCs w:val="24"/>
          <w:lang w:val="en-US"/>
        </w:rPr>
        <w:t xml:space="preserve">. </w:t>
      </w:r>
    </w:p>
    <w:p w:rsidR="005C6065" w:rsidRPr="00A96D05" w:rsidRDefault="005C6065" w:rsidP="002438CD">
      <w:pPr>
        <w:autoSpaceDE w:val="0"/>
        <w:autoSpaceDN w:val="0"/>
        <w:adjustRightInd w:val="0"/>
        <w:spacing w:after="0" w:line="360" w:lineRule="auto"/>
        <w:ind w:firstLineChars="100" w:firstLine="31680"/>
        <w:jc w:val="both"/>
        <w:rPr>
          <w:rFonts w:ascii="Book Antiqua" w:hAnsi="Book Antiqua" w:cs="Book Antiqua"/>
          <w:color w:val="000000"/>
          <w:sz w:val="24"/>
          <w:szCs w:val="24"/>
          <w:lang w:val="en-US" w:eastAsia="zh-CN"/>
        </w:rPr>
      </w:pPr>
      <w:r w:rsidRPr="00A96D05">
        <w:rPr>
          <w:rFonts w:ascii="Book Antiqua" w:hAnsi="Book Antiqua" w:cs="Book Antiqua"/>
          <w:color w:val="000000"/>
          <w:sz w:val="24"/>
          <w:szCs w:val="24"/>
          <w:lang w:val="en-US"/>
        </w:rPr>
        <w:t xml:space="preserve">The role of thiol-disulfide exchange during rotavirus infection is well documented, but the detailed processes of this implication still remain incompletely elucidated. Although PDI has emerged as a significant contributor for generating thiol-disulfide-associated conformational changes in rotavirus structural proteins during uncoating and assembly of viral particles, contributions from integrins and other thioredoxins cannot be ruled out. Again, a better understanding about the involvement of thiol-disulphide exchange in the rotavirus infection process could facilitate the identification of potential targets of therapeutic strategies. </w:t>
      </w:r>
    </w:p>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lang w:val="en-US" w:eastAsia="zh-CN"/>
        </w:rPr>
      </w:pP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OXIDATIVE STRESS AND ROTAVIRUS INFECTION</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Several studies have demonstrated the implication of redox balance disruption in the establishing of viral infection and the progression of virus-induced diseases</w:t>
      </w:r>
      <w:r w:rsidRPr="00A96D05">
        <w:rPr>
          <w:rFonts w:ascii="Book Antiqua" w:hAnsi="Book Antiqua" w:cs="Book Antiqua"/>
          <w:noProof/>
          <w:color w:val="000000"/>
          <w:sz w:val="24"/>
          <w:szCs w:val="24"/>
          <w:vertAlign w:val="superscript"/>
          <w:lang w:val="en-US"/>
        </w:rPr>
        <w:t>[159]</w:t>
      </w:r>
      <w:r w:rsidRPr="00A96D05">
        <w:rPr>
          <w:rFonts w:ascii="Book Antiqua" w:hAnsi="Book Antiqua" w:cs="Book Antiqua"/>
          <w:color w:val="000000"/>
          <w:sz w:val="24"/>
          <w:szCs w:val="24"/>
          <w:lang w:val="en-US"/>
        </w:rPr>
        <w:t>. The oxidants induced by viral infections include superoxide anion (O</w:t>
      </w:r>
      <w:r w:rsidRPr="00A96D05">
        <w:rPr>
          <w:rFonts w:ascii="Book Antiqua" w:hAnsi="Book Antiqua" w:cs="Book Antiqua"/>
          <w:color w:val="000000"/>
          <w:sz w:val="24"/>
          <w:szCs w:val="24"/>
          <w:vertAlign w:val="subscript"/>
          <w:lang w:val="en-US"/>
        </w:rPr>
        <w:t>2</w:t>
      </w:r>
      <w:r w:rsidRPr="00A96D05">
        <w:rPr>
          <w:rFonts w:ascii="Book Antiqua" w:hAnsi="Book Antiqua" w:cs="Book Antiqua"/>
          <w:color w:val="000000"/>
          <w:sz w:val="24"/>
          <w:szCs w:val="24"/>
          <w:vertAlign w:val="superscript"/>
          <w:lang w:val="en-GB" w:eastAsia="zh-CN"/>
        </w:rPr>
        <w:t>-</w:t>
      </w:r>
      <w:r w:rsidRPr="00A96D05">
        <w:rPr>
          <w:rFonts w:ascii="Book Antiqua" w:hAnsi="Book Antiqua" w:cs="Book Antiqua"/>
          <w:color w:val="000000"/>
          <w:sz w:val="24"/>
          <w:szCs w:val="24"/>
          <w:lang w:val="en-US"/>
        </w:rPr>
        <w:t>)</w:t>
      </w:r>
      <w:r w:rsidRPr="00A96D05">
        <w:rPr>
          <w:rFonts w:ascii="Book Antiqua" w:hAnsi="Book Antiqua" w:cs="Book Antiqua"/>
          <w:noProof/>
          <w:color w:val="000000"/>
          <w:sz w:val="24"/>
          <w:szCs w:val="24"/>
          <w:vertAlign w:val="superscript"/>
          <w:lang w:val="en-US"/>
        </w:rPr>
        <w:t>[160]</w:t>
      </w:r>
      <w:r w:rsidRPr="00A96D05">
        <w:rPr>
          <w:rFonts w:ascii="Book Antiqua" w:hAnsi="Book Antiqua" w:cs="Book Antiqua"/>
          <w:color w:val="000000"/>
          <w:sz w:val="24"/>
          <w:szCs w:val="24"/>
          <w:lang w:val="en-US"/>
        </w:rPr>
        <w:t>, which can be transformed into hydroxyl radical (OH</w:t>
      </w:r>
      <w:r w:rsidRPr="00A96D05">
        <w:rPr>
          <w:rFonts w:ascii="Book Antiqua" w:hAnsi="Book Antiqua" w:cs="Book Antiqua"/>
          <w:color w:val="000000"/>
          <w:sz w:val="24"/>
          <w:szCs w:val="24"/>
          <w:vertAlign w:val="superscript"/>
          <w:lang w:val="en-GB" w:eastAsia="zh-CN"/>
        </w:rPr>
        <w:t>-</w:t>
      </w:r>
      <w:r w:rsidRPr="00A96D05">
        <w:rPr>
          <w:rFonts w:ascii="Book Antiqua" w:hAnsi="Book Antiqua" w:cs="Book Antiqua"/>
          <w:color w:val="000000"/>
          <w:sz w:val="24"/>
          <w:szCs w:val="24"/>
          <w:lang w:val="en-US"/>
        </w:rPr>
        <w:t>), nitric oxide radical (NO), H</w:t>
      </w:r>
      <w:r w:rsidRPr="00A96D05">
        <w:rPr>
          <w:rFonts w:ascii="Book Antiqua" w:hAnsi="Book Antiqua" w:cs="Book Antiqua"/>
          <w:color w:val="000000"/>
          <w:sz w:val="24"/>
          <w:szCs w:val="24"/>
          <w:vertAlign w:val="subscript"/>
          <w:lang w:val="en-US"/>
        </w:rPr>
        <w:t>2</w:t>
      </w:r>
      <w:r w:rsidRPr="00A96D05">
        <w:rPr>
          <w:rFonts w:ascii="Book Antiqua" w:hAnsi="Book Antiqua" w:cs="Book Antiqua"/>
          <w:color w:val="000000"/>
          <w:sz w:val="24"/>
          <w:szCs w:val="24"/>
          <w:lang w:val="en-US"/>
        </w:rPr>
        <w:t>O</w:t>
      </w:r>
      <w:r w:rsidRPr="00A96D05">
        <w:rPr>
          <w:rFonts w:ascii="Book Antiqua" w:hAnsi="Book Antiqua" w:cs="Book Antiqua"/>
          <w:color w:val="000000"/>
          <w:sz w:val="24"/>
          <w:szCs w:val="24"/>
          <w:vertAlign w:val="subscript"/>
          <w:lang w:val="en-US"/>
        </w:rPr>
        <w:t>2</w:t>
      </w:r>
      <w:r w:rsidRPr="00A96D05">
        <w:rPr>
          <w:rFonts w:ascii="Book Antiqua" w:hAnsi="Book Antiqua" w:cs="Book Antiqua"/>
          <w:color w:val="000000"/>
          <w:sz w:val="24"/>
          <w:szCs w:val="24"/>
          <w:lang w:val="en-US"/>
        </w:rPr>
        <w:t xml:space="preserve"> or peroxynitrite (ONOO</w:t>
      </w:r>
      <w:r w:rsidRPr="00A96D05">
        <w:rPr>
          <w:rFonts w:ascii="Book Antiqua" w:hAnsi="Book Antiqua" w:cs="Book Antiqua"/>
          <w:color w:val="000000"/>
          <w:sz w:val="24"/>
          <w:szCs w:val="24"/>
          <w:vertAlign w:val="superscript"/>
          <w:lang w:val="en-US" w:eastAsia="zh-CN"/>
        </w:rPr>
        <w:t>-</w:t>
      </w:r>
      <w:r w:rsidRPr="00A96D05">
        <w:rPr>
          <w:rFonts w:ascii="Book Antiqua" w:hAnsi="Book Antiqua" w:cs="Book Antiqua"/>
          <w:color w:val="000000"/>
          <w:sz w:val="24"/>
          <w:szCs w:val="24"/>
          <w:lang w:val="en-US"/>
        </w:rPr>
        <w:t>) through enzymatic and non-enzymatic reactions. The findings showing pathogenic interactions between ROS and HIV stimulated research into the role these interactions may play in the pathogenesis of many viruses, opening the way for novel antioxidant-based antiviral therapeutic strategies</w:t>
      </w:r>
      <w:r w:rsidRPr="00A96D05">
        <w:rPr>
          <w:rFonts w:ascii="Book Antiqua" w:hAnsi="Book Antiqua" w:cs="Book Antiqua"/>
          <w:noProof/>
          <w:color w:val="000000"/>
          <w:sz w:val="24"/>
          <w:szCs w:val="24"/>
          <w:vertAlign w:val="superscript"/>
          <w:lang w:val="en-US"/>
        </w:rPr>
        <w:t>[161,162]</w:t>
      </w:r>
      <w:r w:rsidRPr="00A96D05">
        <w:rPr>
          <w:rFonts w:ascii="Book Antiqua" w:hAnsi="Book Antiqua" w:cs="Book Antiqua"/>
          <w:color w:val="000000"/>
          <w:sz w:val="24"/>
          <w:szCs w:val="24"/>
          <w:lang w:val="en-US"/>
        </w:rPr>
        <w:t>. ROS may modulate the viral replication and cellular response, and also contribute to viral pathogenesis</w:t>
      </w:r>
      <w:r w:rsidRPr="00A96D05">
        <w:rPr>
          <w:rFonts w:ascii="Book Antiqua" w:hAnsi="Book Antiqua" w:cs="Book Antiqua"/>
          <w:noProof/>
          <w:color w:val="000000"/>
          <w:sz w:val="24"/>
          <w:szCs w:val="24"/>
          <w:vertAlign w:val="superscript"/>
          <w:lang w:val="en-US"/>
        </w:rPr>
        <w:t>[163,164]</w:t>
      </w:r>
      <w:r w:rsidRPr="00A96D05">
        <w:rPr>
          <w:rFonts w:ascii="Book Antiqua" w:hAnsi="Book Antiqua" w:cs="Book Antiqua"/>
          <w:color w:val="000000"/>
          <w:sz w:val="24"/>
          <w:szCs w:val="24"/>
          <w:lang w:val="en-US"/>
        </w:rPr>
        <w:t>. Virus-induced oxidative stress has been reported during HIV</w:t>
      </w:r>
      <w:r w:rsidRPr="00A96D05">
        <w:rPr>
          <w:rFonts w:ascii="Book Antiqua" w:hAnsi="Book Antiqua" w:cs="Book Antiqua"/>
          <w:noProof/>
          <w:color w:val="000000"/>
          <w:sz w:val="24"/>
          <w:szCs w:val="24"/>
          <w:vertAlign w:val="superscript"/>
          <w:lang w:val="en-US"/>
        </w:rPr>
        <w:t>[165]</w:t>
      </w:r>
      <w:r w:rsidRPr="00A96D05">
        <w:rPr>
          <w:rFonts w:ascii="Book Antiqua" w:hAnsi="Book Antiqua" w:cs="Book Antiqua"/>
          <w:color w:val="000000"/>
          <w:sz w:val="24"/>
          <w:szCs w:val="24"/>
          <w:lang w:val="en-US"/>
        </w:rPr>
        <w:t>, influenza virus</w:t>
      </w:r>
      <w:r w:rsidRPr="00A96D05">
        <w:rPr>
          <w:rFonts w:ascii="Book Antiqua" w:hAnsi="Book Antiqua" w:cs="Book Antiqua"/>
          <w:noProof/>
          <w:color w:val="000000"/>
          <w:sz w:val="24"/>
          <w:szCs w:val="24"/>
          <w:vertAlign w:val="superscript"/>
          <w:lang w:val="en-US"/>
        </w:rPr>
        <w:t>[166]</w:t>
      </w:r>
      <w:r w:rsidRPr="00A96D05">
        <w:rPr>
          <w:rFonts w:ascii="Book Antiqua" w:hAnsi="Book Antiqua" w:cs="Book Antiqua"/>
          <w:color w:val="000000"/>
          <w:sz w:val="24"/>
          <w:szCs w:val="24"/>
          <w:lang w:val="en-US"/>
        </w:rPr>
        <w:t>, HBV</w:t>
      </w:r>
      <w:r w:rsidRPr="00A96D05">
        <w:rPr>
          <w:rFonts w:ascii="Book Antiqua" w:hAnsi="Book Antiqua" w:cs="Book Antiqua"/>
          <w:noProof/>
          <w:color w:val="000000"/>
          <w:sz w:val="24"/>
          <w:szCs w:val="24"/>
          <w:vertAlign w:val="superscript"/>
          <w:lang w:val="en-US"/>
        </w:rPr>
        <w:t>[167]</w:t>
      </w:r>
      <w:r w:rsidRPr="00A96D05">
        <w:rPr>
          <w:rFonts w:ascii="Book Antiqua" w:hAnsi="Book Antiqua" w:cs="Book Antiqua"/>
          <w:color w:val="000000"/>
          <w:sz w:val="24"/>
          <w:szCs w:val="24"/>
          <w:lang w:val="en-US"/>
        </w:rPr>
        <w:t>, hepatitis C virus</w:t>
      </w:r>
      <w:r w:rsidRPr="00A96D05">
        <w:rPr>
          <w:rFonts w:ascii="Book Antiqua" w:hAnsi="Book Antiqua" w:cs="Book Antiqua"/>
          <w:noProof/>
          <w:color w:val="000000"/>
          <w:sz w:val="24"/>
          <w:szCs w:val="24"/>
          <w:vertAlign w:val="superscript"/>
          <w:lang w:val="en-US"/>
        </w:rPr>
        <w:t>[168]</w:t>
      </w:r>
      <w:r w:rsidRPr="00A96D05">
        <w:rPr>
          <w:rFonts w:ascii="Book Antiqua" w:hAnsi="Book Antiqua" w:cs="Book Antiqua"/>
          <w:color w:val="000000"/>
          <w:sz w:val="24"/>
          <w:szCs w:val="24"/>
          <w:lang w:val="en-US"/>
        </w:rPr>
        <w:t>, encephalomyocarditis virus (EMCV)</w:t>
      </w:r>
      <w:r w:rsidRPr="00A96D05">
        <w:rPr>
          <w:rFonts w:ascii="Book Antiqua" w:hAnsi="Book Antiqua" w:cs="Book Antiqua"/>
          <w:noProof/>
          <w:color w:val="000000"/>
          <w:sz w:val="24"/>
          <w:szCs w:val="24"/>
          <w:vertAlign w:val="superscript"/>
          <w:lang w:val="en-US"/>
        </w:rPr>
        <w:t>[169]</w:t>
      </w:r>
      <w:r w:rsidRPr="00A96D05">
        <w:rPr>
          <w:rFonts w:ascii="Book Antiqua" w:hAnsi="Book Antiqua" w:cs="Book Antiqua"/>
          <w:color w:val="000000"/>
          <w:sz w:val="24"/>
          <w:szCs w:val="24"/>
          <w:lang w:val="en-US"/>
        </w:rPr>
        <w:t>, respiratory syncytial virus (RSV)</w:t>
      </w:r>
      <w:r w:rsidRPr="00A96D05">
        <w:rPr>
          <w:rFonts w:ascii="Book Antiqua" w:hAnsi="Book Antiqua" w:cs="Book Antiqua"/>
          <w:noProof/>
          <w:color w:val="000000"/>
          <w:sz w:val="24"/>
          <w:szCs w:val="24"/>
          <w:vertAlign w:val="superscript"/>
          <w:lang w:val="en-US"/>
        </w:rPr>
        <w:t>[170]</w:t>
      </w:r>
      <w:r w:rsidRPr="00A96D05">
        <w:rPr>
          <w:rFonts w:ascii="Book Antiqua" w:hAnsi="Book Antiqua" w:cs="Book Antiqua"/>
          <w:color w:val="000000"/>
          <w:sz w:val="24"/>
          <w:szCs w:val="24"/>
          <w:lang w:val="en-US"/>
        </w:rPr>
        <w:t>, dengue virus</w:t>
      </w:r>
      <w:r w:rsidRPr="00A96D05">
        <w:rPr>
          <w:rFonts w:ascii="Book Antiqua" w:hAnsi="Book Antiqua" w:cs="Book Antiqua"/>
          <w:noProof/>
          <w:color w:val="000000"/>
          <w:sz w:val="24"/>
          <w:szCs w:val="24"/>
          <w:vertAlign w:val="superscript"/>
          <w:lang w:val="en-US"/>
        </w:rPr>
        <w:t>[171,172]</w:t>
      </w:r>
      <w:r w:rsidRPr="00A96D05">
        <w:rPr>
          <w:rFonts w:ascii="Book Antiqua" w:hAnsi="Book Antiqua" w:cs="Book Antiqua"/>
          <w:color w:val="000000"/>
          <w:sz w:val="24"/>
          <w:szCs w:val="24"/>
          <w:lang w:val="en-US"/>
        </w:rPr>
        <w:t>, and JEV</w:t>
      </w:r>
      <w:r w:rsidRPr="00A96D05">
        <w:rPr>
          <w:rFonts w:ascii="Book Antiqua" w:hAnsi="Book Antiqua" w:cs="Book Antiqua"/>
          <w:noProof/>
          <w:color w:val="000000"/>
          <w:sz w:val="24"/>
          <w:szCs w:val="24"/>
          <w:vertAlign w:val="superscript"/>
          <w:lang w:val="en-US"/>
        </w:rPr>
        <w:t>[173]</w:t>
      </w:r>
      <w:r w:rsidRPr="00A96D05">
        <w:rPr>
          <w:rFonts w:ascii="Book Antiqua" w:hAnsi="Book Antiqua" w:cs="Book Antiqua"/>
          <w:color w:val="000000"/>
          <w:sz w:val="24"/>
          <w:szCs w:val="24"/>
          <w:lang w:val="en-US"/>
        </w:rPr>
        <w:t xml:space="preserve"> infections.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Early studies on rotavirus infection showed decreased SOD and glutathione peroxidase activities in whole intestine homogenates from infant mice</w:t>
      </w:r>
      <w:r w:rsidRPr="00A96D05">
        <w:rPr>
          <w:rFonts w:ascii="Book Antiqua" w:hAnsi="Book Antiqua" w:cs="Book Antiqua"/>
          <w:noProof/>
          <w:color w:val="000000"/>
          <w:sz w:val="24"/>
          <w:szCs w:val="24"/>
          <w:vertAlign w:val="superscript"/>
          <w:lang w:val="en-US"/>
        </w:rPr>
        <w:t>[174]</w:t>
      </w:r>
      <w:r w:rsidRPr="00A96D05">
        <w:rPr>
          <w:rFonts w:ascii="Book Antiqua" w:hAnsi="Book Antiqua" w:cs="Book Antiqua"/>
          <w:color w:val="000000"/>
          <w:sz w:val="24"/>
          <w:szCs w:val="24"/>
          <w:lang w:val="en-US"/>
        </w:rPr>
        <w:t>. A more recent study reported that rotavirus infection was able to induce an increase in inducible nitric oxide synthase (iNOS) mRNA in murine ileum and iNOS expression also in murine ileum upon exposure to NSP4</w:t>
      </w:r>
      <w:r w:rsidRPr="00A96D05">
        <w:rPr>
          <w:rFonts w:ascii="Book Antiqua" w:hAnsi="Book Antiqua" w:cs="Book Antiqua"/>
          <w:noProof/>
          <w:color w:val="000000"/>
          <w:sz w:val="24"/>
          <w:szCs w:val="24"/>
          <w:vertAlign w:val="superscript"/>
          <w:lang w:val="en-US"/>
        </w:rPr>
        <w:t>[175]</w:t>
      </w:r>
      <w:r w:rsidRPr="00A96D05">
        <w:rPr>
          <w:rFonts w:ascii="Book Antiqua" w:hAnsi="Book Antiqua" w:cs="Book Antiqua"/>
          <w:color w:val="000000"/>
          <w:sz w:val="24"/>
          <w:szCs w:val="24"/>
          <w:lang w:val="en-US"/>
        </w:rPr>
        <w:t>. NSP4-induced release of NO metabolites was reported in cultured human intestinal epithelial cells incubated with purified NSP4</w:t>
      </w:r>
      <w:r w:rsidRPr="00A96D05">
        <w:rPr>
          <w:rFonts w:ascii="Book Antiqua" w:hAnsi="Book Antiqua" w:cs="Book Antiqua"/>
          <w:noProof/>
          <w:color w:val="000000"/>
          <w:sz w:val="24"/>
          <w:szCs w:val="24"/>
          <w:vertAlign w:val="superscript"/>
          <w:lang w:val="en-US"/>
        </w:rPr>
        <w:t>[176]</w:t>
      </w:r>
      <w:r w:rsidRPr="00A96D05">
        <w:rPr>
          <w:rFonts w:ascii="Book Antiqua" w:hAnsi="Book Antiqua" w:cs="Book Antiqua"/>
          <w:color w:val="000000"/>
          <w:sz w:val="24"/>
          <w:szCs w:val="24"/>
          <w:lang w:val="en-US"/>
        </w:rPr>
        <w:t>. Increased NO metabolites were also observed in mice infected with murine rotavirus EDIM beside upregulation of iNOS mRNA in ileum, but not in duodenum or jejunum</w:t>
      </w:r>
      <w:r w:rsidRPr="00A96D05">
        <w:rPr>
          <w:rFonts w:ascii="Book Antiqua" w:hAnsi="Book Antiqua" w:cs="Book Antiqua"/>
          <w:noProof/>
          <w:color w:val="000000"/>
          <w:sz w:val="24"/>
          <w:szCs w:val="24"/>
          <w:vertAlign w:val="superscript"/>
          <w:lang w:val="en-US"/>
        </w:rPr>
        <w:t>[176]</w:t>
      </w:r>
      <w:r w:rsidRPr="00A96D05">
        <w:rPr>
          <w:rFonts w:ascii="Book Antiqua" w:hAnsi="Book Antiqua" w:cs="Book Antiqua"/>
          <w:color w:val="000000"/>
          <w:sz w:val="24"/>
          <w:szCs w:val="24"/>
          <w:lang w:val="en-US"/>
        </w:rPr>
        <w:t>. A prospective clinical study including acutely rotavirus-infected children showed that viral infection stimulated NO production</w:t>
      </w:r>
      <w:r w:rsidRPr="00A96D05">
        <w:rPr>
          <w:rFonts w:ascii="Book Antiqua" w:hAnsi="Book Antiqua" w:cs="Book Antiqua"/>
          <w:noProof/>
          <w:color w:val="000000"/>
          <w:sz w:val="24"/>
          <w:szCs w:val="24"/>
          <w:vertAlign w:val="superscript"/>
          <w:lang w:val="en-US"/>
        </w:rPr>
        <w:t>[176]</w:t>
      </w:r>
      <w:r w:rsidRPr="00A96D05">
        <w:rPr>
          <w:rFonts w:ascii="Book Antiqua" w:hAnsi="Book Antiqua" w:cs="Book Antiqua"/>
          <w:color w:val="000000"/>
          <w:sz w:val="24"/>
          <w:szCs w:val="24"/>
          <w:lang w:val="en-US"/>
        </w:rPr>
        <w:t>. However, studies using Caco-2 cells infected with SA11 rotavirus showed that viral infection increased the expression of the mitochondrial superoxide dismutase (MnSOD) within the first 48 h.p.i. This increased SOD expression was correlated with a decrease in ROS generation during the early phase of infection (8 h.p.i.) and a lack of cellular glutathione (GSH) depletion</w:t>
      </w:r>
      <w:r w:rsidRPr="00A96D05">
        <w:rPr>
          <w:rFonts w:ascii="Book Antiqua" w:hAnsi="Book Antiqua" w:cs="Book Antiqua"/>
          <w:noProof/>
          <w:color w:val="000000"/>
          <w:sz w:val="24"/>
          <w:szCs w:val="24"/>
          <w:vertAlign w:val="superscript"/>
          <w:lang w:val="en-US"/>
        </w:rPr>
        <w:t>[177]</w:t>
      </w:r>
      <w:r w:rsidRPr="00A96D05">
        <w:rPr>
          <w:rFonts w:ascii="Book Antiqua" w:hAnsi="Book Antiqua" w:cs="Book Antiqua"/>
          <w:color w:val="000000"/>
          <w:sz w:val="24"/>
          <w:szCs w:val="24"/>
          <w:lang w:val="en-US"/>
        </w:rPr>
        <w:t>. Despite the increase in enzyme activity was not directly proportional to the rise in protein expression level in the cell lysates studied, during the later post-infection times ROS returned to the control levels even in the presence of increased MnSOD protein expression. This fact was interpreted as being due to an overproduction of mitochondrial ROS that overwhelmed the activity of the MnSOD</w:t>
      </w:r>
      <w:r w:rsidRPr="00A96D05">
        <w:rPr>
          <w:rFonts w:ascii="Book Antiqua" w:hAnsi="Book Antiqua" w:cs="Book Antiqua"/>
          <w:noProof/>
          <w:color w:val="000000"/>
          <w:sz w:val="24"/>
          <w:szCs w:val="24"/>
          <w:vertAlign w:val="superscript"/>
          <w:lang w:val="en-US"/>
        </w:rPr>
        <w:t>[177]</w:t>
      </w:r>
      <w:r w:rsidRPr="00A96D05">
        <w:rPr>
          <w:rFonts w:ascii="Book Antiqua" w:hAnsi="Book Antiqua" w:cs="Book Antiqua"/>
          <w:color w:val="000000"/>
          <w:sz w:val="24"/>
          <w:szCs w:val="24"/>
          <w:lang w:val="en-US"/>
        </w:rPr>
        <w:t>. Induction of MnSOD overexpression has been shown to occur as a consequence of increased production of ROS through a pathway involving inflammatory cytokines such as tumor necrosis factor</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xml:space="preserve"> </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TNF-</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or IL-1</w:t>
      </w:r>
      <w:r w:rsidRPr="00A96D05">
        <w:rPr>
          <w:rFonts w:ascii="Book Antiqua" w:hAnsi="Book Antiqua" w:cs="Book Antiqua"/>
          <w:noProof/>
          <w:color w:val="000000"/>
          <w:sz w:val="24"/>
          <w:szCs w:val="24"/>
          <w:vertAlign w:val="superscript"/>
          <w:lang w:val="en-US"/>
        </w:rPr>
        <w:t>[178,179]</w:t>
      </w:r>
      <w:r w:rsidRPr="00A96D05">
        <w:rPr>
          <w:rFonts w:ascii="Book Antiqua" w:hAnsi="Book Antiqua" w:cs="Book Antiqua"/>
          <w:color w:val="000000"/>
          <w:sz w:val="24"/>
          <w:szCs w:val="24"/>
          <w:lang w:val="en-US"/>
        </w:rPr>
        <w:t xml:space="preserve"> and activation of the NF-κB factor by ROS</w:t>
      </w:r>
      <w:r w:rsidRPr="00A96D05">
        <w:rPr>
          <w:rFonts w:ascii="Book Antiqua" w:hAnsi="Book Antiqua" w:cs="Book Antiqua"/>
          <w:noProof/>
          <w:color w:val="000000"/>
          <w:sz w:val="24"/>
          <w:szCs w:val="24"/>
          <w:vertAlign w:val="superscript"/>
          <w:lang w:val="en-US"/>
        </w:rPr>
        <w:t>[180]</w:t>
      </w:r>
      <w:r w:rsidRPr="00A96D05">
        <w:rPr>
          <w:rFonts w:ascii="Book Antiqua" w:hAnsi="Book Antiqua" w:cs="Book Antiqua"/>
          <w:color w:val="000000"/>
          <w:sz w:val="24"/>
          <w:szCs w:val="24"/>
          <w:lang w:val="en-US"/>
        </w:rPr>
        <w:t>. ER stress was found to increase ROS</w:t>
      </w:r>
      <w:r w:rsidRPr="00A96D05">
        <w:rPr>
          <w:rFonts w:ascii="Book Antiqua" w:hAnsi="Book Antiqua" w:cs="Book Antiqua"/>
          <w:noProof/>
          <w:color w:val="000000"/>
          <w:sz w:val="24"/>
          <w:szCs w:val="24"/>
          <w:vertAlign w:val="superscript"/>
          <w:lang w:val="en-US"/>
        </w:rPr>
        <w:t>[181]</w:t>
      </w:r>
      <w:r w:rsidRPr="00A96D05">
        <w:rPr>
          <w:rFonts w:ascii="Book Antiqua" w:hAnsi="Book Antiqua" w:cs="Book Antiqua"/>
          <w:color w:val="000000"/>
          <w:sz w:val="24"/>
          <w:szCs w:val="24"/>
          <w:lang w:val="en-US"/>
        </w:rPr>
        <w:t xml:space="preserve"> and also induce MnSOD through nuclear factor NF-κB and AP-1 activation after exposure of HeLa cells to various agents interfering with ER functions</w:t>
      </w:r>
      <w:r w:rsidRPr="00A96D05">
        <w:rPr>
          <w:rFonts w:ascii="Book Antiqua" w:hAnsi="Book Antiqua" w:cs="Book Antiqua"/>
          <w:noProof/>
          <w:color w:val="000000"/>
          <w:sz w:val="24"/>
          <w:szCs w:val="24"/>
          <w:vertAlign w:val="superscript"/>
          <w:lang w:val="en-US"/>
        </w:rPr>
        <w:t>[182]</w:t>
      </w:r>
      <w:r w:rsidRPr="00A96D05">
        <w:rPr>
          <w:rFonts w:ascii="Book Antiqua" w:hAnsi="Book Antiqua" w:cs="Book Antiqua"/>
          <w:color w:val="000000"/>
          <w:sz w:val="24"/>
          <w:szCs w:val="24"/>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Acute gastroenteritis in piglets has been associated with increased levels of high-mobility group box 1 (HMGB1) protein (a nuclear DNA-binding protein), and serum haptoglobin and ceruloplasmin which suggest an acute phase response</w:t>
      </w:r>
      <w:r w:rsidRPr="00A96D05">
        <w:rPr>
          <w:rFonts w:ascii="Book Antiqua" w:hAnsi="Book Antiqua" w:cs="Book Antiqua"/>
          <w:noProof/>
          <w:color w:val="000000"/>
          <w:sz w:val="24"/>
          <w:szCs w:val="24"/>
          <w:vertAlign w:val="superscript"/>
          <w:lang w:val="en-US"/>
        </w:rPr>
        <w:t>[183]</w:t>
      </w:r>
      <w:r w:rsidRPr="00A96D05">
        <w:rPr>
          <w:rFonts w:ascii="Book Antiqua" w:hAnsi="Book Antiqua" w:cs="Book Antiqua"/>
          <w:color w:val="000000"/>
          <w:sz w:val="24"/>
          <w:szCs w:val="24"/>
          <w:lang w:val="en-US"/>
        </w:rPr>
        <w:t>. A significant decrease of total antioxidant capacity and antioxidant enzyme activities has been found in serum from piglets affected with acute enteritis. Increased values of oxidative stress indices, including the malondialdehyde (MDA) and NO concentrations in serum have also been associated with pathological condition</w:t>
      </w:r>
      <w:r w:rsidRPr="00A96D05">
        <w:rPr>
          <w:rFonts w:ascii="Book Antiqua" w:hAnsi="Book Antiqua" w:cs="Book Antiqua"/>
          <w:noProof/>
          <w:color w:val="000000"/>
          <w:sz w:val="24"/>
          <w:szCs w:val="24"/>
          <w:vertAlign w:val="superscript"/>
          <w:lang w:val="en-US"/>
        </w:rPr>
        <w:t>[183]</w:t>
      </w:r>
      <w:r w:rsidRPr="00A96D05">
        <w:rPr>
          <w:rFonts w:ascii="Book Antiqua" w:hAnsi="Book Antiqua" w:cs="Book Antiqua"/>
          <w:color w:val="000000"/>
          <w:sz w:val="24"/>
          <w:szCs w:val="24"/>
          <w:lang w:val="en-US"/>
        </w:rPr>
        <w:t xml:space="preserve">. However, HMGB1 protein, acute phase response and oxidative stress indices were even more prominent in the cases in which porcine rotavirus infection took place.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eastAsia="zh-CN"/>
        </w:rPr>
      </w:pPr>
      <w:r w:rsidRPr="00A96D05">
        <w:rPr>
          <w:rFonts w:ascii="Book Antiqua" w:hAnsi="Book Antiqua" w:cs="Book Antiqua"/>
          <w:color w:val="000000"/>
          <w:sz w:val="24"/>
          <w:szCs w:val="24"/>
          <w:lang w:val="en-US"/>
        </w:rPr>
        <w:t>Although there is a large body of information available about the involvement of oxidative stress in viral infection and its effects on cell functions leading to cell death, the extent to which oxidative stress is part of a natural defense response of cells to virus infection or a mechanism by which viruses induce cell injury is still unknown. Advances in the understanding of the role of oxidative stress in rotavirus infection might contribute to improved treatment strategies of rotavirus-induced diarrhea. Interestingly, rotavirus infection of cultured cell lines, and in vivo conditions using animals and human patients has been shown to be inhibited by anti-oxidant therapy</w:t>
      </w:r>
      <w:r w:rsidRPr="00A96D05">
        <w:rPr>
          <w:rFonts w:ascii="Book Antiqua" w:hAnsi="Book Antiqua" w:cs="Book Antiqua"/>
          <w:noProof/>
          <w:color w:val="000000"/>
          <w:sz w:val="24"/>
          <w:szCs w:val="24"/>
          <w:vertAlign w:val="superscript"/>
          <w:lang w:val="en-US"/>
        </w:rPr>
        <w:t>[184-186]</w:t>
      </w:r>
      <w:r w:rsidRPr="00A96D05">
        <w:rPr>
          <w:rFonts w:ascii="Book Antiqua" w:hAnsi="Book Antiqua" w:cs="Book Antiqua"/>
          <w:color w:val="000000"/>
          <w:sz w:val="24"/>
          <w:szCs w:val="24"/>
          <w:lang w:val="en-US"/>
        </w:rPr>
        <w:t>. These findings encourage research to clarify the role of virus induced-oxidative stress as a damaging by-product of infection or a condition required for a successful viral life cycle.</w:t>
      </w:r>
    </w:p>
    <w:p w:rsidR="005C6065" w:rsidRPr="00A96D05" w:rsidRDefault="005C6065" w:rsidP="00A96D05">
      <w:pPr>
        <w:spacing w:after="0" w:line="360" w:lineRule="auto"/>
        <w:jc w:val="both"/>
        <w:rPr>
          <w:rFonts w:ascii="Book Antiqua" w:hAnsi="Book Antiqua" w:cs="Book Antiqua"/>
          <w:color w:val="000000"/>
          <w:sz w:val="24"/>
          <w:szCs w:val="24"/>
          <w:lang w:val="en-US" w:eastAsia="zh-CN"/>
        </w:rPr>
      </w:pP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b/>
          <w:bCs/>
          <w:color w:val="000000"/>
          <w:sz w:val="24"/>
          <w:szCs w:val="24"/>
          <w:lang w:val="en-US"/>
        </w:rPr>
        <w:t>ER STRESS AND ROTAVIRUS INFECTION</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Disruption of protein folding homeostasis in the ER leads to unfolded or misfolded protein accumulation in the ER lumen and alteration in the calcium homeostasis. Protein misfolding in the ER contributes to the pathogenesis of many diseases. ER stress of intestinal epithelial cells activates signaling pathways known as unfolded protein response (UPR) which have been associated with inflammatory bowel disease</w:t>
      </w:r>
      <w:r w:rsidRPr="00A96D05">
        <w:rPr>
          <w:rFonts w:ascii="Book Antiqua" w:hAnsi="Book Antiqua" w:cs="Book Antiqua"/>
          <w:noProof/>
          <w:color w:val="000000"/>
          <w:sz w:val="24"/>
          <w:szCs w:val="24"/>
          <w:vertAlign w:val="superscript"/>
          <w:lang w:val="en-US"/>
        </w:rPr>
        <w:t>[188]</w:t>
      </w:r>
      <w:r w:rsidRPr="00A96D05">
        <w:rPr>
          <w:rFonts w:ascii="Book Antiqua" w:hAnsi="Book Antiqua" w:cs="Book Antiqua"/>
          <w:color w:val="000000"/>
          <w:sz w:val="24"/>
          <w:szCs w:val="24"/>
          <w:lang w:val="en-US"/>
        </w:rPr>
        <w:t>. Alterations in ER homeostasis are normally sensed and followed by activation of the UPR pathway in order to restore homeostasis by activating genes implicated in protein folding. Failure to resolve ER stress causes activation of apoptotic pathways that lead to cell death</w:t>
      </w:r>
      <w:r w:rsidRPr="00A96D05">
        <w:rPr>
          <w:rFonts w:ascii="Book Antiqua" w:hAnsi="Book Antiqua" w:cs="Book Antiqua"/>
          <w:noProof/>
          <w:color w:val="000000"/>
          <w:sz w:val="24"/>
          <w:szCs w:val="24"/>
          <w:vertAlign w:val="superscript"/>
          <w:lang w:val="en-US"/>
        </w:rPr>
        <w:t>[188]</w:t>
      </w:r>
      <w:r w:rsidRPr="00A96D05">
        <w:rPr>
          <w:rFonts w:ascii="Book Antiqua" w:hAnsi="Book Antiqua" w:cs="Book Antiqua"/>
          <w:color w:val="000000"/>
          <w:sz w:val="24"/>
          <w:szCs w:val="24"/>
          <w:lang w:val="en-US"/>
        </w:rPr>
        <w:t xml:space="preserve">. Misfolded proteins in the ER activate UPR and induce oxidative stress and apoptosis </w:t>
      </w:r>
      <w:r w:rsidRPr="00A96D05">
        <w:rPr>
          <w:rFonts w:ascii="Book Antiqua" w:hAnsi="Book Antiqua" w:cs="Book Antiqua"/>
          <w:i/>
          <w:iCs/>
          <w:color w:val="000000"/>
          <w:sz w:val="24"/>
          <w:szCs w:val="24"/>
          <w:lang w:val="en-US"/>
        </w:rPr>
        <w:t>in vitro</w:t>
      </w:r>
      <w:r w:rsidRPr="00A96D05">
        <w:rPr>
          <w:rFonts w:ascii="Book Antiqua" w:hAnsi="Book Antiqua" w:cs="Book Antiqua"/>
          <w:color w:val="000000"/>
          <w:sz w:val="24"/>
          <w:szCs w:val="24"/>
          <w:lang w:val="en-US"/>
        </w:rPr>
        <w:t xml:space="preserve"> and </w:t>
      </w:r>
      <w:r w:rsidRPr="00A96D05">
        <w:rPr>
          <w:rFonts w:ascii="Book Antiqua" w:hAnsi="Book Antiqua" w:cs="Book Antiqua"/>
          <w:i/>
          <w:iCs/>
          <w:color w:val="000000"/>
          <w:sz w:val="24"/>
          <w:szCs w:val="24"/>
          <w:lang w:val="en-US"/>
        </w:rPr>
        <w:t>in vivo</w:t>
      </w:r>
      <w:r w:rsidRPr="00A96D05">
        <w:rPr>
          <w:rFonts w:ascii="Book Antiqua" w:hAnsi="Book Antiqua" w:cs="Book Antiqua"/>
          <w:color w:val="000000"/>
          <w:sz w:val="24"/>
          <w:szCs w:val="24"/>
          <w:lang w:val="en-US"/>
        </w:rPr>
        <w:t xml:space="preserve"> in mice, whereas antioxidant treatment counteracts UPR activation, oxidative stress, and apoptosis</w:t>
      </w:r>
      <w:r w:rsidRPr="00A96D05">
        <w:rPr>
          <w:rFonts w:ascii="Book Antiqua" w:hAnsi="Book Antiqua" w:cs="Book Antiqua"/>
          <w:noProof/>
          <w:color w:val="000000"/>
          <w:sz w:val="24"/>
          <w:szCs w:val="24"/>
          <w:vertAlign w:val="superscript"/>
          <w:lang w:val="en-US"/>
        </w:rPr>
        <w:t>[189]</w:t>
      </w:r>
      <w:r w:rsidRPr="00A96D05">
        <w:rPr>
          <w:rFonts w:ascii="Book Antiqua" w:hAnsi="Book Antiqua" w:cs="Book Antiqua"/>
          <w:color w:val="000000"/>
          <w:sz w:val="24"/>
          <w:szCs w:val="24"/>
          <w:lang w:val="en-US"/>
        </w:rPr>
        <w:t>. Release of calcium from the ER increases the generation of mitochondrial ROS leading to toxic accumulation of ROS within ER and mitochondria. On the other hand, sustained ER stress has been found to potentially stimulate inflammatory response through UPR pathways. Moreover, ROS produced as a consequence of inflammation or mitochondrial dysfunction could aggravate ER malfunction</w:t>
      </w:r>
      <w:r w:rsidRPr="00A96D05">
        <w:rPr>
          <w:rFonts w:ascii="Book Antiqua" w:hAnsi="Book Antiqua" w:cs="Book Antiqua"/>
          <w:noProof/>
          <w:color w:val="000000"/>
          <w:sz w:val="24"/>
          <w:szCs w:val="24"/>
          <w:vertAlign w:val="superscript"/>
          <w:lang w:val="en-US"/>
        </w:rPr>
        <w:t>[190]</w:t>
      </w:r>
      <w:r w:rsidRPr="00A96D05">
        <w:rPr>
          <w:rFonts w:ascii="Book Antiqua" w:hAnsi="Book Antiqua" w:cs="Book Antiqua"/>
          <w:color w:val="000000"/>
          <w:sz w:val="24"/>
          <w:szCs w:val="24"/>
          <w:lang w:val="en-US"/>
        </w:rPr>
        <w:t>. This picture suggests that a networking occurs between ER stress, inflammation and oxidative stress. Dysfunctional UPR pathways have been associated with numerous diseases including several neurodegenerative diseases, stroke, metabolic disorders, cancer, inflammatory disease, diabetes mellitus, cardiovascular disease, among others</w:t>
      </w:r>
      <w:r w:rsidRPr="00A96D05">
        <w:rPr>
          <w:rFonts w:ascii="Book Antiqua" w:hAnsi="Book Antiqua" w:cs="Book Antiqua"/>
          <w:noProof/>
          <w:color w:val="000000"/>
          <w:sz w:val="24"/>
          <w:szCs w:val="24"/>
          <w:vertAlign w:val="superscript"/>
          <w:lang w:val="en-US"/>
        </w:rPr>
        <w:t>[190]</w:t>
      </w:r>
      <w:r w:rsidRPr="00A96D05">
        <w:rPr>
          <w:rFonts w:ascii="Book Antiqua" w:hAnsi="Book Antiqua" w:cs="Book Antiqua"/>
          <w:color w:val="000000"/>
          <w:sz w:val="24"/>
          <w:szCs w:val="24"/>
          <w:lang w:val="en-US"/>
        </w:rPr>
        <w:t>. A crosstalk between ROS generation and ER stress response has been proposed as the ER-stress-associated redox status may be correlated with ER-stress-associated ROS</w:t>
      </w:r>
      <w:r w:rsidRPr="00A96D05">
        <w:rPr>
          <w:rFonts w:ascii="Book Antiqua" w:hAnsi="Book Antiqua" w:cs="Book Antiqua"/>
          <w:noProof/>
          <w:color w:val="000000"/>
          <w:sz w:val="24"/>
          <w:szCs w:val="24"/>
          <w:vertAlign w:val="superscript"/>
          <w:lang w:val="en-US"/>
        </w:rPr>
        <w:t>[191]</w:t>
      </w:r>
      <w:r w:rsidRPr="00A96D05">
        <w:rPr>
          <w:rFonts w:ascii="Book Antiqua" w:hAnsi="Book Antiqua" w:cs="Book Antiqua"/>
          <w:color w:val="000000"/>
          <w:sz w:val="24"/>
          <w:szCs w:val="24"/>
          <w:lang w:val="en-US"/>
        </w:rPr>
        <w:t>. Although the production of ROS has been correlated with ER stress in many pathological states, the detailed mechanisms on how changes in the protein-folding environment in the ER lumen cause oxidative stress are still unclear</w:t>
      </w:r>
      <w:r w:rsidRPr="00A96D05">
        <w:rPr>
          <w:rFonts w:ascii="Book Antiqua" w:hAnsi="Book Antiqua" w:cs="Book Antiqua"/>
          <w:noProof/>
          <w:color w:val="000000"/>
          <w:sz w:val="24"/>
          <w:szCs w:val="24"/>
          <w:vertAlign w:val="superscript"/>
          <w:lang w:val="en-US"/>
        </w:rPr>
        <w:t>[192]</w:t>
      </w:r>
      <w:r w:rsidRPr="00A96D05">
        <w:rPr>
          <w:rFonts w:ascii="Book Antiqua" w:hAnsi="Book Antiqua" w:cs="Book Antiqua"/>
          <w:color w:val="000000"/>
          <w:sz w:val="24"/>
          <w:szCs w:val="24"/>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Proper protein folding and disulfide bond formation that take place in the ER are critically dependent on the redox status of the ER lumen. This compartment is highly oxidizing showing a high ratio of GSSG/GSH, which contrasts with the citosol environment</w:t>
      </w:r>
      <w:r w:rsidRPr="00A96D05">
        <w:rPr>
          <w:rFonts w:ascii="Book Antiqua" w:hAnsi="Book Antiqua" w:cs="Book Antiqua"/>
          <w:noProof/>
          <w:color w:val="000000"/>
          <w:sz w:val="24"/>
          <w:szCs w:val="24"/>
          <w:vertAlign w:val="superscript"/>
          <w:lang w:val="en-US"/>
        </w:rPr>
        <w:t>[193]</w:t>
      </w:r>
      <w:r w:rsidRPr="00A96D05">
        <w:rPr>
          <w:rFonts w:ascii="Book Antiqua" w:hAnsi="Book Antiqua" w:cs="Book Antiqua"/>
          <w:color w:val="000000"/>
          <w:sz w:val="24"/>
          <w:szCs w:val="24"/>
          <w:lang w:val="en-US"/>
        </w:rPr>
        <w:t>. The oxidizing environment of ER lumen is required to ensure disulfide bond formation and avoid aggregation or unfolded protein accumulation in this compartment</w:t>
      </w:r>
      <w:r w:rsidRPr="00A96D05">
        <w:rPr>
          <w:rFonts w:ascii="Book Antiqua" w:hAnsi="Book Antiqua" w:cs="Book Antiqua"/>
          <w:noProof/>
          <w:color w:val="000000"/>
          <w:sz w:val="24"/>
          <w:szCs w:val="24"/>
          <w:vertAlign w:val="superscript"/>
          <w:lang w:val="en-US"/>
        </w:rPr>
        <w:t>[194]</w:t>
      </w:r>
      <w:r w:rsidRPr="00A96D05">
        <w:rPr>
          <w:rFonts w:ascii="Book Antiqua" w:hAnsi="Book Antiqua" w:cs="Book Antiqua"/>
          <w:color w:val="000000"/>
          <w:sz w:val="24"/>
          <w:szCs w:val="24"/>
          <w:lang w:val="en-US"/>
        </w:rPr>
        <w:t>. Resident enzymes of the ER lumen contribute to regulate redox status and facilitate disulfide bond formation and isomerization</w:t>
      </w:r>
      <w:r w:rsidRPr="00A96D05">
        <w:rPr>
          <w:rFonts w:ascii="Book Antiqua" w:hAnsi="Book Antiqua" w:cs="Book Antiqua"/>
          <w:noProof/>
          <w:color w:val="000000"/>
          <w:sz w:val="24"/>
          <w:szCs w:val="24"/>
          <w:vertAlign w:val="superscript"/>
          <w:lang w:val="en-US"/>
        </w:rPr>
        <w:t>[195]</w:t>
      </w:r>
      <w:r w:rsidRPr="00A96D05">
        <w:rPr>
          <w:rFonts w:ascii="Book Antiqua" w:hAnsi="Book Antiqua" w:cs="Book Antiqua"/>
          <w:color w:val="000000"/>
          <w:sz w:val="24"/>
          <w:szCs w:val="24"/>
          <w:lang w:val="en-US"/>
        </w:rPr>
        <w:t>. The oxidative folding of proteins is facilitated by a family of ER oxidoreductases including ERp57 and PDI among others</w:t>
      </w:r>
      <w:r w:rsidRPr="00A96D05">
        <w:rPr>
          <w:rFonts w:ascii="Book Antiqua" w:hAnsi="Book Antiqua" w:cs="Book Antiqua"/>
          <w:noProof/>
          <w:color w:val="000000"/>
          <w:sz w:val="24"/>
          <w:szCs w:val="24"/>
          <w:vertAlign w:val="superscript"/>
          <w:lang w:val="en-US"/>
        </w:rPr>
        <w:t>[196]</w:t>
      </w:r>
      <w:r w:rsidRPr="00A96D05">
        <w:rPr>
          <w:rFonts w:ascii="Book Antiqua" w:hAnsi="Book Antiqua" w:cs="Book Antiqua"/>
          <w:color w:val="000000"/>
          <w:sz w:val="24"/>
          <w:szCs w:val="24"/>
          <w:lang w:val="en-US"/>
        </w:rPr>
        <w:t>. Oxidative folding catalyzed by ER oxidoreductases leads to their reduction, whereas their reoxidation is performed by ERO-1, an enzyme that can use molecular oxygen as an electron acceptor</w:t>
      </w:r>
      <w:r w:rsidRPr="00A96D05">
        <w:rPr>
          <w:rFonts w:ascii="Book Antiqua" w:hAnsi="Book Antiqua" w:cs="Book Antiqua"/>
          <w:noProof/>
          <w:color w:val="000000"/>
          <w:sz w:val="24"/>
          <w:szCs w:val="24"/>
          <w:vertAlign w:val="superscript"/>
          <w:lang w:val="en-US"/>
        </w:rPr>
        <w:t>[191,197]</w:t>
      </w:r>
      <w:r w:rsidRPr="00A96D05">
        <w:rPr>
          <w:rFonts w:ascii="Book Antiqua" w:hAnsi="Book Antiqua" w:cs="Book Antiqua"/>
          <w:color w:val="000000"/>
          <w:sz w:val="24"/>
          <w:szCs w:val="24"/>
          <w:lang w:val="en-US"/>
        </w:rPr>
        <w:t>. Then, disulfide bond formation catalyzed by ERO-1 is a significant source of the total generation of ROS in the cell as the incomplete oxygen reduction leads to the anion superoxide formation</w:t>
      </w:r>
      <w:r w:rsidRPr="00A96D05">
        <w:rPr>
          <w:rFonts w:ascii="Book Antiqua" w:hAnsi="Book Antiqua" w:cs="Book Antiqua"/>
          <w:noProof/>
          <w:color w:val="000000"/>
          <w:sz w:val="24"/>
          <w:szCs w:val="24"/>
          <w:vertAlign w:val="superscript"/>
          <w:lang w:val="en-US"/>
        </w:rPr>
        <w:t>[198]</w:t>
      </w:r>
      <w:r w:rsidRPr="00A96D05">
        <w:rPr>
          <w:rFonts w:ascii="Book Antiqua" w:hAnsi="Book Antiqua" w:cs="Book Antiqua"/>
          <w:color w:val="000000"/>
          <w:sz w:val="24"/>
          <w:szCs w:val="24"/>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Given that in the ER occurs the major synthesis and folding of secreted and transmembrane proteins, alterations in the protein flux into the ER have been associated ER stress. Recent studies have shown that viroporins, small hydrophobic virus-encoded proteins that oligomerize to form aqueous pores through cellular membranes, play important role in virus replication by affecting normal physiology of host cell and contributing to viral pathogenesis</w:t>
      </w:r>
      <w:r w:rsidRPr="00A96D05">
        <w:rPr>
          <w:rFonts w:ascii="Book Antiqua" w:hAnsi="Book Antiqua" w:cs="Book Antiqua"/>
          <w:noProof/>
          <w:color w:val="000000"/>
          <w:sz w:val="24"/>
          <w:szCs w:val="24"/>
          <w:vertAlign w:val="superscript"/>
          <w:lang w:val="en-US"/>
        </w:rPr>
        <w:t>[199,200]</w:t>
      </w:r>
      <w:r w:rsidRPr="00A96D05">
        <w:rPr>
          <w:rFonts w:ascii="Book Antiqua" w:hAnsi="Book Antiqua" w:cs="Book Antiqua"/>
          <w:color w:val="000000"/>
          <w:sz w:val="24"/>
          <w:szCs w:val="24"/>
          <w:lang w:val="en-US"/>
        </w:rPr>
        <w:t>. Since replication of most RNA viruses occurs in intimate interaction with the ER and causes ER stress in the infected cells, its underlying mechanisms are a central issue of the research about virus-host interactions. Many viroporins localize to the ER where alter the membrane potential of the ER and modulate the ER stress response and autophagy induction</w:t>
      </w:r>
      <w:r w:rsidRPr="00A96D05">
        <w:rPr>
          <w:rFonts w:ascii="Book Antiqua" w:hAnsi="Book Antiqua" w:cs="Book Antiqua"/>
          <w:noProof/>
          <w:color w:val="000000"/>
          <w:sz w:val="24"/>
          <w:szCs w:val="24"/>
          <w:vertAlign w:val="superscript"/>
          <w:lang w:val="en-US"/>
        </w:rPr>
        <w:t>[201]</w:t>
      </w:r>
      <w:r w:rsidRPr="00A96D05">
        <w:rPr>
          <w:rFonts w:ascii="Book Antiqua" w:hAnsi="Book Antiqua" w:cs="Book Antiqua"/>
          <w:color w:val="000000"/>
          <w:sz w:val="24"/>
          <w:szCs w:val="24"/>
          <w:lang w:val="en-US"/>
        </w:rPr>
        <w:t>. Viral infections can act as stress signals that alter ER homeostasis affecting negatively ER functions</w:t>
      </w:r>
      <w:r w:rsidRPr="00A96D05">
        <w:rPr>
          <w:rFonts w:ascii="Book Antiqua" w:hAnsi="Book Antiqua" w:cs="Book Antiqua"/>
          <w:noProof/>
          <w:color w:val="000000"/>
          <w:sz w:val="24"/>
          <w:szCs w:val="24"/>
          <w:vertAlign w:val="superscript"/>
          <w:lang w:val="en-US"/>
        </w:rPr>
        <w:t>[151,202]</w:t>
      </w:r>
      <w:r w:rsidRPr="00A96D05">
        <w:rPr>
          <w:rFonts w:ascii="Book Antiqua" w:hAnsi="Book Antiqua" w:cs="Book Antiqua"/>
          <w:color w:val="000000"/>
          <w:sz w:val="24"/>
          <w:szCs w:val="24"/>
          <w:lang w:val="en-US"/>
        </w:rPr>
        <w:t>. Many viruses have been shown to cause ER stress and induce one or more branches of the UPR in the infected cells</w:t>
      </w:r>
      <w:r w:rsidRPr="00A96D05">
        <w:rPr>
          <w:rFonts w:ascii="Book Antiqua" w:hAnsi="Book Antiqua" w:cs="Book Antiqua"/>
          <w:noProof/>
          <w:color w:val="000000"/>
          <w:sz w:val="24"/>
          <w:szCs w:val="24"/>
          <w:vertAlign w:val="superscript"/>
          <w:lang w:val="en-US"/>
        </w:rPr>
        <w:t>[199,203]</w:t>
      </w:r>
      <w:r w:rsidRPr="00A96D05">
        <w:rPr>
          <w:rFonts w:ascii="Book Antiqua" w:hAnsi="Book Antiqua" w:cs="Book Antiqua"/>
          <w:color w:val="000000"/>
          <w:sz w:val="24"/>
          <w:szCs w:val="24"/>
          <w:lang w:val="en-US"/>
        </w:rPr>
        <w:t>. Some studies have shown that several viruses induce ER stress and UPR signaling but also modulate UPR for protecting the infected cells from ER stress-mediated death to ensure virus replication</w:t>
      </w:r>
      <w:r w:rsidRPr="00A96D05">
        <w:rPr>
          <w:rFonts w:ascii="Book Antiqua" w:hAnsi="Book Antiqua" w:cs="Book Antiqua"/>
          <w:noProof/>
          <w:color w:val="000000"/>
          <w:sz w:val="24"/>
          <w:szCs w:val="24"/>
          <w:vertAlign w:val="superscript"/>
          <w:lang w:val="en-US"/>
        </w:rPr>
        <w:t>[204-206]</w:t>
      </w:r>
      <w:r w:rsidRPr="00A96D05">
        <w:rPr>
          <w:rFonts w:ascii="Book Antiqua" w:hAnsi="Book Antiqua" w:cs="Book Antiqua"/>
          <w:color w:val="000000"/>
          <w:sz w:val="24"/>
          <w:szCs w:val="24"/>
          <w:lang w:val="en-US"/>
        </w:rPr>
        <w:t>. Several properties of the viroporins suggest that they might also modulate the virus-induced ER stress response</w:t>
      </w:r>
      <w:r w:rsidRPr="00A96D05">
        <w:rPr>
          <w:rFonts w:ascii="Book Antiqua" w:hAnsi="Book Antiqua" w:cs="Book Antiqua"/>
          <w:noProof/>
          <w:color w:val="000000"/>
          <w:sz w:val="24"/>
          <w:szCs w:val="24"/>
          <w:vertAlign w:val="superscript"/>
          <w:lang w:val="en-US"/>
        </w:rPr>
        <w:t>[207]</w:t>
      </w:r>
      <w:r w:rsidRPr="00A96D05">
        <w:rPr>
          <w:rFonts w:ascii="Book Antiqua" w:hAnsi="Book Antiqua" w:cs="Book Antiqua"/>
          <w:color w:val="000000"/>
          <w:sz w:val="24"/>
          <w:szCs w:val="24"/>
          <w:lang w:val="en-US"/>
        </w:rPr>
        <w:t>. The relatively high concentration of Ca</w:t>
      </w:r>
      <w:r w:rsidRPr="00A96D05">
        <w:rPr>
          <w:rFonts w:ascii="Book Antiqua" w:hAnsi="Book Antiqua" w:cs="Book Antiqua"/>
          <w:color w:val="000000"/>
          <w:sz w:val="24"/>
          <w:szCs w:val="24"/>
          <w:vertAlign w:val="superscript"/>
          <w:lang w:val="en-US"/>
        </w:rPr>
        <w:t>2+</w:t>
      </w:r>
      <w:r w:rsidRPr="00A96D05">
        <w:rPr>
          <w:rFonts w:ascii="Book Antiqua" w:hAnsi="Book Antiqua" w:cs="Book Antiqua"/>
          <w:color w:val="000000"/>
          <w:sz w:val="24"/>
          <w:szCs w:val="24"/>
          <w:lang w:val="en-US"/>
        </w:rPr>
        <w:t xml:space="preserve"> in the ER lumen is needed for proper functioning of many calcium dependent chaperones and enzymes including PDI</w:t>
      </w:r>
      <w:r w:rsidRPr="00A96D05">
        <w:rPr>
          <w:rFonts w:ascii="Book Antiqua" w:hAnsi="Book Antiqua" w:cs="Book Antiqua"/>
          <w:noProof/>
          <w:color w:val="000000"/>
          <w:sz w:val="24"/>
          <w:szCs w:val="24"/>
          <w:vertAlign w:val="superscript"/>
          <w:lang w:val="en-US"/>
        </w:rPr>
        <w:t>[208]</w:t>
      </w:r>
      <w:r w:rsidRPr="00A96D05">
        <w:rPr>
          <w:rFonts w:ascii="Book Antiqua" w:hAnsi="Book Antiqua" w:cs="Book Antiqua"/>
          <w:color w:val="000000"/>
          <w:sz w:val="24"/>
          <w:szCs w:val="24"/>
          <w:lang w:val="en-US"/>
        </w:rPr>
        <w:t>. Many viroporins, including rotavirus NSP4, induce leakage of ER luminal calcium into the cytosol</w:t>
      </w:r>
      <w:r w:rsidRPr="00A96D05">
        <w:rPr>
          <w:rFonts w:ascii="Book Antiqua" w:hAnsi="Book Antiqua" w:cs="Book Antiqua"/>
          <w:noProof/>
          <w:color w:val="000000"/>
          <w:sz w:val="24"/>
          <w:szCs w:val="24"/>
          <w:vertAlign w:val="superscript"/>
          <w:lang w:val="en-US"/>
        </w:rPr>
        <w:t>[209,210]</w:t>
      </w:r>
      <w:r w:rsidRPr="00A96D05">
        <w:rPr>
          <w:rFonts w:ascii="Book Antiqua" w:hAnsi="Book Antiqua" w:cs="Book Antiqua"/>
          <w:color w:val="000000"/>
          <w:sz w:val="24"/>
          <w:szCs w:val="24"/>
          <w:lang w:val="en-US"/>
        </w:rPr>
        <w:t xml:space="preserve"> affecting the calcium-dependent protein folding machinery and consequentially inducing ER stress. Translocation of NSP4 to mitochondria has been observed to dissipate mitochondrial membrane potential and induce apoptosis during the early infection. However, the pro-apoptotic activity of NSP4 was counteracted by NSP1, which activates PI3K/AKT</w:t>
      </w:r>
      <w:r w:rsidRPr="00A96D05">
        <w:rPr>
          <w:rFonts w:ascii="Book Antiqua" w:hAnsi="Book Antiqua" w:cs="Book Antiqua"/>
          <w:noProof/>
          <w:color w:val="000000"/>
          <w:sz w:val="24"/>
          <w:szCs w:val="24"/>
          <w:vertAlign w:val="superscript"/>
          <w:lang w:val="en-US"/>
        </w:rPr>
        <w:t>[212]</w:t>
      </w:r>
      <w:r w:rsidRPr="00A96D05">
        <w:rPr>
          <w:rFonts w:ascii="Book Antiqua" w:hAnsi="Book Antiqua" w:cs="Book Antiqua"/>
          <w:color w:val="000000"/>
          <w:sz w:val="24"/>
          <w:szCs w:val="24"/>
          <w:lang w:val="en-US"/>
        </w:rPr>
        <w:t>.</w:t>
      </w:r>
      <w:r w:rsidRPr="00A96D05">
        <w:rPr>
          <w:rFonts w:ascii="Book Antiqua" w:hAnsi="Book Antiqua" w:cs="Book Antiqua"/>
          <w:color w:val="000000"/>
          <w:sz w:val="24"/>
          <w:szCs w:val="24"/>
          <w:shd w:val="clear" w:color="auto" w:fill="FFFFFF"/>
          <w:lang w:val="en-US"/>
        </w:rPr>
        <w:t xml:space="preserve"> </w:t>
      </w:r>
      <w:r w:rsidRPr="00A96D05">
        <w:rPr>
          <w:rFonts w:ascii="Book Antiqua" w:hAnsi="Book Antiqua" w:cs="Book Antiqua"/>
          <w:color w:val="000000"/>
          <w:sz w:val="24"/>
          <w:szCs w:val="24"/>
          <w:lang w:val="en-US"/>
        </w:rPr>
        <w:t>In addition, autophagy could be induced by the increased Ca</w:t>
      </w:r>
      <w:r w:rsidRPr="00A96D05">
        <w:rPr>
          <w:rFonts w:ascii="Book Antiqua" w:hAnsi="Book Antiqua" w:cs="Book Antiqua"/>
          <w:color w:val="000000"/>
          <w:sz w:val="24"/>
          <w:szCs w:val="24"/>
          <w:vertAlign w:val="superscript"/>
          <w:lang w:val="en-US"/>
        </w:rPr>
        <w:t>2+</w:t>
      </w:r>
      <w:r w:rsidRPr="00A96D05">
        <w:rPr>
          <w:rFonts w:ascii="Book Antiqua" w:hAnsi="Book Antiqua" w:cs="Book Antiqua"/>
          <w:color w:val="000000"/>
          <w:sz w:val="24"/>
          <w:szCs w:val="24"/>
          <w:lang w:val="en-US"/>
        </w:rPr>
        <w:t xml:space="preserve"> concentration in the cytosol as it has been shown for foot and mouth disease virus</w:t>
      </w:r>
      <w:r w:rsidRPr="00A96D05">
        <w:rPr>
          <w:rFonts w:ascii="Book Antiqua" w:hAnsi="Book Antiqua" w:cs="Book Antiqua"/>
          <w:noProof/>
          <w:color w:val="000000"/>
          <w:sz w:val="24"/>
          <w:szCs w:val="24"/>
          <w:vertAlign w:val="superscript"/>
          <w:lang w:val="en-US"/>
        </w:rPr>
        <w:t>[212]</w:t>
      </w:r>
      <w:r w:rsidRPr="00A96D05">
        <w:rPr>
          <w:rFonts w:ascii="Book Antiqua" w:hAnsi="Book Antiqua" w:cs="Book Antiqua"/>
          <w:color w:val="000000"/>
          <w:sz w:val="24"/>
          <w:szCs w:val="24"/>
          <w:lang w:val="en-US"/>
        </w:rPr>
        <w:t>. Rotavirus NSP4, a protein inducing diarrhea in young mice, has been shown to anchor to the ER through its N-terminus, where its domain spanning amino acids 47</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90 has been found to insert into ER membrane and show structural characteristics of viroporins</w:t>
      </w:r>
      <w:r w:rsidRPr="00A96D05">
        <w:rPr>
          <w:rFonts w:ascii="Book Antiqua" w:hAnsi="Book Antiqua" w:cs="Book Antiqua"/>
          <w:noProof/>
          <w:color w:val="000000"/>
          <w:sz w:val="24"/>
          <w:szCs w:val="24"/>
          <w:vertAlign w:val="superscript"/>
          <w:lang w:val="en-US"/>
        </w:rPr>
        <w:t>[209]</w:t>
      </w:r>
      <w:r w:rsidRPr="00A96D05">
        <w:rPr>
          <w:rFonts w:ascii="Book Antiqua" w:hAnsi="Book Antiqua" w:cs="Book Antiqua"/>
          <w:color w:val="000000"/>
          <w:sz w:val="24"/>
          <w:szCs w:val="24"/>
          <w:lang w:val="en-US"/>
        </w:rPr>
        <w:t>. NSP4 has also been shown to modulate autophagy induction in the virus-infected cells as cellular autophagy is required by rotaviruses to ensure their successful replication</w:t>
      </w:r>
      <w:r w:rsidRPr="00A96D05">
        <w:rPr>
          <w:rFonts w:ascii="Book Antiqua" w:hAnsi="Book Antiqua" w:cs="Book Antiqua"/>
          <w:noProof/>
          <w:color w:val="000000"/>
          <w:sz w:val="24"/>
          <w:szCs w:val="24"/>
          <w:vertAlign w:val="superscript"/>
          <w:lang w:val="en-US"/>
        </w:rPr>
        <w:t>[213]</w:t>
      </w:r>
      <w:r w:rsidRPr="00A96D05">
        <w:rPr>
          <w:rFonts w:ascii="Book Antiqua" w:hAnsi="Book Antiqua" w:cs="Book Antiqua"/>
          <w:color w:val="000000"/>
          <w:sz w:val="24"/>
          <w:szCs w:val="24"/>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Rhesus rotavirus (RRV) has shown to induce ER stress in the rhesus monkey epithelial cell line MA104 and also activate two components of the UPR pathway</w:t>
      </w:r>
      <w:r w:rsidRPr="00A96D05">
        <w:rPr>
          <w:rFonts w:ascii="Book Antiqua" w:hAnsi="Book Antiqua" w:cs="Book Antiqua"/>
          <w:noProof/>
          <w:color w:val="000000"/>
          <w:sz w:val="24"/>
          <w:szCs w:val="24"/>
          <w:vertAlign w:val="superscript"/>
          <w:lang w:val="en-US"/>
        </w:rPr>
        <w:t>[214]</w:t>
      </w:r>
      <w:r w:rsidRPr="00A96D05">
        <w:rPr>
          <w:rFonts w:ascii="Book Antiqua" w:hAnsi="Book Antiqua" w:cs="Book Antiqua"/>
          <w:color w:val="000000"/>
          <w:sz w:val="24"/>
          <w:szCs w:val="24"/>
          <w:lang w:val="en-US"/>
        </w:rPr>
        <w:t>. However, this ER-mediated signaling was interrupted at the transcription level by the non-structural protein 3 (NSP3). Specific virus-encoded proteins have been identified as inducers of UPR during infection in the case of coronavirus</w:t>
      </w:r>
      <w:r w:rsidRPr="00A96D05">
        <w:rPr>
          <w:rFonts w:ascii="Book Antiqua" w:hAnsi="Book Antiqua" w:cs="Book Antiqua"/>
          <w:noProof/>
          <w:color w:val="000000"/>
          <w:sz w:val="24"/>
          <w:szCs w:val="24"/>
          <w:vertAlign w:val="superscript"/>
          <w:lang w:val="en-US"/>
        </w:rPr>
        <w:t>[215]</w:t>
      </w:r>
      <w:r w:rsidRPr="00A96D05">
        <w:rPr>
          <w:rFonts w:ascii="Book Antiqua" w:hAnsi="Book Antiqua" w:cs="Book Antiqua"/>
          <w:color w:val="000000"/>
          <w:sz w:val="24"/>
          <w:szCs w:val="24"/>
          <w:lang w:val="en-US"/>
        </w:rPr>
        <w:t>, dengue 2 virus</w:t>
      </w:r>
      <w:r w:rsidRPr="00A96D05">
        <w:rPr>
          <w:rFonts w:ascii="Book Antiqua" w:hAnsi="Book Antiqua" w:cs="Book Antiqua"/>
          <w:noProof/>
          <w:color w:val="000000"/>
          <w:sz w:val="24"/>
          <w:szCs w:val="24"/>
          <w:vertAlign w:val="superscript"/>
          <w:lang w:val="en-US"/>
        </w:rPr>
        <w:t>[216]</w:t>
      </w:r>
      <w:r w:rsidRPr="00A96D05">
        <w:rPr>
          <w:rFonts w:ascii="Book Antiqua" w:hAnsi="Book Antiqua" w:cs="Book Antiqua"/>
          <w:color w:val="000000"/>
          <w:sz w:val="24"/>
          <w:szCs w:val="24"/>
          <w:lang w:val="en-US"/>
        </w:rPr>
        <w:t>, human cytomegalovirus</w:t>
      </w:r>
      <w:r w:rsidRPr="00A96D05">
        <w:rPr>
          <w:rFonts w:ascii="Book Antiqua" w:hAnsi="Book Antiqua" w:cs="Book Antiqua"/>
          <w:noProof/>
          <w:color w:val="000000"/>
          <w:sz w:val="24"/>
          <w:szCs w:val="24"/>
          <w:vertAlign w:val="superscript"/>
          <w:lang w:val="en-US"/>
        </w:rPr>
        <w:t>[217]</w:t>
      </w:r>
      <w:r w:rsidRPr="00A96D05">
        <w:rPr>
          <w:rFonts w:ascii="Book Antiqua" w:hAnsi="Book Antiqua" w:cs="Book Antiqua"/>
          <w:color w:val="000000"/>
          <w:sz w:val="24"/>
          <w:szCs w:val="24"/>
          <w:lang w:val="en-US"/>
        </w:rPr>
        <w:t xml:space="preserve"> and West Nilo virus</w:t>
      </w:r>
      <w:r w:rsidRPr="00A96D05">
        <w:rPr>
          <w:rFonts w:ascii="Book Antiqua" w:hAnsi="Book Antiqua" w:cs="Book Antiqua"/>
          <w:noProof/>
          <w:color w:val="000000"/>
          <w:sz w:val="24"/>
          <w:szCs w:val="24"/>
          <w:vertAlign w:val="superscript"/>
          <w:lang w:val="en-US"/>
        </w:rPr>
        <w:t>[218]</w:t>
      </w:r>
      <w:r w:rsidRPr="00A96D05">
        <w:rPr>
          <w:rFonts w:ascii="Book Antiqua" w:hAnsi="Book Antiqua" w:cs="Book Antiqua"/>
          <w:color w:val="000000"/>
          <w:sz w:val="24"/>
          <w:szCs w:val="24"/>
          <w:lang w:val="en-US"/>
        </w:rPr>
        <w:t>. In contrast, a single specific virus protein in RRV-infected MA104 cells did not trigger the activation of UPR. It was supposed that a multifactorial event involving either the budding of the DLPs into the ER, the formation of viroplasms, or the activation of genome replication could be the inducer of the UPR</w:t>
      </w:r>
      <w:r w:rsidRPr="00A96D05">
        <w:rPr>
          <w:rFonts w:ascii="Book Antiqua" w:hAnsi="Book Antiqua" w:cs="Book Antiqua"/>
          <w:noProof/>
          <w:color w:val="000000"/>
          <w:sz w:val="24"/>
          <w:szCs w:val="24"/>
          <w:vertAlign w:val="superscript"/>
          <w:lang w:val="en-US"/>
        </w:rPr>
        <w:t>[214]</w:t>
      </w:r>
      <w:r w:rsidRPr="00A96D05">
        <w:rPr>
          <w:rFonts w:ascii="Book Antiqua" w:hAnsi="Book Antiqua" w:cs="Book Antiqua"/>
          <w:color w:val="000000"/>
          <w:sz w:val="24"/>
          <w:szCs w:val="24"/>
          <w:lang w:val="en-US"/>
        </w:rPr>
        <w:t>.</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Rotavirus infection has been shown to induce ER stress leading to disturbances in the cellular calcium compartments and generation of ROS. Rotavirus-induced diarrhea involves a series of secretory and osmotic mechanisms</w:t>
      </w:r>
      <w:r w:rsidRPr="00A96D05">
        <w:rPr>
          <w:rFonts w:ascii="Book Antiqua" w:hAnsi="Book Antiqua" w:cs="Book Antiqua"/>
          <w:noProof/>
          <w:color w:val="000000"/>
          <w:sz w:val="24"/>
          <w:szCs w:val="24"/>
          <w:vertAlign w:val="superscript"/>
          <w:lang w:val="en-US"/>
        </w:rPr>
        <w:t>[219]</w:t>
      </w:r>
      <w:r w:rsidRPr="00A96D05">
        <w:rPr>
          <w:rFonts w:ascii="Book Antiqua" w:hAnsi="Book Antiqua" w:cs="Book Antiqua"/>
          <w:color w:val="000000"/>
          <w:sz w:val="24"/>
          <w:szCs w:val="24"/>
          <w:lang w:val="en-US"/>
        </w:rPr>
        <w:t xml:space="preserve"> where NSP4 plays a key role by inducing release of intracellular deposits of calcium from enterocytes</w:t>
      </w:r>
      <w:r w:rsidRPr="00A96D05">
        <w:rPr>
          <w:rFonts w:ascii="Book Antiqua" w:hAnsi="Book Antiqua" w:cs="Book Antiqua"/>
          <w:noProof/>
          <w:color w:val="000000"/>
          <w:sz w:val="24"/>
          <w:szCs w:val="24"/>
          <w:vertAlign w:val="superscript"/>
          <w:lang w:val="en-US"/>
        </w:rPr>
        <w:t>[220,221]</w:t>
      </w:r>
      <w:r w:rsidRPr="00A96D05">
        <w:rPr>
          <w:rFonts w:ascii="Book Antiqua" w:hAnsi="Book Antiqua" w:cs="Book Antiqua"/>
          <w:color w:val="000000"/>
          <w:sz w:val="24"/>
          <w:szCs w:val="24"/>
          <w:lang w:val="en-US"/>
        </w:rPr>
        <w:t xml:space="preserve"> and altering ion secretion</w:t>
      </w:r>
      <w:r w:rsidRPr="00A96D05">
        <w:rPr>
          <w:rFonts w:ascii="Book Antiqua" w:hAnsi="Book Antiqua" w:cs="Book Antiqua"/>
          <w:noProof/>
          <w:color w:val="000000"/>
          <w:sz w:val="24"/>
          <w:szCs w:val="24"/>
          <w:vertAlign w:val="superscript"/>
          <w:lang w:val="en-US"/>
        </w:rPr>
        <w:t>[222]</w:t>
      </w:r>
      <w:r w:rsidRPr="00A96D05">
        <w:rPr>
          <w:rFonts w:ascii="Book Antiqua" w:hAnsi="Book Antiqua" w:cs="Book Antiqua"/>
          <w:color w:val="000000"/>
          <w:sz w:val="24"/>
          <w:szCs w:val="24"/>
          <w:lang w:val="en-US"/>
        </w:rPr>
        <w:t>. It has been reported a NSP4-dependent chloride secretion in human enterocytes</w:t>
      </w:r>
      <w:r w:rsidRPr="00A96D05">
        <w:rPr>
          <w:rFonts w:ascii="Book Antiqua" w:hAnsi="Book Antiqua" w:cs="Book Antiqua"/>
          <w:noProof/>
          <w:color w:val="000000"/>
          <w:sz w:val="24"/>
          <w:szCs w:val="24"/>
          <w:vertAlign w:val="superscript"/>
          <w:lang w:val="en-US"/>
        </w:rPr>
        <w:t>[223]</w:t>
      </w:r>
      <w:r w:rsidRPr="00A96D05">
        <w:rPr>
          <w:rFonts w:ascii="Book Antiqua" w:hAnsi="Book Antiqua" w:cs="Book Antiqua"/>
          <w:color w:val="000000"/>
          <w:sz w:val="24"/>
          <w:szCs w:val="24"/>
          <w:lang w:val="en-US"/>
        </w:rPr>
        <w:t>, which has also been demonstrated in Caco-2 cells infected with SA11 rotavirus</w:t>
      </w:r>
      <w:r w:rsidRPr="00A96D05">
        <w:rPr>
          <w:rFonts w:ascii="Book Antiqua" w:hAnsi="Book Antiqua" w:cs="Book Antiqua"/>
          <w:noProof/>
          <w:color w:val="000000"/>
          <w:sz w:val="24"/>
          <w:szCs w:val="24"/>
          <w:vertAlign w:val="superscript"/>
          <w:lang w:val="en-US"/>
        </w:rPr>
        <w:t>[224]</w:t>
      </w:r>
      <w:r w:rsidRPr="00A96D05">
        <w:rPr>
          <w:rFonts w:ascii="Book Antiqua" w:hAnsi="Book Antiqua" w:cs="Book Antiqua"/>
          <w:color w:val="000000"/>
          <w:sz w:val="24"/>
          <w:szCs w:val="24"/>
          <w:lang w:val="en-US"/>
        </w:rPr>
        <w:t>. In this case, NSP4-dependent chloride secretion was associated with an increase in ROS and a decreased reduced (GSH) to oxidized (GSSG) ratio. The same effects were observed when Caco-2 cells were treated with purified NSP4, whereas the increase in ROS and the GSH imbalance were strongly inhibited by N-acetylcysteine. These findings suggested an association between oxidative stress and rotavirus-induced diarrhea</w:t>
      </w:r>
      <w:r w:rsidRPr="00A96D05">
        <w:rPr>
          <w:rFonts w:ascii="Book Antiqua" w:hAnsi="Book Antiqua" w:cs="Book Antiqua"/>
          <w:noProof/>
          <w:color w:val="000000"/>
          <w:sz w:val="24"/>
          <w:szCs w:val="24"/>
          <w:vertAlign w:val="superscript"/>
          <w:lang w:val="en-US"/>
        </w:rPr>
        <w:t>[224]</w:t>
      </w:r>
      <w:r w:rsidRPr="00A96D05">
        <w:rPr>
          <w:rFonts w:ascii="Book Antiqua" w:hAnsi="Book Antiqua" w:cs="Book Antiqua"/>
          <w:color w:val="000000"/>
          <w:sz w:val="24"/>
          <w:szCs w:val="24"/>
          <w:lang w:val="en-US"/>
        </w:rPr>
        <w:t>. There are data supporting the hypothesis that ROS can induce intestinal epithelial cell apoptosis in mice through the Fas and Fas-L expression</w:t>
      </w:r>
      <w:r w:rsidRPr="00A96D05">
        <w:rPr>
          <w:rFonts w:ascii="Book Antiqua" w:hAnsi="Book Antiqua" w:cs="Book Antiqua"/>
          <w:noProof/>
          <w:color w:val="000000"/>
          <w:sz w:val="24"/>
          <w:szCs w:val="24"/>
          <w:vertAlign w:val="superscript"/>
          <w:lang w:val="en-US"/>
        </w:rPr>
        <w:t>[225]</w:t>
      </w:r>
      <w:r w:rsidRPr="00A96D05">
        <w:rPr>
          <w:rFonts w:ascii="Book Antiqua" w:hAnsi="Book Antiqua" w:cs="Book Antiqua"/>
          <w:color w:val="000000"/>
          <w:sz w:val="24"/>
          <w:szCs w:val="24"/>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eastAsia="zh-CN"/>
        </w:rPr>
      </w:pPr>
      <w:r w:rsidRPr="00A96D05">
        <w:rPr>
          <w:rFonts w:ascii="Book Antiqua" w:hAnsi="Book Antiqua" w:cs="Book Antiqua"/>
          <w:color w:val="000000"/>
          <w:sz w:val="24"/>
          <w:szCs w:val="24"/>
          <w:lang w:val="en-US"/>
        </w:rPr>
        <w:t>A number of stimuli and insults, including pathogen invasions such as virus infections have been found to induce ER stress affecting protein folding function and other disturbances including alterations in calcium homeostasis and increase of ROS. Then, the ER-induced UPR signaling has emerged as a central subject in the context of pathological processes including virus infections. However, the UPR-associated molecular mechanisms leading to minimize the accumulation and aggregation of misfolded proteins in response to virus infections need further investigation to be completely understood. The knowledge gained from UPR mechanisms could provide basis for antiviral development.</w:t>
      </w:r>
    </w:p>
    <w:p w:rsidR="005C6065" w:rsidRPr="00A96D05" w:rsidRDefault="005C6065" w:rsidP="00A96D05">
      <w:pPr>
        <w:spacing w:after="0" w:line="360" w:lineRule="auto"/>
        <w:jc w:val="both"/>
        <w:rPr>
          <w:rFonts w:ascii="Book Antiqua" w:hAnsi="Book Antiqua" w:cs="Book Antiqua"/>
          <w:color w:val="000000"/>
          <w:sz w:val="24"/>
          <w:szCs w:val="24"/>
          <w:lang w:val="en-US" w:eastAsia="zh-CN"/>
        </w:rPr>
      </w:pP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 xml:space="preserve">N-ACETYLCYSTEINE IN THE TREATMENT OF VIRAL INFECTIONS </w:t>
      </w:r>
    </w:p>
    <w:p w:rsidR="005C6065" w:rsidRPr="00A96D05" w:rsidRDefault="005C6065" w:rsidP="00A96D05">
      <w:pPr>
        <w:spacing w:after="0" w:line="360" w:lineRule="auto"/>
        <w:jc w:val="both"/>
        <w:rPr>
          <w:rStyle w:val="apple-converted-space"/>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shd w:val="clear" w:color="auto" w:fill="FFFFFF"/>
          <w:lang w:val="en-US"/>
        </w:rPr>
        <w:t>N-acetylcysteine (NAC) is an amino acid that functions as a cysteine pro-drug and glutathione (GSH) precursor,</w:t>
      </w:r>
      <w:r w:rsidRPr="00A96D05">
        <w:rPr>
          <w:rFonts w:ascii="Book Antiqua" w:hAnsi="Book Antiqua" w:cs="Book Antiqua"/>
          <w:color w:val="000000"/>
          <w:sz w:val="24"/>
          <w:szCs w:val="24"/>
          <w:lang w:val="en-US"/>
        </w:rPr>
        <w:t xml:space="preserve"> the most powerful cellular antioxidant</w:t>
      </w:r>
      <w:r w:rsidRPr="00A96D05">
        <w:rPr>
          <w:rFonts w:ascii="Book Antiqua" w:hAnsi="Book Antiqua" w:cs="Book Antiqua"/>
          <w:noProof/>
          <w:color w:val="000000"/>
          <w:sz w:val="24"/>
          <w:szCs w:val="24"/>
          <w:vertAlign w:val="superscript"/>
          <w:lang w:val="en-US"/>
        </w:rPr>
        <w:t>[226]</w:t>
      </w:r>
      <w:r w:rsidRPr="00A96D05">
        <w:rPr>
          <w:rFonts w:ascii="Book Antiqua" w:hAnsi="Book Antiqua" w:cs="Book Antiqua"/>
          <w:color w:val="000000"/>
          <w:sz w:val="24"/>
          <w:szCs w:val="24"/>
          <w:shd w:val="clear" w:color="auto" w:fill="FFFFFF"/>
          <w:lang w:val="en-US"/>
        </w:rPr>
        <w:t>. NAC is readily deacetylated primarily in the liver to yield</w:t>
      </w:r>
      <w:r w:rsidRPr="00A96D05">
        <w:rPr>
          <w:rStyle w:val="apple-converted-space"/>
          <w:rFonts w:ascii="Book Antiqua" w:hAnsi="Book Antiqua" w:cs="Book Antiqua"/>
          <w:color w:val="000000"/>
          <w:sz w:val="24"/>
          <w:szCs w:val="24"/>
          <w:shd w:val="clear" w:color="auto" w:fill="FFFFFF"/>
          <w:lang w:val="en-US"/>
        </w:rPr>
        <w:t> </w:t>
      </w:r>
      <w:r w:rsidRPr="00A96D05">
        <w:rPr>
          <w:rStyle w:val="sc"/>
          <w:rFonts w:ascii="Book Antiqua" w:hAnsi="Book Antiqua" w:cs="Book Antiqua"/>
          <w:caps/>
          <w:color w:val="000000"/>
          <w:sz w:val="24"/>
          <w:szCs w:val="24"/>
          <w:bdr w:val="none" w:sz="0" w:space="0" w:color="auto" w:frame="1"/>
          <w:shd w:val="clear" w:color="auto" w:fill="FFFFFF"/>
          <w:lang w:val="en-US"/>
        </w:rPr>
        <w:t>L</w:t>
      </w:r>
      <w:r w:rsidRPr="00A96D05">
        <w:rPr>
          <w:rFonts w:ascii="Book Antiqua" w:hAnsi="Book Antiqua" w:cs="Book Antiqua"/>
          <w:color w:val="000000"/>
          <w:sz w:val="24"/>
          <w:szCs w:val="24"/>
          <w:shd w:val="clear" w:color="auto" w:fill="FFFFFF"/>
          <w:lang w:val="en-US"/>
        </w:rPr>
        <w:t>-cysteine thereby promoting intracellular GSH synthesis</w:t>
      </w:r>
      <w:r w:rsidRPr="00A96D05">
        <w:rPr>
          <w:rFonts w:ascii="Book Antiqua" w:hAnsi="Book Antiqua" w:cs="Book Antiqua"/>
          <w:noProof/>
          <w:color w:val="000000"/>
          <w:sz w:val="24"/>
          <w:szCs w:val="24"/>
          <w:shd w:val="clear" w:color="auto" w:fill="FFFFFF"/>
          <w:vertAlign w:val="superscript"/>
          <w:lang w:val="en-US"/>
        </w:rPr>
        <w:t>[227]</w:t>
      </w:r>
      <w:r w:rsidRPr="00A96D05">
        <w:rPr>
          <w:rFonts w:ascii="Book Antiqua" w:hAnsi="Book Antiqua" w:cs="Book Antiqua"/>
          <w:color w:val="000000"/>
          <w:sz w:val="24"/>
          <w:szCs w:val="24"/>
          <w:shd w:val="clear" w:color="auto" w:fill="FFFFFF"/>
          <w:lang w:val="en-US"/>
        </w:rPr>
        <w:t>.</w:t>
      </w:r>
      <w:r w:rsidRPr="00A96D05">
        <w:rPr>
          <w:rStyle w:val="apple-converted-space"/>
          <w:rFonts w:ascii="Book Antiqua" w:hAnsi="Book Antiqua" w:cs="Book Antiqua"/>
          <w:color w:val="000000"/>
          <w:sz w:val="24"/>
          <w:szCs w:val="24"/>
          <w:shd w:val="clear" w:color="auto" w:fill="FFFFFF"/>
          <w:lang w:val="en-US"/>
        </w:rPr>
        <w:t> </w:t>
      </w:r>
      <w:r w:rsidRPr="00A96D05">
        <w:rPr>
          <w:rFonts w:ascii="Book Antiqua" w:hAnsi="Book Antiqua" w:cs="Book Antiqua"/>
          <w:color w:val="000000"/>
          <w:sz w:val="24"/>
          <w:szCs w:val="24"/>
          <w:shd w:val="clear" w:color="auto" w:fill="FFFFFF"/>
          <w:lang w:val="en-US"/>
        </w:rPr>
        <w:t>It has been used during several decades as mucolytic agent and also for the treatment of various disorders including paracetamol intoxication</w:t>
      </w:r>
      <w:r w:rsidRPr="00A96D05">
        <w:rPr>
          <w:rFonts w:ascii="Book Antiqua" w:hAnsi="Book Antiqua" w:cs="Book Antiqua"/>
          <w:noProof/>
          <w:color w:val="000000"/>
          <w:sz w:val="24"/>
          <w:szCs w:val="24"/>
          <w:shd w:val="clear" w:color="auto" w:fill="FFFFFF"/>
          <w:vertAlign w:val="superscript"/>
          <w:lang w:val="en-US"/>
        </w:rPr>
        <w:t>[228]</w:t>
      </w:r>
      <w:r w:rsidRPr="00A96D05">
        <w:rPr>
          <w:rFonts w:ascii="Book Antiqua" w:hAnsi="Book Antiqua" w:cs="Book Antiqua"/>
          <w:color w:val="000000"/>
          <w:sz w:val="24"/>
          <w:szCs w:val="24"/>
          <w:shd w:val="clear" w:color="auto" w:fill="FFFFFF"/>
          <w:lang w:val="en-US"/>
        </w:rPr>
        <w:t xml:space="preserve">. </w:t>
      </w:r>
      <w:r w:rsidRPr="00A96D05">
        <w:rPr>
          <w:rStyle w:val="apple-converted-space"/>
          <w:rFonts w:ascii="Book Antiqua" w:hAnsi="Book Antiqua" w:cs="Book Antiqua"/>
          <w:color w:val="000000"/>
          <w:sz w:val="24"/>
          <w:szCs w:val="24"/>
          <w:shd w:val="clear" w:color="auto" w:fill="FFFFFF"/>
          <w:lang w:val="en-US"/>
        </w:rPr>
        <w:t>NAC has been also used for treatment of numerous disorders linked to oxidative stress including gastrointestinal</w:t>
      </w:r>
      <w:r w:rsidRPr="00A96D05">
        <w:rPr>
          <w:rStyle w:val="apple-converted-space"/>
          <w:rFonts w:ascii="Book Antiqua" w:hAnsi="Book Antiqua" w:cs="Book Antiqua"/>
          <w:noProof/>
          <w:color w:val="000000"/>
          <w:sz w:val="24"/>
          <w:szCs w:val="24"/>
          <w:shd w:val="clear" w:color="auto" w:fill="FFFFFF"/>
          <w:vertAlign w:val="superscript"/>
          <w:lang w:val="en-US"/>
        </w:rPr>
        <w:t>[229]</w:t>
      </w:r>
      <w:r w:rsidRPr="00A96D05">
        <w:rPr>
          <w:rStyle w:val="apple-converted-space"/>
          <w:rFonts w:ascii="Book Antiqua" w:hAnsi="Book Antiqua" w:cs="Book Antiqua"/>
          <w:color w:val="000000"/>
          <w:sz w:val="24"/>
          <w:szCs w:val="24"/>
          <w:shd w:val="clear" w:color="auto" w:fill="FFFFFF"/>
          <w:lang w:val="en-US"/>
        </w:rPr>
        <w:t>, renal</w:t>
      </w:r>
      <w:r w:rsidRPr="00A96D05">
        <w:rPr>
          <w:rStyle w:val="apple-converted-space"/>
          <w:rFonts w:ascii="Book Antiqua" w:hAnsi="Book Antiqua" w:cs="Book Antiqua"/>
          <w:noProof/>
          <w:color w:val="000000"/>
          <w:sz w:val="24"/>
          <w:szCs w:val="24"/>
          <w:shd w:val="clear" w:color="auto" w:fill="FFFFFF"/>
          <w:vertAlign w:val="superscript"/>
          <w:lang w:val="en-US"/>
        </w:rPr>
        <w:t>[230]</w:t>
      </w:r>
      <w:r w:rsidRPr="00A96D05">
        <w:rPr>
          <w:rStyle w:val="apple-converted-space"/>
          <w:rFonts w:ascii="Book Antiqua" w:hAnsi="Book Antiqua" w:cs="Book Antiqua"/>
          <w:color w:val="000000"/>
          <w:sz w:val="24"/>
          <w:szCs w:val="24"/>
          <w:shd w:val="clear" w:color="auto" w:fill="FFFFFF"/>
          <w:lang w:val="en-US"/>
        </w:rPr>
        <w:t>, cardiovascular</w:t>
      </w:r>
      <w:r w:rsidRPr="00A96D05">
        <w:rPr>
          <w:rStyle w:val="apple-converted-space"/>
          <w:rFonts w:ascii="Book Antiqua" w:hAnsi="Book Antiqua" w:cs="Book Antiqua"/>
          <w:noProof/>
          <w:color w:val="000000"/>
          <w:sz w:val="24"/>
          <w:szCs w:val="24"/>
          <w:shd w:val="clear" w:color="auto" w:fill="FFFFFF"/>
          <w:vertAlign w:val="superscript"/>
          <w:lang w:val="en-US"/>
        </w:rPr>
        <w:t>[231]</w:t>
      </w:r>
      <w:r w:rsidRPr="00A96D05">
        <w:rPr>
          <w:rStyle w:val="apple-converted-space"/>
          <w:rFonts w:ascii="Book Antiqua" w:hAnsi="Book Antiqua" w:cs="Book Antiqua"/>
          <w:color w:val="000000"/>
          <w:sz w:val="24"/>
          <w:szCs w:val="24"/>
          <w:shd w:val="clear" w:color="auto" w:fill="FFFFFF"/>
          <w:lang w:val="en-US"/>
        </w:rPr>
        <w:t>, pulmonary</w:t>
      </w:r>
      <w:r w:rsidRPr="00A96D05">
        <w:rPr>
          <w:rStyle w:val="apple-converted-space"/>
          <w:rFonts w:ascii="Book Antiqua" w:hAnsi="Book Antiqua" w:cs="Book Antiqua"/>
          <w:noProof/>
          <w:color w:val="000000"/>
          <w:sz w:val="24"/>
          <w:szCs w:val="24"/>
          <w:shd w:val="clear" w:color="auto" w:fill="FFFFFF"/>
          <w:vertAlign w:val="superscript"/>
          <w:lang w:val="en-US"/>
        </w:rPr>
        <w:t>[232]</w:t>
      </w:r>
      <w:r w:rsidRPr="00A96D05">
        <w:rPr>
          <w:rStyle w:val="apple-converted-space"/>
          <w:rFonts w:ascii="Book Antiqua" w:hAnsi="Book Antiqua" w:cs="Book Antiqua"/>
          <w:color w:val="000000"/>
          <w:sz w:val="24"/>
          <w:szCs w:val="24"/>
          <w:shd w:val="clear" w:color="auto" w:fill="FFFFFF"/>
          <w:lang w:val="en-US"/>
        </w:rPr>
        <w:t>, hepatic</w:t>
      </w:r>
      <w:r w:rsidRPr="00A96D05">
        <w:rPr>
          <w:rStyle w:val="apple-converted-space"/>
          <w:rFonts w:ascii="Book Antiqua" w:hAnsi="Book Antiqua" w:cs="Book Antiqua"/>
          <w:noProof/>
          <w:color w:val="000000"/>
          <w:sz w:val="24"/>
          <w:szCs w:val="24"/>
          <w:shd w:val="clear" w:color="auto" w:fill="FFFFFF"/>
          <w:vertAlign w:val="superscript"/>
          <w:lang w:val="en-US"/>
        </w:rPr>
        <w:t>[233]</w:t>
      </w:r>
      <w:r w:rsidRPr="00A96D05">
        <w:rPr>
          <w:rStyle w:val="apple-converted-space"/>
          <w:rFonts w:ascii="Book Antiqua" w:hAnsi="Book Antiqua" w:cs="Book Antiqua"/>
          <w:color w:val="000000"/>
          <w:sz w:val="24"/>
          <w:szCs w:val="24"/>
          <w:shd w:val="clear" w:color="auto" w:fill="FFFFFF"/>
          <w:lang w:val="en-US"/>
        </w:rPr>
        <w:t xml:space="preserve">, psychiatric and neurological disorders. </w:t>
      </w:r>
      <w:r w:rsidRPr="00A96D05">
        <w:rPr>
          <w:rFonts w:ascii="Book Antiqua" w:hAnsi="Book Antiqua" w:cs="Book Antiqua"/>
          <w:color w:val="000000"/>
          <w:sz w:val="24"/>
          <w:szCs w:val="24"/>
          <w:shd w:val="clear" w:color="auto" w:fill="FFFFFF"/>
          <w:lang w:val="en-US"/>
        </w:rPr>
        <w:t>The mucolytic activity of NAC is due to its ability to break up the disulfide bonds of the high molecular weight glycoproteins present in the mucus. NAC functions in cells as a free radical</w:t>
      </w:r>
      <w:r w:rsidRPr="00A96D05">
        <w:rPr>
          <w:rFonts w:ascii="Book Antiqua" w:hAnsi="Book Antiqua" w:cs="Book Antiqua"/>
          <w:color w:val="000000"/>
          <w:sz w:val="24"/>
          <w:szCs w:val="24"/>
          <w:lang w:val="en-US"/>
        </w:rPr>
        <w:t xml:space="preserve"> </w:t>
      </w:r>
      <w:r w:rsidRPr="00A96D05">
        <w:rPr>
          <w:rFonts w:ascii="Book Antiqua" w:hAnsi="Book Antiqua" w:cs="Book Antiqua"/>
          <w:color w:val="000000"/>
          <w:sz w:val="24"/>
          <w:szCs w:val="24"/>
          <w:shd w:val="clear" w:color="auto" w:fill="FFFFFF"/>
          <w:lang w:val="en-US"/>
        </w:rPr>
        <w:t>scavenger antioxidant agent as it reacts with ROS such as H</w:t>
      </w:r>
      <w:r w:rsidRPr="00A96D05">
        <w:rPr>
          <w:rFonts w:ascii="Book Antiqua" w:hAnsi="Book Antiqua" w:cs="Book Antiqua"/>
          <w:color w:val="000000"/>
          <w:sz w:val="24"/>
          <w:szCs w:val="24"/>
          <w:shd w:val="clear" w:color="auto" w:fill="FFFFFF"/>
          <w:vertAlign w:val="subscript"/>
          <w:lang w:val="en-US"/>
        </w:rPr>
        <w:t>2</w:t>
      </w:r>
      <w:r w:rsidRPr="00A96D05">
        <w:rPr>
          <w:rFonts w:ascii="Book Antiqua" w:hAnsi="Book Antiqua" w:cs="Book Antiqua"/>
          <w:color w:val="000000"/>
          <w:sz w:val="24"/>
          <w:szCs w:val="24"/>
          <w:shd w:val="clear" w:color="auto" w:fill="FFFFFF"/>
          <w:lang w:val="en-US"/>
        </w:rPr>
        <w:t>O</w:t>
      </w:r>
      <w:r w:rsidRPr="00A96D05">
        <w:rPr>
          <w:rFonts w:ascii="Book Antiqua" w:hAnsi="Book Antiqua" w:cs="Book Antiqua"/>
          <w:color w:val="000000"/>
          <w:sz w:val="24"/>
          <w:szCs w:val="24"/>
          <w:shd w:val="clear" w:color="auto" w:fill="FFFFFF"/>
          <w:vertAlign w:val="subscript"/>
          <w:lang w:val="en-US"/>
        </w:rPr>
        <w:t>2</w:t>
      </w:r>
      <w:r w:rsidRPr="00A96D05">
        <w:rPr>
          <w:rFonts w:ascii="Book Antiqua" w:hAnsi="Book Antiqua" w:cs="Book Antiqua"/>
          <w:color w:val="000000"/>
          <w:sz w:val="24"/>
          <w:szCs w:val="24"/>
          <w:shd w:val="clear" w:color="auto" w:fill="FFFFFF"/>
          <w:lang w:val="en-US"/>
        </w:rPr>
        <w:t xml:space="preserve"> and </w:t>
      </w:r>
      <w:r w:rsidRPr="00A96D05">
        <w:rPr>
          <w:rFonts w:ascii="Book Antiqua" w:hAnsi="Book Antiqua" w:cs="Book Antiqua"/>
          <w:color w:val="000000"/>
          <w:sz w:val="24"/>
          <w:szCs w:val="24"/>
          <w:lang w:val="en-US"/>
        </w:rPr>
        <w:t>OH</w:t>
      </w:r>
      <w:r w:rsidRPr="00A96D05">
        <w:rPr>
          <w:rFonts w:ascii="Book Antiqua" w:hAnsi="Book Antiqua" w:cs="Book Antiqua"/>
          <w:color w:val="000000"/>
          <w:sz w:val="24"/>
          <w:szCs w:val="24"/>
          <w:vertAlign w:val="superscript"/>
          <w:lang w:val="en-GB" w:eastAsia="zh-CN"/>
        </w:rPr>
        <w:t>-</w:t>
      </w:r>
      <w:r w:rsidRPr="00A96D05">
        <w:rPr>
          <w:rFonts w:ascii="Book Antiqua" w:hAnsi="Book Antiqua" w:cs="Book Antiqua"/>
          <w:noProof/>
          <w:color w:val="000000"/>
          <w:sz w:val="24"/>
          <w:szCs w:val="24"/>
          <w:vertAlign w:val="superscript"/>
          <w:lang w:val="en-US"/>
        </w:rPr>
        <w:t>[234]</w:t>
      </w:r>
      <w:r w:rsidRPr="00A96D05">
        <w:rPr>
          <w:rFonts w:ascii="Book Antiqua" w:hAnsi="Book Antiqua" w:cs="Book Antiqua"/>
          <w:color w:val="000000"/>
          <w:sz w:val="24"/>
          <w:szCs w:val="24"/>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Style w:val="apple-converted-space"/>
          <w:rFonts w:ascii="Book Antiqua" w:hAnsi="Book Antiqua" w:cs="Book Antiqua"/>
          <w:color w:val="000000"/>
          <w:sz w:val="24"/>
          <w:szCs w:val="24"/>
          <w:shd w:val="clear" w:color="auto" w:fill="FFFFFF"/>
          <w:lang w:val="en-US"/>
        </w:rPr>
        <w:t xml:space="preserve">NAC has been used in the treatment numerous infectious diseases, including virus infections. A significant reduction of the </w:t>
      </w:r>
      <w:r w:rsidRPr="00A96D05">
        <w:rPr>
          <w:rFonts w:ascii="Book Antiqua" w:hAnsi="Book Antiqua" w:cs="Book Antiqua"/>
          <w:color w:val="000000"/>
          <w:sz w:val="24"/>
          <w:szCs w:val="24"/>
          <w:lang w:val="en-US"/>
        </w:rPr>
        <w:t>incidence of clinical symptoms and improvement of cell-mediated immunity were reported after treatment with NAC</w:t>
      </w:r>
      <w:r w:rsidRPr="00A96D05">
        <w:rPr>
          <w:rFonts w:ascii="Book Antiqua" w:hAnsi="Book Antiqua" w:cs="Book Antiqua"/>
          <w:noProof/>
          <w:color w:val="000000"/>
          <w:sz w:val="24"/>
          <w:szCs w:val="24"/>
          <w:vertAlign w:val="superscript"/>
          <w:lang w:val="en-US"/>
        </w:rPr>
        <w:t>[235]</w:t>
      </w:r>
      <w:r w:rsidRPr="00A96D05">
        <w:rPr>
          <w:rFonts w:ascii="Book Antiqua" w:hAnsi="Book Antiqua" w:cs="Book Antiqua"/>
          <w:color w:val="000000"/>
          <w:sz w:val="24"/>
          <w:szCs w:val="24"/>
          <w:lang w:val="en-US"/>
        </w:rPr>
        <w:t>. Similarly, GSH has been reported to inhibit infection by influenza virus in both cultured cells and mice</w:t>
      </w:r>
      <w:r w:rsidRPr="00A96D05">
        <w:rPr>
          <w:rFonts w:ascii="Book Antiqua" w:hAnsi="Book Antiqua" w:cs="Book Antiqua"/>
          <w:noProof/>
          <w:color w:val="000000"/>
          <w:sz w:val="24"/>
          <w:szCs w:val="24"/>
          <w:vertAlign w:val="superscript"/>
          <w:lang w:val="en-US"/>
        </w:rPr>
        <w:t>[236]</w:t>
      </w:r>
      <w:r w:rsidRPr="00A96D05">
        <w:rPr>
          <w:rFonts w:ascii="Book Antiqua" w:hAnsi="Book Antiqua" w:cs="Book Antiqua"/>
          <w:color w:val="000000"/>
          <w:sz w:val="24"/>
          <w:szCs w:val="24"/>
          <w:lang w:val="en-US"/>
        </w:rPr>
        <w:t>. High doses of NAC have proven to be synergistic with oseltamivir treatment in protecting mice from fatal influenza infection</w:t>
      </w:r>
      <w:r w:rsidRPr="00A96D05">
        <w:rPr>
          <w:rFonts w:ascii="Book Antiqua" w:hAnsi="Book Antiqua" w:cs="Book Antiqua"/>
          <w:noProof/>
          <w:color w:val="000000"/>
          <w:sz w:val="24"/>
          <w:szCs w:val="24"/>
          <w:vertAlign w:val="superscript"/>
          <w:lang w:val="en-US"/>
        </w:rPr>
        <w:t>[237]</w:t>
      </w:r>
      <w:r w:rsidRPr="00A96D05">
        <w:rPr>
          <w:rFonts w:ascii="Book Antiqua" w:hAnsi="Book Antiqua" w:cs="Book Antiqua"/>
          <w:color w:val="000000"/>
          <w:sz w:val="24"/>
          <w:szCs w:val="24"/>
          <w:lang w:val="en-US"/>
        </w:rPr>
        <w:t>, whereas a synergistic combination of NAC and ribavirin was also effective in preventing mice from lethal influenza virus infection</w:t>
      </w:r>
      <w:r w:rsidRPr="00A96D05">
        <w:rPr>
          <w:rFonts w:ascii="Book Antiqua" w:hAnsi="Book Antiqua" w:cs="Book Antiqua"/>
          <w:noProof/>
          <w:color w:val="000000"/>
          <w:sz w:val="24"/>
          <w:szCs w:val="24"/>
          <w:vertAlign w:val="superscript"/>
          <w:lang w:val="en-US"/>
        </w:rPr>
        <w:t>[238]</w:t>
      </w:r>
      <w:r w:rsidRPr="00A96D05">
        <w:rPr>
          <w:rFonts w:ascii="Book Antiqua" w:hAnsi="Book Antiqua" w:cs="Book Antiqua"/>
          <w:color w:val="000000"/>
          <w:sz w:val="24"/>
          <w:szCs w:val="24"/>
          <w:lang w:val="en-US"/>
        </w:rPr>
        <w:t>. A long-term NAC administration attenuated influenza symptoms in elderly patients with chronic degenerative disease</w:t>
      </w:r>
      <w:r w:rsidRPr="00A96D05">
        <w:rPr>
          <w:rFonts w:ascii="Book Antiqua" w:hAnsi="Book Antiqua" w:cs="Book Antiqua"/>
          <w:noProof/>
          <w:color w:val="000000"/>
          <w:sz w:val="24"/>
          <w:szCs w:val="24"/>
          <w:vertAlign w:val="superscript"/>
          <w:lang w:val="en-US"/>
        </w:rPr>
        <w:t>[235]</w:t>
      </w:r>
      <w:r w:rsidRPr="00A96D05">
        <w:rPr>
          <w:rFonts w:ascii="Book Antiqua" w:hAnsi="Book Antiqua" w:cs="Book Antiqua"/>
          <w:color w:val="000000"/>
          <w:sz w:val="24"/>
          <w:szCs w:val="24"/>
          <w:lang w:val="en-US"/>
        </w:rPr>
        <w:t>. In addition, a patient infected with the A/H1N1 influenza virus improved rapidly after treatment with a high-dose NAC therapy in combination with antiviral medication</w:t>
      </w:r>
      <w:r w:rsidRPr="00A96D05">
        <w:rPr>
          <w:rFonts w:ascii="Book Antiqua" w:hAnsi="Book Antiqua" w:cs="Book Antiqua"/>
          <w:noProof/>
          <w:color w:val="000000"/>
          <w:sz w:val="24"/>
          <w:szCs w:val="24"/>
          <w:vertAlign w:val="superscript"/>
          <w:lang w:val="en-US"/>
        </w:rPr>
        <w:t>[239]</w:t>
      </w:r>
      <w:r w:rsidRPr="00A96D05">
        <w:rPr>
          <w:rFonts w:ascii="Book Antiqua" w:hAnsi="Book Antiqua" w:cs="Book Antiqua"/>
          <w:color w:val="000000"/>
          <w:sz w:val="24"/>
          <w:szCs w:val="24"/>
          <w:lang w:val="en-US"/>
        </w:rPr>
        <w:t>. NAC has been shown to reduce H5N1-induced cytopathic effects, virus-induced apoptosis and the production of some pro-inflammatory molecules whereas it inhibited the activation of oxidant sensitive pathways including NF-κB and mitogen activated protein kinase p38</w:t>
      </w:r>
      <w:r w:rsidRPr="00A96D05">
        <w:rPr>
          <w:rFonts w:ascii="Book Antiqua" w:hAnsi="Book Antiqua" w:cs="Book Antiqua"/>
          <w:noProof/>
          <w:color w:val="000000"/>
          <w:sz w:val="24"/>
          <w:szCs w:val="24"/>
          <w:vertAlign w:val="superscript"/>
          <w:lang w:val="en-US"/>
        </w:rPr>
        <w:t>[240]</w:t>
      </w:r>
      <w:r w:rsidRPr="00A96D05">
        <w:rPr>
          <w:rFonts w:ascii="Book Antiqua" w:hAnsi="Book Antiqua" w:cs="Book Antiqua"/>
          <w:color w:val="000000"/>
          <w:sz w:val="24"/>
          <w:szCs w:val="24"/>
          <w:lang w:val="en-US"/>
        </w:rPr>
        <w:t>. However, a universal inhibitory activity against influenza A viruses has not yet been demonstrated</w:t>
      </w:r>
      <w:r w:rsidRPr="00A96D05">
        <w:rPr>
          <w:rFonts w:ascii="Book Antiqua" w:hAnsi="Book Antiqua" w:cs="Book Antiqua"/>
          <w:noProof/>
          <w:color w:val="000000"/>
          <w:sz w:val="24"/>
          <w:szCs w:val="24"/>
          <w:vertAlign w:val="superscript"/>
          <w:lang w:val="en-US"/>
        </w:rPr>
        <w:t>[241]</w:t>
      </w:r>
      <w:r w:rsidRPr="00A96D05">
        <w:rPr>
          <w:rFonts w:ascii="Book Antiqua" w:hAnsi="Book Antiqua" w:cs="Book Antiqua"/>
          <w:color w:val="000000"/>
          <w:sz w:val="24"/>
          <w:szCs w:val="24"/>
          <w:lang w:val="en-US"/>
        </w:rPr>
        <w:t>. A successful outcome was reported following early administration of NAC to children affected with dengue hemorrhagic fever or dengue shock syndrome complicated by acute liver failure</w:t>
      </w:r>
      <w:r w:rsidRPr="00A96D05">
        <w:rPr>
          <w:rFonts w:ascii="Book Antiqua" w:hAnsi="Book Antiqua" w:cs="Book Antiqua"/>
          <w:noProof/>
          <w:color w:val="000000"/>
          <w:sz w:val="24"/>
          <w:szCs w:val="24"/>
          <w:vertAlign w:val="superscript"/>
          <w:lang w:val="en-US"/>
        </w:rPr>
        <w:t>[242]</w:t>
      </w:r>
      <w:r w:rsidRPr="00A96D05">
        <w:rPr>
          <w:rFonts w:ascii="Book Antiqua" w:hAnsi="Book Antiqua" w:cs="Book Antiqua"/>
          <w:color w:val="000000"/>
          <w:sz w:val="24"/>
          <w:szCs w:val="24"/>
          <w:lang w:val="en-US"/>
        </w:rPr>
        <w:t>. Before highly active antiretroviral therapy (HAART), NAC was tested to replenish GSH kevels in HIV-infected patients since cysteine and GSH levels decrease as the HIV disease progresses</w:t>
      </w:r>
      <w:r w:rsidRPr="00A96D05">
        <w:rPr>
          <w:rFonts w:ascii="Book Antiqua" w:hAnsi="Book Antiqua" w:cs="Book Antiqua"/>
          <w:noProof/>
          <w:color w:val="000000"/>
          <w:sz w:val="24"/>
          <w:szCs w:val="24"/>
          <w:vertAlign w:val="superscript"/>
          <w:lang w:val="en-US"/>
        </w:rPr>
        <w:t>[243,244]</w:t>
      </w:r>
      <w:r w:rsidRPr="00A96D05">
        <w:rPr>
          <w:rFonts w:ascii="Book Antiqua" w:hAnsi="Book Antiqua" w:cs="Book Antiqua"/>
          <w:color w:val="000000"/>
          <w:sz w:val="24"/>
          <w:szCs w:val="24"/>
          <w:lang w:val="en-US"/>
        </w:rPr>
        <w:t>. However, NAC has been offered as a useful adjunct therapy to increase protection against oxidative stress, improve immune system function and increase detoxification of acetaminophen and other drugs in patients treated with HAART</w:t>
      </w:r>
      <w:r w:rsidRPr="00A96D05">
        <w:rPr>
          <w:rFonts w:ascii="Book Antiqua" w:hAnsi="Book Antiqua" w:cs="Book Antiqua"/>
          <w:noProof/>
          <w:color w:val="000000"/>
          <w:sz w:val="24"/>
          <w:szCs w:val="24"/>
          <w:vertAlign w:val="superscript"/>
          <w:lang w:val="en-US"/>
        </w:rPr>
        <w:t>[245]</w:t>
      </w:r>
      <w:r w:rsidRPr="00A96D05">
        <w:rPr>
          <w:rFonts w:ascii="Book Antiqua" w:hAnsi="Book Antiqua" w:cs="Book Antiqua"/>
          <w:color w:val="000000"/>
          <w:sz w:val="24"/>
          <w:szCs w:val="24"/>
          <w:lang w:val="en-US"/>
        </w:rPr>
        <w:t>.</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lang w:val="en-US"/>
        </w:rPr>
        <w:t>The sensitivity of rotavirus infection to NAC has recently been demonstrated. A study that screened for drugs with the potential ability to interfere with cellular redox reactions, found that infection of MA104 and Caco-2 cells with several rotavirus strains was significantly inhibited by NAC in both cell systems</w:t>
      </w:r>
      <w:r w:rsidRPr="00A96D05">
        <w:rPr>
          <w:rFonts w:ascii="Book Antiqua" w:hAnsi="Book Antiqua" w:cs="Book Antiqua"/>
          <w:noProof/>
          <w:color w:val="000000"/>
          <w:sz w:val="24"/>
          <w:szCs w:val="24"/>
          <w:vertAlign w:val="superscript"/>
          <w:lang w:val="en-US"/>
        </w:rPr>
        <w:t>[184]</w:t>
      </w:r>
      <w:r w:rsidRPr="00A96D05">
        <w:rPr>
          <w:rFonts w:ascii="Book Antiqua" w:hAnsi="Book Antiqua" w:cs="Book Antiqua"/>
          <w:color w:val="000000"/>
          <w:sz w:val="24"/>
          <w:szCs w:val="24"/>
          <w:lang w:val="en-US"/>
        </w:rPr>
        <w:t>. On the other hand, the rotavirus NSP4-induced chloride secretion has been shown to be inhibited by pre-treating Caco-2 cell with NAC, suggesting that the enterotoxic effect of NSP4 is stress oxidative-dependent</w:t>
      </w:r>
      <w:r w:rsidRPr="00A96D05">
        <w:rPr>
          <w:rFonts w:ascii="Book Antiqua" w:hAnsi="Book Antiqua" w:cs="Book Antiqua"/>
          <w:noProof/>
          <w:color w:val="000000"/>
          <w:sz w:val="24"/>
          <w:szCs w:val="24"/>
          <w:vertAlign w:val="superscript"/>
          <w:lang w:val="en-US"/>
        </w:rPr>
        <w:t>[224]</w:t>
      </w:r>
      <w:r w:rsidRPr="00A96D05">
        <w:rPr>
          <w:rFonts w:ascii="Book Antiqua" w:hAnsi="Book Antiqua" w:cs="Book Antiqua"/>
          <w:color w:val="000000"/>
          <w:sz w:val="24"/>
          <w:szCs w:val="24"/>
          <w:lang w:val="en-US"/>
        </w:rPr>
        <w:t>. Inhibition of rotavirus infection by NAC was further demonstrated in ICR mice infected with rotavirus ECwt as the percentage of viral antigen-positive villus cells was significantly decreased by NAC treatment</w:t>
      </w:r>
      <w:r w:rsidRPr="00A96D05">
        <w:rPr>
          <w:rFonts w:ascii="Book Antiqua" w:hAnsi="Book Antiqua" w:cs="Book Antiqua"/>
          <w:noProof/>
          <w:color w:val="000000"/>
          <w:sz w:val="24"/>
          <w:szCs w:val="24"/>
          <w:vertAlign w:val="superscript"/>
          <w:lang w:val="en-US"/>
        </w:rPr>
        <w:t>[185]</w:t>
      </w:r>
      <w:r w:rsidRPr="00A96D05">
        <w:rPr>
          <w:rFonts w:ascii="Book Antiqua" w:hAnsi="Book Antiqua" w:cs="Book Antiqua"/>
          <w:color w:val="000000"/>
          <w:sz w:val="24"/>
          <w:szCs w:val="24"/>
          <w:lang w:val="en-US"/>
        </w:rPr>
        <w:t>. The use of NAC as a therapeutic tool for treatment of rotavirus disease in children was also demonstrated.</w:t>
      </w:r>
      <w:r w:rsidRPr="00A96D05">
        <w:rPr>
          <w:rFonts w:ascii="Book Antiqua" w:hAnsi="Book Antiqua" w:cs="Book Antiqua"/>
          <w:color w:val="000000"/>
          <w:sz w:val="24"/>
          <w:szCs w:val="24"/>
          <w:shd w:val="clear" w:color="auto" w:fill="FFFFFF"/>
          <w:lang w:val="en-US"/>
        </w:rPr>
        <w:t xml:space="preserve"> Administration of NAC after the first diarrheal episode was shown to decrease the number of diarrheal episodes, excretion of fecal rotavirus antigen, and resolution of symptoms after 2 d of treatment</w:t>
      </w:r>
      <w:r w:rsidRPr="00A96D05">
        <w:rPr>
          <w:rFonts w:ascii="Book Antiqua" w:hAnsi="Book Antiqua" w:cs="Book Antiqua"/>
          <w:noProof/>
          <w:color w:val="000000"/>
          <w:sz w:val="24"/>
          <w:szCs w:val="24"/>
          <w:shd w:val="clear" w:color="auto" w:fill="FFFFFF"/>
          <w:vertAlign w:val="superscript"/>
          <w:lang w:val="en-US"/>
        </w:rPr>
        <w:t>[186]</w:t>
      </w:r>
      <w:r w:rsidRPr="00A96D05">
        <w:rPr>
          <w:rFonts w:ascii="Book Antiqua" w:hAnsi="Book Antiqua" w:cs="Book Antiqua"/>
          <w:color w:val="000000"/>
          <w:sz w:val="24"/>
          <w:szCs w:val="24"/>
          <w:shd w:val="clear" w:color="auto" w:fill="FFFFFF"/>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There is demonstration that TNF-</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xml:space="preserve"> stimulates HIV transcription through activation of NF-κB</w:t>
      </w:r>
      <w:r w:rsidRPr="00A96D05">
        <w:rPr>
          <w:rFonts w:ascii="Book Antiqua" w:hAnsi="Book Antiqua" w:cs="Book Antiqua"/>
          <w:noProof/>
          <w:color w:val="000000"/>
          <w:sz w:val="24"/>
          <w:szCs w:val="24"/>
          <w:vertAlign w:val="superscript"/>
          <w:lang w:val="en-US"/>
        </w:rPr>
        <w:t>[246]</w:t>
      </w:r>
      <w:r w:rsidRPr="00A96D05">
        <w:rPr>
          <w:rFonts w:ascii="Book Antiqua" w:hAnsi="Book Antiqua" w:cs="Book Antiqua"/>
          <w:color w:val="000000"/>
          <w:sz w:val="24"/>
          <w:szCs w:val="24"/>
          <w:lang w:val="en-US"/>
        </w:rPr>
        <w:t xml:space="preserve"> and that this stimulation is inhibited by NAC treatment</w:t>
      </w:r>
      <w:r w:rsidRPr="00A96D05">
        <w:rPr>
          <w:rFonts w:ascii="Book Antiqua" w:hAnsi="Book Antiqua" w:cs="Book Antiqua"/>
          <w:noProof/>
          <w:color w:val="000000"/>
          <w:sz w:val="24"/>
          <w:szCs w:val="24"/>
          <w:vertAlign w:val="superscript"/>
          <w:lang w:val="en-US"/>
        </w:rPr>
        <w:t>[247]</w:t>
      </w:r>
      <w:r w:rsidRPr="00A96D05">
        <w:rPr>
          <w:rFonts w:ascii="Book Antiqua" w:hAnsi="Book Antiqua" w:cs="Book Antiqua"/>
          <w:color w:val="000000"/>
          <w:sz w:val="24"/>
          <w:szCs w:val="24"/>
          <w:lang w:val="en-US"/>
        </w:rPr>
        <w:t>. It has been also found that intracellular thiols regulate NF-κB activation since low thiol levels lead to its activation whilst high thiols levels inhibit its activation</w:t>
      </w:r>
      <w:r w:rsidRPr="00A96D05">
        <w:rPr>
          <w:rFonts w:ascii="Book Antiqua" w:hAnsi="Book Antiqua" w:cs="Book Antiqua"/>
          <w:noProof/>
          <w:color w:val="000000"/>
          <w:sz w:val="24"/>
          <w:szCs w:val="24"/>
          <w:vertAlign w:val="superscript"/>
          <w:lang w:val="en-US"/>
        </w:rPr>
        <w:t>[248]</w:t>
      </w:r>
      <w:r w:rsidRPr="00A96D05">
        <w:rPr>
          <w:rFonts w:ascii="Book Antiqua" w:hAnsi="Book Antiqua" w:cs="Book Antiqua"/>
          <w:color w:val="000000"/>
          <w:sz w:val="24"/>
          <w:szCs w:val="24"/>
          <w:lang w:val="en-US"/>
        </w:rPr>
        <w:t>. NAC has been shown to be a potent inhibitor of NF-κB activation in terms of inhibiting its nuclear migration and DNA binding activity in vascular endothelial cells</w:t>
      </w:r>
      <w:r w:rsidRPr="00A96D05">
        <w:rPr>
          <w:rFonts w:ascii="Book Antiqua" w:hAnsi="Book Antiqua" w:cs="Book Antiqua"/>
          <w:noProof/>
          <w:color w:val="000000"/>
          <w:sz w:val="24"/>
          <w:szCs w:val="24"/>
          <w:vertAlign w:val="superscript"/>
          <w:lang w:val="en-US"/>
        </w:rPr>
        <w:t>[249]</w:t>
      </w:r>
      <w:r w:rsidRPr="00A96D05">
        <w:rPr>
          <w:rFonts w:ascii="Book Antiqua" w:hAnsi="Book Antiqua" w:cs="Book Antiqua"/>
          <w:color w:val="000000"/>
          <w:sz w:val="24"/>
          <w:szCs w:val="24"/>
          <w:lang w:val="en-US"/>
        </w:rPr>
        <w:t>. NAC and other antioxidants have been reported to inhibit hydrogen peroxide-induced NF-κB activation</w:t>
      </w:r>
      <w:r w:rsidRPr="00A96D05">
        <w:rPr>
          <w:rFonts w:ascii="Book Antiqua" w:hAnsi="Book Antiqua" w:cs="Book Antiqua"/>
          <w:noProof/>
          <w:color w:val="000000"/>
          <w:sz w:val="24"/>
          <w:szCs w:val="24"/>
          <w:vertAlign w:val="superscript"/>
          <w:lang w:val="en-US"/>
        </w:rPr>
        <w:t>[45]</w:t>
      </w:r>
      <w:r w:rsidRPr="00A96D05">
        <w:rPr>
          <w:rFonts w:ascii="Book Antiqua" w:hAnsi="Book Antiqua" w:cs="Book Antiqua"/>
          <w:color w:val="000000"/>
          <w:sz w:val="24"/>
          <w:szCs w:val="24"/>
          <w:lang w:val="en-US"/>
        </w:rPr>
        <w:t>. Moreover, NAC has been reported to block NF-κB activation by interfering with IκB kinase</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IKK</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activation and Inhibitor of κB phosphorylation, which suggested that ROS could be ubiquitous mediators of NF-κB activation</w:t>
      </w:r>
      <w:r w:rsidRPr="00A96D05">
        <w:rPr>
          <w:rFonts w:ascii="Book Antiqua" w:hAnsi="Book Antiqua" w:cs="Book Antiqua"/>
          <w:noProof/>
          <w:color w:val="000000"/>
          <w:sz w:val="24"/>
          <w:szCs w:val="24"/>
          <w:vertAlign w:val="superscript"/>
          <w:lang w:val="en-US"/>
        </w:rPr>
        <w:t>[250,251]</w:t>
      </w:r>
      <w:r w:rsidRPr="00A96D05">
        <w:rPr>
          <w:rFonts w:ascii="Book Antiqua" w:hAnsi="Book Antiqua" w:cs="Book Antiqua"/>
          <w:color w:val="000000"/>
          <w:sz w:val="24"/>
          <w:szCs w:val="24"/>
          <w:lang w:val="en-US"/>
        </w:rPr>
        <w:t xml:space="preserve"> . However, it has been reported that NAC inhibits NF-κB activation in Hela and L929 cells independently of its anti-oxidative function. NAC seems to block selectively TNF-induced signaling by decreasing the affinity of receptor for TNF</w:t>
      </w:r>
      <w:r w:rsidRPr="00A96D05">
        <w:rPr>
          <w:rFonts w:ascii="Book Antiqua" w:hAnsi="Book Antiqua" w:cs="Book Antiqua"/>
          <w:noProof/>
          <w:color w:val="000000"/>
          <w:sz w:val="24"/>
          <w:szCs w:val="24"/>
          <w:vertAlign w:val="superscript"/>
          <w:lang w:val="en-US"/>
        </w:rPr>
        <w:t>[252]</w:t>
      </w:r>
      <w:r w:rsidRPr="00A96D05">
        <w:rPr>
          <w:rFonts w:ascii="Book Antiqua" w:hAnsi="Book Antiqua" w:cs="Book Antiqua"/>
          <w:color w:val="000000"/>
          <w:sz w:val="24"/>
          <w:szCs w:val="24"/>
          <w:lang w:val="en-US"/>
        </w:rPr>
        <w:t xml:space="preserve">. The NAC inhibitory effect on NF-κB activation appears to be a well established fact.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Style w:val="apple-converted-space"/>
          <w:rFonts w:ascii="Book Antiqua" w:hAnsi="Book Antiqua" w:cs="Book Antiqua"/>
          <w:color w:val="000000"/>
          <w:sz w:val="24"/>
          <w:szCs w:val="24"/>
          <w:shd w:val="clear" w:color="auto" w:fill="FFFFFF"/>
          <w:lang w:val="en-US"/>
        </w:rPr>
        <w:t xml:space="preserve">It has been reported that NAC inhibits the expression of VCAM-1 by interfering with the binding of </w:t>
      </w:r>
      <w:r w:rsidRPr="00A96D05">
        <w:rPr>
          <w:rFonts w:ascii="Book Antiqua" w:hAnsi="Book Antiqua" w:cs="Book Antiqua"/>
          <w:color w:val="000000"/>
          <w:sz w:val="24"/>
          <w:szCs w:val="24"/>
          <w:lang w:val="en-US"/>
        </w:rPr>
        <w:t>NF-κB to the VCAM-1 κB motif</w:t>
      </w:r>
      <w:r w:rsidRPr="00A96D05">
        <w:rPr>
          <w:rFonts w:ascii="Book Antiqua" w:hAnsi="Book Antiqua" w:cs="Book Antiqua"/>
          <w:noProof/>
          <w:color w:val="000000"/>
          <w:sz w:val="24"/>
          <w:szCs w:val="24"/>
          <w:vertAlign w:val="superscript"/>
          <w:lang w:val="en-US"/>
        </w:rPr>
        <w:t>[253,254]</w:t>
      </w:r>
      <w:r w:rsidRPr="00A96D05">
        <w:rPr>
          <w:rFonts w:ascii="Book Antiqua" w:hAnsi="Book Antiqua" w:cs="Book Antiqua"/>
          <w:color w:val="000000"/>
          <w:sz w:val="24"/>
          <w:szCs w:val="24"/>
          <w:lang w:val="en-US"/>
        </w:rPr>
        <w:t>. Many harmful effects of TNF-</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xml:space="preserve"> associated to endothelial dysfunction have been partially prevented by increasing GSH through NAC treatment</w:t>
      </w:r>
      <w:r w:rsidRPr="00A96D05">
        <w:rPr>
          <w:rFonts w:ascii="Book Antiqua" w:hAnsi="Book Antiqua" w:cs="Book Antiqua"/>
          <w:noProof/>
          <w:color w:val="000000"/>
          <w:sz w:val="24"/>
          <w:szCs w:val="24"/>
          <w:vertAlign w:val="superscript"/>
          <w:lang w:val="en-US"/>
        </w:rPr>
        <w:t>[255]</w:t>
      </w:r>
      <w:r w:rsidRPr="00A96D05">
        <w:rPr>
          <w:rFonts w:ascii="Book Antiqua" w:hAnsi="Book Antiqua" w:cs="Book Antiqua"/>
          <w:color w:val="000000"/>
          <w:sz w:val="24"/>
          <w:szCs w:val="24"/>
          <w:lang w:val="en-US"/>
        </w:rPr>
        <w:t>. NAC has also been reported to completely inhibit ROS, JNK and NF-κB activation induced by leptin, suggesting that hyperleptinemia is sensitive to redox signaling</w:t>
      </w:r>
      <w:r w:rsidRPr="00A96D05">
        <w:rPr>
          <w:rFonts w:ascii="Book Antiqua" w:hAnsi="Book Antiqua" w:cs="Book Antiqua"/>
          <w:noProof/>
          <w:color w:val="000000"/>
          <w:sz w:val="24"/>
          <w:szCs w:val="24"/>
          <w:vertAlign w:val="superscript"/>
          <w:lang w:val="en-US"/>
        </w:rPr>
        <w:t>[256]</w:t>
      </w:r>
      <w:r w:rsidRPr="00A96D05">
        <w:rPr>
          <w:rFonts w:ascii="Book Antiqua" w:hAnsi="Book Antiqua" w:cs="Book Antiqua"/>
          <w:color w:val="000000"/>
          <w:sz w:val="24"/>
          <w:szCs w:val="24"/>
          <w:lang w:val="en-US"/>
        </w:rPr>
        <w:t>. Attenuation of TNF-</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-induced p38 mitogen-activated protein kinase (MAPK) activity in pulmonary vascular endothelial cells was obtained by NAC treatment, suggesting that p38 MAPK pathway is regulated by redox environment</w:t>
      </w:r>
      <w:r w:rsidRPr="00A96D05">
        <w:rPr>
          <w:rFonts w:ascii="Book Antiqua" w:hAnsi="Book Antiqua" w:cs="Book Antiqua"/>
          <w:noProof/>
          <w:color w:val="000000"/>
          <w:sz w:val="24"/>
          <w:szCs w:val="24"/>
          <w:vertAlign w:val="superscript"/>
          <w:lang w:val="en-US"/>
        </w:rPr>
        <w:t>[257]</w:t>
      </w:r>
      <w:r w:rsidRPr="00A96D05">
        <w:rPr>
          <w:rFonts w:ascii="Book Antiqua" w:hAnsi="Book Antiqua" w:cs="Book Antiqua"/>
          <w:color w:val="000000"/>
          <w:sz w:val="24"/>
          <w:szCs w:val="24"/>
          <w:lang w:val="en-US"/>
        </w:rPr>
        <w:t>. Activation of NF-κB in response to various signals, including IL-1, TNF and H</w:t>
      </w:r>
      <w:r w:rsidRPr="00A96D05">
        <w:rPr>
          <w:rFonts w:ascii="Book Antiqua" w:hAnsi="Book Antiqua" w:cs="Book Antiqua"/>
          <w:color w:val="000000"/>
          <w:sz w:val="24"/>
          <w:szCs w:val="24"/>
          <w:vertAlign w:val="subscript"/>
          <w:lang w:val="en-US"/>
        </w:rPr>
        <w:t>2</w:t>
      </w:r>
      <w:r w:rsidRPr="00A96D05">
        <w:rPr>
          <w:rFonts w:ascii="Book Antiqua" w:hAnsi="Book Antiqua" w:cs="Book Antiqua"/>
          <w:color w:val="000000"/>
          <w:sz w:val="24"/>
          <w:szCs w:val="24"/>
          <w:lang w:val="en-US"/>
        </w:rPr>
        <w:t>O</w:t>
      </w:r>
      <w:r w:rsidRPr="00A96D05">
        <w:rPr>
          <w:rFonts w:ascii="Book Antiqua" w:hAnsi="Book Antiqua" w:cs="Book Antiqua"/>
          <w:color w:val="000000"/>
          <w:sz w:val="24"/>
          <w:szCs w:val="24"/>
          <w:vertAlign w:val="subscript"/>
          <w:lang w:val="en-US"/>
        </w:rPr>
        <w:t>2</w:t>
      </w:r>
      <w:r w:rsidRPr="00A96D05">
        <w:rPr>
          <w:rFonts w:ascii="Book Antiqua" w:hAnsi="Book Antiqua" w:cs="Book Antiqua"/>
          <w:color w:val="000000"/>
          <w:sz w:val="24"/>
          <w:szCs w:val="24"/>
          <w:lang w:val="en-US"/>
        </w:rPr>
        <w:t xml:space="preserve"> can be inhibited by NAC treatment, suggesting that ROS are common signaling modulators</w:t>
      </w:r>
      <w:r w:rsidRPr="00A96D05">
        <w:rPr>
          <w:rFonts w:ascii="Book Antiqua" w:hAnsi="Book Antiqua" w:cs="Book Antiqua"/>
          <w:noProof/>
          <w:color w:val="000000"/>
          <w:sz w:val="24"/>
          <w:szCs w:val="24"/>
          <w:vertAlign w:val="superscript"/>
          <w:lang w:val="en-US"/>
        </w:rPr>
        <w:t>[258]</w:t>
      </w:r>
      <w:r w:rsidRPr="00A96D05">
        <w:rPr>
          <w:rFonts w:ascii="Book Antiqua" w:hAnsi="Book Antiqua" w:cs="Book Antiqua"/>
          <w:color w:val="000000"/>
          <w:sz w:val="24"/>
          <w:szCs w:val="24"/>
          <w:lang w:val="en-US"/>
        </w:rPr>
        <w:t xml:space="preserve">. Moreover, </w:t>
      </w:r>
      <w:r w:rsidRPr="00A96D05">
        <w:rPr>
          <w:rFonts w:ascii="Book Antiqua" w:hAnsi="Book Antiqua" w:cs="Book Antiqua"/>
          <w:color w:val="000000"/>
          <w:sz w:val="24"/>
          <w:szCs w:val="24"/>
          <w:shd w:val="clear" w:color="auto" w:fill="FFFFFF"/>
          <w:lang w:val="en-US"/>
        </w:rPr>
        <w:t>NAC was found to enhance the effect of IFN-</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shd w:val="clear" w:color="auto" w:fill="FFFFFF"/>
          <w:lang w:val="en-US"/>
        </w:rPr>
        <w:t xml:space="preserve"> on liver tumor cells through inhibition of </w:t>
      </w:r>
      <w:r w:rsidRPr="00A96D05">
        <w:rPr>
          <w:rFonts w:ascii="Book Antiqua" w:hAnsi="Book Antiqua" w:cs="Book Antiqua"/>
          <w:color w:val="000000"/>
          <w:sz w:val="24"/>
          <w:szCs w:val="24"/>
          <w:lang w:val="en-US"/>
        </w:rPr>
        <w:t>NF-κB</w:t>
      </w:r>
      <w:r w:rsidRPr="00A96D05">
        <w:rPr>
          <w:rFonts w:ascii="Book Antiqua" w:hAnsi="Book Antiqua" w:cs="Book Antiqua"/>
          <w:noProof/>
          <w:color w:val="000000"/>
          <w:sz w:val="24"/>
          <w:szCs w:val="24"/>
          <w:shd w:val="clear" w:color="auto" w:fill="FFFFFF"/>
          <w:vertAlign w:val="superscript"/>
          <w:lang w:val="en-US"/>
        </w:rPr>
        <w:t>[259]</w:t>
      </w:r>
      <w:r w:rsidRPr="00A96D05">
        <w:rPr>
          <w:rFonts w:ascii="Book Antiqua" w:hAnsi="Book Antiqua" w:cs="Book Antiqua"/>
          <w:color w:val="000000"/>
          <w:sz w:val="24"/>
          <w:szCs w:val="24"/>
          <w:shd w:val="clear" w:color="auto" w:fill="FFFFFF"/>
          <w:lang w:val="en-US"/>
        </w:rPr>
        <w:t xml:space="preserve">. </w:t>
      </w:r>
      <w:r w:rsidRPr="00A96D05">
        <w:rPr>
          <w:rFonts w:ascii="Book Antiqua" w:hAnsi="Book Antiqua" w:cs="Book Antiqua"/>
          <w:color w:val="000000"/>
          <w:sz w:val="24"/>
          <w:szCs w:val="24"/>
          <w:lang w:val="en-US"/>
        </w:rPr>
        <w:t>On the other hand, some studies suggested that NAC inhibits the upstream IKK activation induced by TNF-</w:t>
      </w:r>
      <w:r w:rsidRPr="00A96D05">
        <w:rPr>
          <w:rFonts w:ascii="Book Antiqua" w:hAnsi="Book Antiqua" w:cs="Book Antiqua"/>
          <w:color w:val="000000"/>
          <w:sz w:val="24"/>
          <w:szCs w:val="24"/>
          <w:lang w:val="en-US"/>
        </w:rPr>
        <w:sym w:font="Symbol" w:char="F061"/>
      </w:r>
      <w:r w:rsidRPr="00A96D05">
        <w:rPr>
          <w:rFonts w:ascii="Book Antiqua" w:hAnsi="Book Antiqua" w:cs="Book Antiqua"/>
          <w:noProof/>
          <w:color w:val="000000"/>
          <w:sz w:val="24"/>
          <w:szCs w:val="24"/>
          <w:vertAlign w:val="superscript"/>
          <w:lang w:val="en-US"/>
        </w:rPr>
        <w:t>[260]</w:t>
      </w:r>
      <w:r w:rsidRPr="00A96D05">
        <w:rPr>
          <w:rFonts w:ascii="Book Antiqua" w:hAnsi="Book Antiqua" w:cs="Book Antiqua"/>
          <w:color w:val="000000"/>
          <w:sz w:val="24"/>
          <w:szCs w:val="24"/>
          <w:lang w:val="en-US"/>
        </w:rPr>
        <w:t>.</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eastAsia="zh-CN"/>
        </w:rPr>
      </w:pPr>
      <w:r w:rsidRPr="00A96D05">
        <w:rPr>
          <w:rFonts w:ascii="Book Antiqua" w:hAnsi="Book Antiqua" w:cs="Book Antiqua"/>
          <w:color w:val="000000"/>
          <w:sz w:val="24"/>
          <w:szCs w:val="24"/>
          <w:lang w:val="en-US"/>
        </w:rPr>
        <w:t xml:space="preserve">The NAC antiviral activity has mainly been associated with inhibition of pro-inflammatory molecules including those belonging to the NF-κB pathway and its associated generation of ROS. These findings suggest that inflammatory and oxidative stress pathways are intimately involved in the virus infection-associated pathogenesis. Nevertheless, the underlying mechanisms of NAC treatment of virus infections need further research in order to differentiate the direct and indirect effects associated with its antioxidant ability. A probable direct effect on disulfide bonds harbored in cellular and virus-encoded proteins cannot be excluded. </w:t>
      </w:r>
    </w:p>
    <w:p w:rsidR="005C6065" w:rsidRPr="00A96D05" w:rsidRDefault="005C6065" w:rsidP="00A96D05">
      <w:pPr>
        <w:spacing w:after="0" w:line="360" w:lineRule="auto"/>
        <w:jc w:val="both"/>
        <w:rPr>
          <w:rFonts w:ascii="Book Antiqua" w:hAnsi="Book Antiqua" w:cs="Book Antiqua"/>
          <w:color w:val="000000"/>
          <w:sz w:val="24"/>
          <w:szCs w:val="24"/>
          <w:lang w:val="en-US" w:eastAsia="zh-CN"/>
        </w:rPr>
      </w:pP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ROTAVIRUS INFECTION AND INFLAMMATORY SIGNALING</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RNAs from rotavirus replication are sensed by RIG-I and MDA5, which result in induction of an IFN-mediated innate immune response involving the activation of IRF3</w:t>
      </w:r>
      <w:r w:rsidRPr="00A96D05">
        <w:rPr>
          <w:rFonts w:ascii="Book Antiqua" w:hAnsi="Book Antiqua" w:cs="Book Antiqua"/>
          <w:noProof/>
          <w:color w:val="000000"/>
          <w:sz w:val="24"/>
          <w:szCs w:val="24"/>
          <w:vertAlign w:val="superscript"/>
          <w:lang w:val="en-US"/>
        </w:rPr>
        <w:t>[48,49]</w:t>
      </w:r>
      <w:r w:rsidRPr="00A96D05">
        <w:rPr>
          <w:rFonts w:ascii="Book Antiqua" w:hAnsi="Book Antiqua" w:cs="Book Antiqua"/>
          <w:color w:val="000000"/>
          <w:sz w:val="24"/>
          <w:szCs w:val="24"/>
          <w:lang w:val="en-US"/>
        </w:rPr>
        <w:t>. However</w:t>
      </w:r>
      <w:r w:rsidRPr="00A96D05">
        <w:rPr>
          <w:rFonts w:ascii="Book Antiqua" w:hAnsi="Book Antiqua" w:cs="Book Antiqua"/>
          <w:b/>
          <w:bCs/>
          <w:color w:val="000000"/>
          <w:sz w:val="24"/>
          <w:szCs w:val="24"/>
          <w:lang w:val="en-US"/>
        </w:rPr>
        <w:t xml:space="preserve">, </w:t>
      </w:r>
      <w:r w:rsidRPr="00A96D05">
        <w:rPr>
          <w:rFonts w:ascii="Book Antiqua" w:hAnsi="Book Antiqua" w:cs="Book Antiqua"/>
          <w:color w:val="000000"/>
          <w:sz w:val="24"/>
          <w:szCs w:val="24"/>
          <w:lang w:val="en-US"/>
        </w:rPr>
        <w:t>NSP1 from group A rotavirus is involved in evading innate immune response by antagonizing the induction of IFN and IFN-stimulated gene (</w:t>
      </w:r>
      <w:r w:rsidRPr="00A96D05">
        <w:rPr>
          <w:rFonts w:ascii="Book Antiqua" w:hAnsi="Book Antiqua" w:cs="Book Antiqua"/>
          <w:i/>
          <w:iCs/>
          <w:color w:val="000000"/>
          <w:sz w:val="24"/>
          <w:szCs w:val="24"/>
          <w:lang w:val="en-US"/>
        </w:rPr>
        <w:t>ISG</w:t>
      </w:r>
      <w:r w:rsidRPr="00A96D05">
        <w:rPr>
          <w:rFonts w:ascii="Book Antiqua" w:hAnsi="Book Antiqua" w:cs="Book Antiqua"/>
          <w:color w:val="000000"/>
          <w:sz w:val="24"/>
          <w:szCs w:val="24"/>
          <w:lang w:val="en-US"/>
        </w:rPr>
        <w:t>) products</w:t>
      </w:r>
      <w:r w:rsidRPr="00A96D05">
        <w:rPr>
          <w:rFonts w:ascii="Book Antiqua" w:hAnsi="Book Antiqua" w:cs="Book Antiqua"/>
          <w:noProof/>
          <w:color w:val="000000"/>
          <w:sz w:val="24"/>
          <w:szCs w:val="24"/>
          <w:vertAlign w:val="superscript"/>
          <w:lang w:val="en-US"/>
        </w:rPr>
        <w:t>[261,262]</w:t>
      </w:r>
      <w:r w:rsidRPr="00A96D05">
        <w:rPr>
          <w:rFonts w:ascii="Book Antiqua" w:hAnsi="Book Antiqua" w:cs="Book Antiqua"/>
          <w:color w:val="000000"/>
          <w:sz w:val="24"/>
          <w:szCs w:val="24"/>
          <w:lang w:val="en-US"/>
        </w:rPr>
        <w:t xml:space="preserve">. Rotavirus NSP1 has been shown to be involved in the evasion of innate immune response by interfering with the induction of IFN </w:t>
      </w:r>
      <w:r w:rsidRPr="00A96D05">
        <w:rPr>
          <w:rFonts w:ascii="Book Antiqua" w:hAnsi="Book Antiqua" w:cs="Book Antiqua"/>
          <w:i/>
          <w:iCs/>
          <w:color w:val="000000"/>
          <w:sz w:val="24"/>
          <w:szCs w:val="24"/>
          <w:lang w:val="en-US"/>
        </w:rPr>
        <w:t>via</w:t>
      </w:r>
      <w:r w:rsidRPr="00A96D05">
        <w:rPr>
          <w:rFonts w:ascii="Book Antiqua" w:hAnsi="Book Antiqua" w:cs="Book Antiqua"/>
          <w:color w:val="000000"/>
          <w:sz w:val="24"/>
          <w:szCs w:val="24"/>
          <w:lang w:val="en-US"/>
        </w:rPr>
        <w:t xml:space="preserve"> induction of the degradation of IRF-3, IRF-5 and IRF-7. NSP1 from several rotavirus strains has been shown to target IRF3 for proteasome degradation during early post-infection</w:t>
      </w:r>
      <w:r w:rsidRPr="00A96D05">
        <w:rPr>
          <w:rFonts w:ascii="Book Antiqua" w:hAnsi="Book Antiqua" w:cs="Book Antiqua"/>
          <w:noProof/>
          <w:color w:val="000000"/>
          <w:sz w:val="24"/>
          <w:szCs w:val="24"/>
          <w:vertAlign w:val="superscript"/>
          <w:lang w:val="en-US"/>
        </w:rPr>
        <w:t>[263-265]</w:t>
      </w:r>
      <w:r w:rsidRPr="00A96D05">
        <w:rPr>
          <w:rFonts w:ascii="Book Antiqua" w:hAnsi="Book Antiqua" w:cs="Book Antiqua"/>
          <w:color w:val="000000"/>
          <w:sz w:val="24"/>
          <w:szCs w:val="24"/>
          <w:lang w:val="en-US"/>
        </w:rPr>
        <w:t>. Recent studies indicated that NSP1 can induce degradation of IRF proteins (IRF3 to IRF9) by targeting their IRF association domains needed for their dimerization and nuclear translocation</w:t>
      </w:r>
      <w:r w:rsidRPr="00A96D05">
        <w:rPr>
          <w:rFonts w:ascii="Book Antiqua" w:hAnsi="Book Antiqua" w:cs="Book Antiqua"/>
          <w:noProof/>
          <w:color w:val="000000"/>
          <w:sz w:val="24"/>
          <w:szCs w:val="24"/>
          <w:vertAlign w:val="superscript"/>
          <w:lang w:val="en-US"/>
        </w:rPr>
        <w:t>[261]</w:t>
      </w:r>
      <w:r w:rsidRPr="00A96D05">
        <w:rPr>
          <w:rFonts w:ascii="Book Antiqua" w:hAnsi="Book Antiqua" w:cs="Book Antiqua"/>
          <w:color w:val="000000"/>
          <w:sz w:val="24"/>
          <w:szCs w:val="24"/>
          <w:lang w:val="en-US"/>
        </w:rPr>
        <w:t>. Nevertheless, there is evidence indicating that NSP1 from some rotavirus strains such as OSU is inefficient in degrading IRF-3</w:t>
      </w:r>
      <w:r w:rsidRPr="00A96D05">
        <w:rPr>
          <w:rFonts w:ascii="Book Antiqua" w:hAnsi="Book Antiqua" w:cs="Book Antiqua"/>
          <w:noProof/>
          <w:color w:val="000000"/>
          <w:sz w:val="24"/>
          <w:szCs w:val="24"/>
          <w:vertAlign w:val="superscript"/>
          <w:lang w:val="en-US"/>
        </w:rPr>
        <w:t>[266]</w:t>
      </w:r>
      <w:r w:rsidRPr="00A96D05">
        <w:rPr>
          <w:rFonts w:ascii="Book Antiqua" w:hAnsi="Book Antiqua" w:cs="Book Antiqua"/>
          <w:color w:val="000000"/>
          <w:sz w:val="24"/>
          <w:szCs w:val="24"/>
          <w:lang w:val="en-US"/>
        </w:rPr>
        <w:t>. It has been reported that IRF3 is activated and remains stable in cells following infection with porcine rotavirus strain OSU. An alternative mechanism for blocking induction of IFN-β by rotavirus strain OSU has been recently reported</w:t>
      </w:r>
      <w:r w:rsidRPr="00A96D05">
        <w:rPr>
          <w:rFonts w:ascii="Book Antiqua" w:hAnsi="Book Antiqua" w:cs="Book Antiqua"/>
          <w:noProof/>
          <w:color w:val="000000"/>
          <w:sz w:val="24"/>
          <w:szCs w:val="24"/>
          <w:vertAlign w:val="superscript"/>
          <w:lang w:val="en-US"/>
        </w:rPr>
        <w:t>[266]</w:t>
      </w:r>
      <w:r w:rsidRPr="00A96D05">
        <w:rPr>
          <w:rFonts w:ascii="Book Antiqua" w:hAnsi="Book Antiqua" w:cs="Book Antiqua"/>
          <w:color w:val="000000"/>
          <w:sz w:val="24"/>
          <w:szCs w:val="24"/>
          <w:lang w:val="en-US"/>
        </w:rPr>
        <w:t>. Results from this work showed that NF-κB activation was blocked in cells infected with rotavirus strain OSU due in part to stabilization of phosphorylated IκB</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It was found that the SCF</w:t>
      </w:r>
      <w:r w:rsidRPr="00A96D05">
        <w:rPr>
          <w:rFonts w:ascii="Book Antiqua" w:hAnsi="Book Antiqua" w:cs="Book Antiqua"/>
          <w:color w:val="000000"/>
          <w:sz w:val="24"/>
          <w:szCs w:val="24"/>
          <w:vertAlign w:val="superscript"/>
          <w:lang w:val="en-US"/>
        </w:rPr>
        <w:t>β-TrCP</w:t>
      </w:r>
      <w:r w:rsidRPr="00A96D05">
        <w:rPr>
          <w:rFonts w:ascii="Book Antiqua" w:hAnsi="Book Antiqua" w:cs="Book Antiqua"/>
          <w:color w:val="000000"/>
          <w:sz w:val="24"/>
          <w:szCs w:val="24"/>
          <w:lang w:val="en-US"/>
        </w:rPr>
        <w:t xml:space="preserve"> E3 ligase was targeted for proteosome degradation by NSP1, which provided an explanation for the IκB</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rPr>
        <w:t xml:space="preserve"> stabilization and the consequent absence of NF-κB activation in virus-infected cells. Most human group A rotaviruses encode NSP1s that contain </w:t>
      </w:r>
      <w:r w:rsidRPr="00A96D05">
        <w:rPr>
          <w:rFonts w:ascii="Book Antiqua" w:hAnsi="Book Antiqua" w:cs="Book Antiqua"/>
          <w:color w:val="000000"/>
          <w:sz w:val="24"/>
          <w:szCs w:val="24"/>
          <w:shd w:val="clear" w:color="auto" w:fill="FFFFFF"/>
          <w:lang w:val="en-US"/>
        </w:rPr>
        <w:t>a C-terminal recognition motif (DSGxS) for β-transducing repeat-containing protein (β-TrCP)</w:t>
      </w:r>
      <w:r w:rsidRPr="00A96D05">
        <w:rPr>
          <w:rFonts w:ascii="Book Antiqua" w:hAnsi="Book Antiqua" w:cs="Book Antiqua"/>
          <w:noProof/>
          <w:color w:val="000000"/>
          <w:sz w:val="24"/>
          <w:szCs w:val="24"/>
          <w:shd w:val="clear" w:color="auto" w:fill="FFFFFF"/>
          <w:vertAlign w:val="superscript"/>
          <w:lang w:val="en-US"/>
        </w:rPr>
        <w:t>[267]</w:t>
      </w:r>
      <w:r w:rsidRPr="00A96D05">
        <w:rPr>
          <w:rFonts w:ascii="Book Antiqua" w:hAnsi="Book Antiqua" w:cs="Book Antiqua"/>
          <w:color w:val="000000"/>
          <w:sz w:val="24"/>
          <w:szCs w:val="24"/>
          <w:shd w:val="clear" w:color="auto" w:fill="FFFFFF"/>
          <w:lang w:val="en-US"/>
        </w:rPr>
        <w:t xml:space="preserve">. This feature allows NSP1 to inhibit </w:t>
      </w:r>
      <w:r w:rsidRPr="00A96D05">
        <w:rPr>
          <w:rFonts w:ascii="Book Antiqua" w:hAnsi="Book Antiqua" w:cs="Book Antiqua"/>
          <w:color w:val="000000"/>
          <w:sz w:val="24"/>
          <w:szCs w:val="24"/>
          <w:lang w:val="en-US"/>
        </w:rPr>
        <w:t xml:space="preserve">NF-κB </w:t>
      </w:r>
      <w:r w:rsidRPr="00A96D05">
        <w:rPr>
          <w:rFonts w:ascii="Book Antiqua" w:hAnsi="Book Antiqua" w:cs="Book Antiqua"/>
          <w:color w:val="000000"/>
          <w:sz w:val="24"/>
          <w:szCs w:val="24"/>
          <w:shd w:val="clear" w:color="auto" w:fill="FFFFFF"/>
          <w:lang w:val="en-US"/>
        </w:rPr>
        <w:t>activation by inducing proteasome-dependent degradation of β-TrCP</w:t>
      </w:r>
      <w:r w:rsidRPr="00A96D05">
        <w:rPr>
          <w:rFonts w:ascii="Book Antiqua" w:hAnsi="Book Antiqua" w:cs="Book Antiqua"/>
          <w:noProof/>
          <w:color w:val="000000"/>
          <w:sz w:val="24"/>
          <w:szCs w:val="24"/>
          <w:shd w:val="clear" w:color="auto" w:fill="FFFFFF"/>
          <w:vertAlign w:val="superscript"/>
          <w:lang w:val="en-US"/>
        </w:rPr>
        <w:t>[266]</w:t>
      </w:r>
      <w:r w:rsidRPr="00A96D05">
        <w:rPr>
          <w:rFonts w:ascii="Book Antiqua" w:hAnsi="Book Antiqua" w:cs="Book Antiqua"/>
          <w:color w:val="000000"/>
          <w:sz w:val="24"/>
          <w:szCs w:val="24"/>
          <w:shd w:val="clear" w:color="auto" w:fill="FFFFFF"/>
          <w:lang w:val="en-US"/>
        </w:rPr>
        <w:t xml:space="preserve">. </w:t>
      </w:r>
      <w:r w:rsidRPr="00A96D05">
        <w:rPr>
          <w:rFonts w:ascii="Book Antiqua" w:hAnsi="Book Antiqua" w:cs="Book Antiqua"/>
          <w:color w:val="000000"/>
          <w:sz w:val="24"/>
          <w:szCs w:val="24"/>
          <w:lang w:val="en-US"/>
        </w:rPr>
        <w:t xml:space="preserve">Many NSP1s from group A rotaviruses that lack the </w:t>
      </w:r>
      <w:r w:rsidRPr="00A96D05">
        <w:rPr>
          <w:rFonts w:ascii="Book Antiqua" w:hAnsi="Book Antiqua" w:cs="Book Antiqua"/>
          <w:color w:val="000000"/>
          <w:sz w:val="24"/>
          <w:szCs w:val="24"/>
          <w:shd w:val="clear" w:color="auto" w:fill="FFFFFF"/>
          <w:lang w:val="en-US"/>
        </w:rPr>
        <w:t>β-TrCP</w:t>
      </w:r>
      <w:r w:rsidRPr="00A96D05">
        <w:rPr>
          <w:rFonts w:ascii="Book Antiqua" w:hAnsi="Book Antiqua" w:cs="Book Antiqua"/>
          <w:color w:val="000000"/>
          <w:sz w:val="24"/>
          <w:szCs w:val="24"/>
          <w:lang w:val="en-US"/>
        </w:rPr>
        <w:t xml:space="preserve"> recognition motif are then able to induce the degradation of IRF3, IRF5 and IRF7</w:t>
      </w:r>
      <w:r w:rsidRPr="00A96D05">
        <w:rPr>
          <w:rFonts w:ascii="Book Antiqua" w:hAnsi="Book Antiqua" w:cs="Book Antiqua"/>
          <w:noProof/>
          <w:color w:val="000000"/>
          <w:sz w:val="24"/>
          <w:szCs w:val="24"/>
          <w:vertAlign w:val="superscript"/>
          <w:lang w:val="en-US"/>
        </w:rPr>
        <w:t>[261,263]</w:t>
      </w:r>
      <w:r w:rsidRPr="00A96D05">
        <w:rPr>
          <w:rFonts w:ascii="Book Antiqua" w:hAnsi="Book Antiqua" w:cs="Book Antiqua"/>
          <w:color w:val="000000"/>
          <w:sz w:val="24"/>
          <w:szCs w:val="24"/>
          <w:lang w:val="en-US"/>
        </w:rPr>
        <w:t>.</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Regarding that rotaviral RNAs have the potential of triggering activation of IFN, it has been also suggested that sequestering of viral RNAs in the viroplasms and in the progeny capsids could contribute to delay the antiviral innate response in rotavirus-infected cells</w:t>
      </w:r>
      <w:r w:rsidRPr="00A96D05">
        <w:rPr>
          <w:rFonts w:ascii="Book Antiqua" w:hAnsi="Book Antiqua" w:cs="Book Antiqua"/>
          <w:noProof/>
          <w:color w:val="000000"/>
          <w:sz w:val="24"/>
          <w:szCs w:val="24"/>
          <w:vertAlign w:val="superscript"/>
          <w:lang w:val="en-US"/>
        </w:rPr>
        <w:t>[50]</w:t>
      </w:r>
      <w:r w:rsidRPr="00A96D05">
        <w:rPr>
          <w:rFonts w:ascii="Book Antiqua" w:hAnsi="Book Antiqua" w:cs="Book Antiqua"/>
          <w:color w:val="000000"/>
          <w:sz w:val="24"/>
          <w:szCs w:val="24"/>
          <w:lang w:val="en-US"/>
        </w:rPr>
        <w:t>. Moreover, it has been shown that infection of MA104 cells with rotavirus RRV is able to block expression of NF-κB-dependent gene expression without reducing NF-κB activation. This suggested that rotavirus can efficiently activate NF-κB in MA104 cells although this activated transcription factor was not functional in enhancing gene expression</w:t>
      </w:r>
      <w:r w:rsidRPr="00A96D05">
        <w:rPr>
          <w:rFonts w:ascii="Book Antiqua" w:hAnsi="Book Antiqua" w:cs="Book Antiqua"/>
          <w:noProof/>
          <w:color w:val="000000"/>
          <w:sz w:val="24"/>
          <w:szCs w:val="24"/>
          <w:vertAlign w:val="superscript"/>
          <w:lang w:val="en-US"/>
        </w:rPr>
        <w:t>[268]</w:t>
      </w:r>
      <w:r w:rsidRPr="00A96D05">
        <w:rPr>
          <w:rFonts w:ascii="Book Antiqua" w:hAnsi="Book Antiqua" w:cs="Book Antiqua"/>
          <w:color w:val="000000"/>
          <w:sz w:val="24"/>
          <w:szCs w:val="24"/>
          <w:lang w:val="en-US"/>
        </w:rPr>
        <w:t>. On the other hand, the role of NSP1 has been studied in modulation of apoptosis and it has been found that NSP1 contributes to the establishment and replication of bovine rotavirus wild type A5-13 in MA104 cells by inhibiting apoptosis through the activation of the pro-survival pathways PI3K/Akt and NF-κB during early infection stages</w:t>
      </w:r>
      <w:r w:rsidRPr="00A96D05">
        <w:rPr>
          <w:rFonts w:ascii="Book Antiqua" w:hAnsi="Book Antiqua" w:cs="Book Antiqua"/>
          <w:noProof/>
          <w:color w:val="000000"/>
          <w:sz w:val="24"/>
          <w:szCs w:val="24"/>
          <w:vertAlign w:val="superscript"/>
          <w:lang w:val="en-US"/>
        </w:rPr>
        <w:t>[269]</w:t>
      </w:r>
      <w:r w:rsidRPr="00A96D05">
        <w:rPr>
          <w:rFonts w:ascii="Book Antiqua" w:hAnsi="Book Antiqua" w:cs="Book Antiqua"/>
          <w:color w:val="000000"/>
          <w:sz w:val="24"/>
          <w:szCs w:val="24"/>
          <w:lang w:val="en-US"/>
        </w:rPr>
        <w:t xml:space="preserve">. </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lang w:val="en-US"/>
        </w:rPr>
        <w:t>Studies on malnutrition and concomitant rotavirus infection in neonatal piglets have suggested an inflammatory response during rotavirus infection. It has been shown that concentrations of intestinal prostaglandin E2 (PGE2) were elevated early after rotavirus infection regardless of nutritional state</w:t>
      </w:r>
      <w:r w:rsidRPr="00A96D05">
        <w:rPr>
          <w:rFonts w:ascii="Book Antiqua" w:hAnsi="Book Antiqua" w:cs="Book Antiqua"/>
          <w:noProof/>
          <w:color w:val="000000"/>
          <w:sz w:val="24"/>
          <w:szCs w:val="24"/>
          <w:vertAlign w:val="superscript"/>
          <w:lang w:val="en-US"/>
        </w:rPr>
        <w:t>[270]</w:t>
      </w:r>
      <w:r w:rsidRPr="00A96D05">
        <w:rPr>
          <w:rFonts w:ascii="Book Antiqua" w:hAnsi="Book Antiqua" w:cs="Book Antiqua"/>
          <w:color w:val="000000"/>
          <w:sz w:val="24"/>
          <w:szCs w:val="24"/>
          <w:lang w:val="en-US"/>
        </w:rPr>
        <w:t>. However, malnutrition increased PGE2 response to rotavirus infection while prolonged diarrhea in rotavirus infected and malnourished piglets was found to be associated with more intense and sustained expression of local mediators or markers of intestinal inflammation</w:t>
      </w:r>
      <w:r w:rsidRPr="00A96D05">
        <w:rPr>
          <w:rFonts w:ascii="Book Antiqua" w:hAnsi="Book Antiqua" w:cs="Book Antiqua"/>
          <w:noProof/>
          <w:color w:val="000000"/>
          <w:sz w:val="24"/>
          <w:szCs w:val="24"/>
          <w:vertAlign w:val="superscript"/>
          <w:lang w:val="en-US"/>
        </w:rPr>
        <w:t>[270]</w:t>
      </w:r>
      <w:r w:rsidRPr="00A96D05">
        <w:rPr>
          <w:rFonts w:ascii="Book Antiqua" w:hAnsi="Book Antiqua" w:cs="Book Antiqua"/>
          <w:color w:val="000000"/>
          <w:sz w:val="24"/>
          <w:szCs w:val="24"/>
          <w:lang w:val="en-US"/>
        </w:rPr>
        <w:t xml:space="preserve">. Rotavirus pro-inflammatory actions have been suggested based on studies in which the rotavirus infection of cultured cells or mice was significantly inhibited by treatment with various </w:t>
      </w:r>
      <w:r w:rsidRPr="00A96D05">
        <w:rPr>
          <w:rFonts w:ascii="Book Antiqua" w:hAnsi="Book Antiqua" w:cs="Book Antiqua"/>
          <w:color w:val="000000"/>
          <w:sz w:val="24"/>
          <w:szCs w:val="24"/>
          <w:shd w:val="clear" w:color="auto" w:fill="FFFFFF"/>
          <w:lang w:val="en-US"/>
        </w:rPr>
        <w:t>peroxisome proliferator-activated receptor gamma</w:t>
      </w:r>
      <w:r w:rsidRPr="00A96D05">
        <w:rPr>
          <w:rFonts w:ascii="Book Antiqua" w:hAnsi="Book Antiqua" w:cs="Book Antiqua"/>
          <w:color w:val="000000"/>
          <w:sz w:val="24"/>
          <w:szCs w:val="24"/>
          <w:lang w:val="en-US"/>
        </w:rPr>
        <w:t xml:space="preserve"> </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PPARγ</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agonists and nonsteroidal antiinflammatory drugs (NSAIDs)</w:t>
      </w:r>
      <w:r w:rsidRPr="00A96D05">
        <w:rPr>
          <w:rFonts w:ascii="Book Antiqua" w:hAnsi="Book Antiqua" w:cs="Book Antiqua"/>
          <w:noProof/>
          <w:color w:val="000000"/>
          <w:sz w:val="24"/>
          <w:szCs w:val="24"/>
          <w:vertAlign w:val="superscript"/>
          <w:lang w:val="en-US"/>
        </w:rPr>
        <w:t>[184,185</w:t>
      </w:r>
      <w:r w:rsidRPr="00A96D05">
        <w:rPr>
          <w:rFonts w:ascii="Book Antiqua" w:hAnsi="Book Antiqua" w:cs="Book Antiqua"/>
          <w:noProof/>
          <w:color w:val="000000"/>
          <w:sz w:val="24"/>
          <w:szCs w:val="24"/>
          <w:vertAlign w:val="superscript"/>
          <w:lang w:val="en-US" w:eastAsia="zh-CN"/>
        </w:rPr>
        <w:t>,271</w:t>
      </w:r>
      <w:r w:rsidRPr="00A96D05">
        <w:rPr>
          <w:rFonts w:ascii="Book Antiqua" w:hAnsi="Book Antiqua" w:cs="Book Antiqua"/>
          <w:noProof/>
          <w:color w:val="000000"/>
          <w:sz w:val="24"/>
          <w:szCs w:val="24"/>
          <w:vertAlign w:val="superscript"/>
          <w:lang w:val="en-US"/>
        </w:rPr>
        <w:t>]</w:t>
      </w:r>
      <w:r w:rsidRPr="00A96D05">
        <w:rPr>
          <w:rFonts w:ascii="Book Antiqua" w:hAnsi="Book Antiqua" w:cs="Book Antiqua"/>
          <w:color w:val="000000"/>
          <w:sz w:val="24"/>
          <w:szCs w:val="24"/>
          <w:lang w:val="en-US"/>
        </w:rPr>
        <w:t>. Cyclooxygenase-2 (COX-2), which is responsible for increased synthesis of prostaglandins</w:t>
      </w:r>
      <w:r w:rsidRPr="00A96D05">
        <w:rPr>
          <w:rFonts w:ascii="Book Antiqua" w:hAnsi="Book Antiqua" w:cs="Book Antiqua"/>
          <w:noProof/>
          <w:color w:val="000000"/>
          <w:sz w:val="24"/>
          <w:szCs w:val="24"/>
          <w:vertAlign w:val="superscript"/>
          <w:lang w:val="en-US"/>
        </w:rPr>
        <w:t>[272]</w:t>
      </w:r>
      <w:r w:rsidRPr="00A96D05">
        <w:rPr>
          <w:rFonts w:ascii="Book Antiqua" w:hAnsi="Book Antiqua" w:cs="Book Antiqua"/>
          <w:color w:val="000000"/>
          <w:sz w:val="24"/>
          <w:szCs w:val="24"/>
          <w:lang w:val="en-US"/>
        </w:rPr>
        <w:t>, seems to be mainly regulated by various MAPKs and transcription factors such as NF-κB</w:t>
      </w:r>
      <w:r w:rsidRPr="00A96D05">
        <w:rPr>
          <w:rFonts w:ascii="Book Antiqua" w:hAnsi="Book Antiqua" w:cs="Book Antiqua"/>
          <w:noProof/>
          <w:color w:val="000000"/>
          <w:sz w:val="24"/>
          <w:szCs w:val="24"/>
          <w:vertAlign w:val="superscript"/>
          <w:lang w:val="en-US"/>
        </w:rPr>
        <w:t>[273,274]</w:t>
      </w:r>
      <w:r w:rsidRPr="00A96D05">
        <w:rPr>
          <w:rFonts w:ascii="Book Antiqua" w:hAnsi="Book Antiqua" w:cs="Book Antiqua"/>
          <w:color w:val="000000"/>
          <w:sz w:val="24"/>
          <w:szCs w:val="24"/>
          <w:lang w:val="en-US"/>
        </w:rPr>
        <w:t>. Moreover, PKA-mediated ERK1/2 and NF-κB pathways have been shown to be involved in the COX activity induction during rotavirus infection</w:t>
      </w:r>
      <w:r w:rsidRPr="00A96D05">
        <w:rPr>
          <w:rFonts w:ascii="Book Antiqua" w:hAnsi="Book Antiqua" w:cs="Book Antiqua"/>
          <w:noProof/>
          <w:color w:val="000000"/>
          <w:sz w:val="24"/>
          <w:szCs w:val="24"/>
          <w:vertAlign w:val="superscript"/>
          <w:lang w:val="en-US"/>
        </w:rPr>
        <w:t>[271]</w:t>
      </w:r>
      <w:r w:rsidRPr="00A96D05">
        <w:rPr>
          <w:rFonts w:ascii="Book Antiqua" w:hAnsi="Book Antiqua" w:cs="Book Antiqua"/>
          <w:color w:val="000000"/>
          <w:sz w:val="24"/>
          <w:szCs w:val="24"/>
          <w:lang w:val="en-US"/>
        </w:rPr>
        <w:t xml:space="preserve">. </w:t>
      </w:r>
      <w:r w:rsidRPr="00A96D05">
        <w:rPr>
          <w:rFonts w:ascii="Book Antiqua" w:hAnsi="Book Antiqua" w:cs="Book Antiqua"/>
          <w:color w:val="000000"/>
          <w:sz w:val="24"/>
          <w:szCs w:val="24"/>
          <w:shd w:val="clear" w:color="auto" w:fill="FFFFFF"/>
          <w:lang w:val="en-US"/>
        </w:rPr>
        <w:t>The nonspecific COX inhibitor indomethacin has been shown to significantly reduced rotavirus Wa infection of Caco-2 cells. Similarly, inhibition of the ERK1/2 and p38 MAPK pathways resulted in a significant decrease of rotavirus infection of Caco-2 cells</w:t>
      </w:r>
      <w:r w:rsidRPr="00A96D05">
        <w:rPr>
          <w:rFonts w:ascii="Book Antiqua" w:hAnsi="Book Antiqua" w:cs="Book Antiqua"/>
          <w:noProof/>
          <w:color w:val="000000"/>
          <w:sz w:val="24"/>
          <w:szCs w:val="24"/>
          <w:shd w:val="clear" w:color="auto" w:fill="FFFFFF"/>
          <w:vertAlign w:val="superscript"/>
          <w:lang w:val="en-US"/>
        </w:rPr>
        <w:t>[271]</w:t>
      </w:r>
      <w:r w:rsidRPr="00A96D05">
        <w:rPr>
          <w:rFonts w:ascii="Book Antiqua" w:hAnsi="Book Antiqua" w:cs="Book Antiqua"/>
          <w:color w:val="000000"/>
          <w:sz w:val="24"/>
          <w:szCs w:val="24"/>
          <w:shd w:val="clear" w:color="auto" w:fill="FFFFFF"/>
          <w:lang w:val="en-US"/>
        </w:rPr>
        <w:t>. Antiviral effects have been obtained by treatment with COX-2 inhibitors</w:t>
      </w:r>
      <w:r w:rsidRPr="00A96D05">
        <w:rPr>
          <w:rFonts w:ascii="Book Antiqua" w:hAnsi="Book Antiqua" w:cs="Book Antiqua"/>
          <w:noProof/>
          <w:color w:val="000000"/>
          <w:sz w:val="24"/>
          <w:szCs w:val="24"/>
          <w:shd w:val="clear" w:color="auto" w:fill="FFFFFF"/>
          <w:vertAlign w:val="superscript"/>
          <w:lang w:val="en-US"/>
        </w:rPr>
        <w:t>[275,276]</w:t>
      </w:r>
      <w:r w:rsidRPr="00A96D05">
        <w:rPr>
          <w:rFonts w:ascii="Book Antiqua" w:hAnsi="Book Antiqua" w:cs="Book Antiqua"/>
          <w:color w:val="000000"/>
          <w:sz w:val="24"/>
          <w:szCs w:val="24"/>
          <w:shd w:val="clear" w:color="auto" w:fill="FFFFFF"/>
          <w:lang w:val="en-US"/>
        </w:rPr>
        <w:t>. PPARγ ligands have been found to downregulate the transcriptional activation of COX-2 through multiple mechanisms</w:t>
      </w:r>
      <w:r w:rsidRPr="00A96D05">
        <w:rPr>
          <w:rFonts w:ascii="Book Antiqua" w:hAnsi="Book Antiqua" w:cs="Book Antiqua"/>
          <w:noProof/>
          <w:color w:val="000000"/>
          <w:sz w:val="24"/>
          <w:szCs w:val="24"/>
          <w:shd w:val="clear" w:color="auto" w:fill="FFFFFF"/>
          <w:vertAlign w:val="superscript"/>
          <w:lang w:val="en-US"/>
        </w:rPr>
        <w:t>[277]</w:t>
      </w:r>
      <w:r w:rsidRPr="00A96D05">
        <w:rPr>
          <w:rFonts w:ascii="Book Antiqua" w:hAnsi="Book Antiqua" w:cs="Book Antiqua"/>
          <w:color w:val="000000"/>
          <w:sz w:val="24"/>
          <w:szCs w:val="24"/>
          <w:shd w:val="clear" w:color="auto" w:fill="FFFFFF"/>
          <w:lang w:val="en-US"/>
        </w:rPr>
        <w:t>, including the inhibition of multiple steps of the NF-κB pathway</w:t>
      </w:r>
      <w:r w:rsidRPr="00A96D05">
        <w:rPr>
          <w:rFonts w:ascii="Book Antiqua" w:hAnsi="Book Antiqua" w:cs="Book Antiqua"/>
          <w:noProof/>
          <w:color w:val="000000"/>
          <w:sz w:val="24"/>
          <w:szCs w:val="24"/>
          <w:shd w:val="clear" w:color="auto" w:fill="FFFFFF"/>
          <w:vertAlign w:val="superscript"/>
          <w:lang w:val="en-US"/>
        </w:rPr>
        <w:t>[278]</w:t>
      </w:r>
      <w:r w:rsidRPr="00A96D05">
        <w:rPr>
          <w:rFonts w:ascii="Book Antiqua" w:hAnsi="Book Antiqua" w:cs="Book Antiqua"/>
          <w:color w:val="000000"/>
          <w:sz w:val="24"/>
          <w:szCs w:val="24"/>
          <w:shd w:val="clear" w:color="auto" w:fill="FFFFFF"/>
          <w:lang w:val="en-US"/>
        </w:rPr>
        <w:t xml:space="preserve">. </w:t>
      </w:r>
      <w:r w:rsidRPr="00A96D05">
        <w:rPr>
          <w:rFonts w:ascii="Book Antiqua" w:hAnsi="Book Antiqua" w:cs="Book Antiqua"/>
          <w:color w:val="000000"/>
          <w:sz w:val="24"/>
          <w:szCs w:val="24"/>
          <w:lang w:val="en-US"/>
        </w:rPr>
        <w:t>Evidence has been provided that rotavirus infectivity in MA104 and Caco-2 cells and mice is significantly inhibited not only by NAC, but also by pioglitazone and rosiglitazone which are drugs affecting the NF-κB pathway involved in the COX-2 transcriptional activation</w:t>
      </w:r>
      <w:r w:rsidRPr="00A96D05">
        <w:rPr>
          <w:rFonts w:ascii="Book Antiqua" w:hAnsi="Book Antiqua" w:cs="Book Antiqua"/>
          <w:noProof/>
          <w:color w:val="000000"/>
          <w:sz w:val="24"/>
          <w:szCs w:val="24"/>
          <w:vertAlign w:val="superscript"/>
          <w:lang w:val="en-US"/>
        </w:rPr>
        <w:t>[184,185]</w:t>
      </w:r>
      <w:r w:rsidRPr="00A96D05">
        <w:rPr>
          <w:rFonts w:ascii="Book Antiqua" w:hAnsi="Book Antiqua" w:cs="Book Antiqua"/>
          <w:color w:val="000000"/>
          <w:sz w:val="24"/>
          <w:szCs w:val="24"/>
          <w:lang w:val="en-US"/>
        </w:rPr>
        <w:t>. PPAR-γ agonists have been highlighted as potential therapeutic tools due to their ability to down-regulate the inflammatory responses to respiratory virus-related pulmonary inflammation</w:t>
      </w:r>
      <w:r w:rsidRPr="00A96D05">
        <w:rPr>
          <w:rFonts w:ascii="Book Antiqua" w:hAnsi="Book Antiqua" w:cs="Book Antiqua"/>
          <w:noProof/>
          <w:color w:val="000000"/>
          <w:sz w:val="24"/>
          <w:szCs w:val="24"/>
          <w:vertAlign w:val="superscript"/>
          <w:lang w:val="en-US"/>
        </w:rPr>
        <w:t>[279]</w:t>
      </w:r>
      <w:r w:rsidRPr="00A96D05">
        <w:rPr>
          <w:rFonts w:ascii="Book Antiqua" w:hAnsi="Book Antiqua" w:cs="Book Antiqua"/>
          <w:color w:val="000000"/>
          <w:sz w:val="24"/>
          <w:szCs w:val="24"/>
          <w:lang w:val="en-US"/>
        </w:rPr>
        <w:t>. PPARs participate antagonizing oxidant and inflammatory pathways such as NF-κB, AP1, and STAT</w:t>
      </w:r>
      <w:r w:rsidRPr="00A96D05">
        <w:rPr>
          <w:rFonts w:ascii="Book Antiqua" w:hAnsi="Book Antiqua" w:cs="Book Antiqua"/>
          <w:noProof/>
          <w:color w:val="000000"/>
          <w:sz w:val="24"/>
          <w:szCs w:val="24"/>
          <w:vertAlign w:val="superscript"/>
          <w:lang w:val="en-US"/>
        </w:rPr>
        <w:t>[280,281]</w:t>
      </w:r>
      <w:r w:rsidRPr="00A96D05">
        <w:rPr>
          <w:rFonts w:ascii="Book Antiqua" w:hAnsi="Book Antiqua" w:cs="Book Antiqua"/>
          <w:color w:val="000000"/>
          <w:sz w:val="24"/>
          <w:szCs w:val="24"/>
          <w:lang w:val="en-US"/>
        </w:rPr>
        <w:t>. Down-regulation of these signaling pathways by thiazolidine-2-4-diones (TZDs), including pioglitazone and rosiglitazone, has led to reduced levels of oxidative products in monocyte/macrophages</w:t>
      </w:r>
      <w:r w:rsidRPr="00A96D05">
        <w:rPr>
          <w:rFonts w:ascii="Book Antiqua" w:hAnsi="Book Antiqua" w:cs="Book Antiqua"/>
          <w:noProof/>
          <w:color w:val="000000"/>
          <w:sz w:val="24"/>
          <w:szCs w:val="24"/>
          <w:vertAlign w:val="superscript"/>
          <w:lang w:val="en-US"/>
        </w:rPr>
        <w:t>[282]</w:t>
      </w:r>
      <w:r w:rsidRPr="00A96D05">
        <w:rPr>
          <w:rFonts w:ascii="Book Antiqua" w:hAnsi="Book Antiqua" w:cs="Book Antiqua"/>
          <w:color w:val="000000"/>
          <w:sz w:val="24"/>
          <w:szCs w:val="24"/>
          <w:lang w:val="en-US"/>
        </w:rPr>
        <w:t>. PPARγ has emerged as an anti-inflammatory and antioxidant gene since its encoded product may directly modulate the expression of several antioxidant and pro-oxidant genes in response to oxidative stress</w:t>
      </w:r>
      <w:r w:rsidRPr="00A96D05">
        <w:rPr>
          <w:rFonts w:ascii="Book Antiqua" w:hAnsi="Book Antiqua" w:cs="Book Antiqua"/>
          <w:noProof/>
          <w:color w:val="000000"/>
          <w:sz w:val="24"/>
          <w:szCs w:val="24"/>
          <w:vertAlign w:val="superscript"/>
          <w:lang w:val="en-US"/>
        </w:rPr>
        <w:t>[283-285]</w:t>
      </w:r>
      <w:r w:rsidRPr="00A96D05">
        <w:rPr>
          <w:rFonts w:ascii="Book Antiqua" w:hAnsi="Book Antiqua" w:cs="Book Antiqua"/>
          <w:color w:val="000000"/>
          <w:sz w:val="24"/>
          <w:szCs w:val="24"/>
          <w:lang w:val="en-US"/>
        </w:rPr>
        <w:t xml:space="preserve">. However, it should be noted that </w:t>
      </w:r>
      <w:r w:rsidRPr="00A96D05">
        <w:rPr>
          <w:rFonts w:ascii="Book Antiqua" w:hAnsi="Book Antiqua" w:cs="Book Antiqua"/>
          <w:color w:val="000000"/>
          <w:sz w:val="24"/>
          <w:szCs w:val="24"/>
          <w:shd w:val="clear" w:color="auto" w:fill="FFFFFF"/>
          <w:lang w:val="en-US"/>
        </w:rPr>
        <w:t xml:space="preserve">oxidants such as ROS could interact with </w:t>
      </w:r>
      <w:r w:rsidRPr="00A96D05">
        <w:rPr>
          <w:rFonts w:ascii="Book Antiqua" w:hAnsi="Book Antiqua" w:cs="Book Antiqua"/>
          <w:color w:val="000000"/>
          <w:sz w:val="24"/>
          <w:szCs w:val="24"/>
          <w:lang w:val="en-US"/>
        </w:rPr>
        <w:t xml:space="preserve">NF-κB </w:t>
      </w:r>
      <w:r w:rsidRPr="00A96D05">
        <w:rPr>
          <w:rFonts w:ascii="Book Antiqua" w:hAnsi="Book Antiqua" w:cs="Book Antiqua"/>
          <w:color w:val="000000"/>
          <w:sz w:val="24"/>
          <w:szCs w:val="24"/>
          <w:shd w:val="clear" w:color="auto" w:fill="FFFFFF"/>
          <w:lang w:val="en-US"/>
        </w:rPr>
        <w:t xml:space="preserve">signaling pathways in many ways. The transcription of genes depending on </w:t>
      </w:r>
      <w:r w:rsidRPr="00A96D05">
        <w:rPr>
          <w:rFonts w:ascii="Book Antiqua" w:hAnsi="Book Antiqua" w:cs="Book Antiqua"/>
          <w:color w:val="000000"/>
          <w:sz w:val="24"/>
          <w:szCs w:val="24"/>
          <w:lang w:val="en-US"/>
        </w:rPr>
        <w:t xml:space="preserve">NF-κB </w:t>
      </w:r>
      <w:r w:rsidRPr="00A96D05">
        <w:rPr>
          <w:rFonts w:ascii="Book Antiqua" w:hAnsi="Book Antiqua" w:cs="Book Antiqua"/>
          <w:color w:val="000000"/>
          <w:sz w:val="24"/>
          <w:szCs w:val="24"/>
          <w:shd w:val="clear" w:color="auto" w:fill="FFFFFF"/>
          <w:lang w:val="en-US"/>
        </w:rPr>
        <w:t xml:space="preserve">influences the ROS levels, and in turn, the ROS levels also regulate the </w:t>
      </w:r>
      <w:r w:rsidRPr="00A96D05">
        <w:rPr>
          <w:rFonts w:ascii="Book Antiqua" w:hAnsi="Book Antiqua" w:cs="Book Antiqua"/>
          <w:color w:val="000000"/>
          <w:sz w:val="24"/>
          <w:szCs w:val="24"/>
          <w:lang w:val="en-US"/>
        </w:rPr>
        <w:t xml:space="preserve">NF-κB </w:t>
      </w:r>
      <w:r w:rsidRPr="00A96D05">
        <w:rPr>
          <w:rFonts w:ascii="Book Antiqua" w:hAnsi="Book Antiqua" w:cs="Book Antiqua"/>
          <w:color w:val="000000"/>
          <w:sz w:val="24"/>
          <w:szCs w:val="24"/>
          <w:shd w:val="clear" w:color="auto" w:fill="FFFFFF"/>
          <w:lang w:val="en-US"/>
        </w:rPr>
        <w:t xml:space="preserve">activity levels. It has been argued that ROS influence is context-dependent and even cell-type specific being either positive or negative for </w:t>
      </w:r>
      <w:r w:rsidRPr="00A96D05">
        <w:rPr>
          <w:rFonts w:ascii="Book Antiqua" w:hAnsi="Book Antiqua" w:cs="Book Antiqua"/>
          <w:color w:val="000000"/>
          <w:sz w:val="24"/>
          <w:szCs w:val="24"/>
          <w:lang w:val="en-US"/>
        </w:rPr>
        <w:t xml:space="preserve">NF-κB </w:t>
      </w:r>
      <w:r w:rsidRPr="00A96D05">
        <w:rPr>
          <w:rFonts w:ascii="Book Antiqua" w:hAnsi="Book Antiqua" w:cs="Book Antiqua"/>
          <w:color w:val="000000"/>
          <w:sz w:val="24"/>
          <w:szCs w:val="24"/>
          <w:shd w:val="clear" w:color="auto" w:fill="FFFFFF"/>
          <w:lang w:val="en-US"/>
        </w:rPr>
        <w:t>signaling</w:t>
      </w:r>
      <w:r w:rsidRPr="00A96D05">
        <w:rPr>
          <w:rFonts w:ascii="Book Antiqua" w:hAnsi="Book Antiqua" w:cs="Book Antiqua"/>
          <w:noProof/>
          <w:color w:val="000000"/>
          <w:sz w:val="24"/>
          <w:szCs w:val="24"/>
          <w:shd w:val="clear" w:color="auto" w:fill="FFFFFF"/>
          <w:vertAlign w:val="superscript"/>
          <w:lang w:val="en-US"/>
        </w:rPr>
        <w:t>[286]</w:t>
      </w:r>
      <w:r w:rsidRPr="00A96D05">
        <w:rPr>
          <w:rFonts w:ascii="Book Antiqua" w:hAnsi="Book Antiqua" w:cs="Book Antiqua"/>
          <w:color w:val="000000"/>
          <w:sz w:val="24"/>
          <w:szCs w:val="24"/>
          <w:shd w:val="clear" w:color="auto" w:fill="FFFFFF"/>
          <w:lang w:val="en-US"/>
        </w:rPr>
        <w:t>.</w:t>
      </w:r>
    </w:p>
    <w:p w:rsidR="005C6065" w:rsidRPr="00A96D05" w:rsidRDefault="005C6065" w:rsidP="002438CD">
      <w:pPr>
        <w:autoSpaceDE w:val="0"/>
        <w:autoSpaceDN w:val="0"/>
        <w:adjustRightInd w:val="0"/>
        <w:spacing w:after="0" w:line="360" w:lineRule="auto"/>
        <w:ind w:firstLineChars="100" w:firstLine="31680"/>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shd w:val="clear" w:color="auto" w:fill="FFFFFF"/>
          <w:lang w:val="en-US"/>
        </w:rPr>
        <w:t xml:space="preserve">Clearly rotavirus NSP1 has been implicated in down-regulating interferon expression being a key factor in the evasion of host innate immune response. However, the NSP1 mechanism for anti-interferon activity seems to be rotavirus strain-dependent. A more comprehensive understanding of the rotavirus pro-inflammatory actions could lead to identification of potential targets of anti-inflammatory therapeutics. </w:t>
      </w:r>
      <w:r w:rsidRPr="00A96D05">
        <w:rPr>
          <w:rFonts w:ascii="Book Antiqua" w:hAnsi="Book Antiqua" w:cs="Book Antiqua"/>
          <w:color w:val="000000"/>
          <w:sz w:val="24"/>
          <w:szCs w:val="24"/>
          <w:lang w:val="en-US" w:eastAsia="es-US"/>
        </w:rPr>
        <w:t>Cellular innate response to rotavirus infection</w:t>
      </w:r>
      <w:r w:rsidRPr="00A96D05">
        <w:rPr>
          <w:rFonts w:ascii="Book Antiqua" w:hAnsi="Book Antiqua" w:cs="Book Antiqua"/>
          <w:color w:val="000000"/>
          <w:sz w:val="24"/>
          <w:szCs w:val="24"/>
          <w:shd w:val="clear" w:color="auto" w:fill="FFFFFF"/>
          <w:lang w:val="en-US"/>
        </w:rPr>
        <w:t xml:space="preserve"> is schematized in Fig</w:t>
      </w:r>
      <w:r w:rsidRPr="00A96D05">
        <w:rPr>
          <w:rFonts w:ascii="Book Antiqua" w:hAnsi="Book Antiqua" w:cs="Book Antiqua"/>
          <w:color w:val="000000"/>
          <w:sz w:val="24"/>
          <w:szCs w:val="24"/>
          <w:shd w:val="clear" w:color="auto" w:fill="FFFFFF"/>
          <w:lang w:val="en-US" w:eastAsia="zh-CN"/>
        </w:rPr>
        <w:t>ure</w:t>
      </w:r>
      <w:r w:rsidRPr="00A96D05">
        <w:rPr>
          <w:rFonts w:ascii="Book Antiqua" w:hAnsi="Book Antiqua" w:cs="Book Antiqua"/>
          <w:color w:val="000000"/>
          <w:sz w:val="24"/>
          <w:szCs w:val="24"/>
          <w:shd w:val="clear" w:color="auto" w:fill="FFFFFF"/>
          <w:lang w:val="en-US"/>
        </w:rPr>
        <w:t xml:space="preserve"> 3.</w:t>
      </w:r>
    </w:p>
    <w:p w:rsidR="005C6065" w:rsidRPr="00A96D05" w:rsidRDefault="005C6065" w:rsidP="00A96D05">
      <w:pPr>
        <w:spacing w:after="0" w:line="360" w:lineRule="auto"/>
        <w:jc w:val="both"/>
        <w:rPr>
          <w:rFonts w:ascii="Book Antiqua" w:hAnsi="Book Antiqua" w:cs="Book Antiqua"/>
          <w:color w:val="000000"/>
          <w:sz w:val="24"/>
          <w:szCs w:val="24"/>
          <w:lang w:val="en-US"/>
        </w:rPr>
      </w:pPr>
    </w:p>
    <w:p w:rsidR="005C6065" w:rsidRPr="00A96D05" w:rsidRDefault="005C6065" w:rsidP="00A96D05">
      <w:pPr>
        <w:autoSpaceDE w:val="0"/>
        <w:autoSpaceDN w:val="0"/>
        <w:adjustRightInd w:val="0"/>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ROTAVIRUS INFECTION AND PROTEIN SYNTHESIS</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Viruses are fully dependent on the host cell translation machinery to produce their proteins needed for viral replication. Viruses take control of host ribosomes, translation factors and signaling pathways involved in protein synthesis. This control ensures the production of virus-encoded proteins and the inhibition of cellular innate defenses</w:t>
      </w:r>
      <w:r w:rsidRPr="00A96D05">
        <w:rPr>
          <w:rFonts w:ascii="Book Antiqua" w:hAnsi="Book Antiqua" w:cs="Book Antiqua"/>
          <w:noProof/>
          <w:color w:val="000000"/>
          <w:sz w:val="24"/>
          <w:szCs w:val="24"/>
          <w:vertAlign w:val="superscript"/>
          <w:lang w:val="en-US"/>
        </w:rPr>
        <w:t>[287]</w:t>
      </w:r>
      <w:r w:rsidRPr="00A96D05">
        <w:rPr>
          <w:rFonts w:ascii="Book Antiqua" w:hAnsi="Book Antiqua" w:cs="Book Antiqua"/>
          <w:color w:val="000000"/>
          <w:sz w:val="24"/>
          <w:szCs w:val="24"/>
          <w:lang w:val="en-US"/>
        </w:rPr>
        <w:t>. Most cellular mRNAs use a cap-dependent mechanism for their translation that involves the binding of a complex termed eIF4F comprised of eukaryotic initiation factors eIF4G, eIF4E and eIF4A to cap structure located at the 5</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end of the mRNA. However, some cellular and many viral mRNAs use a cap-independent mechanisms for initiating translation that involves an internal ribosome-entry site located in the 5</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untranslated region of mRNAs that is use during ER stress</w:t>
      </w:r>
      <w:r w:rsidRPr="00A96D05">
        <w:rPr>
          <w:rFonts w:ascii="Book Antiqua" w:hAnsi="Book Antiqua" w:cs="Book Antiqua"/>
          <w:noProof/>
          <w:color w:val="000000"/>
          <w:sz w:val="24"/>
          <w:szCs w:val="24"/>
          <w:vertAlign w:val="superscript"/>
          <w:lang w:val="en-US"/>
        </w:rPr>
        <w:t>[288]</w:t>
      </w:r>
      <w:r w:rsidRPr="00A96D05">
        <w:rPr>
          <w:rFonts w:ascii="Book Antiqua" w:hAnsi="Book Antiqua" w:cs="Book Antiqua"/>
          <w:color w:val="000000"/>
          <w:sz w:val="24"/>
          <w:szCs w:val="24"/>
          <w:lang w:val="en-US"/>
        </w:rPr>
        <w:t>. Viruses have evolved a wide range of strategies for exploiting and controlling the cellular translation machinery. Several virus-encoded functions are dedicated to controlling the cellular translation machinery including its initiation, elongation and termination steps</w:t>
      </w:r>
      <w:r w:rsidRPr="00A96D05">
        <w:rPr>
          <w:rFonts w:ascii="Book Antiqua" w:hAnsi="Book Antiqua" w:cs="Book Antiqua"/>
          <w:noProof/>
          <w:color w:val="000000"/>
          <w:sz w:val="24"/>
          <w:szCs w:val="24"/>
          <w:vertAlign w:val="superscript"/>
          <w:lang w:val="en-US"/>
        </w:rPr>
        <w:t>[289]</w:t>
      </w:r>
      <w:r w:rsidRPr="00A96D05">
        <w:rPr>
          <w:rFonts w:ascii="Book Antiqua" w:hAnsi="Book Antiqua" w:cs="Book Antiqua"/>
          <w:color w:val="000000"/>
          <w:sz w:val="24"/>
          <w:szCs w:val="24"/>
          <w:lang w:val="en-US"/>
        </w:rPr>
        <w:t>.</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Early in the infection process rotaviruses takes over the host cell translation machinery, inducing a shut off of host cell-directed protein synthesis although not all cellular proteins stop being synthesized</w:t>
      </w:r>
      <w:r w:rsidRPr="00A96D05">
        <w:rPr>
          <w:rFonts w:ascii="Book Antiqua" w:hAnsi="Book Antiqua" w:cs="Book Antiqua"/>
          <w:noProof/>
          <w:color w:val="000000"/>
          <w:sz w:val="24"/>
          <w:szCs w:val="24"/>
          <w:vertAlign w:val="superscript"/>
          <w:lang w:val="en-US"/>
        </w:rPr>
        <w:t>[290]</w:t>
      </w:r>
      <w:r w:rsidRPr="00A96D05">
        <w:rPr>
          <w:rFonts w:ascii="Book Antiqua" w:hAnsi="Book Antiqua" w:cs="Book Antiqua"/>
          <w:color w:val="000000"/>
          <w:sz w:val="24"/>
          <w:szCs w:val="24"/>
          <w:lang w:val="en-US"/>
        </w:rPr>
        <w:t>. Rotavirus NSP3 has been implicated in the inhibition of cellular mRNA translation by binding to eIF4G or interfering with the shuttling of nascent cellular mRNAs</w:t>
      </w:r>
      <w:r w:rsidRPr="00A96D05">
        <w:rPr>
          <w:rFonts w:ascii="Book Antiqua" w:hAnsi="Book Antiqua" w:cs="Book Antiqua"/>
          <w:noProof/>
          <w:color w:val="000000"/>
          <w:sz w:val="24"/>
          <w:szCs w:val="24"/>
          <w:vertAlign w:val="superscript"/>
          <w:lang w:val="en-US"/>
        </w:rPr>
        <w:t>[291,292]</w:t>
      </w:r>
      <w:r w:rsidRPr="00A96D05">
        <w:rPr>
          <w:rFonts w:ascii="Book Antiqua" w:hAnsi="Book Antiqua" w:cs="Book Antiqua"/>
          <w:color w:val="000000"/>
          <w:sz w:val="24"/>
          <w:szCs w:val="24"/>
          <w:lang w:val="en-US"/>
        </w:rPr>
        <w:t>. Binding of NSP3 to eIF4G disturbs its interaction with poly(A)-binding protein which is required for the initiation of cellular mRNA translation. However, siRNA-mediated knockdown of NSP3 expression and a NSP3 defective mutant failed to interfere rotavirus-directed synthesis and its replication</w:t>
      </w:r>
      <w:r w:rsidRPr="00A96D05">
        <w:rPr>
          <w:rFonts w:ascii="Book Antiqua" w:hAnsi="Book Antiqua" w:cs="Book Antiqua"/>
          <w:noProof/>
          <w:color w:val="000000"/>
          <w:sz w:val="24"/>
          <w:szCs w:val="24"/>
          <w:vertAlign w:val="superscript"/>
          <w:lang w:val="en-US"/>
        </w:rPr>
        <w:t>[293,294]</w:t>
      </w:r>
      <w:r w:rsidRPr="00A96D05">
        <w:rPr>
          <w:rFonts w:ascii="Book Antiqua" w:hAnsi="Book Antiqua" w:cs="Book Antiqua"/>
          <w:color w:val="000000"/>
          <w:sz w:val="24"/>
          <w:szCs w:val="24"/>
          <w:lang w:val="en-US"/>
        </w:rPr>
        <w:t xml:space="preserve">. Rotavirus-induced phosphorylation </w:t>
      </w:r>
      <w:r w:rsidRPr="00A96D05">
        <w:rPr>
          <w:rFonts w:ascii="Book Antiqua" w:hAnsi="Book Antiqua" w:cs="Book Antiqua"/>
          <w:color w:val="000000"/>
          <w:sz w:val="24"/>
          <w:szCs w:val="24"/>
          <w:shd w:val="clear" w:color="auto" w:fill="FFFFFF"/>
          <w:lang w:val="en-US"/>
        </w:rPr>
        <w:t>of eIF2</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shd w:val="clear" w:color="auto" w:fill="FFFFFF"/>
          <w:lang w:val="en-US"/>
        </w:rPr>
        <w:t xml:space="preserve"> in a double-stranded RNA-dependent kinase (PKR)-dependent manner has been reported to inhibit cellular translation</w:t>
      </w:r>
      <w:r w:rsidRPr="00A96D05">
        <w:rPr>
          <w:rFonts w:ascii="Book Antiqua" w:hAnsi="Book Antiqua" w:cs="Book Antiqua"/>
          <w:noProof/>
          <w:color w:val="000000"/>
          <w:sz w:val="24"/>
          <w:szCs w:val="24"/>
          <w:shd w:val="clear" w:color="auto" w:fill="FFFFFF"/>
          <w:vertAlign w:val="superscript"/>
          <w:lang w:val="en-US"/>
        </w:rPr>
        <w:t>[295]</w:t>
      </w:r>
      <w:r w:rsidRPr="00A96D05">
        <w:rPr>
          <w:rFonts w:ascii="Book Antiqua" w:hAnsi="Book Antiqua" w:cs="Book Antiqua"/>
          <w:color w:val="000000"/>
          <w:sz w:val="24"/>
          <w:szCs w:val="24"/>
          <w:shd w:val="clear" w:color="auto" w:fill="FFFFFF"/>
          <w:lang w:val="en-US"/>
        </w:rPr>
        <w:t>. However, the presence of naked RNA in rotavirus infected cells as part of the viral cycle is an unresolved question</w:t>
      </w:r>
      <w:r w:rsidRPr="00A96D05">
        <w:rPr>
          <w:rFonts w:ascii="Book Antiqua" w:hAnsi="Book Antiqua" w:cs="Book Antiqua"/>
          <w:noProof/>
          <w:color w:val="000000"/>
          <w:sz w:val="24"/>
          <w:szCs w:val="24"/>
          <w:shd w:val="clear" w:color="auto" w:fill="FFFFFF"/>
          <w:vertAlign w:val="superscript"/>
          <w:lang w:val="en-US"/>
        </w:rPr>
        <w:t>[50]</w:t>
      </w:r>
      <w:r w:rsidRPr="00A96D05">
        <w:rPr>
          <w:rFonts w:ascii="Book Antiqua" w:hAnsi="Book Antiqua" w:cs="Book Antiqua"/>
          <w:color w:val="000000"/>
          <w:sz w:val="24"/>
          <w:szCs w:val="24"/>
          <w:shd w:val="clear" w:color="auto" w:fill="FFFFFF"/>
          <w:lang w:val="en-US"/>
        </w:rPr>
        <w:t>.</w:t>
      </w:r>
    </w:p>
    <w:p w:rsidR="005C6065" w:rsidRPr="00A96D05" w:rsidRDefault="005C6065" w:rsidP="002438CD">
      <w:pPr>
        <w:autoSpaceDE w:val="0"/>
        <w:autoSpaceDN w:val="0"/>
        <w:adjustRightInd w:val="0"/>
        <w:spacing w:after="0" w:line="360" w:lineRule="auto"/>
        <w:ind w:firstLineChars="100" w:firstLine="31680"/>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lang w:val="en-US"/>
        </w:rPr>
        <w:t>Increase of jejunal protein synthesis in rotavirus-infected piglets has been reported</w:t>
      </w:r>
      <w:r w:rsidRPr="00A96D05">
        <w:rPr>
          <w:rFonts w:ascii="Book Antiqua" w:hAnsi="Book Antiqua" w:cs="Book Antiqua"/>
          <w:noProof/>
          <w:color w:val="000000"/>
          <w:sz w:val="24"/>
          <w:szCs w:val="24"/>
          <w:vertAlign w:val="superscript"/>
          <w:lang w:val="en-US"/>
        </w:rPr>
        <w:t>[296,297]</w:t>
      </w:r>
      <w:r w:rsidRPr="00A96D05">
        <w:rPr>
          <w:rFonts w:ascii="Book Antiqua" w:hAnsi="Book Antiqua" w:cs="Book Antiqua"/>
          <w:color w:val="000000"/>
          <w:sz w:val="24"/>
          <w:szCs w:val="24"/>
          <w:lang w:val="en-US"/>
        </w:rPr>
        <w:t>. It was hypothesized that this increased protein synthesis was mainly due to actively proliferating enterocytes differentiating and migrating up the villus. However, it was suggested that rotavirus activates mTOR signaling through p70</w:t>
      </w:r>
      <w:r w:rsidRPr="00A96D05">
        <w:rPr>
          <w:rFonts w:ascii="Book Antiqua" w:hAnsi="Book Antiqua" w:cs="Book Antiqua"/>
          <w:color w:val="000000"/>
          <w:sz w:val="24"/>
          <w:szCs w:val="24"/>
          <w:vertAlign w:val="superscript"/>
          <w:lang w:val="en-US"/>
        </w:rPr>
        <w:t>S6K</w:t>
      </w:r>
      <w:r w:rsidRPr="00A96D05">
        <w:rPr>
          <w:rFonts w:ascii="Book Antiqua" w:hAnsi="Book Antiqua" w:cs="Book Antiqua"/>
          <w:color w:val="000000"/>
          <w:sz w:val="24"/>
          <w:szCs w:val="24"/>
          <w:lang w:val="en-US"/>
        </w:rPr>
        <w:t xml:space="preserve"> since rotavirus-induced mobilization of calcium has been shown to be a stimulator of p70</w:t>
      </w:r>
      <w:r w:rsidRPr="00A96D05">
        <w:rPr>
          <w:rFonts w:ascii="Book Antiqua" w:hAnsi="Book Antiqua" w:cs="Book Antiqua"/>
          <w:color w:val="000000"/>
          <w:sz w:val="24"/>
          <w:szCs w:val="24"/>
          <w:vertAlign w:val="superscript"/>
          <w:lang w:val="en-US"/>
        </w:rPr>
        <w:t>S6K</w:t>
      </w:r>
      <w:r w:rsidRPr="00A96D05">
        <w:rPr>
          <w:rFonts w:ascii="Book Antiqua" w:hAnsi="Book Antiqua" w:cs="Book Antiqua"/>
          <w:noProof/>
          <w:color w:val="000000"/>
          <w:sz w:val="24"/>
          <w:szCs w:val="24"/>
          <w:vertAlign w:val="superscript"/>
          <w:lang w:val="en-US"/>
        </w:rPr>
        <w:t>[298]</w:t>
      </w:r>
      <w:r w:rsidRPr="00A96D05">
        <w:rPr>
          <w:rFonts w:ascii="Book Antiqua" w:hAnsi="Book Antiqua" w:cs="Book Antiqua"/>
          <w:color w:val="000000"/>
          <w:sz w:val="24"/>
          <w:szCs w:val="24"/>
          <w:lang w:val="en-US"/>
        </w:rPr>
        <w:t>. However, in these studies it was not specified whether the increased protein synthesis was either cell or virus-directed. On the other hand, expression of some specific cellular proteins is increased during viral infections</w:t>
      </w:r>
      <w:r w:rsidRPr="00A96D05">
        <w:rPr>
          <w:rFonts w:ascii="Book Antiqua" w:hAnsi="Book Antiqua" w:cs="Book Antiqua"/>
          <w:noProof/>
          <w:color w:val="000000"/>
          <w:sz w:val="24"/>
          <w:szCs w:val="24"/>
          <w:vertAlign w:val="superscript"/>
          <w:lang w:val="en-US"/>
        </w:rPr>
        <w:t>[299,300]</w:t>
      </w:r>
      <w:r w:rsidRPr="00A96D05">
        <w:rPr>
          <w:rFonts w:ascii="Book Antiqua" w:hAnsi="Book Antiqua" w:cs="Book Antiqua"/>
          <w:color w:val="000000"/>
          <w:sz w:val="24"/>
          <w:szCs w:val="24"/>
          <w:lang w:val="en-US"/>
        </w:rPr>
        <w:t>. COX-2, an enzyme induced by pro-inflammatory agents, has been reported to be increased in infections caused by RSV</w:t>
      </w:r>
      <w:r w:rsidRPr="00A96D05">
        <w:rPr>
          <w:rFonts w:ascii="Book Antiqua" w:hAnsi="Book Antiqua" w:cs="Book Antiqua"/>
          <w:noProof/>
          <w:color w:val="000000"/>
          <w:sz w:val="24"/>
          <w:szCs w:val="24"/>
          <w:vertAlign w:val="superscript"/>
          <w:lang w:val="en-US"/>
        </w:rPr>
        <w:t>[301]</w:t>
      </w:r>
      <w:r w:rsidRPr="00A96D05">
        <w:rPr>
          <w:rFonts w:ascii="Book Antiqua" w:hAnsi="Book Antiqua" w:cs="Book Antiqua"/>
          <w:color w:val="000000"/>
          <w:sz w:val="24"/>
          <w:szCs w:val="24"/>
          <w:lang w:val="en-US"/>
        </w:rPr>
        <w:t>, gammaherpesvirus 68</w:t>
      </w:r>
      <w:r w:rsidRPr="00A96D05">
        <w:rPr>
          <w:rFonts w:ascii="Book Antiqua" w:hAnsi="Book Antiqua" w:cs="Book Antiqua"/>
          <w:noProof/>
          <w:color w:val="000000"/>
          <w:sz w:val="24"/>
          <w:szCs w:val="24"/>
          <w:vertAlign w:val="superscript"/>
          <w:lang w:val="en-US"/>
        </w:rPr>
        <w:t>[302]</w:t>
      </w:r>
      <w:r w:rsidRPr="00A96D05">
        <w:rPr>
          <w:rFonts w:ascii="Book Antiqua" w:hAnsi="Book Antiqua" w:cs="Book Antiqua"/>
          <w:color w:val="000000"/>
          <w:sz w:val="24"/>
          <w:szCs w:val="24"/>
          <w:lang w:val="en-US"/>
        </w:rPr>
        <w:t>, influenza virus</w:t>
      </w:r>
      <w:r w:rsidRPr="00A96D05">
        <w:rPr>
          <w:rFonts w:ascii="Book Antiqua" w:hAnsi="Book Antiqua" w:cs="Book Antiqua"/>
          <w:noProof/>
          <w:color w:val="000000"/>
          <w:sz w:val="24"/>
          <w:szCs w:val="24"/>
          <w:vertAlign w:val="superscript"/>
          <w:lang w:val="en-US"/>
        </w:rPr>
        <w:t>[275]</w:t>
      </w:r>
      <w:r w:rsidRPr="00A96D05">
        <w:rPr>
          <w:rFonts w:ascii="Book Antiqua" w:hAnsi="Book Antiqua" w:cs="Book Antiqua"/>
          <w:color w:val="000000"/>
          <w:sz w:val="24"/>
          <w:szCs w:val="24"/>
          <w:lang w:val="en-US"/>
        </w:rPr>
        <w:t>, herpes simplex virus</w:t>
      </w:r>
      <w:r w:rsidRPr="00A96D05">
        <w:rPr>
          <w:rFonts w:ascii="Book Antiqua" w:hAnsi="Book Antiqua" w:cs="Book Antiqua"/>
          <w:noProof/>
          <w:color w:val="000000"/>
          <w:sz w:val="24"/>
          <w:szCs w:val="24"/>
          <w:vertAlign w:val="superscript"/>
          <w:lang w:val="en-US"/>
        </w:rPr>
        <w:t>[301]</w:t>
      </w:r>
      <w:r w:rsidRPr="00A96D05">
        <w:rPr>
          <w:rFonts w:ascii="Book Antiqua" w:hAnsi="Book Antiqua" w:cs="Book Antiqua"/>
          <w:color w:val="000000"/>
          <w:sz w:val="24"/>
          <w:szCs w:val="24"/>
          <w:lang w:val="en-US"/>
        </w:rPr>
        <w:t>, and EMCV</w:t>
      </w:r>
      <w:r w:rsidRPr="00A96D05">
        <w:rPr>
          <w:rFonts w:ascii="Book Antiqua" w:hAnsi="Book Antiqua" w:cs="Book Antiqua"/>
          <w:noProof/>
          <w:color w:val="000000"/>
          <w:sz w:val="24"/>
          <w:szCs w:val="24"/>
          <w:vertAlign w:val="superscript"/>
          <w:lang w:val="en-US"/>
        </w:rPr>
        <w:t>[303]</w:t>
      </w:r>
      <w:r w:rsidRPr="00A96D05">
        <w:rPr>
          <w:rFonts w:ascii="Book Antiqua" w:hAnsi="Book Antiqua" w:cs="Book Antiqua"/>
          <w:color w:val="000000"/>
          <w:sz w:val="24"/>
          <w:szCs w:val="24"/>
          <w:lang w:val="en-US"/>
        </w:rPr>
        <w:t>. Despite Hsc70 is a constitutively expressed protein, it has been shown to be increased following infection with SV40</w:t>
      </w:r>
      <w:r w:rsidRPr="00A96D05">
        <w:rPr>
          <w:rFonts w:ascii="Book Antiqua" w:hAnsi="Book Antiqua" w:cs="Book Antiqua"/>
          <w:noProof/>
          <w:color w:val="000000"/>
          <w:sz w:val="24"/>
          <w:szCs w:val="24"/>
          <w:vertAlign w:val="superscript"/>
          <w:lang w:val="en-US"/>
        </w:rPr>
        <w:t>[304]</w:t>
      </w:r>
      <w:r w:rsidRPr="00A96D05">
        <w:rPr>
          <w:rFonts w:ascii="Book Antiqua" w:hAnsi="Book Antiqua" w:cs="Book Antiqua"/>
          <w:color w:val="000000"/>
          <w:sz w:val="24"/>
          <w:szCs w:val="24"/>
          <w:lang w:val="en-US"/>
        </w:rPr>
        <w:t>, Autographa californica multiple nucleopolyhedrovirus</w:t>
      </w:r>
      <w:r w:rsidRPr="00A96D05">
        <w:rPr>
          <w:rFonts w:ascii="Book Antiqua" w:hAnsi="Book Antiqua" w:cs="Book Antiqua"/>
          <w:noProof/>
          <w:color w:val="000000"/>
          <w:sz w:val="24"/>
          <w:szCs w:val="24"/>
          <w:vertAlign w:val="superscript"/>
          <w:lang w:val="en-US"/>
        </w:rPr>
        <w:t>[305]</w:t>
      </w:r>
      <w:r w:rsidRPr="00A96D05">
        <w:rPr>
          <w:rFonts w:ascii="Book Antiqua" w:hAnsi="Book Antiqua" w:cs="Book Antiqua"/>
          <w:color w:val="000000"/>
          <w:sz w:val="24"/>
          <w:szCs w:val="24"/>
          <w:lang w:val="en-US"/>
        </w:rPr>
        <w:t>, JEV</w:t>
      </w:r>
      <w:r w:rsidRPr="00A96D05">
        <w:rPr>
          <w:rFonts w:ascii="Book Antiqua" w:hAnsi="Book Antiqua" w:cs="Book Antiqua"/>
          <w:noProof/>
          <w:color w:val="000000"/>
          <w:sz w:val="24"/>
          <w:szCs w:val="24"/>
          <w:vertAlign w:val="superscript"/>
          <w:lang w:val="en-US"/>
        </w:rPr>
        <w:t>[78]</w:t>
      </w:r>
      <w:r w:rsidRPr="00A96D05">
        <w:rPr>
          <w:rFonts w:ascii="Book Antiqua" w:hAnsi="Book Antiqua" w:cs="Book Antiqua"/>
          <w:color w:val="000000"/>
          <w:sz w:val="24"/>
          <w:szCs w:val="24"/>
          <w:lang w:val="en-US"/>
        </w:rPr>
        <w:t>, and white spot syndrome virus</w:t>
      </w:r>
      <w:r w:rsidRPr="00A96D05">
        <w:rPr>
          <w:rFonts w:ascii="Book Antiqua" w:hAnsi="Book Antiqua" w:cs="Book Antiqua"/>
          <w:noProof/>
          <w:color w:val="000000"/>
          <w:sz w:val="24"/>
          <w:szCs w:val="24"/>
          <w:vertAlign w:val="superscript"/>
          <w:lang w:val="en-US"/>
        </w:rPr>
        <w:t>[306]</w:t>
      </w:r>
      <w:r w:rsidRPr="00A96D05">
        <w:rPr>
          <w:rFonts w:ascii="Book Antiqua" w:hAnsi="Book Antiqua" w:cs="Book Antiqua"/>
          <w:color w:val="000000"/>
          <w:sz w:val="24"/>
          <w:szCs w:val="24"/>
          <w:lang w:val="en-US"/>
        </w:rPr>
        <w:t>. Evidence has been shown that rotavirus ECwt infection of mice induce cellular proteins COX-2, ERp57, Hsc70, NF-κB, Hsp70, PDI and PPARγ in intestinal villus cells, whereas NAC treatment of infected cells reduced Hsc70 and PDI to expression levels similar to those ob</w:t>
      </w:r>
      <w:bookmarkStart w:id="4" w:name="_GoBack"/>
      <w:bookmarkEnd w:id="4"/>
      <w:r w:rsidRPr="00A96D05">
        <w:rPr>
          <w:rFonts w:ascii="Book Antiqua" w:hAnsi="Book Antiqua" w:cs="Book Antiqua"/>
          <w:color w:val="000000"/>
          <w:sz w:val="24"/>
          <w:szCs w:val="24"/>
          <w:lang w:val="en-US"/>
        </w:rPr>
        <w:t>served in villi from uninfected control mice</w:t>
      </w:r>
      <w:r w:rsidRPr="00A96D05">
        <w:rPr>
          <w:rFonts w:ascii="Book Antiqua" w:hAnsi="Book Antiqua" w:cs="Book Antiqua"/>
          <w:noProof/>
          <w:color w:val="000000"/>
          <w:sz w:val="24"/>
          <w:szCs w:val="24"/>
          <w:vertAlign w:val="superscript"/>
          <w:lang w:val="en-US"/>
        </w:rPr>
        <w:t>[185]</w:t>
      </w:r>
      <w:r w:rsidRPr="00A96D05">
        <w:rPr>
          <w:rFonts w:ascii="Book Antiqua" w:hAnsi="Book Antiqua" w:cs="Book Antiqua"/>
          <w:color w:val="000000"/>
          <w:sz w:val="24"/>
          <w:szCs w:val="24"/>
          <w:lang w:val="en-US"/>
        </w:rPr>
        <w:t>. The virus-associated increased expression of these cellular proteins adds evidence suggesting that rotavirus infection benefits from inducing oxidative stress and activating pro-inflammatory signaling in villus cells since treatment of rotavirus infected mice with NAC, NSAIDs or PPARγ agonists led to significantly reduced infection</w:t>
      </w:r>
      <w:r w:rsidRPr="00A96D05">
        <w:rPr>
          <w:rFonts w:ascii="Book Antiqua" w:hAnsi="Book Antiqua" w:cs="Book Antiqua"/>
          <w:noProof/>
          <w:color w:val="000000"/>
          <w:sz w:val="24"/>
          <w:szCs w:val="24"/>
          <w:vertAlign w:val="superscript"/>
          <w:lang w:val="en-US"/>
        </w:rPr>
        <w:t>[185]</w:t>
      </w:r>
      <w:r w:rsidRPr="00A96D05">
        <w:rPr>
          <w:rFonts w:ascii="Book Antiqua" w:hAnsi="Book Antiqua" w:cs="Book Antiqua"/>
          <w:color w:val="000000"/>
          <w:sz w:val="24"/>
          <w:szCs w:val="24"/>
          <w:lang w:val="en-US"/>
        </w:rPr>
        <w:t xml:space="preserve">. </w:t>
      </w:r>
      <w:r w:rsidRPr="00A96D05">
        <w:rPr>
          <w:rFonts w:ascii="Book Antiqua" w:hAnsi="Book Antiqua" w:cs="Book Antiqua"/>
          <w:color w:val="000000"/>
          <w:sz w:val="24"/>
          <w:szCs w:val="24"/>
          <w:lang w:val="en-US" w:eastAsia="es-US"/>
        </w:rPr>
        <w:t>Inhibition of rotavirus infection by treatment with antioxidants, NSAIDs and PPARγ agonists</w:t>
      </w:r>
      <w:r w:rsidRPr="00A96D05">
        <w:rPr>
          <w:rFonts w:ascii="Book Antiqua" w:hAnsi="Book Antiqua" w:cs="Book Antiqua"/>
          <w:color w:val="000000"/>
          <w:sz w:val="24"/>
          <w:szCs w:val="24"/>
          <w:shd w:val="clear" w:color="auto" w:fill="FFFFFF"/>
          <w:lang w:val="en-US"/>
        </w:rPr>
        <w:t xml:space="preserve"> are schematized in Fig</w:t>
      </w:r>
      <w:r w:rsidRPr="00A96D05">
        <w:rPr>
          <w:rFonts w:ascii="Book Antiqua" w:hAnsi="Book Antiqua" w:cs="Book Antiqua"/>
          <w:color w:val="000000"/>
          <w:sz w:val="24"/>
          <w:szCs w:val="24"/>
          <w:shd w:val="clear" w:color="auto" w:fill="FFFFFF"/>
          <w:lang w:val="en-US" w:eastAsia="zh-CN"/>
        </w:rPr>
        <w:t>ure</w:t>
      </w:r>
      <w:r w:rsidRPr="00A96D05">
        <w:rPr>
          <w:rFonts w:ascii="Book Antiqua" w:hAnsi="Book Antiqua" w:cs="Book Antiqua"/>
          <w:color w:val="000000"/>
          <w:sz w:val="24"/>
          <w:szCs w:val="24"/>
          <w:shd w:val="clear" w:color="auto" w:fill="FFFFFF"/>
          <w:lang w:val="en-US"/>
        </w:rPr>
        <w:t xml:space="preserve"> 4.</w:t>
      </w:r>
    </w:p>
    <w:p w:rsidR="005C6065" w:rsidRPr="00A96D05" w:rsidRDefault="005C6065" w:rsidP="002438CD">
      <w:pPr>
        <w:spacing w:after="0" w:line="360" w:lineRule="auto"/>
        <w:ind w:firstLineChars="100" w:firstLine="31680"/>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 xml:space="preserve">The dependence of viruses on the host translation machinery imposes the recruitment of ribosomes for the translation of their functions and inhibition of the cellular innate defenses. More studies are needed to understand the detailed mechanisms involved in the strategy by which rotaviruses induce the shutoff of host protein synthesis machinery. </w:t>
      </w:r>
    </w:p>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lang w:val="en-US"/>
        </w:rPr>
      </w:pPr>
    </w:p>
    <w:p w:rsidR="005C6065" w:rsidRPr="00A96D05" w:rsidRDefault="005C6065" w:rsidP="00A96D05">
      <w:pPr>
        <w:autoSpaceDE w:val="0"/>
        <w:autoSpaceDN w:val="0"/>
        <w:adjustRightInd w:val="0"/>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CONCLU</w:t>
      </w:r>
      <w:r w:rsidRPr="00A96D05">
        <w:rPr>
          <w:rFonts w:ascii="Book Antiqua" w:hAnsi="Book Antiqua" w:cs="Book Antiqua"/>
          <w:b/>
          <w:bCs/>
          <w:color w:val="000000"/>
          <w:sz w:val="24"/>
          <w:szCs w:val="24"/>
          <w:lang w:val="en-US" w:eastAsia="zh-CN"/>
        </w:rPr>
        <w:t>SION</w:t>
      </w:r>
      <w:r w:rsidRPr="00A96D05">
        <w:rPr>
          <w:rFonts w:ascii="Book Antiqua" w:hAnsi="Book Antiqua" w:cs="Book Antiqua"/>
          <w:b/>
          <w:bCs/>
          <w:color w:val="000000"/>
          <w:sz w:val="24"/>
          <w:szCs w:val="24"/>
          <w:lang w:val="en-US"/>
        </w:rPr>
        <w:t xml:space="preserve"> </w:t>
      </w:r>
    </w:p>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shd w:val="clear" w:color="auto" w:fill="FFFFFF"/>
          <w:lang w:val="en-US"/>
        </w:rPr>
      </w:pPr>
      <w:r w:rsidRPr="00A96D05">
        <w:rPr>
          <w:rFonts w:ascii="Book Antiqua" w:hAnsi="Book Antiqua" w:cs="Book Antiqua"/>
          <w:color w:val="000000"/>
          <w:sz w:val="24"/>
          <w:szCs w:val="24"/>
          <w:shd w:val="clear" w:color="auto" w:fill="FFFFFF"/>
          <w:lang w:val="en-US"/>
        </w:rPr>
        <w:t xml:space="preserve">Despite the advances made over the past decade in the understanding of mechanisms explaining rotavirus infection, there are many unanswered questions regarding entry and internalization processes of rotavirus. A relevant question is whether rotaviruses have alternative entry pathways since inhibition of any of the proposed receptors failed to interfere completely with the viral infectivity. It is tempting to hypothesize that rotaviruses seem to have evolved to enter the target cell using three different types of cell surface molecules: </w:t>
      </w:r>
      <w:r w:rsidRPr="00A96D05">
        <w:rPr>
          <w:rFonts w:ascii="Book Antiqua" w:hAnsi="Book Antiqua" w:cs="Book Antiqua"/>
          <w:color w:val="000000"/>
          <w:sz w:val="24"/>
          <w:szCs w:val="24"/>
          <w:shd w:val="clear" w:color="auto" w:fill="FFFFFF"/>
          <w:lang w:val="en-US" w:eastAsia="zh-CN"/>
        </w:rPr>
        <w:t>(</w:t>
      </w:r>
      <w:r w:rsidRPr="00A96D05">
        <w:rPr>
          <w:rFonts w:ascii="Book Antiqua" w:hAnsi="Book Antiqua" w:cs="Book Antiqua"/>
          <w:color w:val="000000"/>
          <w:sz w:val="24"/>
          <w:szCs w:val="24"/>
          <w:shd w:val="clear" w:color="auto" w:fill="FFFFFF"/>
          <w:lang w:val="en-US"/>
        </w:rPr>
        <w:t>1</w:t>
      </w:r>
      <w:r w:rsidRPr="00A96D05">
        <w:rPr>
          <w:rFonts w:ascii="Book Antiqua" w:hAnsi="Book Antiqua" w:cs="Book Antiqua"/>
          <w:color w:val="000000"/>
          <w:sz w:val="24"/>
          <w:szCs w:val="24"/>
          <w:shd w:val="clear" w:color="auto" w:fill="FFFFFF"/>
          <w:lang w:val="en-US" w:eastAsia="zh-CN"/>
        </w:rPr>
        <w:t>)</w:t>
      </w:r>
      <w:r w:rsidRPr="00A96D05">
        <w:rPr>
          <w:rFonts w:ascii="Book Antiqua" w:hAnsi="Book Antiqua" w:cs="Book Antiqua"/>
          <w:color w:val="000000"/>
          <w:sz w:val="24"/>
          <w:szCs w:val="24"/>
          <w:shd w:val="clear" w:color="auto" w:fill="FFFFFF"/>
          <w:lang w:val="en-US"/>
        </w:rPr>
        <w:t xml:space="preserve"> binding molecules represented by SA and some integrins</w:t>
      </w:r>
      <w:r w:rsidRPr="00A96D05">
        <w:rPr>
          <w:rFonts w:ascii="Book Antiqua" w:hAnsi="Book Antiqua" w:cs="Book Antiqua"/>
          <w:color w:val="000000"/>
          <w:sz w:val="24"/>
          <w:szCs w:val="24"/>
          <w:shd w:val="clear" w:color="auto" w:fill="FFFFFF"/>
          <w:lang w:val="en-US" w:eastAsia="zh-CN"/>
        </w:rPr>
        <w:t>;</w:t>
      </w:r>
      <w:r w:rsidRPr="00A96D05">
        <w:rPr>
          <w:rFonts w:ascii="Book Antiqua" w:hAnsi="Book Antiqua" w:cs="Book Antiqua"/>
          <w:color w:val="000000"/>
          <w:sz w:val="24"/>
          <w:szCs w:val="24"/>
          <w:shd w:val="clear" w:color="auto" w:fill="FFFFFF"/>
          <w:lang w:val="en-US"/>
        </w:rPr>
        <w:t xml:space="preserve"> </w:t>
      </w:r>
      <w:r w:rsidRPr="00A96D05">
        <w:rPr>
          <w:rFonts w:ascii="Book Antiqua" w:hAnsi="Book Antiqua" w:cs="Book Antiqua"/>
          <w:color w:val="000000"/>
          <w:sz w:val="24"/>
          <w:szCs w:val="24"/>
          <w:shd w:val="clear" w:color="auto" w:fill="FFFFFF"/>
          <w:lang w:val="en-US" w:eastAsia="zh-CN"/>
        </w:rPr>
        <w:t>(</w:t>
      </w:r>
      <w:r w:rsidRPr="00A96D05">
        <w:rPr>
          <w:rFonts w:ascii="Book Antiqua" w:hAnsi="Book Antiqua" w:cs="Book Antiqua"/>
          <w:color w:val="000000"/>
          <w:sz w:val="24"/>
          <w:szCs w:val="24"/>
          <w:shd w:val="clear" w:color="auto" w:fill="FFFFFF"/>
          <w:lang w:val="en-US"/>
        </w:rPr>
        <w:t>2</w:t>
      </w:r>
      <w:r w:rsidRPr="00A96D05">
        <w:rPr>
          <w:rFonts w:ascii="Book Antiqua" w:hAnsi="Book Antiqua" w:cs="Book Antiqua"/>
          <w:color w:val="000000"/>
          <w:sz w:val="24"/>
          <w:szCs w:val="24"/>
          <w:shd w:val="clear" w:color="auto" w:fill="FFFFFF"/>
          <w:lang w:val="en-US" w:eastAsia="zh-CN"/>
        </w:rPr>
        <w:t>)</w:t>
      </w:r>
      <w:r w:rsidRPr="00A96D05">
        <w:rPr>
          <w:rFonts w:ascii="Book Antiqua" w:hAnsi="Book Antiqua" w:cs="Book Antiqua"/>
          <w:color w:val="000000"/>
          <w:sz w:val="24"/>
          <w:szCs w:val="24"/>
          <w:shd w:val="clear" w:color="auto" w:fill="FFFFFF"/>
          <w:lang w:val="en-US"/>
        </w:rPr>
        <w:t xml:space="preserve"> chaperoning molecules including Hsc70 and other heat shock proteins</w:t>
      </w:r>
      <w:r w:rsidRPr="00A96D05">
        <w:rPr>
          <w:rFonts w:ascii="Book Antiqua" w:hAnsi="Book Antiqua" w:cs="Book Antiqua"/>
          <w:color w:val="000000"/>
          <w:sz w:val="24"/>
          <w:szCs w:val="24"/>
          <w:shd w:val="clear" w:color="auto" w:fill="FFFFFF"/>
          <w:lang w:val="en-US" w:eastAsia="zh-CN"/>
        </w:rPr>
        <w:t>;</w:t>
      </w:r>
      <w:r w:rsidRPr="00A96D05">
        <w:rPr>
          <w:rFonts w:ascii="Book Antiqua" w:hAnsi="Book Antiqua" w:cs="Book Antiqua"/>
          <w:color w:val="000000"/>
          <w:sz w:val="24"/>
          <w:szCs w:val="24"/>
          <w:shd w:val="clear" w:color="auto" w:fill="FFFFFF"/>
          <w:lang w:val="en-US"/>
        </w:rPr>
        <w:t xml:space="preserve"> and </w:t>
      </w:r>
      <w:r w:rsidRPr="00A96D05">
        <w:rPr>
          <w:rFonts w:ascii="Book Antiqua" w:hAnsi="Book Antiqua" w:cs="Book Antiqua"/>
          <w:color w:val="000000"/>
          <w:sz w:val="24"/>
          <w:szCs w:val="24"/>
          <w:shd w:val="clear" w:color="auto" w:fill="FFFFFF"/>
          <w:lang w:val="en-US" w:eastAsia="zh-CN"/>
        </w:rPr>
        <w:t>(</w:t>
      </w:r>
      <w:r w:rsidRPr="00A96D05">
        <w:rPr>
          <w:rFonts w:ascii="Book Antiqua" w:hAnsi="Book Antiqua" w:cs="Book Antiqua"/>
          <w:color w:val="000000"/>
          <w:sz w:val="24"/>
          <w:szCs w:val="24"/>
          <w:shd w:val="clear" w:color="auto" w:fill="FFFFFF"/>
          <w:lang w:val="en-US"/>
        </w:rPr>
        <w:t>3</w:t>
      </w:r>
      <w:r w:rsidRPr="00A96D05">
        <w:rPr>
          <w:rFonts w:ascii="Book Antiqua" w:hAnsi="Book Antiqua" w:cs="Book Antiqua"/>
          <w:color w:val="000000"/>
          <w:sz w:val="24"/>
          <w:szCs w:val="24"/>
          <w:shd w:val="clear" w:color="auto" w:fill="FFFFFF"/>
          <w:lang w:val="en-US" w:eastAsia="zh-CN"/>
        </w:rPr>
        <w:t>)</w:t>
      </w:r>
      <w:r w:rsidRPr="00A96D05">
        <w:rPr>
          <w:rFonts w:ascii="Book Antiqua" w:hAnsi="Book Antiqua" w:cs="Book Antiqua"/>
          <w:color w:val="000000"/>
          <w:sz w:val="24"/>
          <w:szCs w:val="24"/>
          <w:shd w:val="clear" w:color="auto" w:fill="FFFFFF"/>
          <w:lang w:val="en-US"/>
        </w:rPr>
        <w:t xml:space="preserve"> redox molecules such as PDI, Erp57 and other related thioredoxins. The current proposed receptors for rotavirus fall into these major categories of molecules supporting entry mechanisms. It should not be excluded that other molecules, as yet undiscovered, could also perform the same functions in other cell types and for other rotavirus strains. Within this line of reasoning, it appears to be a universal mechanism for rotavirus entry, but the receptor molecules executing the entry mechanism might differ partially or wholly depending on the species, cell line and rotavirus strain. The receptor usage and tropism of rotaviruses would be determined by the relative abundance and physical proximity of the receptors in the host cell surface. Rotavirus structural proteins implicated in the early steps of the rotaviral life cycle are likely to be substrates of the cell surface molecules having oxidoreductase, thiol isomerase and chaperone activities which would be responsible for the conformational changes these viral interacting proteins need for ensuring internalization. Future research should emphasize the elucidation of the reason why many receptors are used by rotaviruses. The fact that rotaviruses induce oxidative stress and inflammatory signaling offers an opportunity for the development of novel therapeutic strategies aimed at interfering with rotavirus infection. The use of NAC, NSAIDs and PPARγ agonists to inhibit rotavirus infection opens a new way for treating the life-threatening rotavirus diarrhea and complementing vaccines. However, a major gap in the understanding of the rotavirus infectious strategy is the fact that rotavirus seems to antagonize the pro-inflammatory signaling in order to ensure replication but anti-inflammatory treatment inhibits virus infection. This gap poses a substantial challenge because a more detailed characterization of the molecular mechanisms underpinning rotavirus-induced inflammatory signaling is needed. Another unsolved issue is that the rotavirus-induced oxidative stress, seemingly at the same time, influences positively and negatively </w:t>
      </w:r>
      <w:r w:rsidRPr="00A96D05">
        <w:rPr>
          <w:rFonts w:ascii="Book Antiqua" w:hAnsi="Book Antiqua" w:cs="Book Antiqua"/>
          <w:color w:val="000000"/>
          <w:sz w:val="24"/>
          <w:szCs w:val="24"/>
          <w:lang w:val="en-US"/>
        </w:rPr>
        <w:t xml:space="preserve">NF-κB </w:t>
      </w:r>
      <w:r w:rsidRPr="00A96D05">
        <w:rPr>
          <w:rFonts w:ascii="Book Antiqua" w:hAnsi="Book Antiqua" w:cs="Book Antiqua"/>
          <w:color w:val="000000"/>
          <w:sz w:val="24"/>
          <w:szCs w:val="24"/>
          <w:shd w:val="clear" w:color="auto" w:fill="FFFFFF"/>
          <w:lang w:val="en-US"/>
        </w:rPr>
        <w:t xml:space="preserve">signaling, whereas antioxidant treatment inhibits virus infection. </w:t>
      </w:r>
    </w:p>
    <w:p w:rsidR="005C6065" w:rsidRPr="00A96D05" w:rsidRDefault="005C6065" w:rsidP="00A96D05">
      <w:pPr>
        <w:spacing w:after="0" w:line="360" w:lineRule="auto"/>
        <w:jc w:val="both"/>
        <w:rPr>
          <w:rFonts w:ascii="Book Antiqua" w:hAnsi="Book Antiqua" w:cs="Book Antiqua"/>
          <w:color w:val="000000"/>
          <w:sz w:val="24"/>
          <w:szCs w:val="24"/>
          <w:lang w:val="en-US" w:eastAsia="zh-CN"/>
        </w:rPr>
      </w:pP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b/>
          <w:bCs/>
          <w:color w:val="000000"/>
          <w:sz w:val="24"/>
          <w:szCs w:val="24"/>
          <w:lang w:val="en-US"/>
        </w:rPr>
        <w:t>ACKNOWLEDGMENTS</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The authors are very grateful to Ana I Ramos-Murillo and Dory Gómez for their assistance in designing and preparing the figures.</w:t>
      </w:r>
    </w:p>
    <w:p w:rsidR="005C6065" w:rsidRPr="00A96D05" w:rsidRDefault="005C6065" w:rsidP="00A96D05">
      <w:pPr>
        <w:spacing w:after="0" w:line="360" w:lineRule="auto"/>
        <w:jc w:val="both"/>
        <w:rPr>
          <w:rFonts w:ascii="Book Antiqua" w:hAnsi="Book Antiqua" w:cs="Book Antiqua"/>
          <w:color w:val="000000"/>
          <w:sz w:val="24"/>
          <w:szCs w:val="24"/>
          <w:lang w:val="en-US"/>
        </w:rPr>
      </w:pPr>
    </w:p>
    <w:p w:rsidR="005C6065" w:rsidRPr="00A96D05" w:rsidRDefault="005C6065" w:rsidP="00A96D05">
      <w:pPr>
        <w:spacing w:after="0" w:line="360" w:lineRule="auto"/>
        <w:jc w:val="both"/>
        <w:rPr>
          <w:rFonts w:ascii="Book Antiqua" w:hAnsi="Book Antiqua" w:cs="Book Antiqua"/>
          <w:b/>
          <w:bCs/>
          <w:color w:val="000000"/>
          <w:sz w:val="24"/>
          <w:szCs w:val="24"/>
          <w:lang w:val="en-US"/>
        </w:rPr>
      </w:pPr>
      <w:r w:rsidRPr="00A96D05">
        <w:rPr>
          <w:rFonts w:ascii="Book Antiqua" w:hAnsi="Book Antiqua" w:cs="Book Antiqua"/>
          <w:color w:val="000000"/>
          <w:sz w:val="24"/>
          <w:szCs w:val="24"/>
          <w:lang w:val="en-US"/>
        </w:rPr>
        <w:br w:type="page"/>
      </w:r>
      <w:r w:rsidRPr="00A96D05">
        <w:rPr>
          <w:rFonts w:ascii="Book Antiqua" w:hAnsi="Book Antiqua" w:cs="Book Antiqua"/>
          <w:b/>
          <w:bCs/>
          <w:color w:val="000000"/>
          <w:sz w:val="24"/>
          <w:szCs w:val="24"/>
          <w:lang w:val="en-US"/>
        </w:rPr>
        <w:t>REFERENCES</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1 </w:t>
      </w:r>
      <w:r w:rsidRPr="00A96D05">
        <w:rPr>
          <w:rFonts w:ascii="Book Antiqua" w:hAnsi="Book Antiqua" w:cs="Book Antiqua"/>
          <w:b/>
          <w:bCs/>
          <w:color w:val="000000"/>
          <w:sz w:val="24"/>
          <w:szCs w:val="24"/>
          <w:lang w:val="en-US"/>
        </w:rPr>
        <w:t>Parashar UD</w:t>
      </w:r>
      <w:r w:rsidRPr="00A96D05">
        <w:rPr>
          <w:rFonts w:ascii="Book Antiqua" w:hAnsi="Book Antiqua" w:cs="Book Antiqua"/>
          <w:color w:val="000000"/>
          <w:sz w:val="24"/>
          <w:szCs w:val="24"/>
          <w:lang w:val="en-US"/>
        </w:rPr>
        <w:t>, Hummelman EG, Bresee JS, Miller MA, Glass RI. Global illness and deaths caused by rotavirus disease in children. </w:t>
      </w:r>
      <w:r w:rsidRPr="00A96D05">
        <w:rPr>
          <w:rFonts w:ascii="Book Antiqua" w:hAnsi="Book Antiqua" w:cs="Book Antiqua"/>
          <w:i/>
          <w:iCs/>
          <w:color w:val="000000"/>
          <w:sz w:val="24"/>
          <w:szCs w:val="24"/>
          <w:lang w:val="en-US"/>
        </w:rPr>
        <w:t>Emerg Infect Dis</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9</w:t>
      </w:r>
      <w:r w:rsidRPr="00A96D05">
        <w:rPr>
          <w:rFonts w:ascii="Book Antiqua" w:hAnsi="Book Antiqua" w:cs="Book Antiqua"/>
          <w:color w:val="000000"/>
          <w:sz w:val="24"/>
          <w:szCs w:val="24"/>
          <w:lang w:val="en-US"/>
        </w:rPr>
        <w:t>: 565-572 [PMID: 12737740 DOI: 10.3201/eid0905.020562]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2 </w:t>
      </w:r>
      <w:r w:rsidRPr="00A96D05">
        <w:rPr>
          <w:rFonts w:ascii="Book Antiqua" w:hAnsi="Book Antiqua" w:cs="Book Antiqua"/>
          <w:b/>
          <w:bCs/>
          <w:color w:val="000000"/>
          <w:sz w:val="24"/>
          <w:szCs w:val="24"/>
          <w:lang w:val="en-US"/>
        </w:rPr>
        <w:t>Tate JE</w:t>
      </w:r>
      <w:r w:rsidRPr="00A96D05">
        <w:rPr>
          <w:rFonts w:ascii="Book Antiqua" w:hAnsi="Book Antiqua" w:cs="Book Antiqua"/>
          <w:color w:val="000000"/>
          <w:sz w:val="24"/>
          <w:szCs w:val="24"/>
          <w:lang w:val="en-US"/>
        </w:rPr>
        <w:t>, Burton AH, Boschi-Pinto C, Steele AD, Duque J, Parashar UD. 2008 estimate of worldwide rotavirus-associated mortality in children younger than 5 years before the introduction of universal rotavirus vaccination programmes: a systematic review and meta-analysis. </w:t>
      </w:r>
      <w:r w:rsidRPr="00A96D05">
        <w:rPr>
          <w:rFonts w:ascii="Book Antiqua" w:hAnsi="Book Antiqua" w:cs="Book Antiqua"/>
          <w:i/>
          <w:iCs/>
          <w:color w:val="000000"/>
          <w:sz w:val="24"/>
          <w:szCs w:val="24"/>
          <w:lang w:val="en-US"/>
        </w:rPr>
        <w:t>Lancet Infect Dis</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12</w:t>
      </w:r>
      <w:r w:rsidRPr="00A96D05">
        <w:rPr>
          <w:rFonts w:ascii="Book Antiqua" w:hAnsi="Book Antiqua" w:cs="Book Antiqua"/>
          <w:color w:val="000000"/>
          <w:sz w:val="24"/>
          <w:szCs w:val="24"/>
          <w:lang w:val="en-US"/>
        </w:rPr>
        <w:t>: 136-141 [PMID: 22030330 DOI: 10.1016/s1473-3099(11)70253-5]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3 </w:t>
      </w:r>
      <w:r w:rsidRPr="00A96D05">
        <w:rPr>
          <w:rFonts w:ascii="Book Antiqua" w:hAnsi="Book Antiqua" w:cs="Book Antiqua"/>
          <w:b/>
          <w:bCs/>
          <w:color w:val="000000"/>
          <w:sz w:val="24"/>
          <w:szCs w:val="24"/>
          <w:lang w:val="en-US"/>
        </w:rPr>
        <w:t>Yeager M</w:t>
      </w:r>
      <w:r w:rsidRPr="00A96D05">
        <w:rPr>
          <w:rFonts w:ascii="Book Antiqua" w:hAnsi="Book Antiqua" w:cs="Book Antiqua"/>
          <w:color w:val="000000"/>
          <w:sz w:val="24"/>
          <w:szCs w:val="24"/>
          <w:lang w:val="en-US"/>
        </w:rPr>
        <w:t>, Dryden KA, Olson NH, Greenberg HB, Baker TS. Three-dimensional structure of rhesus rotavirus by cryoelectron microscopy and image reconstruction. </w:t>
      </w:r>
      <w:r w:rsidRPr="00A96D05">
        <w:rPr>
          <w:rFonts w:ascii="Book Antiqua" w:hAnsi="Book Antiqua" w:cs="Book Antiqua"/>
          <w:i/>
          <w:iCs/>
          <w:color w:val="000000"/>
          <w:sz w:val="24"/>
          <w:szCs w:val="24"/>
          <w:lang w:val="en-US"/>
        </w:rPr>
        <w:t>J Cell Biol</w:t>
      </w:r>
      <w:r w:rsidRPr="00A96D05">
        <w:rPr>
          <w:rFonts w:ascii="Book Antiqua" w:hAnsi="Book Antiqua" w:cs="Book Antiqua"/>
          <w:color w:val="000000"/>
          <w:sz w:val="24"/>
          <w:szCs w:val="24"/>
          <w:lang w:val="en-US"/>
        </w:rPr>
        <w:t> 1990; </w:t>
      </w:r>
      <w:r w:rsidRPr="00A96D05">
        <w:rPr>
          <w:rFonts w:ascii="Book Antiqua" w:hAnsi="Book Antiqua" w:cs="Book Antiqua"/>
          <w:b/>
          <w:bCs/>
          <w:color w:val="000000"/>
          <w:sz w:val="24"/>
          <w:szCs w:val="24"/>
          <w:lang w:val="en-US"/>
        </w:rPr>
        <w:t>110</w:t>
      </w:r>
      <w:r w:rsidRPr="00A96D05">
        <w:rPr>
          <w:rFonts w:ascii="Book Antiqua" w:hAnsi="Book Antiqua" w:cs="Book Antiqua"/>
          <w:color w:val="000000"/>
          <w:sz w:val="24"/>
          <w:szCs w:val="24"/>
          <w:lang w:val="en-US"/>
        </w:rPr>
        <w:t>: 2133-2144 [PMID: 2161857]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4 </w:t>
      </w:r>
      <w:r w:rsidRPr="00A96D05">
        <w:rPr>
          <w:rFonts w:ascii="Book Antiqua" w:hAnsi="Book Antiqua" w:cs="Book Antiqua"/>
          <w:b/>
          <w:bCs/>
          <w:color w:val="000000"/>
          <w:sz w:val="24"/>
          <w:szCs w:val="24"/>
          <w:lang w:val="en-US"/>
        </w:rPr>
        <w:t>Settembre EC</w:t>
      </w:r>
      <w:r w:rsidRPr="00A96D05">
        <w:rPr>
          <w:rFonts w:ascii="Book Antiqua" w:hAnsi="Book Antiqua" w:cs="Book Antiqua"/>
          <w:color w:val="000000"/>
          <w:sz w:val="24"/>
          <w:szCs w:val="24"/>
          <w:lang w:val="en-US"/>
        </w:rPr>
        <w:t>, Chen JZ, Dormitzer PR, Grigorieff N, Harrison SC. Atomic model of an infectious rotavirus particle. </w:t>
      </w:r>
      <w:r w:rsidRPr="00A96D05">
        <w:rPr>
          <w:rFonts w:ascii="Book Antiqua" w:hAnsi="Book Antiqua" w:cs="Book Antiqua"/>
          <w:i/>
          <w:iCs/>
          <w:color w:val="000000"/>
          <w:sz w:val="24"/>
          <w:szCs w:val="24"/>
          <w:lang w:val="en-US"/>
        </w:rPr>
        <w:t>EMBO J</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30</w:t>
      </w:r>
      <w:r w:rsidRPr="00A96D05">
        <w:rPr>
          <w:rFonts w:ascii="Book Antiqua" w:hAnsi="Book Antiqua" w:cs="Book Antiqua"/>
          <w:color w:val="000000"/>
          <w:sz w:val="24"/>
          <w:szCs w:val="24"/>
          <w:lang w:val="en-US"/>
        </w:rPr>
        <w:t>: 408-416 [PMID: 21157433 DOI: 10.1038/emboj.2010.322]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5 </w:t>
      </w:r>
      <w:r w:rsidRPr="00A96D05">
        <w:rPr>
          <w:rFonts w:ascii="Book Antiqua" w:hAnsi="Book Antiqua" w:cs="Book Antiqua"/>
          <w:b/>
          <w:bCs/>
          <w:color w:val="000000"/>
          <w:sz w:val="24"/>
          <w:szCs w:val="24"/>
          <w:lang w:val="en-US"/>
        </w:rPr>
        <w:t>McClain B</w:t>
      </w:r>
      <w:r w:rsidRPr="00A96D05">
        <w:rPr>
          <w:rFonts w:ascii="Book Antiqua" w:hAnsi="Book Antiqua" w:cs="Book Antiqua"/>
          <w:color w:val="000000"/>
          <w:sz w:val="24"/>
          <w:szCs w:val="24"/>
          <w:lang w:val="en-US"/>
        </w:rPr>
        <w:t>, Settembre E, Temple BR, Bellamy AR, Harrison SC. X-ray crystal structure of the rotavirus inner capsid particle at 3.8 A resolution. </w:t>
      </w:r>
      <w:r w:rsidRPr="00A96D05">
        <w:rPr>
          <w:rFonts w:ascii="Book Antiqua" w:hAnsi="Book Antiqua" w:cs="Book Antiqua"/>
          <w:i/>
          <w:iCs/>
          <w:color w:val="000000"/>
          <w:sz w:val="24"/>
          <w:szCs w:val="24"/>
          <w:lang w:val="en-US"/>
        </w:rPr>
        <w:t>J Mol Biol</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397</w:t>
      </w:r>
      <w:r w:rsidRPr="00A96D05">
        <w:rPr>
          <w:rFonts w:ascii="Book Antiqua" w:hAnsi="Book Antiqua" w:cs="Book Antiqua"/>
          <w:color w:val="000000"/>
          <w:sz w:val="24"/>
          <w:szCs w:val="24"/>
          <w:lang w:val="en-US"/>
        </w:rPr>
        <w:t>: 587-599 [PMID: 20122940 DOI: 10.1016/j.jmb.2010.01.055]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6 </w:t>
      </w:r>
      <w:r w:rsidRPr="00A96D05">
        <w:rPr>
          <w:rFonts w:ascii="Book Antiqua" w:hAnsi="Book Antiqua" w:cs="Book Antiqua"/>
          <w:b/>
          <w:bCs/>
          <w:color w:val="000000"/>
          <w:sz w:val="24"/>
          <w:szCs w:val="24"/>
          <w:lang w:val="en-US"/>
        </w:rPr>
        <w:t>Haselhorst T</w:t>
      </w:r>
      <w:r w:rsidRPr="00A96D05">
        <w:rPr>
          <w:rFonts w:ascii="Book Antiqua" w:hAnsi="Book Antiqua" w:cs="Book Antiqua"/>
          <w:color w:val="000000"/>
          <w:sz w:val="24"/>
          <w:szCs w:val="24"/>
          <w:lang w:val="en-US"/>
        </w:rPr>
        <w:t>, Fleming FE, Dyason JC, Hartnell RD, Yu X, Holloway G, Santegoets K, Kiefel MJ, Blanchard H, Coulson BS, von Itzstein M. Sialic acid dependence in rotavirus host cell invasion. </w:t>
      </w:r>
      <w:r w:rsidRPr="00A96D05">
        <w:rPr>
          <w:rFonts w:ascii="Book Antiqua" w:hAnsi="Book Antiqua" w:cs="Book Antiqua"/>
          <w:i/>
          <w:iCs/>
          <w:color w:val="000000"/>
          <w:sz w:val="24"/>
          <w:szCs w:val="24"/>
          <w:lang w:val="en-US"/>
        </w:rPr>
        <w:t>Nat Chem Biol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5</w:t>
      </w:r>
      <w:r w:rsidRPr="00A96D05">
        <w:rPr>
          <w:rFonts w:ascii="Book Antiqua" w:hAnsi="Book Antiqua" w:cs="Book Antiqua"/>
          <w:color w:val="000000"/>
          <w:sz w:val="24"/>
          <w:szCs w:val="24"/>
          <w:lang w:val="en-US"/>
        </w:rPr>
        <w:t>: 91-93 [PMID: 19109595 DOI: 10.1038/nchembio.134]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7 </w:t>
      </w:r>
      <w:r w:rsidRPr="00A96D05">
        <w:rPr>
          <w:rFonts w:ascii="Book Antiqua" w:hAnsi="Book Antiqua" w:cs="Book Antiqua"/>
          <w:b/>
          <w:bCs/>
          <w:color w:val="000000"/>
          <w:sz w:val="24"/>
          <w:szCs w:val="24"/>
          <w:lang w:val="en-US"/>
        </w:rPr>
        <w:t>Guerrero CA</w:t>
      </w:r>
      <w:r w:rsidRPr="00A96D05">
        <w:rPr>
          <w:rFonts w:ascii="Book Antiqua" w:hAnsi="Book Antiqua" w:cs="Book Antiqua"/>
          <w:color w:val="000000"/>
          <w:sz w:val="24"/>
          <w:szCs w:val="24"/>
          <w:lang w:val="en-US"/>
        </w:rPr>
        <w:t>, Bouyssounade D, Zárate S, Isa P, López T, Espinosa R, Romero P, Méndez E, López S, Arias CF. Heat shock cognate protein 70 is involved in rotavirus cell entry.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2002; </w:t>
      </w:r>
      <w:r w:rsidRPr="00A96D05">
        <w:rPr>
          <w:rFonts w:ascii="Book Antiqua" w:hAnsi="Book Antiqua" w:cs="Book Antiqua"/>
          <w:b/>
          <w:bCs/>
          <w:color w:val="000000"/>
          <w:sz w:val="24"/>
          <w:szCs w:val="24"/>
          <w:lang w:val="en-US"/>
        </w:rPr>
        <w:t>76</w:t>
      </w:r>
      <w:r w:rsidRPr="00A96D05">
        <w:rPr>
          <w:rFonts w:ascii="Book Antiqua" w:hAnsi="Book Antiqua" w:cs="Book Antiqua"/>
          <w:color w:val="000000"/>
          <w:sz w:val="24"/>
          <w:szCs w:val="24"/>
          <w:lang w:val="en-US"/>
        </w:rPr>
        <w:t>: 4096-4102 [PMID: 11907249]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8 </w:t>
      </w:r>
      <w:r w:rsidRPr="00A96D05">
        <w:rPr>
          <w:rFonts w:ascii="Book Antiqua" w:hAnsi="Book Antiqua" w:cs="Book Antiqua"/>
          <w:b/>
          <w:bCs/>
          <w:color w:val="000000"/>
          <w:sz w:val="24"/>
          <w:szCs w:val="24"/>
          <w:lang w:val="en-US"/>
        </w:rPr>
        <w:t>Zárate S</w:t>
      </w:r>
      <w:r w:rsidRPr="00A96D05">
        <w:rPr>
          <w:rFonts w:ascii="Book Antiqua" w:hAnsi="Book Antiqua" w:cs="Book Antiqua"/>
          <w:color w:val="000000"/>
          <w:sz w:val="24"/>
          <w:szCs w:val="24"/>
          <w:lang w:val="en-US"/>
        </w:rPr>
        <w:t>, Cuadras MA, Espinosa R, Romero P, Juárez KO, Camacho-Nuez M, Arias CF, López S. Interaction of rotaviruses with Hsc70 during cell entry is mediated by VP5.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77</w:t>
      </w:r>
      <w:r w:rsidRPr="00A96D05">
        <w:rPr>
          <w:rFonts w:ascii="Book Antiqua" w:hAnsi="Book Antiqua" w:cs="Book Antiqua"/>
          <w:color w:val="000000"/>
          <w:sz w:val="24"/>
          <w:szCs w:val="24"/>
          <w:lang w:val="en-US"/>
        </w:rPr>
        <w:t>: 7254-7260 [PMID: 12805424]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9 </w:t>
      </w:r>
      <w:r w:rsidRPr="00A96D05">
        <w:rPr>
          <w:rFonts w:ascii="Book Antiqua" w:hAnsi="Book Antiqua" w:cs="Book Antiqua"/>
          <w:b/>
          <w:bCs/>
          <w:color w:val="000000"/>
          <w:sz w:val="24"/>
          <w:szCs w:val="24"/>
          <w:lang w:val="en-US"/>
        </w:rPr>
        <w:t>Zárate S</w:t>
      </w:r>
      <w:r w:rsidRPr="00A96D05">
        <w:rPr>
          <w:rFonts w:ascii="Book Antiqua" w:hAnsi="Book Antiqua" w:cs="Book Antiqua"/>
          <w:color w:val="000000"/>
          <w:sz w:val="24"/>
          <w:szCs w:val="24"/>
          <w:lang w:val="en-US"/>
        </w:rPr>
        <w:t>, Romero P, Espinosa R, Arias CF, López S. VP7 mediates the interaction of rotaviruses with integrin alphavbeta3 through a novel integrin-binding site.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78</w:t>
      </w:r>
      <w:r w:rsidRPr="00A96D05">
        <w:rPr>
          <w:rFonts w:ascii="Book Antiqua" w:hAnsi="Book Antiqua" w:cs="Book Antiqua"/>
          <w:color w:val="000000"/>
          <w:sz w:val="24"/>
          <w:szCs w:val="24"/>
          <w:lang w:val="en-US"/>
        </w:rPr>
        <w:t>: 10839-10847 [PMID: 15452204 DOI: 10.1128/JVI.78.20.10839-10847.2004]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10 </w:t>
      </w:r>
      <w:r w:rsidRPr="00A96D05">
        <w:rPr>
          <w:rFonts w:ascii="Book Antiqua" w:hAnsi="Book Antiqua" w:cs="Book Antiqua"/>
          <w:b/>
          <w:bCs/>
          <w:color w:val="000000"/>
          <w:sz w:val="24"/>
          <w:szCs w:val="24"/>
          <w:lang w:val="en-US"/>
        </w:rPr>
        <w:t>Graham KL</w:t>
      </w:r>
      <w:r w:rsidRPr="00A96D05">
        <w:rPr>
          <w:rFonts w:ascii="Book Antiqua" w:hAnsi="Book Antiqua" w:cs="Book Antiqua"/>
          <w:color w:val="000000"/>
          <w:sz w:val="24"/>
          <w:szCs w:val="24"/>
          <w:lang w:val="en-US"/>
        </w:rPr>
        <w:t>, Halasz P, Tan Y, Hewish MJ, Takada Y, Mackow ER, Robinson MK, Coulson BS. Integrin-using rotaviruses bind alpha2beta1 integrin alpha2 I domain via VP4 DGE sequence and recognize alphaXbeta2 and alphaVbeta3 by using VP7 during cell entry.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77</w:t>
      </w:r>
      <w:r w:rsidRPr="00A96D05">
        <w:rPr>
          <w:rFonts w:ascii="Book Antiqua" w:hAnsi="Book Antiqua" w:cs="Book Antiqua"/>
          <w:color w:val="000000"/>
          <w:sz w:val="24"/>
          <w:szCs w:val="24"/>
          <w:lang w:val="en-US"/>
        </w:rPr>
        <w:t>: 9969-9978 [PMID: 12941907 DOI: 10.1128/JVI.77.18.9969-9978.2003]</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lang w:val="en-US"/>
        </w:rPr>
        <w:t>11 </w:t>
      </w:r>
      <w:r w:rsidRPr="00A96D05">
        <w:rPr>
          <w:rFonts w:ascii="Book Antiqua" w:hAnsi="Book Antiqua" w:cs="Book Antiqua"/>
          <w:b/>
          <w:bCs/>
          <w:color w:val="000000"/>
          <w:sz w:val="24"/>
          <w:szCs w:val="24"/>
          <w:lang w:val="en-US"/>
        </w:rPr>
        <w:t>Graham KL</w:t>
      </w:r>
      <w:r w:rsidRPr="00A96D05">
        <w:rPr>
          <w:rFonts w:ascii="Book Antiqua" w:hAnsi="Book Antiqua" w:cs="Book Antiqua"/>
          <w:color w:val="000000"/>
          <w:sz w:val="24"/>
          <w:szCs w:val="24"/>
          <w:lang w:val="en-US"/>
        </w:rPr>
        <w:t>, Fleming FE, Halasz P, Hewish MJ, Nagesha HS, Holmes IH, Takada Y, Coulson BS. Rotaviruses interact with alpha4beta7 and alpha4beta1 integrins by binding the same integrin domains as natural ligands. </w:t>
      </w:r>
      <w:r w:rsidRPr="00A96D05">
        <w:rPr>
          <w:rFonts w:ascii="Book Antiqua" w:hAnsi="Book Antiqua" w:cs="Book Antiqua"/>
          <w:i/>
          <w:iCs/>
          <w:color w:val="000000"/>
          <w:sz w:val="24"/>
          <w:szCs w:val="24"/>
        </w:rPr>
        <w:t>J Gen Virol</w:t>
      </w:r>
      <w:r w:rsidRPr="00A96D05">
        <w:rPr>
          <w:rFonts w:ascii="Book Antiqua" w:hAnsi="Book Antiqua" w:cs="Book Antiqua"/>
          <w:color w:val="000000"/>
          <w:sz w:val="24"/>
          <w:szCs w:val="24"/>
        </w:rPr>
        <w:t> 2005; </w:t>
      </w:r>
      <w:r w:rsidRPr="00A96D05">
        <w:rPr>
          <w:rFonts w:ascii="Book Antiqua" w:hAnsi="Book Antiqua" w:cs="Book Antiqua"/>
          <w:b/>
          <w:bCs/>
          <w:color w:val="000000"/>
          <w:sz w:val="24"/>
          <w:szCs w:val="24"/>
        </w:rPr>
        <w:t>86</w:t>
      </w:r>
      <w:r w:rsidRPr="00A96D05">
        <w:rPr>
          <w:rFonts w:ascii="Book Antiqua" w:hAnsi="Book Antiqua" w:cs="Book Antiqua"/>
          <w:color w:val="000000"/>
          <w:sz w:val="24"/>
          <w:szCs w:val="24"/>
        </w:rPr>
        <w:t>: 3397-3408 [PMID: 16298987 DOI: 10.1099/vir.0.81102-0]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rPr>
        <w:t>12 </w:t>
      </w:r>
      <w:r w:rsidRPr="00A96D05">
        <w:rPr>
          <w:rFonts w:ascii="Book Antiqua" w:hAnsi="Book Antiqua" w:cs="Book Antiqua"/>
          <w:b/>
          <w:bCs/>
          <w:color w:val="000000"/>
          <w:sz w:val="24"/>
          <w:szCs w:val="24"/>
        </w:rPr>
        <w:t>Calderon MN</w:t>
      </w:r>
      <w:r w:rsidRPr="00A96D05">
        <w:rPr>
          <w:rFonts w:ascii="Book Antiqua" w:hAnsi="Book Antiqua" w:cs="Book Antiqua"/>
          <w:color w:val="000000"/>
          <w:sz w:val="24"/>
          <w:szCs w:val="24"/>
        </w:rPr>
        <w:t xml:space="preserve">, Guerrero CA, Acosta O, Lopez S, Arias CF. </w:t>
      </w:r>
      <w:r w:rsidRPr="00A96D05">
        <w:rPr>
          <w:rFonts w:ascii="Book Antiqua" w:hAnsi="Book Antiqua" w:cs="Book Antiqua"/>
          <w:color w:val="000000"/>
          <w:sz w:val="24"/>
          <w:szCs w:val="24"/>
          <w:lang w:val="en-US"/>
        </w:rPr>
        <w:t>Inhibiting rotavirus infection by membrane-impermeant thiol/disulfide exchange blockers and antibodies against protein disulfide isomerase. </w:t>
      </w:r>
      <w:r w:rsidRPr="00A96D05">
        <w:rPr>
          <w:rFonts w:ascii="Book Antiqua" w:hAnsi="Book Antiqua" w:cs="Book Antiqua"/>
          <w:i/>
          <w:iCs/>
          <w:color w:val="000000"/>
          <w:sz w:val="24"/>
          <w:szCs w:val="24"/>
          <w:lang w:val="en-US"/>
        </w:rPr>
        <w:t>Intervirology</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55</w:t>
      </w:r>
      <w:r w:rsidRPr="00A96D05">
        <w:rPr>
          <w:rFonts w:ascii="Book Antiqua" w:hAnsi="Book Antiqua" w:cs="Book Antiqua"/>
          <w:color w:val="000000"/>
          <w:sz w:val="24"/>
          <w:szCs w:val="24"/>
          <w:lang w:val="en-US"/>
        </w:rPr>
        <w:t>: 451-464 [PMID: 22398681 DOI: 10.1159/000335262]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13 </w:t>
      </w:r>
      <w:r w:rsidRPr="00A96D05">
        <w:rPr>
          <w:rFonts w:ascii="Book Antiqua" w:hAnsi="Book Antiqua" w:cs="Book Antiqua"/>
          <w:b/>
          <w:bCs/>
          <w:color w:val="000000"/>
          <w:sz w:val="24"/>
          <w:szCs w:val="24"/>
          <w:lang w:val="en-US"/>
        </w:rPr>
        <w:t>Lawton JA</w:t>
      </w:r>
      <w:r w:rsidRPr="00A96D05">
        <w:rPr>
          <w:rFonts w:ascii="Book Antiqua" w:hAnsi="Book Antiqua" w:cs="Book Antiqua"/>
          <w:color w:val="000000"/>
          <w:sz w:val="24"/>
          <w:szCs w:val="24"/>
          <w:lang w:val="en-US"/>
        </w:rPr>
        <w:t>, Estes MK, Prasad BV. Three-dimensional visualization of mRNA release from actively transcribing rotavirus particles. </w:t>
      </w:r>
      <w:r w:rsidRPr="00A96D05">
        <w:rPr>
          <w:rFonts w:ascii="Book Antiqua" w:hAnsi="Book Antiqua" w:cs="Book Antiqua"/>
          <w:i/>
          <w:iCs/>
          <w:color w:val="000000"/>
          <w:sz w:val="24"/>
          <w:szCs w:val="24"/>
          <w:lang w:val="en-US"/>
        </w:rPr>
        <w:t>Nat Struct Biol</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4</w:t>
      </w:r>
      <w:r w:rsidRPr="00A96D05">
        <w:rPr>
          <w:rFonts w:ascii="Book Antiqua" w:hAnsi="Book Antiqua" w:cs="Book Antiqua"/>
          <w:color w:val="000000"/>
          <w:sz w:val="24"/>
          <w:szCs w:val="24"/>
          <w:lang w:val="en-US"/>
        </w:rPr>
        <w:t>: 118-121 [PMID: 9033591]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14 </w:t>
      </w:r>
      <w:r w:rsidRPr="00A96D05">
        <w:rPr>
          <w:rFonts w:ascii="Book Antiqua" w:hAnsi="Book Antiqua" w:cs="Book Antiqua"/>
          <w:b/>
          <w:bCs/>
          <w:color w:val="000000"/>
          <w:sz w:val="24"/>
          <w:szCs w:val="24"/>
          <w:lang w:val="en-US"/>
        </w:rPr>
        <w:t>Petrie BL</w:t>
      </w:r>
      <w:r w:rsidRPr="00A96D05">
        <w:rPr>
          <w:rFonts w:ascii="Book Antiqua" w:hAnsi="Book Antiqua" w:cs="Book Antiqua"/>
          <w:color w:val="000000"/>
          <w:sz w:val="24"/>
          <w:szCs w:val="24"/>
          <w:lang w:val="en-US"/>
        </w:rPr>
        <w:t>, Greenberg HB, Graham DY, Estes MK. Ultrastructural localization of rotavirus antigens using colloidal gold. </w:t>
      </w:r>
      <w:r w:rsidRPr="00A96D05">
        <w:rPr>
          <w:rFonts w:ascii="Book Antiqua" w:hAnsi="Book Antiqua" w:cs="Book Antiqua"/>
          <w:i/>
          <w:iCs/>
          <w:color w:val="000000"/>
          <w:sz w:val="24"/>
          <w:szCs w:val="24"/>
          <w:lang w:val="en-US"/>
        </w:rPr>
        <w:t>Virus Res</w:t>
      </w:r>
      <w:r w:rsidRPr="00A96D05">
        <w:rPr>
          <w:rFonts w:ascii="Book Antiqua" w:hAnsi="Book Antiqua" w:cs="Book Antiqua"/>
          <w:color w:val="000000"/>
          <w:sz w:val="24"/>
          <w:szCs w:val="24"/>
          <w:lang w:val="en-US"/>
        </w:rPr>
        <w:t> 1984; </w:t>
      </w:r>
      <w:r w:rsidRPr="00A96D05">
        <w:rPr>
          <w:rFonts w:ascii="Book Antiqua" w:hAnsi="Book Antiqua" w:cs="Book Antiqua"/>
          <w:b/>
          <w:bCs/>
          <w:color w:val="000000"/>
          <w:sz w:val="24"/>
          <w:szCs w:val="24"/>
          <w:lang w:val="en-US"/>
        </w:rPr>
        <w:t>1</w:t>
      </w:r>
      <w:r w:rsidRPr="00A96D05">
        <w:rPr>
          <w:rFonts w:ascii="Book Antiqua" w:hAnsi="Book Antiqua" w:cs="Book Antiqua"/>
          <w:color w:val="000000"/>
          <w:sz w:val="24"/>
          <w:szCs w:val="24"/>
          <w:lang w:val="en-US"/>
        </w:rPr>
        <w:t>: 133-152 [PMID: 6099654]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15 </w:t>
      </w:r>
      <w:r w:rsidRPr="00A96D05">
        <w:rPr>
          <w:rFonts w:ascii="Book Antiqua" w:hAnsi="Book Antiqua" w:cs="Book Antiqua"/>
          <w:b/>
          <w:bCs/>
          <w:color w:val="000000"/>
          <w:sz w:val="24"/>
          <w:szCs w:val="24"/>
          <w:lang w:val="en-US"/>
        </w:rPr>
        <w:t>Campagna M</w:t>
      </w:r>
      <w:r w:rsidRPr="00A96D05">
        <w:rPr>
          <w:rFonts w:ascii="Book Antiqua" w:hAnsi="Book Antiqua" w:cs="Book Antiqua"/>
          <w:color w:val="000000"/>
          <w:sz w:val="24"/>
          <w:szCs w:val="24"/>
          <w:lang w:val="en-US"/>
        </w:rPr>
        <w:t>, Eichwald C, Vascotto F, Burrone OR. RNA interference of rotavirus segment 11 mRNA reveals the essential role of NSP5 in the virus replicative cycle. </w:t>
      </w:r>
      <w:r w:rsidRPr="00A96D05">
        <w:rPr>
          <w:rFonts w:ascii="Book Antiqua" w:hAnsi="Book Antiqua" w:cs="Book Antiqua"/>
          <w:i/>
          <w:iCs/>
          <w:color w:val="000000"/>
          <w:sz w:val="24"/>
          <w:szCs w:val="24"/>
          <w:lang w:val="en-US"/>
        </w:rPr>
        <w:t>J Gen Virol</w:t>
      </w:r>
      <w:r w:rsidRPr="00A96D05">
        <w:rPr>
          <w:rFonts w:ascii="Book Antiqua" w:hAnsi="Book Antiqua" w:cs="Book Antiqua"/>
          <w:color w:val="000000"/>
          <w:sz w:val="24"/>
          <w:szCs w:val="24"/>
          <w:lang w:val="en-US"/>
        </w:rPr>
        <w:t> 2005; </w:t>
      </w:r>
      <w:r w:rsidRPr="00A96D05">
        <w:rPr>
          <w:rFonts w:ascii="Book Antiqua" w:hAnsi="Book Antiqua" w:cs="Book Antiqua"/>
          <w:b/>
          <w:bCs/>
          <w:color w:val="000000"/>
          <w:sz w:val="24"/>
          <w:szCs w:val="24"/>
          <w:lang w:val="en-US"/>
        </w:rPr>
        <w:t>86</w:t>
      </w:r>
      <w:r w:rsidRPr="00A96D05">
        <w:rPr>
          <w:rFonts w:ascii="Book Antiqua" w:hAnsi="Book Antiqua" w:cs="Book Antiqua"/>
          <w:color w:val="000000"/>
          <w:sz w:val="24"/>
          <w:szCs w:val="24"/>
          <w:lang w:val="en-US"/>
        </w:rPr>
        <w:t>: 1481-1487 [PMID: 15831961 DOI: 10.1099/vir.0.80598-0]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16 </w:t>
      </w:r>
      <w:r w:rsidRPr="00A96D05">
        <w:rPr>
          <w:rFonts w:ascii="Book Antiqua" w:hAnsi="Book Antiqua" w:cs="Book Antiqua"/>
          <w:b/>
          <w:bCs/>
          <w:color w:val="000000"/>
          <w:sz w:val="24"/>
          <w:szCs w:val="24"/>
          <w:lang w:val="en-US"/>
        </w:rPr>
        <w:t>López T</w:t>
      </w:r>
      <w:r w:rsidRPr="00A96D05">
        <w:rPr>
          <w:rFonts w:ascii="Book Antiqua" w:hAnsi="Book Antiqua" w:cs="Book Antiqua"/>
          <w:color w:val="000000"/>
          <w:sz w:val="24"/>
          <w:szCs w:val="24"/>
          <w:lang w:val="en-US"/>
        </w:rPr>
        <w:t>, Camacho M, Zayas M, Nájera R, Sánchez R, Arias CF, López S. Silencing the morphogenesis of rotavirus.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2005; </w:t>
      </w:r>
      <w:r w:rsidRPr="00A96D05">
        <w:rPr>
          <w:rFonts w:ascii="Book Antiqua" w:hAnsi="Book Antiqua" w:cs="Book Antiqua"/>
          <w:b/>
          <w:bCs/>
          <w:color w:val="000000"/>
          <w:sz w:val="24"/>
          <w:szCs w:val="24"/>
          <w:lang w:val="en-US"/>
        </w:rPr>
        <w:t>79</w:t>
      </w:r>
      <w:r w:rsidRPr="00A96D05">
        <w:rPr>
          <w:rFonts w:ascii="Book Antiqua" w:hAnsi="Book Antiqua" w:cs="Book Antiqua"/>
          <w:color w:val="000000"/>
          <w:sz w:val="24"/>
          <w:szCs w:val="24"/>
          <w:lang w:val="en-US"/>
        </w:rPr>
        <w:t>: 184-192 [PMID: 15596814 DOI: 10.1128/jvi.79.1.184-192.2005]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 xml:space="preserve">17 </w:t>
      </w:r>
      <w:r w:rsidRPr="00A96D05">
        <w:rPr>
          <w:rFonts w:ascii="Book Antiqua" w:hAnsi="Book Antiqua" w:cs="Book Antiqua"/>
          <w:b/>
          <w:bCs/>
          <w:color w:val="000000"/>
          <w:sz w:val="24"/>
          <w:szCs w:val="24"/>
          <w:lang w:val="en-US"/>
        </w:rPr>
        <w:t>Estes M</w:t>
      </w:r>
      <w:r w:rsidRPr="00A96D05">
        <w:rPr>
          <w:rFonts w:ascii="Book Antiqua" w:hAnsi="Book Antiqua" w:cs="Book Antiqua"/>
          <w:color w:val="000000"/>
          <w:sz w:val="24"/>
          <w:szCs w:val="24"/>
          <w:lang w:val="en-US"/>
        </w:rPr>
        <w:t>, Kapikian A. Rotaviruses. In: Knipe D, Griffin D, Lamb R, Martin M, Roizman B, Straus S, editors. Fields of Virology. 5th ed. Philadelphia: Kluwer/Lippincott Williams and Wilkins, 2007: 1917-1975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18 </w:t>
      </w:r>
      <w:r w:rsidRPr="00A96D05">
        <w:rPr>
          <w:rFonts w:ascii="Book Antiqua" w:hAnsi="Book Antiqua" w:cs="Book Antiqua"/>
          <w:b/>
          <w:bCs/>
          <w:color w:val="000000"/>
          <w:sz w:val="24"/>
          <w:szCs w:val="24"/>
          <w:lang w:val="en-US"/>
        </w:rPr>
        <w:t>Cui H</w:t>
      </w:r>
      <w:r w:rsidRPr="00A96D05">
        <w:rPr>
          <w:rFonts w:ascii="Book Antiqua" w:hAnsi="Book Antiqua" w:cs="Book Antiqua"/>
          <w:color w:val="000000"/>
          <w:sz w:val="24"/>
          <w:szCs w:val="24"/>
          <w:lang w:val="en-US"/>
        </w:rPr>
        <w:t>, Kong Y, Zhang H. Oxidative stress, mitochondrial dysfunction, and aging. </w:t>
      </w:r>
      <w:r w:rsidRPr="00A96D05">
        <w:rPr>
          <w:rFonts w:ascii="Book Antiqua" w:hAnsi="Book Antiqua" w:cs="Book Antiqua"/>
          <w:i/>
          <w:iCs/>
          <w:color w:val="000000"/>
          <w:sz w:val="24"/>
          <w:szCs w:val="24"/>
          <w:lang w:val="en-US"/>
        </w:rPr>
        <w:t>J Signal Transduct</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2012</w:t>
      </w:r>
      <w:r w:rsidRPr="00A96D05">
        <w:rPr>
          <w:rFonts w:ascii="Book Antiqua" w:hAnsi="Book Antiqua" w:cs="Book Antiqua"/>
          <w:color w:val="000000"/>
          <w:sz w:val="24"/>
          <w:szCs w:val="24"/>
          <w:lang w:val="en-US"/>
        </w:rPr>
        <w:t>: 646354 [PMID: 21977319 DOI: 10.1155/2012/646354]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19 </w:t>
      </w:r>
      <w:r w:rsidRPr="00A96D05">
        <w:rPr>
          <w:rFonts w:ascii="Book Antiqua" w:hAnsi="Book Antiqua" w:cs="Book Antiqua"/>
          <w:b/>
          <w:bCs/>
          <w:color w:val="000000"/>
          <w:sz w:val="24"/>
          <w:szCs w:val="24"/>
          <w:lang w:val="en-US"/>
        </w:rPr>
        <w:t>Kregel KC</w:t>
      </w:r>
      <w:r w:rsidRPr="00A96D05">
        <w:rPr>
          <w:rFonts w:ascii="Book Antiqua" w:hAnsi="Book Antiqua" w:cs="Book Antiqua"/>
          <w:color w:val="000000"/>
          <w:sz w:val="24"/>
          <w:szCs w:val="24"/>
          <w:lang w:val="en-US"/>
        </w:rPr>
        <w:t>, Zhang HJ. An integrated view of oxidative stress in aging: basic mechanisms, functional effects, and pathological considerations. </w:t>
      </w:r>
      <w:r w:rsidRPr="00A96D05">
        <w:rPr>
          <w:rFonts w:ascii="Book Antiqua" w:hAnsi="Book Antiqua" w:cs="Book Antiqua"/>
          <w:i/>
          <w:iCs/>
          <w:color w:val="000000"/>
          <w:sz w:val="24"/>
          <w:szCs w:val="24"/>
          <w:lang w:val="en-US"/>
        </w:rPr>
        <w:t>Am J Physiol Regul Integr Comp Physiol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292</w:t>
      </w:r>
      <w:r w:rsidRPr="00A96D05">
        <w:rPr>
          <w:rFonts w:ascii="Book Antiqua" w:hAnsi="Book Antiqua" w:cs="Book Antiqua"/>
          <w:color w:val="000000"/>
          <w:sz w:val="24"/>
          <w:szCs w:val="24"/>
          <w:lang w:val="en-US"/>
        </w:rPr>
        <w:t>: R18-R36 [PMID: 16917020 DOI: 10.1152/ajpregu.00327.2006]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20 </w:t>
      </w:r>
      <w:r w:rsidRPr="00A96D05">
        <w:rPr>
          <w:rFonts w:ascii="Book Antiqua" w:hAnsi="Book Antiqua" w:cs="Book Antiqua"/>
          <w:b/>
          <w:bCs/>
          <w:color w:val="000000"/>
          <w:sz w:val="24"/>
          <w:szCs w:val="24"/>
          <w:lang w:val="en-US"/>
        </w:rPr>
        <w:t>Valko M</w:t>
      </w:r>
      <w:r w:rsidRPr="00A96D05">
        <w:rPr>
          <w:rFonts w:ascii="Book Antiqua" w:hAnsi="Book Antiqua" w:cs="Book Antiqua"/>
          <w:color w:val="000000"/>
          <w:sz w:val="24"/>
          <w:szCs w:val="24"/>
          <w:lang w:val="en-US"/>
        </w:rPr>
        <w:t>, Leibfritz D, Moncol J, Cronin MT, Mazur M, Telser J. Free radicals and antioxidants in normal physiological functions and human disease. </w:t>
      </w:r>
      <w:r w:rsidRPr="00A96D05">
        <w:rPr>
          <w:rFonts w:ascii="Book Antiqua" w:hAnsi="Book Antiqua" w:cs="Book Antiqua"/>
          <w:i/>
          <w:iCs/>
          <w:color w:val="000000"/>
          <w:sz w:val="24"/>
          <w:szCs w:val="24"/>
          <w:lang w:val="en-US"/>
        </w:rPr>
        <w:t>Int J Biochem Cell Biol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39</w:t>
      </w:r>
      <w:r w:rsidRPr="00A96D05">
        <w:rPr>
          <w:rFonts w:ascii="Book Antiqua" w:hAnsi="Book Antiqua" w:cs="Book Antiqua"/>
          <w:color w:val="000000"/>
          <w:sz w:val="24"/>
          <w:szCs w:val="24"/>
          <w:lang w:val="en-US"/>
        </w:rPr>
        <w:t>: 44-84 [PMID: 16978905 DOI: 10.1016/j.biocel.2006.07.001]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21 </w:t>
      </w:r>
      <w:r w:rsidRPr="00A96D05">
        <w:rPr>
          <w:rFonts w:ascii="Book Antiqua" w:hAnsi="Book Antiqua" w:cs="Book Antiqua"/>
          <w:b/>
          <w:bCs/>
          <w:color w:val="000000"/>
          <w:sz w:val="24"/>
          <w:szCs w:val="24"/>
          <w:lang w:val="en-US"/>
        </w:rPr>
        <w:t>Jorgenson TC</w:t>
      </w:r>
      <w:r w:rsidRPr="00A96D05">
        <w:rPr>
          <w:rFonts w:ascii="Book Antiqua" w:hAnsi="Book Antiqua" w:cs="Book Antiqua"/>
          <w:color w:val="000000"/>
          <w:sz w:val="24"/>
          <w:szCs w:val="24"/>
          <w:lang w:val="en-US"/>
        </w:rPr>
        <w:t>, Zhong W, Oberley TD. Redox imbalance and biochemical changes in cancer. </w:t>
      </w:r>
      <w:r w:rsidRPr="00A96D05">
        <w:rPr>
          <w:rFonts w:ascii="Book Antiqua" w:hAnsi="Book Antiqua" w:cs="Book Antiqua"/>
          <w:i/>
          <w:iCs/>
          <w:color w:val="000000"/>
          <w:sz w:val="24"/>
          <w:szCs w:val="24"/>
          <w:lang w:val="en-US"/>
        </w:rPr>
        <w:t>Cancer Res</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73</w:t>
      </w:r>
      <w:r w:rsidRPr="00A96D05">
        <w:rPr>
          <w:rFonts w:ascii="Book Antiqua" w:hAnsi="Book Antiqua" w:cs="Book Antiqua"/>
          <w:color w:val="000000"/>
          <w:sz w:val="24"/>
          <w:szCs w:val="24"/>
          <w:lang w:val="en-US"/>
        </w:rPr>
        <w:t>: 6118-6123 [PMID: 23878188 DOI: 10.1158/0008-5472.can-13-1117]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22 </w:t>
      </w:r>
      <w:r w:rsidRPr="00A96D05">
        <w:rPr>
          <w:rFonts w:ascii="Book Antiqua" w:hAnsi="Book Antiqua" w:cs="Book Antiqua"/>
          <w:b/>
          <w:bCs/>
          <w:color w:val="000000"/>
          <w:sz w:val="24"/>
          <w:szCs w:val="24"/>
          <w:lang w:val="en-US"/>
        </w:rPr>
        <w:t>Uttara B</w:t>
      </w:r>
      <w:r w:rsidRPr="00A96D05">
        <w:rPr>
          <w:rFonts w:ascii="Book Antiqua" w:hAnsi="Book Antiqua" w:cs="Book Antiqua"/>
          <w:color w:val="000000"/>
          <w:sz w:val="24"/>
          <w:szCs w:val="24"/>
          <w:lang w:val="en-US"/>
        </w:rPr>
        <w:t>, Singh AV, Zamboni P, Mahajan RT. Oxidative stress and neurodegenerative diseases: a review of upstream and downstream antioxidant therapeutic options. </w:t>
      </w:r>
      <w:r w:rsidRPr="00A96D05">
        <w:rPr>
          <w:rFonts w:ascii="Book Antiqua" w:hAnsi="Book Antiqua" w:cs="Book Antiqua"/>
          <w:i/>
          <w:iCs/>
          <w:color w:val="000000"/>
          <w:sz w:val="24"/>
          <w:szCs w:val="24"/>
          <w:lang w:val="en-US"/>
        </w:rPr>
        <w:t>Curr Neuropharmacol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7</w:t>
      </w:r>
      <w:r w:rsidRPr="00A96D05">
        <w:rPr>
          <w:rFonts w:ascii="Book Antiqua" w:hAnsi="Book Antiqua" w:cs="Book Antiqua"/>
          <w:color w:val="000000"/>
          <w:sz w:val="24"/>
          <w:szCs w:val="24"/>
          <w:lang w:val="en-US"/>
        </w:rPr>
        <w:t>: 65-74 [PMID: 19721819 DOI: 10.2174/157015909787602823]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23 </w:t>
      </w:r>
      <w:r w:rsidRPr="00A96D05">
        <w:rPr>
          <w:rFonts w:ascii="Book Antiqua" w:hAnsi="Book Antiqua" w:cs="Book Antiqua"/>
          <w:b/>
          <w:bCs/>
          <w:color w:val="000000"/>
          <w:sz w:val="24"/>
          <w:szCs w:val="24"/>
          <w:lang w:val="en-US"/>
        </w:rPr>
        <w:t>Oyinloye BE</w:t>
      </w:r>
      <w:r w:rsidRPr="00A96D05">
        <w:rPr>
          <w:rFonts w:ascii="Book Antiqua" w:hAnsi="Book Antiqua" w:cs="Book Antiqua"/>
          <w:color w:val="000000"/>
          <w:sz w:val="24"/>
          <w:szCs w:val="24"/>
          <w:lang w:val="en-US"/>
        </w:rPr>
        <w:t>, Adenowo AF, Kappo AP. Reactive oxygen species, apoptosis, antimicrobial peptides and human inflammatory diseases. </w:t>
      </w:r>
      <w:r w:rsidRPr="00A96D05">
        <w:rPr>
          <w:rFonts w:ascii="Book Antiqua" w:hAnsi="Book Antiqua" w:cs="Book Antiqua"/>
          <w:i/>
          <w:iCs/>
          <w:color w:val="000000"/>
          <w:sz w:val="24"/>
          <w:szCs w:val="24"/>
          <w:lang w:val="en-US"/>
        </w:rPr>
        <w:t xml:space="preserve">Pharmaceuticals </w:t>
      </w:r>
      <w:r w:rsidRPr="00A96D05">
        <w:rPr>
          <w:rFonts w:ascii="Book Antiqua" w:hAnsi="Book Antiqua" w:cs="Book Antiqua"/>
          <w:color w:val="000000"/>
          <w:sz w:val="24"/>
          <w:szCs w:val="24"/>
          <w:lang w:val="en-US"/>
        </w:rPr>
        <w:t>(Basel) 2015; </w:t>
      </w:r>
      <w:r w:rsidRPr="00A96D05">
        <w:rPr>
          <w:rFonts w:ascii="Book Antiqua" w:hAnsi="Book Antiqua" w:cs="Book Antiqua"/>
          <w:b/>
          <w:bCs/>
          <w:color w:val="000000"/>
          <w:sz w:val="24"/>
          <w:szCs w:val="24"/>
          <w:lang w:val="en-US"/>
        </w:rPr>
        <w:t>8</w:t>
      </w:r>
      <w:r w:rsidRPr="00A96D05">
        <w:rPr>
          <w:rFonts w:ascii="Book Antiqua" w:hAnsi="Book Antiqua" w:cs="Book Antiqua"/>
          <w:color w:val="000000"/>
          <w:sz w:val="24"/>
          <w:szCs w:val="24"/>
          <w:lang w:val="en-US"/>
        </w:rPr>
        <w:t>: 151-175 [PMID: 25850012 DOI: 10.3390/ph8020151]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24 </w:t>
      </w:r>
      <w:r w:rsidRPr="00A96D05">
        <w:rPr>
          <w:rFonts w:ascii="Book Antiqua" w:hAnsi="Book Antiqua" w:cs="Book Antiqua"/>
          <w:b/>
          <w:bCs/>
          <w:color w:val="000000"/>
          <w:sz w:val="24"/>
          <w:szCs w:val="24"/>
          <w:lang w:val="en-US"/>
        </w:rPr>
        <w:t>Jones DP</w:t>
      </w:r>
      <w:r w:rsidRPr="00A96D05">
        <w:rPr>
          <w:rFonts w:ascii="Book Antiqua" w:hAnsi="Book Antiqua" w:cs="Book Antiqua"/>
          <w:color w:val="000000"/>
          <w:sz w:val="24"/>
          <w:szCs w:val="24"/>
          <w:lang w:val="en-US"/>
        </w:rPr>
        <w:t>. Redefining oxidative stress. </w:t>
      </w:r>
      <w:r w:rsidRPr="00A96D05">
        <w:rPr>
          <w:rFonts w:ascii="Book Antiqua" w:hAnsi="Book Antiqua" w:cs="Book Antiqua"/>
          <w:i/>
          <w:iCs/>
          <w:color w:val="000000"/>
          <w:sz w:val="24"/>
          <w:szCs w:val="24"/>
          <w:lang w:val="en-US"/>
        </w:rPr>
        <w:t>Antioxid Redox Signal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8</w:t>
      </w:r>
      <w:r w:rsidRPr="00A96D05">
        <w:rPr>
          <w:rFonts w:ascii="Book Antiqua" w:hAnsi="Book Antiqua" w:cs="Book Antiqua"/>
          <w:color w:val="000000"/>
          <w:sz w:val="24"/>
          <w:szCs w:val="24"/>
          <w:lang w:val="en-US"/>
        </w:rPr>
        <w:t>: 1865-1879 [PMID: 16987039 DOI: 10.1089/ars.2006.8.1865]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 xml:space="preserve">25 </w:t>
      </w:r>
      <w:r w:rsidRPr="00A96D05">
        <w:rPr>
          <w:rFonts w:ascii="Book Antiqua" w:hAnsi="Book Antiqua" w:cs="Book Antiqua"/>
          <w:b/>
          <w:bCs/>
          <w:color w:val="000000"/>
          <w:sz w:val="24"/>
          <w:szCs w:val="24"/>
          <w:lang w:val="en-US"/>
        </w:rPr>
        <w:t>Sies H</w:t>
      </w:r>
      <w:r w:rsidRPr="00A96D05">
        <w:rPr>
          <w:rFonts w:ascii="Book Antiqua" w:hAnsi="Book Antiqua" w:cs="Book Antiqua"/>
          <w:color w:val="000000"/>
          <w:sz w:val="24"/>
          <w:szCs w:val="24"/>
          <w:lang w:val="en-US"/>
        </w:rPr>
        <w:t>. Oxidative stress: Introductory remarks. In: Sies H, editor. Oxidative Stress. London: Academic Press, 1985: 1-8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26 </w:t>
      </w:r>
      <w:r w:rsidRPr="00A96D05">
        <w:rPr>
          <w:rFonts w:ascii="Book Antiqua" w:hAnsi="Book Antiqua" w:cs="Book Antiqua"/>
          <w:b/>
          <w:bCs/>
          <w:color w:val="000000"/>
          <w:sz w:val="24"/>
          <w:szCs w:val="24"/>
          <w:lang w:val="en-US"/>
        </w:rPr>
        <w:t>van der Flier LG</w:t>
      </w:r>
      <w:r w:rsidRPr="00A96D05">
        <w:rPr>
          <w:rFonts w:ascii="Book Antiqua" w:hAnsi="Book Antiqua" w:cs="Book Antiqua"/>
          <w:color w:val="000000"/>
          <w:sz w:val="24"/>
          <w:szCs w:val="24"/>
          <w:lang w:val="en-US"/>
        </w:rPr>
        <w:t>, Clevers H. Stem cells, self-renewal, and differentiation in the intestinal epithelium. </w:t>
      </w:r>
      <w:r w:rsidRPr="00A96D05">
        <w:rPr>
          <w:rFonts w:ascii="Book Antiqua" w:hAnsi="Book Antiqua" w:cs="Book Antiqua"/>
          <w:i/>
          <w:iCs/>
          <w:color w:val="000000"/>
          <w:sz w:val="24"/>
          <w:szCs w:val="24"/>
          <w:lang w:val="en-US"/>
        </w:rPr>
        <w:t>Annu Rev Physiol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71</w:t>
      </w:r>
      <w:r w:rsidRPr="00A96D05">
        <w:rPr>
          <w:rFonts w:ascii="Book Antiqua" w:hAnsi="Book Antiqua" w:cs="Book Antiqua"/>
          <w:color w:val="000000"/>
          <w:sz w:val="24"/>
          <w:szCs w:val="24"/>
          <w:lang w:val="en-US"/>
        </w:rPr>
        <w:t>: 241-260 [PMID: 18808327 DOI: 10.1146/annurev.physiol.010908.163145]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27 </w:t>
      </w:r>
      <w:r w:rsidRPr="00A96D05">
        <w:rPr>
          <w:rFonts w:ascii="Book Antiqua" w:hAnsi="Book Antiqua" w:cs="Book Antiqua"/>
          <w:b/>
          <w:bCs/>
          <w:color w:val="000000"/>
          <w:sz w:val="24"/>
          <w:szCs w:val="24"/>
          <w:lang w:val="en-US"/>
        </w:rPr>
        <w:t>Circu ML</w:t>
      </w:r>
      <w:r w:rsidRPr="00A96D05">
        <w:rPr>
          <w:rFonts w:ascii="Book Antiqua" w:hAnsi="Book Antiqua" w:cs="Book Antiqua"/>
          <w:color w:val="000000"/>
          <w:sz w:val="24"/>
          <w:szCs w:val="24"/>
          <w:lang w:val="en-US"/>
        </w:rPr>
        <w:t>, Aw TY. Intestinal redox biology and oxidative stress. </w:t>
      </w:r>
      <w:r w:rsidRPr="00A96D05">
        <w:rPr>
          <w:rFonts w:ascii="Book Antiqua" w:hAnsi="Book Antiqua" w:cs="Book Antiqua"/>
          <w:i/>
          <w:iCs/>
          <w:color w:val="000000"/>
          <w:sz w:val="24"/>
          <w:szCs w:val="24"/>
          <w:lang w:val="en-US"/>
        </w:rPr>
        <w:t>Semin Cell Dev Biol</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23</w:t>
      </w:r>
      <w:r w:rsidRPr="00A96D05">
        <w:rPr>
          <w:rFonts w:ascii="Book Antiqua" w:hAnsi="Book Antiqua" w:cs="Book Antiqua"/>
          <w:color w:val="000000"/>
          <w:sz w:val="24"/>
          <w:szCs w:val="24"/>
          <w:lang w:val="en-US"/>
        </w:rPr>
        <w:t>: 729-737 [PMID: 22484611 DOI: 10.1016/j.semcdb.2012.03.014]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28 </w:t>
      </w:r>
      <w:r w:rsidRPr="00A96D05">
        <w:rPr>
          <w:rFonts w:ascii="Book Antiqua" w:hAnsi="Book Antiqua" w:cs="Book Antiqua"/>
          <w:b/>
          <w:bCs/>
          <w:color w:val="000000"/>
          <w:sz w:val="24"/>
          <w:szCs w:val="24"/>
          <w:lang w:val="en-US"/>
        </w:rPr>
        <w:t>Ramig RF</w:t>
      </w:r>
      <w:r w:rsidRPr="00A96D05">
        <w:rPr>
          <w:rFonts w:ascii="Book Antiqua" w:hAnsi="Book Antiqua" w:cs="Book Antiqua"/>
          <w:color w:val="000000"/>
          <w:sz w:val="24"/>
          <w:szCs w:val="24"/>
          <w:lang w:val="en-US"/>
        </w:rPr>
        <w:t>. Pathogenesis of intestinal and systemic rotavirus infection.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78</w:t>
      </w:r>
      <w:r w:rsidRPr="00A96D05">
        <w:rPr>
          <w:rFonts w:ascii="Book Antiqua" w:hAnsi="Book Antiqua" w:cs="Book Antiqua"/>
          <w:color w:val="000000"/>
          <w:sz w:val="24"/>
          <w:szCs w:val="24"/>
          <w:lang w:val="en-US"/>
        </w:rPr>
        <w:t>: 10213-10220 [PMID: 15367586 DOI: 10.1128/jvi.78.19.10213-10220.2004]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29 </w:t>
      </w:r>
      <w:r w:rsidRPr="00A96D05">
        <w:rPr>
          <w:rFonts w:ascii="Book Antiqua" w:hAnsi="Book Antiqua" w:cs="Book Antiqua"/>
          <w:b/>
          <w:bCs/>
          <w:color w:val="000000"/>
          <w:sz w:val="24"/>
          <w:szCs w:val="24"/>
          <w:lang w:val="en-US"/>
        </w:rPr>
        <w:t>Jones DP</w:t>
      </w:r>
      <w:r w:rsidRPr="00A96D05">
        <w:rPr>
          <w:rFonts w:ascii="Book Antiqua" w:hAnsi="Book Antiqua" w:cs="Book Antiqua"/>
          <w:color w:val="000000"/>
          <w:sz w:val="24"/>
          <w:szCs w:val="24"/>
          <w:lang w:val="en-US"/>
        </w:rPr>
        <w:t>, Go YM. Redox compartmentalization and cellular stress. </w:t>
      </w:r>
      <w:r w:rsidRPr="00A96D05">
        <w:rPr>
          <w:rFonts w:ascii="Book Antiqua" w:hAnsi="Book Antiqua" w:cs="Book Antiqua"/>
          <w:i/>
          <w:iCs/>
          <w:color w:val="000000"/>
          <w:sz w:val="24"/>
          <w:szCs w:val="24"/>
          <w:lang w:val="en-US"/>
        </w:rPr>
        <w:t>Diabetes Obes Metab</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 xml:space="preserve">12 </w:t>
      </w:r>
      <w:r w:rsidRPr="00A96D05">
        <w:rPr>
          <w:rFonts w:ascii="Book Antiqua" w:hAnsi="Book Antiqua" w:cs="Book Antiqua"/>
          <w:color w:val="000000"/>
          <w:sz w:val="24"/>
          <w:szCs w:val="24"/>
          <w:lang w:val="en-US"/>
        </w:rPr>
        <w:t>Suppl 2: 116-125 [PMID: 21029308 DOI: 10.1111/j.1463-1326.2010.01266.x]</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30 </w:t>
      </w:r>
      <w:r w:rsidRPr="00A96D05">
        <w:rPr>
          <w:rFonts w:ascii="Book Antiqua" w:hAnsi="Book Antiqua" w:cs="Book Antiqua"/>
          <w:b/>
          <w:bCs/>
          <w:color w:val="000000"/>
          <w:sz w:val="24"/>
          <w:szCs w:val="24"/>
          <w:lang w:val="en-US"/>
        </w:rPr>
        <w:t>Aw TY</w:t>
      </w:r>
      <w:r w:rsidRPr="00A96D05">
        <w:rPr>
          <w:rFonts w:ascii="Book Antiqua" w:hAnsi="Book Antiqua" w:cs="Book Antiqua"/>
          <w:color w:val="000000"/>
          <w:sz w:val="24"/>
          <w:szCs w:val="24"/>
          <w:lang w:val="en-US"/>
        </w:rPr>
        <w:t>, Williams MW. Intestinal absorption and lymphatic transport of peroxidized lipids in rats: effect of exogenous GSH. </w:t>
      </w:r>
      <w:r w:rsidRPr="00A96D05">
        <w:rPr>
          <w:rFonts w:ascii="Book Antiqua" w:hAnsi="Book Antiqua" w:cs="Book Antiqua"/>
          <w:i/>
          <w:iCs/>
          <w:color w:val="000000"/>
          <w:sz w:val="24"/>
          <w:szCs w:val="24"/>
          <w:lang w:val="en-US"/>
        </w:rPr>
        <w:t>Am J Physiol</w:t>
      </w:r>
      <w:r w:rsidRPr="00A96D05">
        <w:rPr>
          <w:rFonts w:ascii="Book Antiqua" w:hAnsi="Book Antiqua" w:cs="Book Antiqua"/>
          <w:color w:val="000000"/>
          <w:sz w:val="24"/>
          <w:szCs w:val="24"/>
          <w:lang w:val="en-US"/>
        </w:rPr>
        <w:t> 1992; </w:t>
      </w:r>
      <w:r w:rsidRPr="00A96D05">
        <w:rPr>
          <w:rFonts w:ascii="Book Antiqua" w:hAnsi="Book Antiqua" w:cs="Book Antiqua"/>
          <w:b/>
          <w:bCs/>
          <w:color w:val="000000"/>
          <w:sz w:val="24"/>
          <w:szCs w:val="24"/>
          <w:lang w:val="en-US"/>
        </w:rPr>
        <w:t>263</w:t>
      </w:r>
      <w:r w:rsidRPr="00A96D05">
        <w:rPr>
          <w:rFonts w:ascii="Book Antiqua" w:hAnsi="Book Antiqua" w:cs="Book Antiqua"/>
          <w:color w:val="000000"/>
          <w:sz w:val="24"/>
          <w:szCs w:val="24"/>
          <w:lang w:val="en-US"/>
        </w:rPr>
        <w:t>: G665-G672 [PMID: 1443140]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31 </w:t>
      </w:r>
      <w:r w:rsidRPr="00A96D05">
        <w:rPr>
          <w:rFonts w:ascii="Book Antiqua" w:hAnsi="Book Antiqua" w:cs="Book Antiqua"/>
          <w:b/>
          <w:bCs/>
          <w:color w:val="000000"/>
          <w:sz w:val="24"/>
          <w:szCs w:val="24"/>
          <w:lang w:val="en-US"/>
        </w:rPr>
        <w:t>Shan XQ</w:t>
      </w:r>
      <w:r w:rsidRPr="00A96D05">
        <w:rPr>
          <w:rFonts w:ascii="Book Antiqua" w:hAnsi="Book Antiqua" w:cs="Book Antiqua"/>
          <w:color w:val="000000"/>
          <w:sz w:val="24"/>
          <w:szCs w:val="24"/>
          <w:lang w:val="en-US"/>
        </w:rPr>
        <w:t>, Aw TY, Jones DP. Glutathione-dependent protection against oxidative injury. </w:t>
      </w:r>
      <w:r w:rsidRPr="00A96D05">
        <w:rPr>
          <w:rFonts w:ascii="Book Antiqua" w:hAnsi="Book Antiqua" w:cs="Book Antiqua"/>
          <w:i/>
          <w:iCs/>
          <w:color w:val="000000"/>
          <w:sz w:val="24"/>
          <w:szCs w:val="24"/>
          <w:lang w:val="en-US"/>
        </w:rPr>
        <w:t>Pharmacol Ther</w:t>
      </w:r>
      <w:r w:rsidRPr="00A96D05">
        <w:rPr>
          <w:rFonts w:ascii="Book Antiqua" w:hAnsi="Book Antiqua" w:cs="Book Antiqua"/>
          <w:color w:val="000000"/>
          <w:sz w:val="24"/>
          <w:szCs w:val="24"/>
          <w:lang w:val="en-US"/>
        </w:rPr>
        <w:t> 1990; </w:t>
      </w:r>
      <w:r w:rsidRPr="00A96D05">
        <w:rPr>
          <w:rFonts w:ascii="Book Antiqua" w:hAnsi="Book Antiqua" w:cs="Book Antiqua"/>
          <w:b/>
          <w:bCs/>
          <w:color w:val="000000"/>
          <w:sz w:val="24"/>
          <w:szCs w:val="24"/>
          <w:lang w:val="en-US"/>
        </w:rPr>
        <w:t>47</w:t>
      </w:r>
      <w:r w:rsidRPr="00A96D05">
        <w:rPr>
          <w:rFonts w:ascii="Book Antiqua" w:hAnsi="Book Antiqua" w:cs="Book Antiqua"/>
          <w:color w:val="000000"/>
          <w:sz w:val="24"/>
          <w:szCs w:val="24"/>
          <w:lang w:val="en-US"/>
        </w:rPr>
        <w:t xml:space="preserve">: 61-71 [PMID: 2195557 DOI: </w:t>
      </w:r>
      <w:hyperlink r:id="rId6" w:tgtFrame="_blank" w:history="1">
        <w:r w:rsidRPr="00A96D05">
          <w:rPr>
            <w:rFonts w:ascii="Book Antiqua" w:hAnsi="Book Antiqua" w:cs="Book Antiqua"/>
            <w:color w:val="000000"/>
            <w:sz w:val="24"/>
            <w:szCs w:val="24"/>
            <w:lang w:val="en-US"/>
          </w:rPr>
          <w:t xml:space="preserve">  a</w:t>
        </w:r>
        <w:r w:rsidRPr="00A96D05">
          <w:rPr>
            <w:rStyle w:val="Hyperlink"/>
            <w:rFonts w:ascii="Book Antiqua" w:hAnsi="Book Antiqua" w:cs="Book Antiqua"/>
            <w:color w:val="000000"/>
            <w:sz w:val="24"/>
            <w:szCs w:val="24"/>
            <w:u w:val="none"/>
            <w:shd w:val="clear" w:color="auto" w:fill="FFFFFF"/>
            <w:lang w:val="en-US"/>
          </w:rPr>
          <w:t>10.1016/0163-7258(90)90045-4</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32 </w:t>
      </w:r>
      <w:r w:rsidRPr="00A96D05">
        <w:rPr>
          <w:rFonts w:ascii="Book Antiqua" w:hAnsi="Book Antiqua" w:cs="Book Antiqua"/>
          <w:b/>
          <w:bCs/>
          <w:color w:val="000000"/>
          <w:sz w:val="24"/>
          <w:szCs w:val="24"/>
          <w:lang w:val="en-US"/>
        </w:rPr>
        <w:t>Aw TY</w:t>
      </w:r>
      <w:r w:rsidRPr="00A96D05">
        <w:rPr>
          <w:rFonts w:ascii="Book Antiqua" w:hAnsi="Book Antiqua" w:cs="Book Antiqua"/>
          <w:color w:val="000000"/>
          <w:sz w:val="24"/>
          <w:szCs w:val="24"/>
          <w:lang w:val="en-US"/>
        </w:rPr>
        <w:t>, Wierzbicka G, Jones DP. Oral glutathione increases tissue glutathione in vivo. </w:t>
      </w:r>
      <w:r w:rsidRPr="00A96D05">
        <w:rPr>
          <w:rFonts w:ascii="Book Antiqua" w:hAnsi="Book Antiqua" w:cs="Book Antiqua"/>
          <w:i/>
          <w:iCs/>
          <w:color w:val="000000"/>
          <w:sz w:val="24"/>
          <w:szCs w:val="24"/>
          <w:lang w:val="en-US"/>
        </w:rPr>
        <w:t>Chem Biol Interact</w:t>
      </w:r>
      <w:r w:rsidRPr="00A96D05">
        <w:rPr>
          <w:rFonts w:ascii="Book Antiqua" w:hAnsi="Book Antiqua" w:cs="Book Antiqua"/>
          <w:color w:val="000000"/>
          <w:sz w:val="24"/>
          <w:szCs w:val="24"/>
          <w:lang w:val="en-US"/>
        </w:rPr>
        <w:t> 1991; </w:t>
      </w:r>
      <w:r w:rsidRPr="00A96D05">
        <w:rPr>
          <w:rFonts w:ascii="Book Antiqua" w:hAnsi="Book Antiqua" w:cs="Book Antiqua"/>
          <w:b/>
          <w:bCs/>
          <w:color w:val="000000"/>
          <w:sz w:val="24"/>
          <w:szCs w:val="24"/>
          <w:lang w:val="en-US"/>
        </w:rPr>
        <w:t>80</w:t>
      </w:r>
      <w:r w:rsidRPr="00A96D05">
        <w:rPr>
          <w:rFonts w:ascii="Book Antiqua" w:hAnsi="Book Antiqua" w:cs="Book Antiqua"/>
          <w:color w:val="000000"/>
          <w:sz w:val="24"/>
          <w:szCs w:val="24"/>
          <w:lang w:val="en-US"/>
        </w:rPr>
        <w:t xml:space="preserve">: 89-97 [PMID: 1913980 DOI: </w:t>
      </w:r>
      <w:hyperlink r:id="rId7" w:tgtFrame="_blank" w:history="1">
        <w:r w:rsidRPr="00A96D05">
          <w:rPr>
            <w:rStyle w:val="Hyperlink"/>
            <w:rFonts w:ascii="Book Antiqua" w:hAnsi="Book Antiqua" w:cs="Book Antiqua"/>
            <w:color w:val="000000"/>
            <w:sz w:val="24"/>
            <w:szCs w:val="24"/>
            <w:u w:val="none"/>
            <w:shd w:val="clear" w:color="auto" w:fill="FFFFFF"/>
            <w:lang w:val="en-US"/>
          </w:rPr>
          <w:t>10.1016/0009-2797(91)90033-4</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33 </w:t>
      </w:r>
      <w:r w:rsidRPr="00A96D05">
        <w:rPr>
          <w:rFonts w:ascii="Book Antiqua" w:hAnsi="Book Antiqua" w:cs="Book Antiqua"/>
          <w:b/>
          <w:bCs/>
          <w:color w:val="000000"/>
          <w:sz w:val="24"/>
          <w:szCs w:val="24"/>
          <w:lang w:val="en-US"/>
        </w:rPr>
        <w:t>Dahm LJ</w:t>
      </w:r>
      <w:r w:rsidRPr="00A96D05">
        <w:rPr>
          <w:rFonts w:ascii="Book Antiqua" w:hAnsi="Book Antiqua" w:cs="Book Antiqua"/>
          <w:color w:val="000000"/>
          <w:sz w:val="24"/>
          <w:szCs w:val="24"/>
          <w:lang w:val="en-US"/>
        </w:rPr>
        <w:t>, Jones DP. Rat jejunum controls luminal thiol-disulfide redox. </w:t>
      </w:r>
      <w:r w:rsidRPr="00A96D05">
        <w:rPr>
          <w:rFonts w:ascii="Book Antiqua" w:hAnsi="Book Antiqua" w:cs="Book Antiqua"/>
          <w:i/>
          <w:iCs/>
          <w:color w:val="000000"/>
          <w:sz w:val="24"/>
          <w:szCs w:val="24"/>
          <w:lang w:val="en-US"/>
        </w:rPr>
        <w:t>J Nutr</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130</w:t>
      </w:r>
      <w:r w:rsidRPr="00A96D05">
        <w:rPr>
          <w:rFonts w:ascii="Book Antiqua" w:hAnsi="Book Antiqua" w:cs="Book Antiqua"/>
          <w:color w:val="000000"/>
          <w:sz w:val="24"/>
          <w:szCs w:val="24"/>
          <w:lang w:val="en-US"/>
        </w:rPr>
        <w:t>: 2739-2745 [PMID: 11053515]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34 </w:t>
      </w:r>
      <w:r w:rsidRPr="00A96D05">
        <w:rPr>
          <w:rFonts w:ascii="Book Antiqua" w:hAnsi="Book Antiqua" w:cs="Book Antiqua"/>
          <w:b/>
          <w:bCs/>
          <w:color w:val="000000"/>
          <w:sz w:val="24"/>
          <w:szCs w:val="24"/>
          <w:lang w:val="en-US"/>
        </w:rPr>
        <w:t>Kawai T</w:t>
      </w:r>
      <w:r w:rsidRPr="00A96D05">
        <w:rPr>
          <w:rFonts w:ascii="Book Antiqua" w:hAnsi="Book Antiqua" w:cs="Book Antiqua"/>
          <w:color w:val="000000"/>
          <w:sz w:val="24"/>
          <w:szCs w:val="24"/>
          <w:lang w:val="en-US"/>
        </w:rPr>
        <w:t>, Akira S. Antiviral signaling through pattern recognition receptors. </w:t>
      </w:r>
      <w:r w:rsidRPr="00A96D05">
        <w:rPr>
          <w:rFonts w:ascii="Book Antiqua" w:hAnsi="Book Antiqua" w:cs="Book Antiqua"/>
          <w:i/>
          <w:iCs/>
          <w:color w:val="000000"/>
          <w:sz w:val="24"/>
          <w:szCs w:val="24"/>
          <w:lang w:val="en-US"/>
        </w:rPr>
        <w:t>J Biochem</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141</w:t>
      </w:r>
      <w:r w:rsidRPr="00A96D05">
        <w:rPr>
          <w:rFonts w:ascii="Book Antiqua" w:hAnsi="Book Antiqua" w:cs="Book Antiqua"/>
          <w:color w:val="000000"/>
          <w:sz w:val="24"/>
          <w:szCs w:val="24"/>
          <w:lang w:val="en-US"/>
        </w:rPr>
        <w:t>: 137-145 [PMID: 17190786 DOI: 10.1093/jb/mvm032]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35 </w:t>
      </w:r>
      <w:r w:rsidRPr="00A96D05">
        <w:rPr>
          <w:rFonts w:ascii="Book Antiqua" w:hAnsi="Book Antiqua" w:cs="Book Antiqua"/>
          <w:b/>
          <w:bCs/>
          <w:color w:val="000000"/>
          <w:sz w:val="24"/>
          <w:szCs w:val="24"/>
          <w:lang w:val="en-US"/>
        </w:rPr>
        <w:t>Kawai T</w:t>
      </w:r>
      <w:r w:rsidRPr="00A96D05">
        <w:rPr>
          <w:rFonts w:ascii="Book Antiqua" w:hAnsi="Book Antiqua" w:cs="Book Antiqua"/>
          <w:color w:val="000000"/>
          <w:sz w:val="24"/>
          <w:szCs w:val="24"/>
          <w:lang w:val="en-US"/>
        </w:rPr>
        <w:t>, Akira S. The role of pattern-recognition receptors in innate immunity: update on Toll-like receptors. </w:t>
      </w:r>
      <w:r w:rsidRPr="00A96D05">
        <w:rPr>
          <w:rFonts w:ascii="Book Antiqua" w:hAnsi="Book Antiqua" w:cs="Book Antiqua"/>
          <w:i/>
          <w:iCs/>
          <w:color w:val="000000"/>
          <w:sz w:val="24"/>
          <w:szCs w:val="24"/>
          <w:lang w:val="en-US"/>
        </w:rPr>
        <w:t>Nat Immunol</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11</w:t>
      </w:r>
      <w:r w:rsidRPr="00A96D05">
        <w:rPr>
          <w:rFonts w:ascii="Book Antiqua" w:hAnsi="Book Antiqua" w:cs="Book Antiqua"/>
          <w:color w:val="000000"/>
          <w:sz w:val="24"/>
          <w:szCs w:val="24"/>
          <w:lang w:val="en-US"/>
        </w:rPr>
        <w:t>: 373-384 [PMID: 20404851 DOI: 10.1038/ni.1863]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36 </w:t>
      </w:r>
      <w:r w:rsidRPr="00A96D05">
        <w:rPr>
          <w:rFonts w:ascii="Book Antiqua" w:hAnsi="Book Antiqua" w:cs="Book Antiqua"/>
          <w:b/>
          <w:bCs/>
          <w:color w:val="000000"/>
          <w:sz w:val="24"/>
          <w:szCs w:val="24"/>
          <w:lang w:val="en-US"/>
        </w:rPr>
        <w:t>Katze MG</w:t>
      </w:r>
      <w:r w:rsidRPr="00A96D05">
        <w:rPr>
          <w:rFonts w:ascii="Book Antiqua" w:hAnsi="Book Antiqua" w:cs="Book Antiqua"/>
          <w:color w:val="000000"/>
          <w:sz w:val="24"/>
          <w:szCs w:val="24"/>
          <w:lang w:val="en-US"/>
        </w:rPr>
        <w:t>, He Y, Gale M. Viruses and interferon: a fight for supremacy. </w:t>
      </w:r>
      <w:r w:rsidRPr="00A96D05">
        <w:rPr>
          <w:rFonts w:ascii="Book Antiqua" w:hAnsi="Book Antiqua" w:cs="Book Antiqua"/>
          <w:i/>
          <w:iCs/>
          <w:color w:val="000000"/>
          <w:sz w:val="24"/>
          <w:szCs w:val="24"/>
          <w:lang w:val="en-US"/>
        </w:rPr>
        <w:t>Nat Rev Immunol</w:t>
      </w:r>
      <w:r w:rsidRPr="00A96D05">
        <w:rPr>
          <w:rFonts w:ascii="Book Antiqua" w:hAnsi="Book Antiqua" w:cs="Book Antiqua"/>
          <w:color w:val="000000"/>
          <w:sz w:val="24"/>
          <w:szCs w:val="24"/>
          <w:lang w:val="en-US"/>
        </w:rPr>
        <w:t> 2002; </w:t>
      </w:r>
      <w:r w:rsidRPr="00A96D05">
        <w:rPr>
          <w:rFonts w:ascii="Book Antiqua" w:hAnsi="Book Antiqua" w:cs="Book Antiqua"/>
          <w:b/>
          <w:bCs/>
          <w:color w:val="000000"/>
          <w:sz w:val="24"/>
          <w:szCs w:val="24"/>
          <w:lang w:val="en-US"/>
        </w:rPr>
        <w:t>2</w:t>
      </w:r>
      <w:r w:rsidRPr="00A96D05">
        <w:rPr>
          <w:rFonts w:ascii="Book Antiqua" w:hAnsi="Book Antiqua" w:cs="Book Antiqua"/>
          <w:color w:val="000000"/>
          <w:sz w:val="24"/>
          <w:szCs w:val="24"/>
          <w:lang w:val="en-US"/>
        </w:rPr>
        <w:t>: 675-687 [PMID: 12209136 DOI: 10.1038/nri888]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37 </w:t>
      </w:r>
      <w:r w:rsidRPr="00A96D05">
        <w:rPr>
          <w:rFonts w:ascii="Book Antiqua" w:hAnsi="Book Antiqua" w:cs="Book Antiqua"/>
          <w:b/>
          <w:bCs/>
          <w:color w:val="000000"/>
          <w:sz w:val="24"/>
          <w:szCs w:val="24"/>
          <w:lang w:val="en-US"/>
        </w:rPr>
        <w:t>Thompson AJ</w:t>
      </w:r>
      <w:r w:rsidRPr="00A96D05">
        <w:rPr>
          <w:rFonts w:ascii="Book Antiqua" w:hAnsi="Book Antiqua" w:cs="Book Antiqua"/>
          <w:color w:val="000000"/>
          <w:sz w:val="24"/>
          <w:szCs w:val="24"/>
          <w:lang w:val="en-US"/>
        </w:rPr>
        <w:t>, Locarnini SA. Toll-like receptors, RIG-I-like RNA helicases and the antiviral innate immune response. </w:t>
      </w:r>
      <w:r w:rsidRPr="00A96D05">
        <w:rPr>
          <w:rFonts w:ascii="Book Antiqua" w:hAnsi="Book Antiqua" w:cs="Book Antiqua"/>
          <w:i/>
          <w:iCs/>
          <w:color w:val="000000"/>
          <w:sz w:val="24"/>
          <w:szCs w:val="24"/>
          <w:lang w:val="en-US"/>
        </w:rPr>
        <w:t>Immunol Cell Biol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85</w:t>
      </w:r>
      <w:r w:rsidRPr="00A96D05">
        <w:rPr>
          <w:rFonts w:ascii="Book Antiqua" w:hAnsi="Book Antiqua" w:cs="Book Antiqua"/>
          <w:color w:val="000000"/>
          <w:sz w:val="24"/>
          <w:szCs w:val="24"/>
          <w:lang w:val="en-US"/>
        </w:rPr>
        <w:t>: 435-445 [PMID: 17667934 DOI: 10.1038/sj.icb.7100100]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38 </w:t>
      </w:r>
      <w:r w:rsidRPr="00A96D05">
        <w:rPr>
          <w:rFonts w:ascii="Book Antiqua" w:hAnsi="Book Antiqua" w:cs="Book Antiqua"/>
          <w:b/>
          <w:bCs/>
          <w:color w:val="000000"/>
          <w:sz w:val="24"/>
          <w:szCs w:val="24"/>
          <w:lang w:val="en-US"/>
        </w:rPr>
        <w:t>Mason DR</w:t>
      </w:r>
      <w:r w:rsidRPr="00A96D05">
        <w:rPr>
          <w:rFonts w:ascii="Book Antiqua" w:hAnsi="Book Antiqua" w:cs="Book Antiqua"/>
          <w:color w:val="000000"/>
          <w:sz w:val="24"/>
          <w:szCs w:val="24"/>
          <w:lang w:val="en-US"/>
        </w:rPr>
        <w:t>, Beck PL, Muruve DA. Nucleotide-binding oligomerization domain-like receptors and inflammasomes in the pathogenesis of non-microbial inflammation and diseases. </w:t>
      </w:r>
      <w:r w:rsidRPr="00A96D05">
        <w:rPr>
          <w:rFonts w:ascii="Book Antiqua" w:hAnsi="Book Antiqua" w:cs="Book Antiqua"/>
          <w:i/>
          <w:iCs/>
          <w:color w:val="000000"/>
          <w:sz w:val="24"/>
          <w:szCs w:val="24"/>
          <w:lang w:val="en-US"/>
        </w:rPr>
        <w:t>J Innate Immun</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4</w:t>
      </w:r>
      <w:r w:rsidRPr="00A96D05">
        <w:rPr>
          <w:rFonts w:ascii="Book Antiqua" w:hAnsi="Book Antiqua" w:cs="Book Antiqua"/>
          <w:color w:val="000000"/>
          <w:sz w:val="24"/>
          <w:szCs w:val="24"/>
          <w:lang w:val="en-US"/>
        </w:rPr>
        <w:t>: 16-30 [PMID: 22067846 DOI: 10.1159/000334247]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39 </w:t>
      </w:r>
      <w:r w:rsidRPr="00A96D05">
        <w:rPr>
          <w:rFonts w:ascii="Book Antiqua" w:hAnsi="Book Antiqua" w:cs="Book Antiqua"/>
          <w:b/>
          <w:bCs/>
          <w:color w:val="000000"/>
          <w:sz w:val="24"/>
          <w:szCs w:val="24"/>
          <w:lang w:val="en-US"/>
        </w:rPr>
        <w:t>Gram AM</w:t>
      </w:r>
      <w:r w:rsidRPr="00A96D05">
        <w:rPr>
          <w:rFonts w:ascii="Book Antiqua" w:hAnsi="Book Antiqua" w:cs="Book Antiqua"/>
          <w:color w:val="000000"/>
          <w:sz w:val="24"/>
          <w:szCs w:val="24"/>
          <w:lang w:val="en-US"/>
        </w:rPr>
        <w:t>, Frenkel J, Ressing ME. Inflammasomes and viruses: cellular defence versus viral offence. </w:t>
      </w:r>
      <w:r w:rsidRPr="00A96D05">
        <w:rPr>
          <w:rFonts w:ascii="Book Antiqua" w:hAnsi="Book Antiqua" w:cs="Book Antiqua"/>
          <w:i/>
          <w:iCs/>
          <w:color w:val="000000"/>
          <w:sz w:val="24"/>
          <w:szCs w:val="24"/>
          <w:lang w:val="en-US"/>
        </w:rPr>
        <w:t>J Gen Virol</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93</w:t>
      </w:r>
      <w:r w:rsidRPr="00A96D05">
        <w:rPr>
          <w:rFonts w:ascii="Book Antiqua" w:hAnsi="Book Antiqua" w:cs="Book Antiqua"/>
          <w:color w:val="000000"/>
          <w:sz w:val="24"/>
          <w:szCs w:val="24"/>
          <w:lang w:val="en-US"/>
        </w:rPr>
        <w:t>: 2063-2075 [PMID: 22739062 DOI: 10.1099/vir.0.042978-0]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40 </w:t>
      </w:r>
      <w:r w:rsidRPr="00A96D05">
        <w:rPr>
          <w:rFonts w:ascii="Book Antiqua" w:hAnsi="Book Antiqua" w:cs="Book Antiqua"/>
          <w:b/>
          <w:bCs/>
          <w:color w:val="000000"/>
          <w:sz w:val="24"/>
          <w:szCs w:val="24"/>
          <w:lang w:val="en-US"/>
        </w:rPr>
        <w:t>O'Neill LA</w:t>
      </w:r>
      <w:r w:rsidRPr="00A96D05">
        <w:rPr>
          <w:rFonts w:ascii="Book Antiqua" w:hAnsi="Book Antiqua" w:cs="Book Antiqua"/>
          <w:color w:val="000000"/>
          <w:sz w:val="24"/>
          <w:szCs w:val="24"/>
          <w:lang w:val="en-US"/>
        </w:rPr>
        <w:t>, Bowie AG. Sensing and signaling in antiviral innate immunity. </w:t>
      </w:r>
      <w:r w:rsidRPr="00A96D05">
        <w:rPr>
          <w:rFonts w:ascii="Book Antiqua" w:hAnsi="Book Antiqua" w:cs="Book Antiqua"/>
          <w:i/>
          <w:iCs/>
          <w:color w:val="000000"/>
          <w:sz w:val="24"/>
          <w:szCs w:val="24"/>
          <w:lang w:val="en-US"/>
        </w:rPr>
        <w:t>Curr Biol</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20</w:t>
      </w:r>
      <w:r w:rsidRPr="00A96D05">
        <w:rPr>
          <w:rFonts w:ascii="Book Antiqua" w:hAnsi="Book Antiqua" w:cs="Book Antiqua"/>
          <w:color w:val="000000"/>
          <w:sz w:val="24"/>
          <w:szCs w:val="24"/>
          <w:lang w:val="en-US"/>
        </w:rPr>
        <w:t>: R328-R333 [PMID: 20392426 DOI: 10.1016/j.cub.2010.01.044]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 xml:space="preserve">41 </w:t>
      </w:r>
      <w:r w:rsidRPr="00A96D05">
        <w:rPr>
          <w:rFonts w:ascii="Book Antiqua" w:hAnsi="Book Antiqua" w:cs="Book Antiqua"/>
          <w:b/>
          <w:bCs/>
          <w:color w:val="000000"/>
          <w:sz w:val="24"/>
          <w:szCs w:val="24"/>
          <w:lang w:val="en-US"/>
        </w:rPr>
        <w:t>Yanai H</w:t>
      </w:r>
      <w:r w:rsidRPr="00A96D05">
        <w:rPr>
          <w:rFonts w:ascii="Book Antiqua" w:hAnsi="Book Antiqua" w:cs="Book Antiqua"/>
          <w:color w:val="000000"/>
          <w:sz w:val="24"/>
          <w:szCs w:val="24"/>
          <w:lang w:val="en-US"/>
        </w:rPr>
        <w:t xml:space="preserve">, Mizutani T, Inuzuka T, Honda K, Takaoka A, Taniguchi T. IRF family transcription factors in type I interferon induction. </w:t>
      </w:r>
      <w:r w:rsidRPr="00A96D05">
        <w:rPr>
          <w:rFonts w:ascii="Book Antiqua" w:hAnsi="Book Antiqua" w:cs="Book Antiqua"/>
          <w:i/>
          <w:iCs/>
          <w:color w:val="000000"/>
          <w:sz w:val="24"/>
          <w:szCs w:val="24"/>
          <w:lang w:val="en-US"/>
        </w:rPr>
        <w:t xml:space="preserve">International Congress </w:t>
      </w:r>
      <w:r w:rsidRPr="00A96D05">
        <w:rPr>
          <w:rFonts w:ascii="Book Antiqua" w:hAnsi="Book Antiqua" w:cs="Book Antiqua"/>
          <w:color w:val="000000"/>
          <w:sz w:val="24"/>
          <w:szCs w:val="24"/>
          <w:lang w:val="en-US"/>
        </w:rPr>
        <w:t xml:space="preserve">2005; </w:t>
      </w:r>
      <w:r w:rsidRPr="00A96D05">
        <w:rPr>
          <w:rFonts w:ascii="Book Antiqua" w:hAnsi="Book Antiqua" w:cs="Book Antiqua"/>
          <w:b/>
          <w:bCs/>
          <w:color w:val="000000"/>
          <w:sz w:val="24"/>
          <w:szCs w:val="24"/>
          <w:lang w:val="en-US"/>
        </w:rPr>
        <w:t>1285</w:t>
      </w:r>
      <w:r w:rsidRPr="00A96D05">
        <w:rPr>
          <w:rFonts w:ascii="Book Antiqua" w:hAnsi="Book Antiqua" w:cs="Book Antiqua"/>
          <w:color w:val="000000"/>
          <w:sz w:val="24"/>
          <w:szCs w:val="24"/>
          <w:lang w:val="en-US"/>
        </w:rPr>
        <w:t>: 104-113 [DOI: 10.1016/j.ics.2005.09.010]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42 </w:t>
      </w:r>
      <w:r w:rsidRPr="00A96D05">
        <w:rPr>
          <w:rFonts w:ascii="Book Antiqua" w:hAnsi="Book Antiqua" w:cs="Book Antiqua"/>
          <w:b/>
          <w:bCs/>
          <w:color w:val="000000"/>
          <w:sz w:val="24"/>
          <w:szCs w:val="24"/>
          <w:lang w:val="en-US"/>
        </w:rPr>
        <w:t>Yanai H</w:t>
      </w:r>
      <w:r w:rsidRPr="00A96D05">
        <w:rPr>
          <w:rFonts w:ascii="Book Antiqua" w:hAnsi="Book Antiqua" w:cs="Book Antiqua"/>
          <w:color w:val="000000"/>
          <w:sz w:val="24"/>
          <w:szCs w:val="24"/>
          <w:lang w:val="en-US"/>
        </w:rPr>
        <w:t>, Chen HM, Inuzuka T, Kondo S, Mak TW, Takaoka A, Honda K, Taniguchi T. Role of IFN regulatory factor 5 transcription factor in antiviral immunity and tumor suppression. </w:t>
      </w:r>
      <w:r w:rsidRPr="00A96D05">
        <w:rPr>
          <w:rFonts w:ascii="Book Antiqua" w:hAnsi="Book Antiqua" w:cs="Book Antiqua"/>
          <w:i/>
          <w:iCs/>
          <w:color w:val="000000"/>
          <w:sz w:val="24"/>
          <w:szCs w:val="24"/>
          <w:lang w:val="en-US"/>
        </w:rPr>
        <w:t>Proc Natl Acad Sci USA</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104</w:t>
      </w:r>
      <w:r w:rsidRPr="00A96D05">
        <w:rPr>
          <w:rFonts w:ascii="Book Antiqua" w:hAnsi="Book Antiqua" w:cs="Book Antiqua"/>
          <w:color w:val="000000"/>
          <w:sz w:val="24"/>
          <w:szCs w:val="24"/>
          <w:lang w:val="en-US"/>
        </w:rPr>
        <w:t>: 3402-3407 [PMID: 17360658 DOI: 10.1073/pnas.0611559104]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43 </w:t>
      </w:r>
      <w:r w:rsidRPr="00A96D05">
        <w:rPr>
          <w:rFonts w:ascii="Book Antiqua" w:hAnsi="Book Antiqua" w:cs="Book Antiqua"/>
          <w:b/>
          <w:bCs/>
          <w:color w:val="000000"/>
          <w:sz w:val="24"/>
          <w:szCs w:val="24"/>
          <w:lang w:val="en-US"/>
        </w:rPr>
        <w:t>Santoro MG</w:t>
      </w:r>
      <w:r w:rsidRPr="00A96D05">
        <w:rPr>
          <w:rFonts w:ascii="Book Antiqua" w:hAnsi="Book Antiqua" w:cs="Book Antiqua"/>
          <w:color w:val="000000"/>
          <w:sz w:val="24"/>
          <w:szCs w:val="24"/>
          <w:lang w:val="en-US"/>
        </w:rPr>
        <w:t>, Rossi A, Amici C. NF-kappaB and virus infection: who controls whom. </w:t>
      </w:r>
      <w:r w:rsidRPr="00A96D05">
        <w:rPr>
          <w:rFonts w:ascii="Book Antiqua" w:hAnsi="Book Antiqua" w:cs="Book Antiqua"/>
          <w:i/>
          <w:iCs/>
          <w:color w:val="000000"/>
          <w:sz w:val="24"/>
          <w:szCs w:val="24"/>
          <w:lang w:val="en-US"/>
        </w:rPr>
        <w:t>EMBO J</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22</w:t>
      </w:r>
      <w:r w:rsidRPr="00A96D05">
        <w:rPr>
          <w:rFonts w:ascii="Book Antiqua" w:hAnsi="Book Antiqua" w:cs="Book Antiqua"/>
          <w:color w:val="000000"/>
          <w:sz w:val="24"/>
          <w:szCs w:val="24"/>
          <w:lang w:val="en-US"/>
        </w:rPr>
        <w:t>: 2552-2560 [PMID: 12773372 DOI: 10.1093/emboj/cdg267]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44 </w:t>
      </w:r>
      <w:r w:rsidRPr="00A96D05">
        <w:rPr>
          <w:rFonts w:ascii="Book Antiqua" w:hAnsi="Book Antiqua" w:cs="Book Antiqua"/>
          <w:b/>
          <w:bCs/>
          <w:color w:val="000000"/>
          <w:sz w:val="24"/>
          <w:szCs w:val="24"/>
          <w:lang w:val="en-US"/>
        </w:rPr>
        <w:t>Onoguchi K</w:t>
      </w:r>
      <w:r w:rsidRPr="00A96D05">
        <w:rPr>
          <w:rFonts w:ascii="Book Antiqua" w:hAnsi="Book Antiqua" w:cs="Book Antiqua"/>
          <w:color w:val="000000"/>
          <w:sz w:val="24"/>
          <w:szCs w:val="24"/>
          <w:lang w:val="en-US"/>
        </w:rPr>
        <w:t>, Yoneyama M, Fujita T. Retinoic acid-inducible gene-I-like receptors. </w:t>
      </w:r>
      <w:r w:rsidRPr="00A96D05">
        <w:rPr>
          <w:rFonts w:ascii="Book Antiqua" w:hAnsi="Book Antiqua" w:cs="Book Antiqua"/>
          <w:i/>
          <w:iCs/>
          <w:color w:val="000000"/>
          <w:sz w:val="24"/>
          <w:szCs w:val="24"/>
          <w:lang w:val="en-US"/>
        </w:rPr>
        <w:t>J Interferon Cytokine Res</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31</w:t>
      </w:r>
      <w:r w:rsidRPr="00A96D05">
        <w:rPr>
          <w:rFonts w:ascii="Book Antiqua" w:hAnsi="Book Antiqua" w:cs="Book Antiqua"/>
          <w:color w:val="000000"/>
          <w:sz w:val="24"/>
          <w:szCs w:val="24"/>
          <w:lang w:val="en-US"/>
        </w:rPr>
        <w:t>: 27-31 [PMID: 20950133 DOI: 10.1089/jir.2010.0057]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45 </w:t>
      </w:r>
      <w:r w:rsidRPr="00A96D05">
        <w:rPr>
          <w:rFonts w:ascii="Book Antiqua" w:hAnsi="Book Antiqua" w:cs="Book Antiqua"/>
          <w:b/>
          <w:bCs/>
          <w:color w:val="000000"/>
          <w:sz w:val="24"/>
          <w:szCs w:val="24"/>
          <w:lang w:val="en-US"/>
        </w:rPr>
        <w:t>Gupta SC</w:t>
      </w:r>
      <w:r w:rsidRPr="00A96D05">
        <w:rPr>
          <w:rFonts w:ascii="Book Antiqua" w:hAnsi="Book Antiqua" w:cs="Book Antiqua"/>
          <w:color w:val="000000"/>
          <w:sz w:val="24"/>
          <w:szCs w:val="24"/>
          <w:lang w:val="en-US"/>
        </w:rPr>
        <w:t>, Sundaram C, Reuter S, Aggarwal BB. Inhibiting NF-</w:t>
      </w:r>
      <w:r w:rsidRPr="00A96D05">
        <w:rPr>
          <w:rFonts w:ascii="Book Antiqua" w:hAnsi="Book Antiqua" w:cs="Book Antiqua"/>
          <w:color w:val="000000"/>
          <w:sz w:val="24"/>
          <w:szCs w:val="24"/>
        </w:rPr>
        <w:t>κ</w:t>
      </w:r>
      <w:r w:rsidRPr="00A96D05">
        <w:rPr>
          <w:rFonts w:ascii="Book Antiqua" w:hAnsi="Book Antiqua" w:cs="Book Antiqua"/>
          <w:color w:val="000000"/>
          <w:sz w:val="24"/>
          <w:szCs w:val="24"/>
          <w:lang w:val="en-US"/>
        </w:rPr>
        <w:t>B activation by small molecules as a therapeutic strategy. </w:t>
      </w:r>
      <w:r w:rsidRPr="00A96D05">
        <w:rPr>
          <w:rFonts w:ascii="Book Antiqua" w:hAnsi="Book Antiqua" w:cs="Book Antiqua"/>
          <w:i/>
          <w:iCs/>
          <w:color w:val="000000"/>
          <w:sz w:val="24"/>
          <w:szCs w:val="24"/>
          <w:lang w:val="en-US"/>
        </w:rPr>
        <w:t>Biochim Biophys Acta</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1799</w:t>
      </w:r>
      <w:r w:rsidRPr="00A96D05">
        <w:rPr>
          <w:rFonts w:ascii="Book Antiqua" w:hAnsi="Book Antiqua" w:cs="Book Antiqua"/>
          <w:color w:val="000000"/>
          <w:sz w:val="24"/>
          <w:szCs w:val="24"/>
          <w:lang w:val="en-US"/>
        </w:rPr>
        <w:t>: 775-787 [PMID: 20493977 DOI: 10.1016/j.bbagrm.2010.05.004]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46 </w:t>
      </w:r>
      <w:r w:rsidRPr="00A96D05">
        <w:rPr>
          <w:rFonts w:ascii="Book Antiqua" w:hAnsi="Book Antiqua" w:cs="Book Antiqua"/>
          <w:b/>
          <w:bCs/>
          <w:color w:val="000000"/>
          <w:sz w:val="24"/>
          <w:szCs w:val="24"/>
          <w:lang w:val="en-US"/>
        </w:rPr>
        <w:t>Karin M</w:t>
      </w:r>
      <w:r w:rsidRPr="00A96D05">
        <w:rPr>
          <w:rFonts w:ascii="Book Antiqua" w:hAnsi="Book Antiqua" w:cs="Book Antiqua"/>
          <w:color w:val="000000"/>
          <w:sz w:val="24"/>
          <w:szCs w:val="24"/>
          <w:lang w:val="en-US"/>
        </w:rPr>
        <w:t>, Greten FR. NF-kappaB: linking inflammation and immunity to cancer development and progression. </w:t>
      </w:r>
      <w:r w:rsidRPr="00A96D05">
        <w:rPr>
          <w:rFonts w:ascii="Book Antiqua" w:hAnsi="Book Antiqua" w:cs="Book Antiqua"/>
          <w:i/>
          <w:iCs/>
          <w:color w:val="000000"/>
          <w:sz w:val="24"/>
          <w:szCs w:val="24"/>
          <w:lang w:val="en-US"/>
        </w:rPr>
        <w:t>Nat Rev Immunol</w:t>
      </w:r>
      <w:r w:rsidRPr="00A96D05">
        <w:rPr>
          <w:rFonts w:ascii="Book Antiqua" w:hAnsi="Book Antiqua" w:cs="Book Antiqua"/>
          <w:color w:val="000000"/>
          <w:sz w:val="24"/>
          <w:szCs w:val="24"/>
          <w:lang w:val="en-US"/>
        </w:rPr>
        <w:t> 2005; </w:t>
      </w:r>
      <w:r w:rsidRPr="00A96D05">
        <w:rPr>
          <w:rFonts w:ascii="Book Antiqua" w:hAnsi="Book Antiqua" w:cs="Book Antiqua"/>
          <w:b/>
          <w:bCs/>
          <w:color w:val="000000"/>
          <w:sz w:val="24"/>
          <w:szCs w:val="24"/>
          <w:lang w:val="en-US"/>
        </w:rPr>
        <w:t>5</w:t>
      </w:r>
      <w:r w:rsidRPr="00A96D05">
        <w:rPr>
          <w:rFonts w:ascii="Book Antiqua" w:hAnsi="Book Antiqua" w:cs="Book Antiqua"/>
          <w:color w:val="000000"/>
          <w:sz w:val="24"/>
          <w:szCs w:val="24"/>
          <w:lang w:val="en-US"/>
        </w:rPr>
        <w:t>: 749-759 [PMID: 16175180 DOI: 10.1038/nri1703]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47 </w:t>
      </w:r>
      <w:r w:rsidRPr="00A96D05">
        <w:rPr>
          <w:rFonts w:ascii="Book Antiqua" w:hAnsi="Book Antiqua" w:cs="Book Antiqua"/>
          <w:b/>
          <w:bCs/>
          <w:color w:val="000000"/>
          <w:sz w:val="24"/>
          <w:szCs w:val="24"/>
          <w:lang w:val="en-US"/>
        </w:rPr>
        <w:t>Magné N</w:t>
      </w:r>
      <w:r w:rsidRPr="00A96D05">
        <w:rPr>
          <w:rFonts w:ascii="Book Antiqua" w:hAnsi="Book Antiqua" w:cs="Book Antiqua"/>
          <w:color w:val="000000"/>
          <w:sz w:val="24"/>
          <w:szCs w:val="24"/>
          <w:lang w:val="en-US"/>
        </w:rPr>
        <w:t>, Toillon RA, Bottero V, Didelot C, Houtte PV, Gérard JP, Peyron JF. NF-kappaB modulation and ionizing radiation: mechanisms and future directions for cancer treatment. </w:t>
      </w:r>
      <w:r w:rsidRPr="00A96D05">
        <w:rPr>
          <w:rFonts w:ascii="Book Antiqua" w:hAnsi="Book Antiqua" w:cs="Book Antiqua"/>
          <w:i/>
          <w:iCs/>
          <w:color w:val="000000"/>
          <w:sz w:val="24"/>
          <w:szCs w:val="24"/>
          <w:lang w:val="en-US"/>
        </w:rPr>
        <w:t>Cancer Lett</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231</w:t>
      </w:r>
      <w:r w:rsidRPr="00A96D05">
        <w:rPr>
          <w:rFonts w:ascii="Book Antiqua" w:hAnsi="Book Antiqua" w:cs="Book Antiqua"/>
          <w:color w:val="000000"/>
          <w:sz w:val="24"/>
          <w:szCs w:val="24"/>
          <w:lang w:val="en-US"/>
        </w:rPr>
        <w:t>: 158-168 [PMID: 16399220 DOI: 10.1016/j.canlet.2005.01.022]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48 </w:t>
      </w:r>
      <w:r w:rsidRPr="00A96D05">
        <w:rPr>
          <w:rFonts w:ascii="Book Antiqua" w:hAnsi="Book Antiqua" w:cs="Book Antiqua"/>
          <w:b/>
          <w:bCs/>
          <w:color w:val="000000"/>
          <w:sz w:val="24"/>
          <w:szCs w:val="24"/>
          <w:lang w:val="en-US"/>
        </w:rPr>
        <w:t>Broquet AH</w:t>
      </w:r>
      <w:r w:rsidRPr="00A96D05">
        <w:rPr>
          <w:rFonts w:ascii="Book Antiqua" w:hAnsi="Book Antiqua" w:cs="Book Antiqua"/>
          <w:color w:val="000000"/>
          <w:sz w:val="24"/>
          <w:szCs w:val="24"/>
          <w:lang w:val="en-US"/>
        </w:rPr>
        <w:t>, Hirata Y, McAllister CS, Kagnoff MF. RIG-I/MDA5/MAVS are required to signal a protective IFN response in rotavirus-infected intestinal epithelium. </w:t>
      </w:r>
      <w:r w:rsidRPr="00A96D05">
        <w:rPr>
          <w:rFonts w:ascii="Book Antiqua" w:hAnsi="Book Antiqua" w:cs="Book Antiqua"/>
          <w:i/>
          <w:iCs/>
          <w:color w:val="000000"/>
          <w:sz w:val="24"/>
          <w:szCs w:val="24"/>
          <w:lang w:val="en-US"/>
        </w:rPr>
        <w:t>J Immunol</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186</w:t>
      </w:r>
      <w:r w:rsidRPr="00A96D05">
        <w:rPr>
          <w:rFonts w:ascii="Book Antiqua" w:hAnsi="Book Antiqua" w:cs="Book Antiqua"/>
          <w:color w:val="000000"/>
          <w:sz w:val="24"/>
          <w:szCs w:val="24"/>
          <w:lang w:val="en-US"/>
        </w:rPr>
        <w:t>: 1618-1626 [PMID: 21187438 DOI: 10.4049/jimmunol.1002862]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49 </w:t>
      </w:r>
      <w:r w:rsidRPr="00A96D05">
        <w:rPr>
          <w:rFonts w:ascii="Book Antiqua" w:hAnsi="Book Antiqua" w:cs="Book Antiqua"/>
          <w:b/>
          <w:bCs/>
          <w:color w:val="000000"/>
          <w:sz w:val="24"/>
          <w:szCs w:val="24"/>
          <w:lang w:val="en-US"/>
        </w:rPr>
        <w:t>Sen A</w:t>
      </w:r>
      <w:r w:rsidRPr="00A96D05">
        <w:rPr>
          <w:rFonts w:ascii="Book Antiqua" w:hAnsi="Book Antiqua" w:cs="Book Antiqua"/>
          <w:color w:val="000000"/>
          <w:sz w:val="24"/>
          <w:szCs w:val="24"/>
          <w:lang w:val="en-US"/>
        </w:rPr>
        <w:t>, Pruijssers AJ, Dermody TS, García-Sastre A, Greenberg HB. The early interferon response to rotavirus is regulated by PKR and depends on MAVS/IPS-1, RIG-I, MDA-5, and IRF3.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85</w:t>
      </w:r>
      <w:r w:rsidRPr="00A96D05">
        <w:rPr>
          <w:rFonts w:ascii="Book Antiqua" w:hAnsi="Book Antiqua" w:cs="Book Antiqua"/>
          <w:color w:val="000000"/>
          <w:sz w:val="24"/>
          <w:szCs w:val="24"/>
          <w:lang w:val="en-US"/>
        </w:rPr>
        <w:t>: 3717-3732 [PMID: 21307186 DOI: 10.1128/jvi.02634-10]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50 </w:t>
      </w:r>
      <w:r w:rsidRPr="00A96D05">
        <w:rPr>
          <w:rFonts w:ascii="Book Antiqua" w:hAnsi="Book Antiqua" w:cs="Book Antiqua"/>
          <w:b/>
          <w:bCs/>
          <w:color w:val="000000"/>
          <w:sz w:val="24"/>
          <w:szCs w:val="24"/>
          <w:lang w:val="en-US"/>
        </w:rPr>
        <w:t>Arnold MM</w:t>
      </w:r>
      <w:r w:rsidRPr="00A96D05">
        <w:rPr>
          <w:rFonts w:ascii="Book Antiqua" w:hAnsi="Book Antiqua" w:cs="Book Antiqua"/>
          <w:color w:val="000000"/>
          <w:sz w:val="24"/>
          <w:szCs w:val="24"/>
          <w:lang w:val="en-US"/>
        </w:rPr>
        <w:t>, Sen A, Greenberg HB, Patton JT. The battle between rotavirus and its host for control of the interferon signaling pathway. </w:t>
      </w:r>
      <w:r w:rsidRPr="00A96D05">
        <w:rPr>
          <w:rFonts w:ascii="Book Antiqua" w:hAnsi="Book Antiqua" w:cs="Book Antiqua"/>
          <w:i/>
          <w:iCs/>
          <w:color w:val="000000"/>
          <w:sz w:val="24"/>
          <w:szCs w:val="24"/>
          <w:lang w:val="en-US"/>
        </w:rPr>
        <w:t>PLoS Pathog</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9</w:t>
      </w:r>
      <w:r w:rsidRPr="00A96D05">
        <w:rPr>
          <w:rFonts w:ascii="Book Antiqua" w:hAnsi="Book Antiqua" w:cs="Book Antiqua"/>
          <w:color w:val="000000"/>
          <w:sz w:val="24"/>
          <w:szCs w:val="24"/>
          <w:lang w:val="en-US"/>
        </w:rPr>
        <w:t>: e1003064 [PMID: 23359266 DOI: 10.1371/journal.ppat.1003064]</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lang w:val="en-US"/>
        </w:rPr>
        <w:t>51 </w:t>
      </w:r>
      <w:r w:rsidRPr="00A96D05">
        <w:rPr>
          <w:rFonts w:ascii="Book Antiqua" w:hAnsi="Book Antiqua" w:cs="Book Antiqua"/>
          <w:b/>
          <w:bCs/>
          <w:color w:val="000000"/>
          <w:sz w:val="24"/>
          <w:szCs w:val="24"/>
          <w:lang w:val="en-US"/>
        </w:rPr>
        <w:t>Deal EM</w:t>
      </w:r>
      <w:r w:rsidRPr="00A96D05">
        <w:rPr>
          <w:rFonts w:ascii="Book Antiqua" w:hAnsi="Book Antiqua" w:cs="Book Antiqua"/>
          <w:color w:val="000000"/>
          <w:sz w:val="24"/>
          <w:szCs w:val="24"/>
          <w:lang w:val="en-US"/>
        </w:rPr>
        <w:t>, Jaimes MC, Crawford SE, Estes MK, Greenberg HB. Rotavirus structural proteins and dsRNA are required for the human primary plasmacytoid dendritic cell IFNalpha response. </w:t>
      </w:r>
      <w:r w:rsidRPr="00A96D05">
        <w:rPr>
          <w:rFonts w:ascii="Book Antiqua" w:hAnsi="Book Antiqua" w:cs="Book Antiqua"/>
          <w:i/>
          <w:iCs/>
          <w:color w:val="000000"/>
          <w:sz w:val="24"/>
          <w:szCs w:val="24"/>
        </w:rPr>
        <w:t>PLoS Pathog</w:t>
      </w:r>
      <w:r w:rsidRPr="00A96D05">
        <w:rPr>
          <w:rFonts w:ascii="Book Antiqua" w:hAnsi="Book Antiqua" w:cs="Book Antiqua"/>
          <w:color w:val="000000"/>
          <w:sz w:val="24"/>
          <w:szCs w:val="24"/>
        </w:rPr>
        <w:t> 2010; </w:t>
      </w:r>
      <w:r w:rsidRPr="00A96D05">
        <w:rPr>
          <w:rFonts w:ascii="Book Antiqua" w:hAnsi="Book Antiqua" w:cs="Book Antiqua"/>
          <w:b/>
          <w:bCs/>
          <w:color w:val="000000"/>
          <w:sz w:val="24"/>
          <w:szCs w:val="24"/>
        </w:rPr>
        <w:t>6</w:t>
      </w:r>
      <w:r w:rsidRPr="00A96D05">
        <w:rPr>
          <w:rFonts w:ascii="Book Antiqua" w:hAnsi="Book Antiqua" w:cs="Book Antiqua"/>
          <w:color w:val="000000"/>
          <w:sz w:val="24"/>
          <w:szCs w:val="24"/>
        </w:rPr>
        <w:t>: e1000931 [PMID: 20532161 DOI: 10.1371/journal.ppat.1000931]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rPr>
        <w:t>52 </w:t>
      </w:r>
      <w:r w:rsidRPr="00A96D05">
        <w:rPr>
          <w:rFonts w:ascii="Book Antiqua" w:hAnsi="Book Antiqua" w:cs="Book Antiqua"/>
          <w:b/>
          <w:bCs/>
          <w:color w:val="000000"/>
          <w:sz w:val="24"/>
          <w:szCs w:val="24"/>
        </w:rPr>
        <w:t>Lopez-Guerrero DV</w:t>
      </w:r>
      <w:r w:rsidRPr="00A96D05">
        <w:rPr>
          <w:rFonts w:ascii="Book Antiqua" w:hAnsi="Book Antiqua" w:cs="Book Antiqua"/>
          <w:color w:val="000000"/>
          <w:sz w:val="24"/>
          <w:szCs w:val="24"/>
        </w:rPr>
        <w:t xml:space="preserve">, Meza-Perez S, Ramirez-Pliego O, Santana-Calderon MA, Espino-Solis P, Gutierrez-Xicotencatl L, Flores-Romo L, Esquivel-Guadarrama FR. </w:t>
      </w:r>
      <w:r w:rsidRPr="00A96D05">
        <w:rPr>
          <w:rFonts w:ascii="Book Antiqua" w:hAnsi="Book Antiqua" w:cs="Book Antiqua"/>
          <w:color w:val="000000"/>
          <w:sz w:val="24"/>
          <w:szCs w:val="24"/>
          <w:lang w:val="en-US"/>
        </w:rPr>
        <w:t>Rotavirus infection activates dendritic cells from Peyer's patches in adult mice.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84</w:t>
      </w:r>
      <w:r w:rsidRPr="00A96D05">
        <w:rPr>
          <w:rFonts w:ascii="Book Antiqua" w:hAnsi="Book Antiqua" w:cs="Book Antiqua"/>
          <w:color w:val="000000"/>
          <w:sz w:val="24"/>
          <w:szCs w:val="24"/>
          <w:lang w:val="en-US"/>
        </w:rPr>
        <w:t>: 1856-1866 [PMID: 20007263 DOI: 10.1128/JVI.02640-08]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53 </w:t>
      </w:r>
      <w:r w:rsidRPr="00A96D05">
        <w:rPr>
          <w:rFonts w:ascii="Book Antiqua" w:hAnsi="Book Antiqua" w:cs="Book Antiqua"/>
          <w:b/>
          <w:bCs/>
          <w:color w:val="000000"/>
          <w:sz w:val="24"/>
          <w:szCs w:val="24"/>
          <w:lang w:val="en-US"/>
        </w:rPr>
        <w:t>Pott J</w:t>
      </w:r>
      <w:r w:rsidRPr="00A96D05">
        <w:rPr>
          <w:rFonts w:ascii="Book Antiqua" w:hAnsi="Book Antiqua" w:cs="Book Antiqua"/>
          <w:color w:val="000000"/>
          <w:sz w:val="24"/>
          <w:szCs w:val="24"/>
          <w:lang w:val="en-US"/>
        </w:rPr>
        <w:t>, Stockinger S, Torow N, Smoczek A, Lindner C, McInerney G, Bäckhed F, Baumann U, Pabst O, Bleich A, Hornef MW. Age-dependent TLR3 expression of the intestinal epithelium contributes to rotavirus susceptibility. </w:t>
      </w:r>
      <w:r w:rsidRPr="00A96D05">
        <w:rPr>
          <w:rFonts w:ascii="Book Antiqua" w:hAnsi="Book Antiqua" w:cs="Book Antiqua"/>
          <w:i/>
          <w:iCs/>
          <w:color w:val="000000"/>
          <w:sz w:val="24"/>
          <w:szCs w:val="24"/>
          <w:lang w:val="en-US"/>
        </w:rPr>
        <w:t>PLoS Pathog</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8</w:t>
      </w:r>
      <w:r w:rsidRPr="00A96D05">
        <w:rPr>
          <w:rFonts w:ascii="Book Antiqua" w:hAnsi="Book Antiqua" w:cs="Book Antiqua"/>
          <w:color w:val="000000"/>
          <w:sz w:val="24"/>
          <w:szCs w:val="24"/>
          <w:lang w:val="en-US"/>
        </w:rPr>
        <w:t>: e1002670 [PMID: 22570612 DOI: 10.1371/journal.ppat.1002670]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54 </w:t>
      </w:r>
      <w:r w:rsidRPr="00A96D05">
        <w:rPr>
          <w:rFonts w:ascii="Book Antiqua" w:hAnsi="Book Antiqua" w:cs="Book Antiqua"/>
          <w:b/>
          <w:bCs/>
          <w:color w:val="000000"/>
          <w:sz w:val="24"/>
          <w:szCs w:val="24"/>
          <w:lang w:val="en-US"/>
        </w:rPr>
        <w:t>Azim T</w:t>
      </w:r>
      <w:r w:rsidRPr="00A96D05">
        <w:rPr>
          <w:rFonts w:ascii="Book Antiqua" w:hAnsi="Book Antiqua" w:cs="Book Antiqua"/>
          <w:color w:val="000000"/>
          <w:sz w:val="24"/>
          <w:szCs w:val="24"/>
          <w:lang w:val="en-US"/>
        </w:rPr>
        <w:t>, Zaki MH, Podder G, Sultana N, Salam MA, Rahman SM, Sefat-e-Khuda DA. Rotavirus-specific subclass antibody and cytokine responses in Bangladeshi children with rotavirus diarrhoea. </w:t>
      </w:r>
      <w:r w:rsidRPr="00A96D05">
        <w:rPr>
          <w:rFonts w:ascii="Book Antiqua" w:hAnsi="Book Antiqua" w:cs="Book Antiqua"/>
          <w:i/>
          <w:iCs/>
          <w:color w:val="000000"/>
          <w:sz w:val="24"/>
          <w:szCs w:val="24"/>
          <w:lang w:val="en-US"/>
        </w:rPr>
        <w:t>J Med Virol</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69</w:t>
      </w:r>
      <w:r w:rsidRPr="00A96D05">
        <w:rPr>
          <w:rFonts w:ascii="Book Antiqua" w:hAnsi="Book Antiqua" w:cs="Book Antiqua"/>
          <w:color w:val="000000"/>
          <w:sz w:val="24"/>
          <w:szCs w:val="24"/>
          <w:lang w:val="en-US"/>
        </w:rPr>
        <w:t>: 286-295 [PMID: 12683420 DOI: 10.1002/jmv.10280]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55 </w:t>
      </w:r>
      <w:r w:rsidRPr="00A96D05">
        <w:rPr>
          <w:rFonts w:ascii="Book Antiqua" w:hAnsi="Book Antiqua" w:cs="Book Antiqua"/>
          <w:b/>
          <w:bCs/>
          <w:color w:val="000000"/>
          <w:sz w:val="24"/>
          <w:szCs w:val="24"/>
          <w:lang w:val="en-US"/>
        </w:rPr>
        <w:t>Jiang B</w:t>
      </w:r>
      <w:r w:rsidRPr="00A96D05">
        <w:rPr>
          <w:rFonts w:ascii="Book Antiqua" w:hAnsi="Book Antiqua" w:cs="Book Antiqua"/>
          <w:color w:val="000000"/>
          <w:sz w:val="24"/>
          <w:szCs w:val="24"/>
          <w:lang w:val="en-US"/>
        </w:rPr>
        <w:t>, Snipes-Magaldi L, Dennehy P, Keyserling H, Holman RC, Bresee J, Gentsch J, Glass RI. Cytokines as mediators for or effectors against rotavirus disease in children. </w:t>
      </w:r>
      <w:r w:rsidRPr="00A96D05">
        <w:rPr>
          <w:rFonts w:ascii="Book Antiqua" w:hAnsi="Book Antiqua" w:cs="Book Antiqua"/>
          <w:i/>
          <w:iCs/>
          <w:color w:val="000000"/>
          <w:sz w:val="24"/>
          <w:szCs w:val="24"/>
          <w:lang w:val="en-US"/>
        </w:rPr>
        <w:t>Clin Diagn Lab Immunol</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10</w:t>
      </w:r>
      <w:r w:rsidRPr="00A96D05">
        <w:rPr>
          <w:rFonts w:ascii="Book Antiqua" w:hAnsi="Book Antiqua" w:cs="Book Antiqua"/>
          <w:color w:val="000000"/>
          <w:sz w:val="24"/>
          <w:szCs w:val="24"/>
          <w:lang w:val="en-US"/>
        </w:rPr>
        <w:t>: 995-1001 [PMID: 14607858]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56 </w:t>
      </w:r>
      <w:r w:rsidRPr="00A96D05">
        <w:rPr>
          <w:rFonts w:ascii="Book Antiqua" w:hAnsi="Book Antiqua" w:cs="Book Antiqua"/>
          <w:b/>
          <w:bCs/>
          <w:color w:val="000000"/>
          <w:sz w:val="24"/>
          <w:szCs w:val="24"/>
          <w:lang w:val="en-US"/>
        </w:rPr>
        <w:t>Vanden Broecke C</w:t>
      </w:r>
      <w:r w:rsidRPr="00A96D05">
        <w:rPr>
          <w:rFonts w:ascii="Book Antiqua" w:hAnsi="Book Antiqua" w:cs="Book Antiqua"/>
          <w:color w:val="000000"/>
          <w:sz w:val="24"/>
          <w:szCs w:val="24"/>
          <w:lang w:val="en-US"/>
        </w:rPr>
        <w:t>, Schwers A, Dagenais L, Goossens A, Maenhoudt M, Pastoret PP, Werenne J. Interferon response in colostrum-deprived newborn calves infected with bovine rotavirus: its possible role in the control of the pathogenicity. </w:t>
      </w:r>
      <w:r w:rsidRPr="00A96D05">
        <w:rPr>
          <w:rFonts w:ascii="Book Antiqua" w:hAnsi="Book Antiqua" w:cs="Book Antiqua"/>
          <w:i/>
          <w:iCs/>
          <w:color w:val="000000"/>
          <w:sz w:val="24"/>
          <w:szCs w:val="24"/>
          <w:lang w:val="en-US"/>
        </w:rPr>
        <w:t>Ann Rech Vet</w:t>
      </w:r>
      <w:r w:rsidRPr="00A96D05">
        <w:rPr>
          <w:rFonts w:ascii="Book Antiqua" w:hAnsi="Book Antiqua" w:cs="Book Antiqua"/>
          <w:color w:val="000000"/>
          <w:sz w:val="24"/>
          <w:szCs w:val="24"/>
          <w:lang w:val="en-US"/>
        </w:rPr>
        <w:t> 1984; </w:t>
      </w:r>
      <w:r w:rsidRPr="00A96D05">
        <w:rPr>
          <w:rFonts w:ascii="Book Antiqua" w:hAnsi="Book Antiqua" w:cs="Book Antiqua"/>
          <w:b/>
          <w:bCs/>
          <w:color w:val="000000"/>
          <w:sz w:val="24"/>
          <w:szCs w:val="24"/>
          <w:lang w:val="en-US"/>
        </w:rPr>
        <w:t>15</w:t>
      </w:r>
      <w:r w:rsidRPr="00A96D05">
        <w:rPr>
          <w:rFonts w:ascii="Book Antiqua" w:hAnsi="Book Antiqua" w:cs="Book Antiqua"/>
          <w:color w:val="000000"/>
          <w:sz w:val="24"/>
          <w:szCs w:val="24"/>
          <w:lang w:val="en-US"/>
        </w:rPr>
        <w:t>: 29-34 [PMID: 6207759]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57 </w:t>
      </w:r>
      <w:r w:rsidRPr="00A96D05">
        <w:rPr>
          <w:rFonts w:ascii="Book Antiqua" w:hAnsi="Book Antiqua" w:cs="Book Antiqua"/>
          <w:b/>
          <w:bCs/>
          <w:color w:val="000000"/>
          <w:sz w:val="24"/>
          <w:szCs w:val="24"/>
          <w:lang w:val="en-US"/>
        </w:rPr>
        <w:t>Broome RL</w:t>
      </w:r>
      <w:r w:rsidRPr="00A96D05">
        <w:rPr>
          <w:rFonts w:ascii="Book Antiqua" w:hAnsi="Book Antiqua" w:cs="Book Antiqua"/>
          <w:color w:val="000000"/>
          <w:sz w:val="24"/>
          <w:szCs w:val="24"/>
          <w:lang w:val="en-US"/>
        </w:rPr>
        <w:t>, Vo PT, Ward RL, Clark HF, Greenberg HB. Murine rotavirus genes encoding outer capsid proteins VP4 and VP7 are not major determinants of host range restriction and virulence.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1993; </w:t>
      </w:r>
      <w:r w:rsidRPr="00A96D05">
        <w:rPr>
          <w:rFonts w:ascii="Book Antiqua" w:hAnsi="Book Antiqua" w:cs="Book Antiqua"/>
          <w:b/>
          <w:bCs/>
          <w:color w:val="000000"/>
          <w:sz w:val="24"/>
          <w:szCs w:val="24"/>
          <w:lang w:val="en-US"/>
        </w:rPr>
        <w:t>67</w:t>
      </w:r>
      <w:r w:rsidRPr="00A96D05">
        <w:rPr>
          <w:rFonts w:ascii="Book Antiqua" w:hAnsi="Book Antiqua" w:cs="Book Antiqua"/>
          <w:color w:val="000000"/>
          <w:sz w:val="24"/>
          <w:szCs w:val="24"/>
          <w:lang w:val="en-US"/>
        </w:rPr>
        <w:t>: 2448-2455 [PMID: 8386262]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58 </w:t>
      </w:r>
      <w:r w:rsidRPr="00A96D05">
        <w:rPr>
          <w:rFonts w:ascii="Book Antiqua" w:hAnsi="Book Antiqua" w:cs="Book Antiqua"/>
          <w:b/>
          <w:bCs/>
          <w:color w:val="000000"/>
          <w:sz w:val="24"/>
          <w:szCs w:val="24"/>
          <w:lang w:val="en-US"/>
        </w:rPr>
        <w:t>Jessop CE</w:t>
      </w:r>
      <w:r w:rsidRPr="00A96D05">
        <w:rPr>
          <w:rFonts w:ascii="Book Antiqua" w:hAnsi="Book Antiqua" w:cs="Book Antiqua"/>
          <w:color w:val="000000"/>
          <w:sz w:val="24"/>
          <w:szCs w:val="24"/>
          <w:lang w:val="en-US"/>
        </w:rPr>
        <w:t>, Watkins RH, Simmons JJ, Tasab M, Bulleid NJ. Protein disulphide isomerase family members show distinct substrate specificity: P5 is targeted to BiP client proteins. </w:t>
      </w:r>
      <w:r w:rsidRPr="00A96D05">
        <w:rPr>
          <w:rFonts w:ascii="Book Antiqua" w:hAnsi="Book Antiqua" w:cs="Book Antiqua"/>
          <w:i/>
          <w:iCs/>
          <w:color w:val="000000"/>
          <w:sz w:val="24"/>
          <w:szCs w:val="24"/>
          <w:lang w:val="en-US"/>
        </w:rPr>
        <w:t>J Cell Sci</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122</w:t>
      </w:r>
      <w:r w:rsidRPr="00A96D05">
        <w:rPr>
          <w:rFonts w:ascii="Book Antiqua" w:hAnsi="Book Antiqua" w:cs="Book Antiqua"/>
          <w:color w:val="000000"/>
          <w:sz w:val="24"/>
          <w:szCs w:val="24"/>
          <w:lang w:val="en-US"/>
        </w:rPr>
        <w:t>: 4287-4295 [PMID: 19887585 DOI: 10.1242/jcs.059154]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59 </w:t>
      </w:r>
      <w:r w:rsidRPr="00A96D05">
        <w:rPr>
          <w:rFonts w:ascii="Book Antiqua" w:hAnsi="Book Antiqua" w:cs="Book Antiqua"/>
          <w:b/>
          <w:bCs/>
          <w:color w:val="000000"/>
          <w:sz w:val="24"/>
          <w:szCs w:val="24"/>
          <w:lang w:val="en-US"/>
        </w:rPr>
        <w:t>Hatahet F</w:t>
      </w:r>
      <w:r w:rsidRPr="00A96D05">
        <w:rPr>
          <w:rFonts w:ascii="Book Antiqua" w:hAnsi="Book Antiqua" w:cs="Book Antiqua"/>
          <w:color w:val="000000"/>
          <w:sz w:val="24"/>
          <w:szCs w:val="24"/>
          <w:lang w:val="en-US"/>
        </w:rPr>
        <w:t>, Ruddock LW. Protein disulfide isomerase: a critical evaluation of its function in disulfide bond formation. </w:t>
      </w:r>
      <w:r w:rsidRPr="00A96D05">
        <w:rPr>
          <w:rFonts w:ascii="Book Antiqua" w:hAnsi="Book Antiqua" w:cs="Book Antiqua"/>
          <w:i/>
          <w:iCs/>
          <w:color w:val="000000"/>
          <w:sz w:val="24"/>
          <w:szCs w:val="24"/>
          <w:lang w:val="en-US"/>
        </w:rPr>
        <w:t>Antioxid Redox Signal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11</w:t>
      </w:r>
      <w:r w:rsidRPr="00A96D05">
        <w:rPr>
          <w:rFonts w:ascii="Book Antiqua" w:hAnsi="Book Antiqua" w:cs="Book Antiqua"/>
          <w:color w:val="000000"/>
          <w:sz w:val="24"/>
          <w:szCs w:val="24"/>
          <w:lang w:val="en-US"/>
        </w:rPr>
        <w:t>: 2807-2850 [PMID: 19476414 DOI: 10.1089/ars.2009.2466]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60 </w:t>
      </w:r>
      <w:r w:rsidRPr="00A96D05">
        <w:rPr>
          <w:rFonts w:ascii="Book Antiqua" w:hAnsi="Book Antiqua" w:cs="Book Antiqua"/>
          <w:b/>
          <w:bCs/>
          <w:color w:val="000000"/>
          <w:sz w:val="24"/>
          <w:szCs w:val="24"/>
          <w:lang w:val="en-US"/>
        </w:rPr>
        <w:t>Mamathambika BS</w:t>
      </w:r>
      <w:r w:rsidRPr="00A96D05">
        <w:rPr>
          <w:rFonts w:ascii="Book Antiqua" w:hAnsi="Book Antiqua" w:cs="Book Antiqua"/>
          <w:color w:val="000000"/>
          <w:sz w:val="24"/>
          <w:szCs w:val="24"/>
          <w:lang w:val="en-US"/>
        </w:rPr>
        <w:t>, Bardwell JC. Disulfide-linked protein folding pathways. </w:t>
      </w:r>
      <w:r w:rsidRPr="00A96D05">
        <w:rPr>
          <w:rFonts w:ascii="Book Antiqua" w:hAnsi="Book Antiqua" w:cs="Book Antiqua"/>
          <w:i/>
          <w:iCs/>
          <w:color w:val="000000"/>
          <w:sz w:val="24"/>
          <w:szCs w:val="24"/>
          <w:lang w:val="en-US"/>
        </w:rPr>
        <w:t>Annu Rev Cell Dev Biol</w:t>
      </w:r>
      <w:r w:rsidRPr="00A96D05">
        <w:rPr>
          <w:rFonts w:ascii="Book Antiqua" w:hAnsi="Book Antiqua" w:cs="Book Antiqua"/>
          <w:color w:val="000000"/>
          <w:sz w:val="24"/>
          <w:szCs w:val="24"/>
          <w:lang w:val="en-US"/>
        </w:rPr>
        <w:t> 2008; </w:t>
      </w:r>
      <w:r w:rsidRPr="00A96D05">
        <w:rPr>
          <w:rFonts w:ascii="Book Antiqua" w:hAnsi="Book Antiqua" w:cs="Book Antiqua"/>
          <w:b/>
          <w:bCs/>
          <w:color w:val="000000"/>
          <w:sz w:val="24"/>
          <w:szCs w:val="24"/>
          <w:lang w:val="en-US"/>
        </w:rPr>
        <w:t>24</w:t>
      </w:r>
      <w:r w:rsidRPr="00A96D05">
        <w:rPr>
          <w:rFonts w:ascii="Book Antiqua" w:hAnsi="Book Antiqua" w:cs="Book Antiqua"/>
          <w:color w:val="000000"/>
          <w:sz w:val="24"/>
          <w:szCs w:val="24"/>
          <w:lang w:val="en-US"/>
        </w:rPr>
        <w:t>: 211-235 [PMID: 18588487 DOI: 10.1146/annurev.cellbio.24.110707.175333]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61 </w:t>
      </w:r>
      <w:r w:rsidRPr="00A96D05">
        <w:rPr>
          <w:rFonts w:ascii="Book Antiqua" w:hAnsi="Book Antiqua" w:cs="Book Antiqua"/>
          <w:b/>
          <w:bCs/>
          <w:color w:val="000000"/>
          <w:sz w:val="24"/>
          <w:szCs w:val="24"/>
          <w:lang w:val="en-US"/>
        </w:rPr>
        <w:t>Oka OB</w:t>
      </w:r>
      <w:r w:rsidRPr="00A96D05">
        <w:rPr>
          <w:rFonts w:ascii="Book Antiqua" w:hAnsi="Book Antiqua" w:cs="Book Antiqua"/>
          <w:color w:val="000000"/>
          <w:sz w:val="24"/>
          <w:szCs w:val="24"/>
          <w:lang w:val="en-US"/>
        </w:rPr>
        <w:t>, Yeoh HY, Bulleid NJ. Thiol-disulfide exchange between the PDI family of oxidoreductases negates the requirement for an oxidase or reductase for each enzyme. </w:t>
      </w:r>
      <w:r w:rsidRPr="00A96D05">
        <w:rPr>
          <w:rFonts w:ascii="Book Antiqua" w:hAnsi="Book Antiqua" w:cs="Book Antiqua"/>
          <w:i/>
          <w:iCs/>
          <w:color w:val="000000"/>
          <w:sz w:val="24"/>
          <w:szCs w:val="24"/>
          <w:lang w:val="en-US"/>
        </w:rPr>
        <w:t>Biochem J</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469</w:t>
      </w:r>
      <w:r w:rsidRPr="00A96D05">
        <w:rPr>
          <w:rFonts w:ascii="Book Antiqua" w:hAnsi="Book Antiqua" w:cs="Book Antiqua"/>
          <w:color w:val="000000"/>
          <w:sz w:val="24"/>
          <w:szCs w:val="24"/>
          <w:lang w:val="en-US"/>
        </w:rPr>
        <w:t>: 279-288 [PMID: 25989104 DOI: 10.1042/bj20141423]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62 </w:t>
      </w:r>
      <w:r w:rsidRPr="00A96D05">
        <w:rPr>
          <w:rFonts w:ascii="Book Antiqua" w:hAnsi="Book Antiqua" w:cs="Book Antiqua"/>
          <w:b/>
          <w:bCs/>
          <w:color w:val="000000"/>
          <w:sz w:val="24"/>
          <w:szCs w:val="24"/>
          <w:lang w:val="en-US"/>
        </w:rPr>
        <w:t>Benham AM</w:t>
      </w:r>
      <w:r w:rsidRPr="00A96D05">
        <w:rPr>
          <w:rFonts w:ascii="Book Antiqua" w:hAnsi="Book Antiqua" w:cs="Book Antiqua"/>
          <w:color w:val="000000"/>
          <w:sz w:val="24"/>
          <w:szCs w:val="24"/>
          <w:lang w:val="en-US"/>
        </w:rPr>
        <w:t>. The protein disulfide isomerase family: key players in health and disease. </w:t>
      </w:r>
      <w:r w:rsidRPr="00A96D05">
        <w:rPr>
          <w:rFonts w:ascii="Book Antiqua" w:hAnsi="Book Antiqua" w:cs="Book Antiqua"/>
          <w:i/>
          <w:iCs/>
          <w:color w:val="000000"/>
          <w:sz w:val="24"/>
          <w:szCs w:val="24"/>
          <w:lang w:val="en-US"/>
        </w:rPr>
        <w:t>Antioxid Redox Signal</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16</w:t>
      </w:r>
      <w:r w:rsidRPr="00A96D05">
        <w:rPr>
          <w:rFonts w:ascii="Book Antiqua" w:hAnsi="Book Antiqua" w:cs="Book Antiqua"/>
          <w:color w:val="000000"/>
          <w:sz w:val="24"/>
          <w:szCs w:val="24"/>
          <w:lang w:val="en-US"/>
        </w:rPr>
        <w:t>: 781-789 [PMID: 22142258 DOI: 10.1089/ars.2011.4439]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63 </w:t>
      </w:r>
      <w:r w:rsidRPr="00A96D05">
        <w:rPr>
          <w:rFonts w:ascii="Book Antiqua" w:hAnsi="Book Antiqua" w:cs="Book Antiqua"/>
          <w:b/>
          <w:bCs/>
          <w:color w:val="000000"/>
          <w:sz w:val="24"/>
          <w:szCs w:val="24"/>
          <w:lang w:val="en-US"/>
        </w:rPr>
        <w:t>Coe H</w:t>
      </w:r>
      <w:r w:rsidRPr="00A96D05">
        <w:rPr>
          <w:rFonts w:ascii="Book Antiqua" w:hAnsi="Book Antiqua" w:cs="Book Antiqua"/>
          <w:color w:val="000000"/>
          <w:sz w:val="24"/>
          <w:szCs w:val="24"/>
          <w:lang w:val="en-US"/>
        </w:rPr>
        <w:t>, Michalak M. ERp57, a multifunctional endoplasmic reticulum resident oxidoreductase. </w:t>
      </w:r>
      <w:r w:rsidRPr="00A96D05">
        <w:rPr>
          <w:rFonts w:ascii="Book Antiqua" w:hAnsi="Book Antiqua" w:cs="Book Antiqua"/>
          <w:i/>
          <w:iCs/>
          <w:color w:val="000000"/>
          <w:sz w:val="24"/>
          <w:szCs w:val="24"/>
          <w:lang w:val="en-US"/>
        </w:rPr>
        <w:t>Int J Biochem Cell Biol</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42</w:t>
      </w:r>
      <w:r w:rsidRPr="00A96D05">
        <w:rPr>
          <w:rFonts w:ascii="Book Antiqua" w:hAnsi="Book Antiqua" w:cs="Book Antiqua"/>
          <w:color w:val="000000"/>
          <w:sz w:val="24"/>
          <w:szCs w:val="24"/>
          <w:lang w:val="en-US"/>
        </w:rPr>
        <w:t>: 796-799 [PMID: 20079872 DOI: 10.1016/j.biocel.2010.01.009]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64 </w:t>
      </w:r>
      <w:r w:rsidRPr="00A96D05">
        <w:rPr>
          <w:rFonts w:ascii="Book Antiqua" w:hAnsi="Book Antiqua" w:cs="Book Antiqua"/>
          <w:b/>
          <w:bCs/>
          <w:color w:val="000000"/>
          <w:sz w:val="24"/>
          <w:szCs w:val="24"/>
          <w:lang w:val="en-US"/>
        </w:rPr>
        <w:t>Turano C</w:t>
      </w:r>
      <w:r w:rsidRPr="00A96D05">
        <w:rPr>
          <w:rFonts w:ascii="Book Antiqua" w:hAnsi="Book Antiqua" w:cs="Book Antiqua"/>
          <w:color w:val="000000"/>
          <w:sz w:val="24"/>
          <w:szCs w:val="24"/>
          <w:lang w:val="en-US"/>
        </w:rPr>
        <w:t>, Coppari S, Altieri F, Ferraro A. Proteins of the PDI family: unpredicted non-ER locations and functions. </w:t>
      </w:r>
      <w:r w:rsidRPr="00A96D05">
        <w:rPr>
          <w:rFonts w:ascii="Book Antiqua" w:hAnsi="Book Antiqua" w:cs="Book Antiqua"/>
          <w:i/>
          <w:iCs/>
          <w:color w:val="000000"/>
          <w:sz w:val="24"/>
          <w:szCs w:val="24"/>
          <w:lang w:val="en-US"/>
        </w:rPr>
        <w:t>J Cell Physiol</w:t>
      </w:r>
      <w:r w:rsidRPr="00A96D05">
        <w:rPr>
          <w:rFonts w:ascii="Book Antiqua" w:hAnsi="Book Antiqua" w:cs="Book Antiqua"/>
          <w:color w:val="000000"/>
          <w:sz w:val="24"/>
          <w:szCs w:val="24"/>
          <w:lang w:val="en-US"/>
        </w:rPr>
        <w:t> 2002; </w:t>
      </w:r>
      <w:r w:rsidRPr="00A96D05">
        <w:rPr>
          <w:rFonts w:ascii="Book Antiqua" w:hAnsi="Book Antiqua" w:cs="Book Antiqua"/>
          <w:b/>
          <w:bCs/>
          <w:color w:val="000000"/>
          <w:sz w:val="24"/>
          <w:szCs w:val="24"/>
          <w:lang w:val="en-US"/>
        </w:rPr>
        <w:t>193</w:t>
      </w:r>
      <w:r w:rsidRPr="00A96D05">
        <w:rPr>
          <w:rFonts w:ascii="Book Antiqua" w:hAnsi="Book Antiqua" w:cs="Book Antiqua"/>
          <w:color w:val="000000"/>
          <w:sz w:val="24"/>
          <w:szCs w:val="24"/>
          <w:lang w:val="en-US"/>
        </w:rPr>
        <w:t>: 154-163 [PMID: 12384992 DOI: 10.1002/jcp.10172]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 xml:space="preserve">65 </w:t>
      </w:r>
      <w:r w:rsidRPr="00A96D05">
        <w:rPr>
          <w:rFonts w:ascii="Book Antiqua" w:hAnsi="Book Antiqua" w:cs="Book Antiqua"/>
          <w:b/>
          <w:bCs/>
          <w:color w:val="000000"/>
          <w:sz w:val="24"/>
          <w:szCs w:val="24"/>
          <w:lang w:val="en-US"/>
        </w:rPr>
        <w:t>Kozlov G</w:t>
      </w:r>
      <w:r w:rsidRPr="00A96D05">
        <w:rPr>
          <w:rFonts w:ascii="Book Antiqua" w:hAnsi="Book Antiqua" w:cs="Book Antiqua"/>
          <w:color w:val="000000"/>
          <w:sz w:val="24"/>
          <w:szCs w:val="24"/>
          <w:lang w:val="en-US"/>
        </w:rPr>
        <w:t xml:space="preserve">, Määttänen P, Thomas DY, Gehring K. A structural overview of the PDI family of proteins. </w:t>
      </w:r>
      <w:r w:rsidRPr="00A96D05">
        <w:rPr>
          <w:rFonts w:ascii="Book Antiqua" w:hAnsi="Book Antiqua" w:cs="Book Antiqua"/>
          <w:i/>
          <w:iCs/>
          <w:color w:val="000000"/>
          <w:sz w:val="24"/>
          <w:szCs w:val="24"/>
          <w:lang w:val="en-US"/>
        </w:rPr>
        <w:t>FEBS J </w:t>
      </w:r>
      <w:r w:rsidRPr="00A96D05">
        <w:rPr>
          <w:rFonts w:ascii="Book Antiqua" w:hAnsi="Book Antiqua" w:cs="Book Antiqua"/>
          <w:color w:val="000000"/>
          <w:sz w:val="24"/>
          <w:szCs w:val="24"/>
          <w:lang w:val="en-US"/>
        </w:rPr>
        <w:t xml:space="preserve">2010; </w:t>
      </w:r>
      <w:r w:rsidRPr="00A96D05">
        <w:rPr>
          <w:rFonts w:ascii="Book Antiqua" w:hAnsi="Book Antiqua" w:cs="Book Antiqua"/>
          <w:b/>
          <w:bCs/>
          <w:color w:val="000000"/>
          <w:sz w:val="24"/>
          <w:szCs w:val="24"/>
          <w:lang w:val="en-US"/>
        </w:rPr>
        <w:t>277</w:t>
      </w:r>
      <w:r w:rsidRPr="00A96D05">
        <w:rPr>
          <w:rFonts w:ascii="Book Antiqua" w:hAnsi="Book Antiqua" w:cs="Book Antiqua"/>
          <w:color w:val="000000"/>
          <w:sz w:val="24"/>
          <w:szCs w:val="24"/>
          <w:lang w:val="en-US"/>
        </w:rPr>
        <w:t>: 3924-3936 [DOI: 10.1111/j.1742-4658.2010.07793.x]</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66 </w:t>
      </w:r>
      <w:r w:rsidRPr="00A96D05">
        <w:rPr>
          <w:rFonts w:ascii="Book Antiqua" w:hAnsi="Book Antiqua" w:cs="Book Antiqua"/>
          <w:b/>
          <w:bCs/>
          <w:color w:val="000000"/>
          <w:sz w:val="24"/>
          <w:szCs w:val="24"/>
          <w:lang w:val="en-US"/>
        </w:rPr>
        <w:t>Ryser HJ</w:t>
      </w:r>
      <w:r w:rsidRPr="00A96D05">
        <w:rPr>
          <w:rFonts w:ascii="Book Antiqua" w:hAnsi="Book Antiqua" w:cs="Book Antiqua"/>
          <w:color w:val="000000"/>
          <w:sz w:val="24"/>
          <w:szCs w:val="24"/>
          <w:lang w:val="en-US"/>
        </w:rPr>
        <w:t>, Levy EM, Mandel R, DiSciullo GJ. Inhibition of human immunodeficiency virus infection by agents that interfere with thiol-disulfide interchange upon virus-receptor interaction. </w:t>
      </w:r>
      <w:r w:rsidRPr="00A96D05">
        <w:rPr>
          <w:rFonts w:ascii="Book Antiqua" w:hAnsi="Book Antiqua" w:cs="Book Antiqua"/>
          <w:i/>
          <w:iCs/>
          <w:color w:val="000000"/>
          <w:sz w:val="24"/>
          <w:szCs w:val="24"/>
          <w:lang w:val="en-US"/>
        </w:rPr>
        <w:t>Proc Natl Acad Sci USA</w:t>
      </w:r>
      <w:r w:rsidRPr="00A96D05">
        <w:rPr>
          <w:rFonts w:ascii="Book Antiqua" w:hAnsi="Book Antiqua" w:cs="Book Antiqua"/>
          <w:color w:val="000000"/>
          <w:sz w:val="24"/>
          <w:szCs w:val="24"/>
          <w:lang w:val="en-US"/>
        </w:rPr>
        <w:t> 1994; </w:t>
      </w:r>
      <w:r w:rsidRPr="00A96D05">
        <w:rPr>
          <w:rFonts w:ascii="Book Antiqua" w:hAnsi="Book Antiqua" w:cs="Book Antiqua"/>
          <w:b/>
          <w:bCs/>
          <w:color w:val="000000"/>
          <w:sz w:val="24"/>
          <w:szCs w:val="24"/>
          <w:lang w:val="en-US"/>
        </w:rPr>
        <w:t>91</w:t>
      </w:r>
      <w:r w:rsidRPr="00A96D05">
        <w:rPr>
          <w:rFonts w:ascii="Book Antiqua" w:hAnsi="Book Antiqua" w:cs="Book Antiqua"/>
          <w:color w:val="000000"/>
          <w:sz w:val="24"/>
          <w:szCs w:val="24"/>
          <w:lang w:val="en-US"/>
        </w:rPr>
        <w:t>: 4559-4563 [PMID: 8183947]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67 </w:t>
      </w:r>
      <w:r w:rsidRPr="00A96D05">
        <w:rPr>
          <w:rFonts w:ascii="Book Antiqua" w:hAnsi="Book Antiqua" w:cs="Book Antiqua"/>
          <w:b/>
          <w:bCs/>
          <w:color w:val="000000"/>
          <w:sz w:val="24"/>
          <w:szCs w:val="24"/>
          <w:lang w:val="en-US"/>
        </w:rPr>
        <w:t>Karala AR</w:t>
      </w:r>
      <w:r w:rsidRPr="00A96D05">
        <w:rPr>
          <w:rFonts w:ascii="Book Antiqua" w:hAnsi="Book Antiqua" w:cs="Book Antiqua"/>
          <w:color w:val="000000"/>
          <w:sz w:val="24"/>
          <w:szCs w:val="24"/>
          <w:lang w:val="en-US"/>
        </w:rPr>
        <w:t>, Ruddock LW. Bacitracin is not a specific inhibitor of protein disulfide isomerase. </w:t>
      </w:r>
      <w:r w:rsidRPr="00A96D05">
        <w:rPr>
          <w:rFonts w:ascii="Book Antiqua" w:hAnsi="Book Antiqua" w:cs="Book Antiqua"/>
          <w:i/>
          <w:iCs/>
          <w:color w:val="000000"/>
          <w:sz w:val="24"/>
          <w:szCs w:val="24"/>
          <w:lang w:val="en-US"/>
        </w:rPr>
        <w:t>FEBS J</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277</w:t>
      </w:r>
      <w:r w:rsidRPr="00A96D05">
        <w:rPr>
          <w:rFonts w:ascii="Book Antiqua" w:hAnsi="Book Antiqua" w:cs="Book Antiqua"/>
          <w:color w:val="000000"/>
          <w:sz w:val="24"/>
          <w:szCs w:val="24"/>
          <w:lang w:val="en-US"/>
        </w:rPr>
        <w:t>: 2454-2462 [PMID: 20477872 DOI: 10.1111/j.1742-4658.2010.07660.x]</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68 </w:t>
      </w:r>
      <w:r w:rsidRPr="00A96D05">
        <w:rPr>
          <w:rFonts w:ascii="Book Antiqua" w:hAnsi="Book Antiqua" w:cs="Book Antiqua"/>
          <w:b/>
          <w:bCs/>
          <w:color w:val="000000"/>
          <w:sz w:val="24"/>
          <w:szCs w:val="24"/>
          <w:lang w:val="en-US"/>
        </w:rPr>
        <w:t>Zhao G</w:t>
      </w:r>
      <w:r w:rsidRPr="00A96D05">
        <w:rPr>
          <w:rFonts w:ascii="Book Antiqua" w:hAnsi="Book Antiqua" w:cs="Book Antiqua"/>
          <w:color w:val="000000"/>
          <w:sz w:val="24"/>
          <w:szCs w:val="24"/>
          <w:lang w:val="en-US"/>
        </w:rPr>
        <w:t>, Lu H, Li C. Proapoptotic activities of protein disulfide isomerase (PDI) and PDIA3 protein, a role of the Bcl-2 protein Bak. </w:t>
      </w:r>
      <w:r w:rsidRPr="00A96D05">
        <w:rPr>
          <w:rFonts w:ascii="Book Antiqua" w:hAnsi="Book Antiqua" w:cs="Book Antiqua"/>
          <w:i/>
          <w:iCs/>
          <w:color w:val="000000"/>
          <w:sz w:val="24"/>
          <w:szCs w:val="24"/>
          <w:lang w:val="en-US"/>
        </w:rPr>
        <w:t>J Biol Chem</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290</w:t>
      </w:r>
      <w:r w:rsidRPr="00A96D05">
        <w:rPr>
          <w:rFonts w:ascii="Book Antiqua" w:hAnsi="Book Antiqua" w:cs="Book Antiqua"/>
          <w:color w:val="000000"/>
          <w:sz w:val="24"/>
          <w:szCs w:val="24"/>
          <w:lang w:val="en-US"/>
        </w:rPr>
        <w:t>: 8949-8963 [PMID: 25697356 DOI: 10.1074/jbc.M114.619353]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69 </w:t>
      </w:r>
      <w:r w:rsidRPr="00A96D05">
        <w:rPr>
          <w:rFonts w:ascii="Book Antiqua" w:hAnsi="Book Antiqua" w:cs="Book Antiqua"/>
          <w:b/>
          <w:bCs/>
          <w:color w:val="000000"/>
          <w:sz w:val="24"/>
          <w:szCs w:val="24"/>
          <w:lang w:val="en-US"/>
        </w:rPr>
        <w:t>Laurindo FR</w:t>
      </w:r>
      <w:r w:rsidRPr="00A96D05">
        <w:rPr>
          <w:rFonts w:ascii="Book Antiqua" w:hAnsi="Book Antiqua" w:cs="Book Antiqua"/>
          <w:color w:val="000000"/>
          <w:sz w:val="24"/>
          <w:szCs w:val="24"/>
          <w:lang w:val="en-US"/>
        </w:rPr>
        <w:t>, Araujo TL, Abrahão TB. Nox NADPH oxidases and the endoplasmic reticulum. </w:t>
      </w:r>
      <w:r w:rsidRPr="00A96D05">
        <w:rPr>
          <w:rFonts w:ascii="Book Antiqua" w:hAnsi="Book Antiqua" w:cs="Book Antiqua"/>
          <w:i/>
          <w:iCs/>
          <w:color w:val="000000"/>
          <w:sz w:val="24"/>
          <w:szCs w:val="24"/>
          <w:lang w:val="en-US"/>
        </w:rPr>
        <w:t>Antioxid Redox Signal</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20</w:t>
      </w:r>
      <w:r w:rsidRPr="00A96D05">
        <w:rPr>
          <w:rFonts w:ascii="Book Antiqua" w:hAnsi="Book Antiqua" w:cs="Book Antiqua"/>
          <w:color w:val="000000"/>
          <w:sz w:val="24"/>
          <w:szCs w:val="24"/>
          <w:lang w:val="en-US"/>
        </w:rPr>
        <w:t>: 2755-2775 [PMID: 24386930 DOI: 10.1089/ars.2013.5605]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70 </w:t>
      </w:r>
      <w:r w:rsidRPr="00A96D05">
        <w:rPr>
          <w:rFonts w:ascii="Book Antiqua" w:hAnsi="Book Antiqua" w:cs="Book Antiqua"/>
          <w:b/>
          <w:bCs/>
          <w:color w:val="000000"/>
          <w:sz w:val="24"/>
          <w:szCs w:val="24"/>
          <w:lang w:val="en-US"/>
        </w:rPr>
        <w:t>Santos CX</w:t>
      </w:r>
      <w:r w:rsidRPr="00A96D05">
        <w:rPr>
          <w:rFonts w:ascii="Book Antiqua" w:hAnsi="Book Antiqua" w:cs="Book Antiqua"/>
          <w:color w:val="000000"/>
          <w:sz w:val="24"/>
          <w:szCs w:val="24"/>
          <w:lang w:val="en-US"/>
        </w:rPr>
        <w:t>, Stolf BS, Takemoto PV, Amanso AM, Lopes LR, Souza EB, Goto H, Laurindo FR. Protein disulfide isomerase (PDI) associates with NADPH oxidase and is required for phagocytosis of Leishmania chagasi promastigotes by macrophages. </w:t>
      </w:r>
      <w:r w:rsidRPr="00A96D05">
        <w:rPr>
          <w:rFonts w:ascii="Book Antiqua" w:hAnsi="Book Antiqua" w:cs="Book Antiqua"/>
          <w:i/>
          <w:iCs/>
          <w:color w:val="000000"/>
          <w:sz w:val="24"/>
          <w:szCs w:val="24"/>
          <w:lang w:val="en-US"/>
        </w:rPr>
        <w:t>J Leukoc Biol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86</w:t>
      </w:r>
      <w:r w:rsidRPr="00A96D05">
        <w:rPr>
          <w:rFonts w:ascii="Book Antiqua" w:hAnsi="Book Antiqua" w:cs="Book Antiqua"/>
          <w:color w:val="000000"/>
          <w:sz w:val="24"/>
          <w:szCs w:val="24"/>
          <w:lang w:val="en-US"/>
        </w:rPr>
        <w:t>: 989-998 [PMID: 19564574 DOI: 10.1189/jlb.0608354]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71 </w:t>
      </w:r>
      <w:r w:rsidRPr="00A96D05">
        <w:rPr>
          <w:rFonts w:ascii="Book Antiqua" w:hAnsi="Book Antiqua" w:cs="Book Antiqua"/>
          <w:b/>
          <w:bCs/>
          <w:color w:val="000000"/>
          <w:sz w:val="24"/>
          <w:szCs w:val="24"/>
          <w:lang w:val="en-US"/>
        </w:rPr>
        <w:t>Fernandes DC</w:t>
      </w:r>
      <w:r w:rsidRPr="00A96D05">
        <w:rPr>
          <w:rFonts w:ascii="Book Antiqua" w:hAnsi="Book Antiqua" w:cs="Book Antiqua"/>
          <w:color w:val="000000"/>
          <w:sz w:val="24"/>
          <w:szCs w:val="24"/>
          <w:lang w:val="en-US"/>
        </w:rPr>
        <w:t>, Manoel AH, Wosniak J, Laurindo FR. Protein disulfide isomerase overexpression in vascular smooth muscle cells induces spontaneous preemptive NADPH oxidase activation and Nox1 mRNA expression: effects of nitrosothiol exposure. </w:t>
      </w:r>
      <w:r w:rsidRPr="00A96D05">
        <w:rPr>
          <w:rFonts w:ascii="Book Antiqua" w:hAnsi="Book Antiqua" w:cs="Book Antiqua"/>
          <w:i/>
          <w:iCs/>
          <w:color w:val="000000"/>
          <w:sz w:val="24"/>
          <w:szCs w:val="24"/>
          <w:lang w:val="en-US"/>
        </w:rPr>
        <w:t>Arch Biochem Biophys</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484</w:t>
      </w:r>
      <w:r w:rsidRPr="00A96D05">
        <w:rPr>
          <w:rFonts w:ascii="Book Antiqua" w:hAnsi="Book Antiqua" w:cs="Book Antiqua"/>
          <w:color w:val="000000"/>
          <w:sz w:val="24"/>
          <w:szCs w:val="24"/>
          <w:lang w:val="en-US"/>
        </w:rPr>
        <w:t>: 197-204 [PMID: 19402212 DOI: 10.1016/j.abb.2009.01.022]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72 </w:t>
      </w:r>
      <w:r w:rsidRPr="00A96D05">
        <w:rPr>
          <w:rFonts w:ascii="Book Antiqua" w:hAnsi="Book Antiqua" w:cs="Book Antiqua"/>
          <w:b/>
          <w:bCs/>
          <w:color w:val="000000"/>
          <w:sz w:val="24"/>
          <w:szCs w:val="24"/>
          <w:lang w:val="en-US"/>
        </w:rPr>
        <w:t>Parent R</w:t>
      </w:r>
      <w:r w:rsidRPr="00A96D05">
        <w:rPr>
          <w:rFonts w:ascii="Book Antiqua" w:hAnsi="Book Antiqua" w:cs="Book Antiqua"/>
          <w:color w:val="000000"/>
          <w:sz w:val="24"/>
          <w:szCs w:val="24"/>
          <w:lang w:val="en-US"/>
        </w:rPr>
        <w:t>, Qu X, Petit MA, Beretta L. The heat shock cognate protein 70 is associated with hepatitis C virus particles and modulates virus infectivity. </w:t>
      </w:r>
      <w:r w:rsidRPr="00A96D05">
        <w:rPr>
          <w:rFonts w:ascii="Book Antiqua" w:hAnsi="Book Antiqua" w:cs="Book Antiqua"/>
          <w:i/>
          <w:iCs/>
          <w:color w:val="000000"/>
          <w:sz w:val="24"/>
          <w:szCs w:val="24"/>
          <w:lang w:val="en-US"/>
        </w:rPr>
        <w:t>Hepatology</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49</w:t>
      </w:r>
      <w:r w:rsidRPr="00A96D05">
        <w:rPr>
          <w:rFonts w:ascii="Book Antiqua" w:hAnsi="Book Antiqua" w:cs="Book Antiqua"/>
          <w:color w:val="000000"/>
          <w:sz w:val="24"/>
          <w:szCs w:val="24"/>
          <w:lang w:val="en-US"/>
        </w:rPr>
        <w:t>: 1798-1809 [PMID: 19434724 DOI: 10.1002/hep.22852]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73 </w:t>
      </w:r>
      <w:r w:rsidRPr="00A96D05">
        <w:rPr>
          <w:rFonts w:ascii="Book Antiqua" w:hAnsi="Book Antiqua" w:cs="Book Antiqua"/>
          <w:b/>
          <w:bCs/>
          <w:color w:val="000000"/>
          <w:sz w:val="24"/>
          <w:szCs w:val="24"/>
          <w:lang w:val="en-US"/>
        </w:rPr>
        <w:t>Sullivan CS</w:t>
      </w:r>
      <w:r w:rsidRPr="00A96D05">
        <w:rPr>
          <w:rFonts w:ascii="Book Antiqua" w:hAnsi="Book Antiqua" w:cs="Book Antiqua"/>
          <w:color w:val="000000"/>
          <w:sz w:val="24"/>
          <w:szCs w:val="24"/>
          <w:lang w:val="en-US"/>
        </w:rPr>
        <w:t>, Pipas JM. The virus-chaperone connection. </w:t>
      </w:r>
      <w:r w:rsidRPr="00A96D05">
        <w:rPr>
          <w:rFonts w:ascii="Book Antiqua" w:hAnsi="Book Antiqua" w:cs="Book Antiqua"/>
          <w:i/>
          <w:iCs/>
          <w:color w:val="000000"/>
          <w:sz w:val="24"/>
          <w:szCs w:val="24"/>
          <w:lang w:val="en-US"/>
        </w:rPr>
        <w:t>Virology</w:t>
      </w:r>
      <w:r w:rsidRPr="00A96D05">
        <w:rPr>
          <w:rFonts w:ascii="Book Antiqua" w:hAnsi="Book Antiqua" w:cs="Book Antiqua"/>
          <w:color w:val="000000"/>
          <w:sz w:val="24"/>
          <w:szCs w:val="24"/>
          <w:lang w:val="en-US"/>
        </w:rPr>
        <w:t> 2001; </w:t>
      </w:r>
      <w:r w:rsidRPr="00A96D05">
        <w:rPr>
          <w:rFonts w:ascii="Book Antiqua" w:hAnsi="Book Antiqua" w:cs="Book Antiqua"/>
          <w:b/>
          <w:bCs/>
          <w:color w:val="000000"/>
          <w:sz w:val="24"/>
          <w:szCs w:val="24"/>
          <w:lang w:val="en-US"/>
        </w:rPr>
        <w:t>287</w:t>
      </w:r>
      <w:r w:rsidRPr="00A96D05">
        <w:rPr>
          <w:rFonts w:ascii="Book Antiqua" w:hAnsi="Book Antiqua" w:cs="Book Antiqua"/>
          <w:color w:val="000000"/>
          <w:sz w:val="24"/>
          <w:szCs w:val="24"/>
          <w:lang w:val="en-US"/>
        </w:rPr>
        <w:t>: 1-8 [PMID: 11504535 DOI: 10.1006/viro.2001.1038]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74 </w:t>
      </w:r>
      <w:r w:rsidRPr="00A96D05">
        <w:rPr>
          <w:rFonts w:ascii="Book Antiqua" w:hAnsi="Book Antiqua" w:cs="Book Antiqua"/>
          <w:b/>
          <w:bCs/>
          <w:color w:val="000000"/>
          <w:sz w:val="24"/>
          <w:szCs w:val="24"/>
          <w:lang w:val="en-US"/>
        </w:rPr>
        <w:t>Chromy LR</w:t>
      </w:r>
      <w:r w:rsidRPr="00A96D05">
        <w:rPr>
          <w:rFonts w:ascii="Book Antiqua" w:hAnsi="Book Antiqua" w:cs="Book Antiqua"/>
          <w:color w:val="000000"/>
          <w:sz w:val="24"/>
          <w:szCs w:val="24"/>
          <w:lang w:val="en-US"/>
        </w:rPr>
        <w:t>, Pipas JM, Garcea RL. Chaperone-mediated in vitro assembly of Polyomavirus capsids. </w:t>
      </w:r>
      <w:r w:rsidRPr="00A96D05">
        <w:rPr>
          <w:rFonts w:ascii="Book Antiqua" w:hAnsi="Book Antiqua" w:cs="Book Antiqua"/>
          <w:i/>
          <w:iCs/>
          <w:color w:val="000000"/>
          <w:sz w:val="24"/>
          <w:szCs w:val="24"/>
          <w:lang w:val="en-US"/>
        </w:rPr>
        <w:t>Proc Natl Acad Sci USA</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100</w:t>
      </w:r>
      <w:r w:rsidRPr="00A96D05">
        <w:rPr>
          <w:rFonts w:ascii="Book Antiqua" w:hAnsi="Book Antiqua" w:cs="Book Antiqua"/>
          <w:color w:val="000000"/>
          <w:sz w:val="24"/>
          <w:szCs w:val="24"/>
          <w:lang w:val="en-US"/>
        </w:rPr>
        <w:t>: 10477-10482 [PMID: 12928495 DOI: 10.1073/pnas.1832245100]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75 </w:t>
      </w:r>
      <w:r w:rsidRPr="00A96D05">
        <w:rPr>
          <w:rFonts w:ascii="Book Antiqua" w:hAnsi="Book Antiqua" w:cs="Book Antiqua"/>
          <w:b/>
          <w:bCs/>
          <w:color w:val="000000"/>
          <w:sz w:val="24"/>
          <w:szCs w:val="24"/>
          <w:lang w:val="en-US"/>
        </w:rPr>
        <w:t>Watanabe K</w:t>
      </w:r>
      <w:r w:rsidRPr="00A96D05">
        <w:rPr>
          <w:rFonts w:ascii="Book Antiqua" w:hAnsi="Book Antiqua" w:cs="Book Antiqua"/>
          <w:color w:val="000000"/>
          <w:sz w:val="24"/>
          <w:szCs w:val="24"/>
          <w:lang w:val="en-US"/>
        </w:rPr>
        <w:t>, Fuse T, Asano I, Tsukahara F, Maru Y, Nagata K, Kitazato K, Kobayashi N. Identification of Hsc70 as an influenza virus matrix protein (M1) binding factor involved in the virus life cycle. </w:t>
      </w:r>
      <w:r w:rsidRPr="00A96D05">
        <w:rPr>
          <w:rFonts w:ascii="Book Antiqua" w:hAnsi="Book Antiqua" w:cs="Book Antiqua"/>
          <w:i/>
          <w:iCs/>
          <w:color w:val="000000"/>
          <w:sz w:val="24"/>
          <w:szCs w:val="24"/>
          <w:lang w:val="en-US"/>
        </w:rPr>
        <w:t>FEBS Lett</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580</w:t>
      </w:r>
      <w:r w:rsidRPr="00A96D05">
        <w:rPr>
          <w:rFonts w:ascii="Book Antiqua" w:hAnsi="Book Antiqua" w:cs="Book Antiqua"/>
          <w:color w:val="000000"/>
          <w:sz w:val="24"/>
          <w:szCs w:val="24"/>
          <w:lang w:val="en-US"/>
        </w:rPr>
        <w:t>: 5785-5790 [PMID: 17022977 DOI: 10.1016/j.febslet.2006.09.040]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76 </w:t>
      </w:r>
      <w:r w:rsidRPr="00A96D05">
        <w:rPr>
          <w:rFonts w:ascii="Book Antiqua" w:hAnsi="Book Antiqua" w:cs="Book Antiqua"/>
          <w:b/>
          <w:bCs/>
          <w:color w:val="000000"/>
          <w:sz w:val="24"/>
          <w:szCs w:val="24"/>
          <w:lang w:val="en-US"/>
        </w:rPr>
        <w:t>Liu T</w:t>
      </w:r>
      <w:r w:rsidRPr="00A96D05">
        <w:rPr>
          <w:rFonts w:ascii="Book Antiqua" w:hAnsi="Book Antiqua" w:cs="Book Antiqua"/>
          <w:color w:val="000000"/>
          <w:sz w:val="24"/>
          <w:szCs w:val="24"/>
          <w:lang w:val="en-US"/>
        </w:rPr>
        <w:t>, Daniels CK, Cao S. Comprehensive review on the HSC70 functions, interactions with related molecules and involvement in clinical diseases and therapeutic potential. </w:t>
      </w:r>
      <w:r w:rsidRPr="00A96D05">
        <w:rPr>
          <w:rFonts w:ascii="Book Antiqua" w:hAnsi="Book Antiqua" w:cs="Book Antiqua"/>
          <w:i/>
          <w:iCs/>
          <w:color w:val="000000"/>
          <w:sz w:val="24"/>
          <w:szCs w:val="24"/>
          <w:lang w:val="en-US"/>
        </w:rPr>
        <w:t>Pharmacol Ther</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136</w:t>
      </w:r>
      <w:r w:rsidRPr="00A96D05">
        <w:rPr>
          <w:rFonts w:ascii="Book Antiqua" w:hAnsi="Book Antiqua" w:cs="Book Antiqua"/>
          <w:color w:val="000000"/>
          <w:sz w:val="24"/>
          <w:szCs w:val="24"/>
          <w:lang w:val="en-US"/>
        </w:rPr>
        <w:t>: 354-374 [PMID: 22960394 DOI: 10.1016/j.pharmthera.2012.08.014]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77 </w:t>
      </w:r>
      <w:r w:rsidRPr="00A96D05">
        <w:rPr>
          <w:rFonts w:ascii="Book Antiqua" w:hAnsi="Book Antiqua" w:cs="Book Antiqua"/>
          <w:b/>
          <w:bCs/>
          <w:color w:val="000000"/>
          <w:sz w:val="24"/>
          <w:szCs w:val="24"/>
          <w:lang w:val="en-US"/>
        </w:rPr>
        <w:t>Dastoor Z</w:t>
      </w:r>
      <w:r w:rsidRPr="00A96D05">
        <w:rPr>
          <w:rFonts w:ascii="Book Antiqua" w:hAnsi="Book Antiqua" w:cs="Book Antiqua"/>
          <w:color w:val="000000"/>
          <w:sz w:val="24"/>
          <w:szCs w:val="24"/>
          <w:lang w:val="en-US"/>
        </w:rPr>
        <w:t>, Dreyer J. Nuclear translocation and aggregate formation of heat shock cognate protein 70 (Hsc70) in oxidative stress and apoptosis. </w:t>
      </w:r>
      <w:r w:rsidRPr="00A96D05">
        <w:rPr>
          <w:rFonts w:ascii="Book Antiqua" w:hAnsi="Book Antiqua" w:cs="Book Antiqua"/>
          <w:i/>
          <w:iCs/>
          <w:color w:val="000000"/>
          <w:sz w:val="24"/>
          <w:szCs w:val="24"/>
          <w:lang w:val="en-US"/>
        </w:rPr>
        <w:t>J Cell Sci</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113</w:t>
      </w:r>
      <w:r w:rsidRPr="00A96D05">
        <w:rPr>
          <w:rFonts w:ascii="Book Antiqua" w:hAnsi="Book Antiqua" w:cs="Book Antiqua"/>
          <w:color w:val="000000"/>
          <w:sz w:val="24"/>
          <w:szCs w:val="24"/>
          <w:lang w:val="en-US"/>
        </w:rPr>
        <w:t xml:space="preserve"> (Pt 16): 2845-2854 [PMID: 10910769]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78 </w:t>
      </w:r>
      <w:r w:rsidRPr="00A96D05">
        <w:rPr>
          <w:rFonts w:ascii="Book Antiqua" w:hAnsi="Book Antiqua" w:cs="Book Antiqua"/>
          <w:b/>
          <w:bCs/>
          <w:color w:val="000000"/>
          <w:sz w:val="24"/>
          <w:szCs w:val="24"/>
          <w:lang w:val="en-US"/>
        </w:rPr>
        <w:t>Chuang CK</w:t>
      </w:r>
      <w:r w:rsidRPr="00A96D05">
        <w:rPr>
          <w:rFonts w:ascii="Book Antiqua" w:hAnsi="Book Antiqua" w:cs="Book Antiqua"/>
          <w:color w:val="000000"/>
          <w:sz w:val="24"/>
          <w:szCs w:val="24"/>
          <w:lang w:val="en-US"/>
        </w:rPr>
        <w:t>, Yang TH, Chen TH, Yang CF, Chen WJ. Heat shock cognate protein 70 isoform D is required for clathrin-dependent endocytosis of Japanese encephalitis virus in C6/36 cells. </w:t>
      </w:r>
      <w:r w:rsidRPr="00A96D05">
        <w:rPr>
          <w:rFonts w:ascii="Book Antiqua" w:hAnsi="Book Antiqua" w:cs="Book Antiqua"/>
          <w:i/>
          <w:iCs/>
          <w:color w:val="000000"/>
          <w:sz w:val="24"/>
          <w:szCs w:val="24"/>
          <w:lang w:val="en-US"/>
        </w:rPr>
        <w:t>J Gen Virol</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96</w:t>
      </w:r>
      <w:r w:rsidRPr="00A96D05">
        <w:rPr>
          <w:rFonts w:ascii="Book Antiqua" w:hAnsi="Book Antiqua" w:cs="Book Antiqua"/>
          <w:color w:val="000000"/>
          <w:sz w:val="24"/>
          <w:szCs w:val="24"/>
          <w:lang w:val="en-US"/>
        </w:rPr>
        <w:t>: 793-803 [PMID: 25502019 DOI: 10.1099/jgv.0.000015]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79 </w:t>
      </w:r>
      <w:r w:rsidRPr="00A96D05">
        <w:rPr>
          <w:rFonts w:ascii="Book Antiqua" w:hAnsi="Book Antiqua" w:cs="Book Antiqua"/>
          <w:b/>
          <w:bCs/>
          <w:color w:val="000000"/>
          <w:sz w:val="24"/>
          <w:szCs w:val="24"/>
          <w:lang w:val="en-US"/>
        </w:rPr>
        <w:t>Lim JW</w:t>
      </w:r>
      <w:r w:rsidRPr="00A96D05">
        <w:rPr>
          <w:rFonts w:ascii="Book Antiqua" w:hAnsi="Book Antiqua" w:cs="Book Antiqua"/>
          <w:color w:val="000000"/>
          <w:sz w:val="24"/>
          <w:szCs w:val="24"/>
          <w:lang w:val="en-US"/>
        </w:rPr>
        <w:t>, Kim KH, Kim H. NF-kappaB p65 regulates nuclear translocation of Ku70 via degradation of heat shock cognate protein 70 in pancreatic acinar AR42J cells. </w:t>
      </w:r>
      <w:r w:rsidRPr="00A96D05">
        <w:rPr>
          <w:rFonts w:ascii="Book Antiqua" w:hAnsi="Book Antiqua" w:cs="Book Antiqua"/>
          <w:i/>
          <w:iCs/>
          <w:color w:val="000000"/>
          <w:sz w:val="24"/>
          <w:szCs w:val="24"/>
          <w:lang w:val="en-US"/>
        </w:rPr>
        <w:t>Int J Biochem Cell Biol</w:t>
      </w:r>
      <w:r w:rsidRPr="00A96D05">
        <w:rPr>
          <w:rFonts w:ascii="Book Antiqua" w:hAnsi="Book Antiqua" w:cs="Book Antiqua"/>
          <w:color w:val="000000"/>
          <w:sz w:val="24"/>
          <w:szCs w:val="24"/>
          <w:lang w:val="en-US"/>
        </w:rPr>
        <w:t> 2008; </w:t>
      </w:r>
      <w:r w:rsidRPr="00A96D05">
        <w:rPr>
          <w:rFonts w:ascii="Book Antiqua" w:hAnsi="Book Antiqua" w:cs="Book Antiqua"/>
          <w:b/>
          <w:bCs/>
          <w:color w:val="000000"/>
          <w:sz w:val="24"/>
          <w:szCs w:val="24"/>
          <w:lang w:val="en-US"/>
        </w:rPr>
        <w:t>40</w:t>
      </w:r>
      <w:r w:rsidRPr="00A96D05">
        <w:rPr>
          <w:rFonts w:ascii="Book Antiqua" w:hAnsi="Book Antiqua" w:cs="Book Antiqua"/>
          <w:color w:val="000000"/>
          <w:sz w:val="24"/>
          <w:szCs w:val="24"/>
          <w:lang w:val="en-US"/>
        </w:rPr>
        <w:t>: 2065-2077 [PMID: 18378183 DOI: 10.1016/j.biocel.2008.02.015]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80 </w:t>
      </w:r>
      <w:r w:rsidRPr="00A96D05">
        <w:rPr>
          <w:rFonts w:ascii="Book Antiqua" w:hAnsi="Book Antiqua" w:cs="Book Antiqua"/>
          <w:b/>
          <w:bCs/>
          <w:color w:val="000000"/>
          <w:sz w:val="24"/>
          <w:szCs w:val="24"/>
          <w:lang w:val="en-US"/>
        </w:rPr>
        <w:t>Ou W</w:t>
      </w:r>
      <w:r w:rsidRPr="00A96D05">
        <w:rPr>
          <w:rFonts w:ascii="Book Antiqua" w:hAnsi="Book Antiqua" w:cs="Book Antiqua"/>
          <w:color w:val="000000"/>
          <w:sz w:val="24"/>
          <w:szCs w:val="24"/>
          <w:lang w:val="en-US"/>
        </w:rPr>
        <w:t>, Silver J. Role of protein disulfide isomerase and other thiol-reactive proteins in HIV-1 envelope protein-mediated fusion. </w:t>
      </w:r>
      <w:r w:rsidRPr="00A96D05">
        <w:rPr>
          <w:rFonts w:ascii="Book Antiqua" w:hAnsi="Book Antiqua" w:cs="Book Antiqua"/>
          <w:i/>
          <w:iCs/>
          <w:color w:val="000000"/>
          <w:sz w:val="24"/>
          <w:szCs w:val="24"/>
          <w:lang w:val="en-US"/>
        </w:rPr>
        <w:t>Virology</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350</w:t>
      </w:r>
      <w:r w:rsidRPr="00A96D05">
        <w:rPr>
          <w:rFonts w:ascii="Book Antiqua" w:hAnsi="Book Antiqua" w:cs="Book Antiqua"/>
          <w:color w:val="000000"/>
          <w:sz w:val="24"/>
          <w:szCs w:val="24"/>
          <w:lang w:val="en-US"/>
        </w:rPr>
        <w:t>: 406-417 [PMID: 16507315 DOI: 10.1016/j.virol.2006.01.041]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81 </w:t>
      </w:r>
      <w:r w:rsidRPr="00A96D05">
        <w:rPr>
          <w:rFonts w:ascii="Book Antiqua" w:hAnsi="Book Antiqua" w:cs="Book Antiqua"/>
          <w:b/>
          <w:bCs/>
          <w:color w:val="000000"/>
          <w:sz w:val="24"/>
          <w:szCs w:val="24"/>
          <w:lang w:val="en-US"/>
        </w:rPr>
        <w:t>Auwerx J</w:t>
      </w:r>
      <w:r w:rsidRPr="00A96D05">
        <w:rPr>
          <w:rFonts w:ascii="Book Antiqua" w:hAnsi="Book Antiqua" w:cs="Book Antiqua"/>
          <w:color w:val="000000"/>
          <w:sz w:val="24"/>
          <w:szCs w:val="24"/>
          <w:lang w:val="en-US"/>
        </w:rPr>
        <w:t>, Isacsson O, Söderlund J, Balzarini J, Johansson M, Lundberg M. Human glutaredoxin-1 catalyzes the reduction of HIV-1 gp120 and CD4 disulfides and its inhibition reduces HIV-1 replication. </w:t>
      </w:r>
      <w:r w:rsidRPr="00A96D05">
        <w:rPr>
          <w:rFonts w:ascii="Book Antiqua" w:hAnsi="Book Antiqua" w:cs="Book Antiqua"/>
          <w:i/>
          <w:iCs/>
          <w:color w:val="000000"/>
          <w:sz w:val="24"/>
          <w:szCs w:val="24"/>
          <w:lang w:val="en-US"/>
        </w:rPr>
        <w:t>Int J Biochem Cell Biol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41</w:t>
      </w:r>
      <w:r w:rsidRPr="00A96D05">
        <w:rPr>
          <w:rFonts w:ascii="Book Antiqua" w:hAnsi="Book Antiqua" w:cs="Book Antiqua"/>
          <w:color w:val="000000"/>
          <w:sz w:val="24"/>
          <w:szCs w:val="24"/>
          <w:lang w:val="en-US"/>
        </w:rPr>
        <w:t>: 1269-1275 [PMID: 19038358 DOI: 10.1016/j.biocel.2008.10.031]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82 </w:t>
      </w:r>
      <w:r w:rsidRPr="00A96D05">
        <w:rPr>
          <w:rFonts w:ascii="Book Antiqua" w:hAnsi="Book Antiqua" w:cs="Book Antiqua"/>
          <w:b/>
          <w:bCs/>
          <w:color w:val="000000"/>
          <w:sz w:val="24"/>
          <w:szCs w:val="24"/>
          <w:lang w:val="en-US"/>
        </w:rPr>
        <w:t>Reiser K</w:t>
      </w:r>
      <w:r w:rsidRPr="00A96D05">
        <w:rPr>
          <w:rFonts w:ascii="Book Antiqua" w:hAnsi="Book Antiqua" w:cs="Book Antiqua"/>
          <w:color w:val="000000"/>
          <w:sz w:val="24"/>
          <w:szCs w:val="24"/>
          <w:lang w:val="en-US"/>
        </w:rPr>
        <w:t>, François KO, Schols D, Bergman T, Jörnvall H, Balzarini J, Karlsson A, Lundberg M. Thioredoxin-1 and protein disulfide isomerase catalyze the reduction of similar disulfides in HIV gp120. </w:t>
      </w:r>
      <w:r w:rsidRPr="00A96D05">
        <w:rPr>
          <w:rFonts w:ascii="Book Antiqua" w:hAnsi="Book Antiqua" w:cs="Book Antiqua"/>
          <w:i/>
          <w:iCs/>
          <w:color w:val="000000"/>
          <w:sz w:val="24"/>
          <w:szCs w:val="24"/>
          <w:lang w:val="en-US"/>
        </w:rPr>
        <w:t>Int J Biochem Cell Biol</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44</w:t>
      </w:r>
      <w:r w:rsidRPr="00A96D05">
        <w:rPr>
          <w:rFonts w:ascii="Book Antiqua" w:hAnsi="Book Antiqua" w:cs="Book Antiqua"/>
          <w:color w:val="000000"/>
          <w:sz w:val="24"/>
          <w:szCs w:val="24"/>
          <w:lang w:val="en-US"/>
        </w:rPr>
        <w:t>: 556-562 [PMID: 22230366 DOI: 10.1016/j.biocel.2011.12.015]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83 </w:t>
      </w:r>
      <w:r w:rsidRPr="00A96D05">
        <w:rPr>
          <w:rFonts w:ascii="Book Antiqua" w:hAnsi="Book Antiqua" w:cs="Book Antiqua"/>
          <w:b/>
          <w:bCs/>
          <w:color w:val="000000"/>
          <w:sz w:val="24"/>
          <w:szCs w:val="24"/>
          <w:lang w:val="en-US"/>
        </w:rPr>
        <w:t>Wan SW</w:t>
      </w:r>
      <w:r w:rsidRPr="00A96D05">
        <w:rPr>
          <w:rFonts w:ascii="Book Antiqua" w:hAnsi="Book Antiqua" w:cs="Book Antiqua"/>
          <w:color w:val="000000"/>
          <w:sz w:val="24"/>
          <w:szCs w:val="24"/>
          <w:lang w:val="en-US"/>
        </w:rPr>
        <w:t xml:space="preserve">, Lin CF, Lu YT, Lei HY, Anderson R, Lin YS. Endothelial cell surface expression of protein disulfide isomerase activates </w:t>
      </w:r>
      <w:r w:rsidRPr="00A96D05">
        <w:rPr>
          <w:rFonts w:ascii="Book Antiqua" w:hAnsi="Book Antiqua" w:cs="Book Antiqua"/>
          <w:color w:val="000000"/>
          <w:sz w:val="24"/>
          <w:szCs w:val="24"/>
        </w:rPr>
        <w:t>β</w:t>
      </w:r>
      <w:r w:rsidRPr="00A96D05">
        <w:rPr>
          <w:rFonts w:ascii="Book Antiqua" w:hAnsi="Book Antiqua" w:cs="Book Antiqua"/>
          <w:color w:val="000000"/>
          <w:sz w:val="24"/>
          <w:szCs w:val="24"/>
          <w:lang w:val="en-US"/>
        </w:rPr>
        <w:t xml:space="preserve">1 and </w:t>
      </w:r>
      <w:r w:rsidRPr="00A96D05">
        <w:rPr>
          <w:rFonts w:ascii="Book Antiqua" w:hAnsi="Book Antiqua" w:cs="Book Antiqua"/>
          <w:color w:val="000000"/>
          <w:sz w:val="24"/>
          <w:szCs w:val="24"/>
        </w:rPr>
        <w:t>β</w:t>
      </w:r>
      <w:r w:rsidRPr="00A96D05">
        <w:rPr>
          <w:rFonts w:ascii="Book Antiqua" w:hAnsi="Book Antiqua" w:cs="Book Antiqua"/>
          <w:color w:val="000000"/>
          <w:sz w:val="24"/>
          <w:szCs w:val="24"/>
          <w:lang w:val="en-US"/>
        </w:rPr>
        <w:t>3 integrins and facilitates dengue virus infection. </w:t>
      </w:r>
      <w:r w:rsidRPr="00A96D05">
        <w:rPr>
          <w:rFonts w:ascii="Book Antiqua" w:hAnsi="Book Antiqua" w:cs="Book Antiqua"/>
          <w:i/>
          <w:iCs/>
          <w:color w:val="000000"/>
          <w:sz w:val="24"/>
          <w:szCs w:val="24"/>
          <w:lang w:val="en-US"/>
        </w:rPr>
        <w:t>J Cell Biochem</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113</w:t>
      </w:r>
      <w:r w:rsidRPr="00A96D05">
        <w:rPr>
          <w:rFonts w:ascii="Book Antiqua" w:hAnsi="Book Antiqua" w:cs="Book Antiqua"/>
          <w:color w:val="000000"/>
          <w:sz w:val="24"/>
          <w:szCs w:val="24"/>
          <w:lang w:val="en-US"/>
        </w:rPr>
        <w:t>: 1681-1691 [PMID: 22422622 DOI: 10.1002/jcb.24037]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84 </w:t>
      </w:r>
      <w:r w:rsidRPr="00A96D05">
        <w:rPr>
          <w:rFonts w:ascii="Book Antiqua" w:hAnsi="Book Antiqua" w:cs="Book Antiqua"/>
          <w:b/>
          <w:bCs/>
          <w:color w:val="000000"/>
          <w:sz w:val="24"/>
          <w:szCs w:val="24"/>
          <w:lang w:val="en-US"/>
        </w:rPr>
        <w:t>Smith JG</w:t>
      </w:r>
      <w:r w:rsidRPr="00A96D05">
        <w:rPr>
          <w:rFonts w:ascii="Book Antiqua" w:hAnsi="Book Antiqua" w:cs="Book Antiqua"/>
          <w:color w:val="000000"/>
          <w:sz w:val="24"/>
          <w:szCs w:val="24"/>
          <w:lang w:val="en-US"/>
        </w:rPr>
        <w:t>, Cunningham JM. Receptor-induced thiolate couples Env activation to retrovirus fusion and infection. </w:t>
      </w:r>
      <w:r w:rsidRPr="00A96D05">
        <w:rPr>
          <w:rFonts w:ascii="Book Antiqua" w:hAnsi="Book Antiqua" w:cs="Book Antiqua"/>
          <w:i/>
          <w:iCs/>
          <w:color w:val="000000"/>
          <w:sz w:val="24"/>
          <w:szCs w:val="24"/>
          <w:lang w:val="en-US"/>
        </w:rPr>
        <w:t>PLoS Pathog</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3</w:t>
      </w:r>
      <w:r w:rsidRPr="00A96D05">
        <w:rPr>
          <w:rFonts w:ascii="Book Antiqua" w:hAnsi="Book Antiqua" w:cs="Book Antiqua"/>
          <w:color w:val="000000"/>
          <w:sz w:val="24"/>
          <w:szCs w:val="24"/>
          <w:lang w:val="en-US"/>
        </w:rPr>
        <w:t>: e198 [PMID: 18260686 DOI: 10.1371/journal.ppat.0030198]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85 </w:t>
      </w:r>
      <w:r w:rsidRPr="00A96D05">
        <w:rPr>
          <w:rFonts w:ascii="Book Antiqua" w:hAnsi="Book Antiqua" w:cs="Book Antiqua"/>
          <w:b/>
          <w:bCs/>
          <w:color w:val="000000"/>
          <w:sz w:val="24"/>
          <w:szCs w:val="24"/>
          <w:lang w:val="en-US"/>
        </w:rPr>
        <w:t>Abell BA</w:t>
      </w:r>
      <w:r w:rsidRPr="00A96D05">
        <w:rPr>
          <w:rFonts w:ascii="Book Antiqua" w:hAnsi="Book Antiqua" w:cs="Book Antiqua"/>
          <w:color w:val="000000"/>
          <w:sz w:val="24"/>
          <w:szCs w:val="24"/>
          <w:lang w:val="en-US"/>
        </w:rPr>
        <w:t>, Brown DT. Sindbis virus membrane fusion is mediated by reduction of glycoprotein disulfide bridges at the cell surface.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1993; </w:t>
      </w:r>
      <w:r w:rsidRPr="00A96D05">
        <w:rPr>
          <w:rFonts w:ascii="Book Antiqua" w:hAnsi="Book Antiqua" w:cs="Book Antiqua"/>
          <w:b/>
          <w:bCs/>
          <w:color w:val="000000"/>
          <w:sz w:val="24"/>
          <w:szCs w:val="24"/>
          <w:lang w:val="en-US"/>
        </w:rPr>
        <w:t>67</w:t>
      </w:r>
      <w:r w:rsidRPr="00A96D05">
        <w:rPr>
          <w:rFonts w:ascii="Book Antiqua" w:hAnsi="Book Antiqua" w:cs="Book Antiqua"/>
          <w:color w:val="000000"/>
          <w:sz w:val="24"/>
          <w:szCs w:val="24"/>
          <w:lang w:val="en-US"/>
        </w:rPr>
        <w:t>: 5496-5501 [PMID: 8350409]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86 </w:t>
      </w:r>
      <w:r w:rsidRPr="00A96D05">
        <w:rPr>
          <w:rFonts w:ascii="Book Antiqua" w:hAnsi="Book Antiqua" w:cs="Book Antiqua"/>
          <w:b/>
          <w:bCs/>
          <w:color w:val="000000"/>
          <w:sz w:val="24"/>
          <w:szCs w:val="24"/>
          <w:lang w:val="en-US"/>
        </w:rPr>
        <w:t>Abou-Jaoudé G</w:t>
      </w:r>
      <w:r w:rsidRPr="00A96D05">
        <w:rPr>
          <w:rFonts w:ascii="Book Antiqua" w:hAnsi="Book Antiqua" w:cs="Book Antiqua"/>
          <w:color w:val="000000"/>
          <w:sz w:val="24"/>
          <w:szCs w:val="24"/>
          <w:lang w:val="en-US"/>
        </w:rPr>
        <w:t>, Sureau C. Entry of hepatitis delta virus requires the conserved cysteine residues of the hepatitis B virus envelope protein antigenic loop and is blocked by inhibitors of thiol-disulfide exchange.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81</w:t>
      </w:r>
      <w:r w:rsidRPr="00A96D05">
        <w:rPr>
          <w:rFonts w:ascii="Book Antiqua" w:hAnsi="Book Antiqua" w:cs="Book Antiqua"/>
          <w:color w:val="000000"/>
          <w:sz w:val="24"/>
          <w:szCs w:val="24"/>
          <w:lang w:val="en-US"/>
        </w:rPr>
        <w:t>: 13057-13066 [PMID: 17898062 DOI: 10.1128/jvi.01495-07]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87 </w:t>
      </w:r>
      <w:r w:rsidRPr="00A96D05">
        <w:rPr>
          <w:rFonts w:ascii="Book Antiqua" w:hAnsi="Book Antiqua" w:cs="Book Antiqua"/>
          <w:b/>
          <w:bCs/>
          <w:color w:val="000000"/>
          <w:sz w:val="24"/>
          <w:szCs w:val="24"/>
          <w:lang w:val="en-US"/>
        </w:rPr>
        <w:t>Jain S</w:t>
      </w:r>
      <w:r w:rsidRPr="00A96D05">
        <w:rPr>
          <w:rFonts w:ascii="Book Antiqua" w:hAnsi="Book Antiqua" w:cs="Book Antiqua"/>
          <w:color w:val="000000"/>
          <w:sz w:val="24"/>
          <w:szCs w:val="24"/>
          <w:lang w:val="en-US"/>
        </w:rPr>
        <w:t>, McGinnes LW, Morrison TG. Thiol/disulfide exchange is required for membrane fusion directed by the Newcastle disease virus fusion protein.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81</w:t>
      </w:r>
      <w:r w:rsidRPr="00A96D05">
        <w:rPr>
          <w:rFonts w:ascii="Book Antiqua" w:hAnsi="Book Antiqua" w:cs="Book Antiqua"/>
          <w:color w:val="000000"/>
          <w:sz w:val="24"/>
          <w:szCs w:val="24"/>
          <w:lang w:val="en-US"/>
        </w:rPr>
        <w:t>: 2328-2339 [PMID: 17151113 DOI: 10.1128/jvi.01940-06]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88 </w:t>
      </w:r>
      <w:r w:rsidRPr="00A96D05">
        <w:rPr>
          <w:rFonts w:ascii="Book Antiqua" w:hAnsi="Book Antiqua" w:cs="Book Antiqua"/>
          <w:b/>
          <w:bCs/>
          <w:color w:val="000000"/>
          <w:sz w:val="24"/>
          <w:szCs w:val="24"/>
          <w:lang w:val="en-US"/>
        </w:rPr>
        <w:t>Jain S</w:t>
      </w:r>
      <w:r w:rsidRPr="00A96D05">
        <w:rPr>
          <w:rFonts w:ascii="Book Antiqua" w:hAnsi="Book Antiqua" w:cs="Book Antiqua"/>
          <w:color w:val="000000"/>
          <w:sz w:val="24"/>
          <w:szCs w:val="24"/>
          <w:lang w:val="en-US"/>
        </w:rPr>
        <w:t>, McGinnes LW, Morrison TG. Role of thiol/disulfide exchange in newcastle disease virus entry.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83</w:t>
      </w:r>
      <w:r w:rsidRPr="00A96D05">
        <w:rPr>
          <w:rFonts w:ascii="Book Antiqua" w:hAnsi="Book Antiqua" w:cs="Book Antiqua"/>
          <w:color w:val="000000"/>
          <w:sz w:val="24"/>
          <w:szCs w:val="24"/>
          <w:lang w:val="en-US"/>
        </w:rPr>
        <w:t>: 241-249 [PMID: 18922867 DOI: 10.1128/jvi.01407-08]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89 </w:t>
      </w:r>
      <w:r w:rsidRPr="00A96D05">
        <w:rPr>
          <w:rFonts w:ascii="Book Antiqua" w:hAnsi="Book Antiqua" w:cs="Book Antiqua"/>
          <w:b/>
          <w:bCs/>
          <w:color w:val="000000"/>
          <w:sz w:val="24"/>
          <w:szCs w:val="24"/>
          <w:lang w:val="en-US"/>
        </w:rPr>
        <w:t>Jain S</w:t>
      </w:r>
      <w:r w:rsidRPr="00A96D05">
        <w:rPr>
          <w:rFonts w:ascii="Book Antiqua" w:hAnsi="Book Antiqua" w:cs="Book Antiqua"/>
          <w:color w:val="000000"/>
          <w:sz w:val="24"/>
          <w:szCs w:val="24"/>
          <w:lang w:val="en-US"/>
        </w:rPr>
        <w:t>, McGinnes LW, Morrison TG. Overexpression of thiol/disulfide isomerases enhances membrane fusion directed by the Newcastle disease virus fusion protein.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2008; </w:t>
      </w:r>
      <w:r w:rsidRPr="00A96D05">
        <w:rPr>
          <w:rFonts w:ascii="Book Antiqua" w:hAnsi="Book Antiqua" w:cs="Book Antiqua"/>
          <w:b/>
          <w:bCs/>
          <w:color w:val="000000"/>
          <w:sz w:val="24"/>
          <w:szCs w:val="24"/>
          <w:lang w:val="en-US"/>
        </w:rPr>
        <w:t>82</w:t>
      </w:r>
      <w:r w:rsidRPr="00A96D05">
        <w:rPr>
          <w:rFonts w:ascii="Book Antiqua" w:hAnsi="Book Antiqua" w:cs="Book Antiqua"/>
          <w:color w:val="000000"/>
          <w:sz w:val="24"/>
          <w:szCs w:val="24"/>
          <w:lang w:val="en-US"/>
        </w:rPr>
        <w:t>: 12039-12048 [PMID: 18829746 DOI: 10.1128/jvi.01406-08]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90 </w:t>
      </w:r>
      <w:r w:rsidRPr="00A96D05">
        <w:rPr>
          <w:rFonts w:ascii="Book Antiqua" w:hAnsi="Book Antiqua" w:cs="Book Antiqua"/>
          <w:b/>
          <w:bCs/>
          <w:color w:val="000000"/>
          <w:sz w:val="24"/>
          <w:szCs w:val="24"/>
          <w:lang w:val="en-US"/>
        </w:rPr>
        <w:t>Gilbert J</w:t>
      </w:r>
      <w:r w:rsidRPr="00A96D05">
        <w:rPr>
          <w:rFonts w:ascii="Book Antiqua" w:hAnsi="Book Antiqua" w:cs="Book Antiqua"/>
          <w:color w:val="000000"/>
          <w:sz w:val="24"/>
          <w:szCs w:val="24"/>
          <w:lang w:val="en-US"/>
        </w:rPr>
        <w:t>, Ou W, Silver J, Benjamin T. Downregulation of protein disulfide isomerase inhibits infection by the mouse polyomavirus.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80</w:t>
      </w:r>
      <w:r w:rsidRPr="00A96D05">
        <w:rPr>
          <w:rFonts w:ascii="Book Antiqua" w:hAnsi="Book Antiqua" w:cs="Book Antiqua"/>
          <w:color w:val="000000"/>
          <w:sz w:val="24"/>
          <w:szCs w:val="24"/>
          <w:lang w:val="en-US"/>
        </w:rPr>
        <w:t>: 10868-10870 [PMID: 16928750 DOI: 10.1128/jvi.01117-06]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91 </w:t>
      </w:r>
      <w:r w:rsidRPr="00A96D05">
        <w:rPr>
          <w:rFonts w:ascii="Book Antiqua" w:hAnsi="Book Antiqua" w:cs="Book Antiqua"/>
          <w:b/>
          <w:bCs/>
          <w:color w:val="000000"/>
          <w:sz w:val="24"/>
          <w:szCs w:val="24"/>
          <w:lang w:val="en-US"/>
        </w:rPr>
        <w:t>Ali Khan H</w:t>
      </w:r>
      <w:r w:rsidRPr="00A96D05">
        <w:rPr>
          <w:rFonts w:ascii="Book Antiqua" w:hAnsi="Book Antiqua" w:cs="Book Antiqua"/>
          <w:color w:val="000000"/>
          <w:sz w:val="24"/>
          <w:szCs w:val="24"/>
          <w:lang w:val="en-US"/>
        </w:rPr>
        <w:t>, Mutus B. Protein disulfide isomerase a multifunctional protein with multiple physiological roles. </w:t>
      </w:r>
      <w:r w:rsidRPr="00A96D05">
        <w:rPr>
          <w:rFonts w:ascii="Book Antiqua" w:hAnsi="Book Antiqua" w:cs="Book Antiqua"/>
          <w:i/>
          <w:iCs/>
          <w:color w:val="000000"/>
          <w:sz w:val="24"/>
          <w:szCs w:val="24"/>
          <w:lang w:val="en-US"/>
        </w:rPr>
        <w:t>Front Chem</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2</w:t>
      </w:r>
      <w:r w:rsidRPr="00A96D05">
        <w:rPr>
          <w:rFonts w:ascii="Book Antiqua" w:hAnsi="Book Antiqua" w:cs="Book Antiqua"/>
          <w:color w:val="000000"/>
          <w:sz w:val="24"/>
          <w:szCs w:val="24"/>
          <w:lang w:val="en-US"/>
        </w:rPr>
        <w:t>: 70 [PMID: 25207270 DOI: 10.3389/fchem.2014.00070]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92 </w:t>
      </w:r>
      <w:r w:rsidRPr="00A96D05">
        <w:rPr>
          <w:rFonts w:ascii="Book Antiqua" w:hAnsi="Book Antiqua" w:cs="Book Antiqua"/>
          <w:b/>
          <w:bCs/>
          <w:color w:val="000000"/>
          <w:sz w:val="24"/>
          <w:szCs w:val="24"/>
          <w:lang w:val="en-US"/>
        </w:rPr>
        <w:t>Parakh S</w:t>
      </w:r>
      <w:r w:rsidRPr="00A96D05">
        <w:rPr>
          <w:rFonts w:ascii="Book Antiqua" w:hAnsi="Book Antiqua" w:cs="Book Antiqua"/>
          <w:color w:val="000000"/>
          <w:sz w:val="24"/>
          <w:szCs w:val="24"/>
          <w:lang w:val="en-US"/>
        </w:rPr>
        <w:t>, Atkin JD. Novel roles for protein disulphide isomerase in disease states: a double edged sword? </w:t>
      </w:r>
      <w:r w:rsidRPr="00A96D05">
        <w:rPr>
          <w:rFonts w:ascii="Book Antiqua" w:hAnsi="Book Antiqua" w:cs="Book Antiqua"/>
          <w:i/>
          <w:iCs/>
          <w:color w:val="000000"/>
          <w:sz w:val="24"/>
          <w:szCs w:val="24"/>
          <w:lang w:val="en-US"/>
        </w:rPr>
        <w:t>Front Cell Dev Biol</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3</w:t>
      </w:r>
      <w:r w:rsidRPr="00A96D05">
        <w:rPr>
          <w:rFonts w:ascii="Book Antiqua" w:hAnsi="Book Antiqua" w:cs="Book Antiqua"/>
          <w:color w:val="000000"/>
          <w:sz w:val="24"/>
          <w:szCs w:val="24"/>
          <w:lang w:val="en-US"/>
        </w:rPr>
        <w:t>: 30 [PMID: 26052512 DOI: 10.3389/fcell.2015.00030]</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lang w:val="en-US"/>
        </w:rPr>
        <w:t>93 </w:t>
      </w:r>
      <w:r w:rsidRPr="00A96D05">
        <w:rPr>
          <w:rFonts w:ascii="Book Antiqua" w:hAnsi="Book Antiqua" w:cs="Book Antiqua"/>
          <w:b/>
          <w:bCs/>
          <w:color w:val="000000"/>
          <w:sz w:val="24"/>
          <w:szCs w:val="24"/>
          <w:lang w:val="en-US"/>
        </w:rPr>
        <w:t>Stegmann M</w:t>
      </w:r>
      <w:r w:rsidRPr="00A96D05">
        <w:rPr>
          <w:rFonts w:ascii="Book Antiqua" w:hAnsi="Book Antiqua" w:cs="Book Antiqua"/>
          <w:color w:val="000000"/>
          <w:sz w:val="24"/>
          <w:szCs w:val="24"/>
          <w:lang w:val="en-US"/>
        </w:rPr>
        <w:t>, Metcalfe C, Barclay AN. Immunoregulation through membrane proteins modified by reducing conditions induced by immune reactions. </w:t>
      </w:r>
      <w:r w:rsidRPr="00A96D05">
        <w:rPr>
          <w:rFonts w:ascii="Book Antiqua" w:hAnsi="Book Antiqua" w:cs="Book Antiqua"/>
          <w:i/>
          <w:iCs/>
          <w:color w:val="000000"/>
          <w:sz w:val="24"/>
          <w:szCs w:val="24"/>
        </w:rPr>
        <w:t>Eur J Immunol</w:t>
      </w:r>
      <w:r w:rsidRPr="00A96D05">
        <w:rPr>
          <w:rFonts w:ascii="Book Antiqua" w:hAnsi="Book Antiqua" w:cs="Book Antiqua"/>
          <w:color w:val="000000"/>
          <w:sz w:val="24"/>
          <w:szCs w:val="24"/>
        </w:rPr>
        <w:t> 2013; </w:t>
      </w:r>
      <w:r w:rsidRPr="00A96D05">
        <w:rPr>
          <w:rFonts w:ascii="Book Antiqua" w:hAnsi="Book Antiqua" w:cs="Book Antiqua"/>
          <w:b/>
          <w:bCs/>
          <w:color w:val="000000"/>
          <w:sz w:val="24"/>
          <w:szCs w:val="24"/>
        </w:rPr>
        <w:t>43</w:t>
      </w:r>
      <w:r w:rsidRPr="00A96D05">
        <w:rPr>
          <w:rFonts w:ascii="Book Antiqua" w:hAnsi="Book Antiqua" w:cs="Book Antiqua"/>
          <w:color w:val="000000"/>
          <w:sz w:val="24"/>
          <w:szCs w:val="24"/>
        </w:rPr>
        <w:t>: 15-21 [PMID: 23233323 DOI: 10.1002/eji.201242849]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rPr>
        <w:t xml:space="preserve">94 </w:t>
      </w:r>
      <w:r w:rsidRPr="00A96D05">
        <w:rPr>
          <w:rFonts w:ascii="Book Antiqua" w:hAnsi="Book Antiqua" w:cs="Book Antiqua"/>
          <w:b/>
          <w:bCs/>
          <w:color w:val="000000"/>
          <w:sz w:val="24"/>
          <w:szCs w:val="24"/>
        </w:rPr>
        <w:t>Calderón MN</w:t>
      </w:r>
      <w:r w:rsidRPr="00A96D05">
        <w:rPr>
          <w:rFonts w:ascii="Book Antiqua" w:hAnsi="Book Antiqua" w:cs="Book Antiqua"/>
          <w:color w:val="000000"/>
          <w:sz w:val="24"/>
          <w:szCs w:val="24"/>
        </w:rPr>
        <w:t xml:space="preserve">, Guzmán F, Acosta O, Guerrero CA. </w:t>
      </w:r>
      <w:r w:rsidRPr="00A96D05">
        <w:rPr>
          <w:rFonts w:ascii="Book Antiqua" w:hAnsi="Book Antiqua" w:cs="Book Antiqua"/>
          <w:color w:val="000000"/>
          <w:sz w:val="24"/>
          <w:szCs w:val="24"/>
          <w:lang w:val="en-US"/>
        </w:rPr>
        <w:t xml:space="preserve">Rotavirus VP4 and VP7-derived synthetic peptides as potential substrates of protein disulfide isomerase lead to inhibition of rotavirus infection. </w:t>
      </w:r>
      <w:r w:rsidRPr="00A96D05">
        <w:rPr>
          <w:rFonts w:ascii="Book Antiqua" w:hAnsi="Book Antiqua" w:cs="Book Antiqua"/>
          <w:i/>
          <w:iCs/>
          <w:color w:val="000000"/>
          <w:sz w:val="24"/>
          <w:szCs w:val="24"/>
          <w:lang w:val="en-US"/>
        </w:rPr>
        <w:t xml:space="preserve">Int J Pept Res Ther </w:t>
      </w:r>
      <w:r w:rsidRPr="00A96D05">
        <w:rPr>
          <w:rFonts w:ascii="Book Antiqua" w:hAnsi="Book Antiqua" w:cs="Book Antiqua"/>
          <w:color w:val="000000"/>
          <w:sz w:val="24"/>
          <w:szCs w:val="24"/>
          <w:lang w:val="en-US"/>
        </w:rPr>
        <w:t xml:space="preserve">2012; </w:t>
      </w:r>
      <w:r w:rsidRPr="00A96D05">
        <w:rPr>
          <w:rFonts w:ascii="Book Antiqua" w:hAnsi="Book Antiqua" w:cs="Book Antiqua"/>
          <w:b/>
          <w:bCs/>
          <w:color w:val="000000"/>
          <w:sz w:val="24"/>
          <w:szCs w:val="24"/>
          <w:lang w:val="en-US"/>
        </w:rPr>
        <w:t>18</w:t>
      </w:r>
      <w:r w:rsidRPr="00A96D05">
        <w:rPr>
          <w:rFonts w:ascii="Book Antiqua" w:hAnsi="Book Antiqua" w:cs="Book Antiqua"/>
          <w:color w:val="000000"/>
          <w:sz w:val="24"/>
          <w:szCs w:val="24"/>
          <w:lang w:val="en-US"/>
        </w:rPr>
        <w:t>: 373-382 [DOI: 10.1007/s10989-012-9314-z]</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95 </w:t>
      </w:r>
      <w:r w:rsidRPr="00A96D05">
        <w:rPr>
          <w:rFonts w:ascii="Book Antiqua" w:hAnsi="Book Antiqua" w:cs="Book Antiqua"/>
          <w:b/>
          <w:bCs/>
          <w:color w:val="000000"/>
          <w:sz w:val="24"/>
          <w:szCs w:val="24"/>
          <w:lang w:val="en-US"/>
        </w:rPr>
        <w:t>Lopez S</w:t>
      </w:r>
      <w:r w:rsidRPr="00A96D05">
        <w:rPr>
          <w:rFonts w:ascii="Book Antiqua" w:hAnsi="Book Antiqua" w:cs="Book Antiqua"/>
          <w:color w:val="000000"/>
          <w:sz w:val="24"/>
          <w:szCs w:val="24"/>
          <w:lang w:val="en-US"/>
        </w:rPr>
        <w:t>, Arias CF. Early steps in rotavirus cell entry. </w:t>
      </w:r>
      <w:r w:rsidRPr="00A96D05">
        <w:rPr>
          <w:rFonts w:ascii="Book Antiqua" w:hAnsi="Book Antiqua" w:cs="Book Antiqua"/>
          <w:i/>
          <w:iCs/>
          <w:color w:val="000000"/>
          <w:sz w:val="24"/>
          <w:szCs w:val="24"/>
          <w:lang w:val="en-US"/>
        </w:rPr>
        <w:t>Curr Top Microbiol Immunol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309</w:t>
      </w:r>
      <w:r w:rsidRPr="00A96D05">
        <w:rPr>
          <w:rFonts w:ascii="Book Antiqua" w:hAnsi="Book Antiqua" w:cs="Book Antiqua"/>
          <w:color w:val="000000"/>
          <w:sz w:val="24"/>
          <w:szCs w:val="24"/>
          <w:lang w:val="en-US"/>
        </w:rPr>
        <w:t>: 39-66 [PMID: 16909896]</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rPr>
        <w:t xml:space="preserve">96 </w:t>
      </w:r>
      <w:r w:rsidRPr="00A96D05">
        <w:rPr>
          <w:rFonts w:ascii="Book Antiqua" w:hAnsi="Book Antiqua" w:cs="Book Antiqua"/>
          <w:b/>
          <w:bCs/>
          <w:color w:val="000000"/>
          <w:sz w:val="24"/>
          <w:szCs w:val="24"/>
        </w:rPr>
        <w:t>Isa P</w:t>
      </w:r>
      <w:r w:rsidRPr="00A96D05">
        <w:rPr>
          <w:rFonts w:ascii="Book Antiqua" w:hAnsi="Book Antiqua" w:cs="Book Antiqua"/>
          <w:color w:val="000000"/>
          <w:sz w:val="24"/>
          <w:szCs w:val="24"/>
        </w:rPr>
        <w:t xml:space="preserve">, Gutierrez M, Arias CF, Lopez S. Rotavirus cell entry. </w:t>
      </w:r>
      <w:r w:rsidRPr="00A96D05">
        <w:rPr>
          <w:rFonts w:ascii="Book Antiqua" w:hAnsi="Book Antiqua" w:cs="Book Antiqua"/>
          <w:i/>
          <w:iCs/>
          <w:color w:val="000000"/>
          <w:sz w:val="24"/>
          <w:szCs w:val="24"/>
        </w:rPr>
        <w:t xml:space="preserve">Future Virol </w:t>
      </w:r>
      <w:r w:rsidRPr="00A96D05">
        <w:rPr>
          <w:rFonts w:ascii="Book Antiqua" w:hAnsi="Book Antiqua" w:cs="Book Antiqua"/>
          <w:color w:val="000000"/>
          <w:sz w:val="24"/>
          <w:szCs w:val="24"/>
        </w:rPr>
        <w:t xml:space="preserve">2008; </w:t>
      </w:r>
      <w:r w:rsidRPr="00A96D05">
        <w:rPr>
          <w:rFonts w:ascii="Book Antiqua" w:hAnsi="Book Antiqua" w:cs="Book Antiqua"/>
          <w:b/>
          <w:bCs/>
          <w:color w:val="000000"/>
          <w:sz w:val="24"/>
          <w:szCs w:val="24"/>
        </w:rPr>
        <w:t>3</w:t>
      </w:r>
      <w:r w:rsidRPr="00A96D05">
        <w:rPr>
          <w:rFonts w:ascii="Book Antiqua" w:hAnsi="Book Antiqua" w:cs="Book Antiqua"/>
          <w:color w:val="000000"/>
          <w:sz w:val="24"/>
          <w:szCs w:val="24"/>
        </w:rPr>
        <w:t>: 135-146 [DOI: 10.2217/17460794.3.2.135]</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rPr>
        <w:t>97 </w:t>
      </w:r>
      <w:r w:rsidRPr="00A96D05">
        <w:rPr>
          <w:rFonts w:ascii="Book Antiqua" w:hAnsi="Book Antiqua" w:cs="Book Antiqua"/>
          <w:b/>
          <w:bCs/>
          <w:color w:val="000000"/>
          <w:sz w:val="24"/>
          <w:szCs w:val="24"/>
        </w:rPr>
        <w:t>Díaz-Salinas MA</w:t>
      </w:r>
      <w:r w:rsidRPr="00A96D05">
        <w:rPr>
          <w:rFonts w:ascii="Book Antiqua" w:hAnsi="Book Antiqua" w:cs="Book Antiqua"/>
          <w:color w:val="000000"/>
          <w:sz w:val="24"/>
          <w:szCs w:val="24"/>
        </w:rPr>
        <w:t xml:space="preserve">, Silva-Ayala D, López S, Arias CF. </w:t>
      </w:r>
      <w:r w:rsidRPr="00A96D05">
        <w:rPr>
          <w:rFonts w:ascii="Book Antiqua" w:hAnsi="Book Antiqua" w:cs="Book Antiqua"/>
          <w:color w:val="000000"/>
          <w:sz w:val="24"/>
          <w:szCs w:val="24"/>
          <w:lang w:val="en-US"/>
        </w:rPr>
        <w:t>Rotaviruses reach late endosomes and require the cation-dependent mannose-6-phosphate receptor and the activity of cathepsin proteases to enter the cell. </w:t>
      </w:r>
      <w:r w:rsidRPr="00A96D05">
        <w:rPr>
          <w:rFonts w:ascii="Book Antiqua" w:hAnsi="Book Antiqua" w:cs="Book Antiqua"/>
          <w:i/>
          <w:iCs/>
          <w:color w:val="000000"/>
          <w:sz w:val="24"/>
          <w:szCs w:val="24"/>
        </w:rPr>
        <w:t>J Virol</w:t>
      </w:r>
      <w:r w:rsidRPr="00A96D05">
        <w:rPr>
          <w:rFonts w:ascii="Book Antiqua" w:hAnsi="Book Antiqua" w:cs="Book Antiqua"/>
          <w:color w:val="000000"/>
          <w:sz w:val="24"/>
          <w:szCs w:val="24"/>
        </w:rPr>
        <w:t> 2014; </w:t>
      </w:r>
      <w:r w:rsidRPr="00A96D05">
        <w:rPr>
          <w:rFonts w:ascii="Book Antiqua" w:hAnsi="Book Antiqua" w:cs="Book Antiqua"/>
          <w:b/>
          <w:bCs/>
          <w:color w:val="000000"/>
          <w:sz w:val="24"/>
          <w:szCs w:val="24"/>
        </w:rPr>
        <w:t>88</w:t>
      </w:r>
      <w:r w:rsidRPr="00A96D05">
        <w:rPr>
          <w:rFonts w:ascii="Book Antiqua" w:hAnsi="Book Antiqua" w:cs="Book Antiqua"/>
          <w:color w:val="000000"/>
          <w:sz w:val="24"/>
          <w:szCs w:val="24"/>
        </w:rPr>
        <w:t>: 4389-4402 [PMID: 24501398 DOI: 10.1128/jvi.03457-13]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rPr>
        <w:t>98 </w:t>
      </w:r>
      <w:r w:rsidRPr="00A96D05">
        <w:rPr>
          <w:rFonts w:ascii="Book Antiqua" w:hAnsi="Book Antiqua" w:cs="Book Antiqua"/>
          <w:b/>
          <w:bCs/>
          <w:color w:val="000000"/>
          <w:sz w:val="24"/>
          <w:szCs w:val="24"/>
        </w:rPr>
        <w:t>Díaz-Salinas MA</w:t>
      </w:r>
      <w:r w:rsidRPr="00A96D05">
        <w:rPr>
          <w:rFonts w:ascii="Book Antiqua" w:hAnsi="Book Antiqua" w:cs="Book Antiqua"/>
          <w:color w:val="000000"/>
          <w:sz w:val="24"/>
          <w:szCs w:val="24"/>
        </w:rPr>
        <w:t xml:space="preserve">, Romero P, Espinosa R, Hoshino Y, López S, Arias CF. </w:t>
      </w:r>
      <w:r w:rsidRPr="00A96D05">
        <w:rPr>
          <w:rFonts w:ascii="Book Antiqua" w:hAnsi="Book Antiqua" w:cs="Book Antiqua"/>
          <w:color w:val="000000"/>
          <w:sz w:val="24"/>
          <w:szCs w:val="24"/>
          <w:lang w:val="en-US"/>
        </w:rPr>
        <w:t>The spike protein VP4 defines the endocytic pathway used by rotavirus to enter MA104 cells.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87</w:t>
      </w:r>
      <w:r w:rsidRPr="00A96D05">
        <w:rPr>
          <w:rFonts w:ascii="Book Antiqua" w:hAnsi="Book Antiqua" w:cs="Book Antiqua"/>
          <w:color w:val="000000"/>
          <w:sz w:val="24"/>
          <w:szCs w:val="24"/>
          <w:lang w:val="en-US"/>
        </w:rPr>
        <w:t>: 1658-1663 [PMID: 23175367 DOI: 10.1128/jvi.02086-12]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99 </w:t>
      </w:r>
      <w:r w:rsidRPr="00A96D05">
        <w:rPr>
          <w:rFonts w:ascii="Book Antiqua" w:hAnsi="Book Antiqua" w:cs="Book Antiqua"/>
          <w:b/>
          <w:bCs/>
          <w:color w:val="000000"/>
          <w:sz w:val="24"/>
          <w:szCs w:val="24"/>
          <w:lang w:val="en-US"/>
        </w:rPr>
        <w:t>Gutiérrez M</w:t>
      </w:r>
      <w:r w:rsidRPr="00A96D05">
        <w:rPr>
          <w:rFonts w:ascii="Book Antiqua" w:hAnsi="Book Antiqua" w:cs="Book Antiqua"/>
          <w:color w:val="000000"/>
          <w:sz w:val="24"/>
          <w:szCs w:val="24"/>
          <w:lang w:val="en-US"/>
        </w:rPr>
        <w:t>, Isa P, Sánchez-San Martin C, Pérez-Vargas J, Espinosa R, Arias CF, López S. Different rotavirus strains enter MA104 cells through different endocytic pathways: the role of clathrin-mediated endocytosis.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84</w:t>
      </w:r>
      <w:r w:rsidRPr="00A96D05">
        <w:rPr>
          <w:rFonts w:ascii="Book Antiqua" w:hAnsi="Book Antiqua" w:cs="Book Antiqua"/>
          <w:color w:val="000000"/>
          <w:sz w:val="24"/>
          <w:szCs w:val="24"/>
          <w:lang w:val="en-US"/>
        </w:rPr>
        <w:t>: 9161-9169 [PMID: 20631149 DOI: 10.1128/jvi.00731-10]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100 </w:t>
      </w:r>
      <w:r w:rsidRPr="00A96D05">
        <w:rPr>
          <w:rFonts w:ascii="Book Antiqua" w:hAnsi="Book Antiqua" w:cs="Book Antiqua"/>
          <w:b/>
          <w:bCs/>
          <w:color w:val="000000"/>
          <w:sz w:val="24"/>
          <w:szCs w:val="24"/>
          <w:lang w:val="en-US"/>
        </w:rPr>
        <w:t>Trask SD</w:t>
      </w:r>
      <w:r w:rsidRPr="00A96D05">
        <w:rPr>
          <w:rFonts w:ascii="Book Antiqua" w:hAnsi="Book Antiqua" w:cs="Book Antiqua"/>
          <w:color w:val="000000"/>
          <w:sz w:val="24"/>
          <w:szCs w:val="24"/>
          <w:lang w:val="en-US"/>
        </w:rPr>
        <w:t>, Kim IS, Harrison SC, Dormitzer PR. A rotavirus spike protein conformational intermediate binds lipid bilayers.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84</w:t>
      </w:r>
      <w:r w:rsidRPr="00A96D05">
        <w:rPr>
          <w:rFonts w:ascii="Book Antiqua" w:hAnsi="Book Antiqua" w:cs="Book Antiqua"/>
          <w:color w:val="000000"/>
          <w:sz w:val="24"/>
          <w:szCs w:val="24"/>
          <w:lang w:val="en-US"/>
        </w:rPr>
        <w:t>: 1764-1770 [PMID: 20007281 DOI: 10.1128/JVI.01682-09]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101 </w:t>
      </w:r>
      <w:r w:rsidRPr="00A96D05">
        <w:rPr>
          <w:rFonts w:ascii="Book Antiqua" w:hAnsi="Book Antiqua" w:cs="Book Antiqua"/>
          <w:b/>
          <w:bCs/>
          <w:color w:val="000000"/>
          <w:sz w:val="24"/>
          <w:szCs w:val="24"/>
          <w:lang w:val="en-US"/>
        </w:rPr>
        <w:t>Dormitzer PR</w:t>
      </w:r>
      <w:r w:rsidRPr="00A96D05">
        <w:rPr>
          <w:rFonts w:ascii="Book Antiqua" w:hAnsi="Book Antiqua" w:cs="Book Antiqua"/>
          <w:color w:val="000000"/>
          <w:sz w:val="24"/>
          <w:szCs w:val="24"/>
          <w:lang w:val="en-US"/>
        </w:rPr>
        <w:t>, Nason EB, Prasad BV, Harrison SC. Structural rearrangements in the membrane penetration protein of a non-enveloped virus. </w:t>
      </w:r>
      <w:r w:rsidRPr="00A96D05">
        <w:rPr>
          <w:rFonts w:ascii="Book Antiqua" w:hAnsi="Book Antiqua" w:cs="Book Antiqua"/>
          <w:i/>
          <w:iCs/>
          <w:color w:val="000000"/>
          <w:sz w:val="24"/>
          <w:szCs w:val="24"/>
          <w:lang w:val="en-US"/>
        </w:rPr>
        <w:t>Nature</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430</w:t>
      </w:r>
      <w:r w:rsidRPr="00A96D05">
        <w:rPr>
          <w:rFonts w:ascii="Book Antiqua" w:hAnsi="Book Antiqua" w:cs="Book Antiqua"/>
          <w:color w:val="000000"/>
          <w:sz w:val="24"/>
          <w:szCs w:val="24"/>
          <w:lang w:val="en-US"/>
        </w:rPr>
        <w:t>: 1053-1058 [PMID: 15329727 DOI: 10.1038/nature02836]</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lang w:val="en-US"/>
        </w:rPr>
        <w:t>102 </w:t>
      </w:r>
      <w:r w:rsidRPr="00A96D05">
        <w:rPr>
          <w:rFonts w:ascii="Book Antiqua" w:hAnsi="Book Antiqua" w:cs="Book Antiqua"/>
          <w:b/>
          <w:bCs/>
          <w:color w:val="000000"/>
          <w:sz w:val="24"/>
          <w:szCs w:val="24"/>
          <w:lang w:val="en-US"/>
        </w:rPr>
        <w:t>Rodríguez JM</w:t>
      </w:r>
      <w:r w:rsidRPr="00A96D05">
        <w:rPr>
          <w:rFonts w:ascii="Book Antiqua" w:hAnsi="Book Antiqua" w:cs="Book Antiqua"/>
          <w:color w:val="000000"/>
          <w:sz w:val="24"/>
          <w:szCs w:val="24"/>
          <w:lang w:val="en-US"/>
        </w:rPr>
        <w:t>, Chichón FJ, Martín-Forero E, González-Camacho F, Carrascosa JL, Castón JR, Luque D. New insights into rotavirus entry machinery: stabilization of rotavirus spike conformation is independent of trypsin cleavage. </w:t>
      </w:r>
      <w:r w:rsidRPr="00A96D05">
        <w:rPr>
          <w:rFonts w:ascii="Book Antiqua" w:hAnsi="Book Antiqua" w:cs="Book Antiqua"/>
          <w:i/>
          <w:iCs/>
          <w:color w:val="000000"/>
          <w:sz w:val="24"/>
          <w:szCs w:val="24"/>
        </w:rPr>
        <w:t>PLoS Pathog</w:t>
      </w:r>
      <w:r w:rsidRPr="00A96D05">
        <w:rPr>
          <w:rFonts w:ascii="Book Antiqua" w:hAnsi="Book Antiqua" w:cs="Book Antiqua"/>
          <w:color w:val="000000"/>
          <w:sz w:val="24"/>
          <w:szCs w:val="24"/>
        </w:rPr>
        <w:t> 2014; </w:t>
      </w:r>
      <w:r w:rsidRPr="00A96D05">
        <w:rPr>
          <w:rFonts w:ascii="Book Antiqua" w:hAnsi="Book Antiqua" w:cs="Book Antiqua"/>
          <w:b/>
          <w:bCs/>
          <w:color w:val="000000"/>
          <w:sz w:val="24"/>
          <w:szCs w:val="24"/>
        </w:rPr>
        <w:t>10</w:t>
      </w:r>
      <w:r w:rsidRPr="00A96D05">
        <w:rPr>
          <w:rFonts w:ascii="Book Antiqua" w:hAnsi="Book Antiqua" w:cs="Book Antiqua"/>
          <w:color w:val="000000"/>
          <w:sz w:val="24"/>
          <w:szCs w:val="24"/>
        </w:rPr>
        <w:t>: e1004157 [PMID: 24873828 DOI: 10.1371/journal.ppat.1004157]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rPr>
        <w:t>103 </w:t>
      </w:r>
      <w:r w:rsidRPr="00A96D05">
        <w:rPr>
          <w:rFonts w:ascii="Book Antiqua" w:hAnsi="Book Antiqua" w:cs="Book Antiqua"/>
          <w:b/>
          <w:bCs/>
          <w:color w:val="000000"/>
          <w:sz w:val="24"/>
          <w:szCs w:val="24"/>
        </w:rPr>
        <w:t>Gualtero DF</w:t>
      </w:r>
      <w:r w:rsidRPr="00A96D05">
        <w:rPr>
          <w:rFonts w:ascii="Book Antiqua" w:hAnsi="Book Antiqua" w:cs="Book Antiqua"/>
          <w:color w:val="000000"/>
          <w:sz w:val="24"/>
          <w:szCs w:val="24"/>
        </w:rPr>
        <w:t xml:space="preserve">, Guzmán F, Acosta O, Guerrero CA. </w:t>
      </w:r>
      <w:r w:rsidRPr="00A96D05">
        <w:rPr>
          <w:rFonts w:ascii="Book Antiqua" w:hAnsi="Book Antiqua" w:cs="Book Antiqua"/>
          <w:color w:val="000000"/>
          <w:sz w:val="24"/>
          <w:szCs w:val="24"/>
          <w:lang w:val="en-US"/>
        </w:rPr>
        <w:t>Amino acid domains 280-297 of VP6 and 531-554 of VP4 are implicated in heat shock cognate protein hsc70-mediated rotavirus infection. </w:t>
      </w:r>
      <w:r w:rsidRPr="00A96D05">
        <w:rPr>
          <w:rFonts w:ascii="Book Antiqua" w:hAnsi="Book Antiqua" w:cs="Book Antiqua"/>
          <w:i/>
          <w:iCs/>
          <w:color w:val="000000"/>
          <w:sz w:val="24"/>
          <w:szCs w:val="24"/>
          <w:lang w:val="en-US"/>
        </w:rPr>
        <w:t>Arch Virol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152</w:t>
      </w:r>
      <w:r w:rsidRPr="00A96D05">
        <w:rPr>
          <w:rFonts w:ascii="Book Antiqua" w:hAnsi="Book Antiqua" w:cs="Book Antiqua"/>
          <w:color w:val="000000"/>
          <w:sz w:val="24"/>
          <w:szCs w:val="24"/>
          <w:lang w:val="en-US"/>
        </w:rPr>
        <w:t>: 2183-2196 [PMID: 17876681]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104 </w:t>
      </w:r>
      <w:r w:rsidRPr="00A96D05">
        <w:rPr>
          <w:rFonts w:ascii="Book Antiqua" w:hAnsi="Book Antiqua" w:cs="Book Antiqua"/>
          <w:b/>
          <w:bCs/>
          <w:color w:val="000000"/>
          <w:sz w:val="24"/>
          <w:szCs w:val="24"/>
          <w:lang w:val="en-US"/>
        </w:rPr>
        <w:t>Isa P</w:t>
      </w:r>
      <w:r w:rsidRPr="00A96D05">
        <w:rPr>
          <w:rFonts w:ascii="Book Antiqua" w:hAnsi="Book Antiqua" w:cs="Book Antiqua"/>
          <w:color w:val="000000"/>
          <w:sz w:val="24"/>
          <w:szCs w:val="24"/>
          <w:lang w:val="en-US"/>
        </w:rPr>
        <w:t>, Arias CF, López S. Role of sialic acids in rotavirus infection. </w:t>
      </w:r>
      <w:r w:rsidRPr="00A96D05">
        <w:rPr>
          <w:rFonts w:ascii="Book Antiqua" w:hAnsi="Book Antiqua" w:cs="Book Antiqua"/>
          <w:i/>
          <w:iCs/>
          <w:color w:val="000000"/>
          <w:sz w:val="24"/>
          <w:szCs w:val="24"/>
          <w:lang w:val="en-US"/>
        </w:rPr>
        <w:t>Glycoconj J</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23</w:t>
      </w:r>
      <w:r w:rsidRPr="00A96D05">
        <w:rPr>
          <w:rFonts w:ascii="Book Antiqua" w:hAnsi="Book Antiqua" w:cs="Book Antiqua"/>
          <w:color w:val="000000"/>
          <w:sz w:val="24"/>
          <w:szCs w:val="24"/>
          <w:lang w:val="en-US"/>
        </w:rPr>
        <w:t>: 27-37 [PMID: 16575520 DOI: 10.1007/s10719-006-5435-y]</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105 </w:t>
      </w:r>
      <w:r w:rsidRPr="00A96D05">
        <w:rPr>
          <w:rFonts w:ascii="Book Antiqua" w:hAnsi="Book Antiqua" w:cs="Book Antiqua"/>
          <w:b/>
          <w:bCs/>
          <w:color w:val="000000"/>
          <w:sz w:val="24"/>
          <w:szCs w:val="24"/>
          <w:lang w:val="en-US"/>
        </w:rPr>
        <w:t>Zárate S</w:t>
      </w:r>
      <w:r w:rsidRPr="00A96D05">
        <w:rPr>
          <w:rFonts w:ascii="Book Antiqua" w:hAnsi="Book Antiqua" w:cs="Book Antiqua"/>
          <w:color w:val="000000"/>
          <w:sz w:val="24"/>
          <w:szCs w:val="24"/>
          <w:lang w:val="en-US"/>
        </w:rPr>
        <w:t>, Espinosa R, Romero P, Méndez E, Arias CF, López S. The VP5 domain of VP4 can mediate attachment of rotaviruses to cells.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74</w:t>
      </w:r>
      <w:r w:rsidRPr="00A96D05">
        <w:rPr>
          <w:rFonts w:ascii="Book Antiqua" w:hAnsi="Book Antiqua" w:cs="Book Antiqua"/>
          <w:color w:val="000000"/>
          <w:sz w:val="24"/>
          <w:szCs w:val="24"/>
          <w:lang w:val="en-US"/>
        </w:rPr>
        <w:t>: 593-599 [PMID: 10623720]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106 </w:t>
      </w:r>
      <w:r w:rsidRPr="00A96D05">
        <w:rPr>
          <w:rFonts w:ascii="Book Antiqua" w:hAnsi="Book Antiqua" w:cs="Book Antiqua"/>
          <w:b/>
          <w:bCs/>
          <w:color w:val="000000"/>
          <w:sz w:val="24"/>
          <w:szCs w:val="24"/>
          <w:lang w:val="en-US"/>
        </w:rPr>
        <w:t>Zárate S</w:t>
      </w:r>
      <w:r w:rsidRPr="00A96D05">
        <w:rPr>
          <w:rFonts w:ascii="Book Antiqua" w:hAnsi="Book Antiqua" w:cs="Book Antiqua"/>
          <w:color w:val="000000"/>
          <w:sz w:val="24"/>
          <w:szCs w:val="24"/>
          <w:lang w:val="en-US"/>
        </w:rPr>
        <w:t>, Espinosa R, Romero P, Guerrero CA, Arias CF, López S. Integrin alpha2beta1 mediates the cell attachment of the rotavirus neuraminidase-resistant variant nar3. </w:t>
      </w:r>
      <w:r w:rsidRPr="00A96D05">
        <w:rPr>
          <w:rFonts w:ascii="Book Antiqua" w:hAnsi="Book Antiqua" w:cs="Book Antiqua"/>
          <w:i/>
          <w:iCs/>
          <w:color w:val="000000"/>
          <w:sz w:val="24"/>
          <w:szCs w:val="24"/>
          <w:lang w:val="en-US"/>
        </w:rPr>
        <w:t>Virology</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278</w:t>
      </w:r>
      <w:r w:rsidRPr="00A96D05">
        <w:rPr>
          <w:rFonts w:ascii="Book Antiqua" w:hAnsi="Book Antiqua" w:cs="Book Antiqua"/>
          <w:color w:val="000000"/>
          <w:sz w:val="24"/>
          <w:szCs w:val="24"/>
          <w:lang w:val="en-US"/>
        </w:rPr>
        <w:t>: 50-54 [PMID: 11112480 DOI: 10.1006/viro.2000.0660]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107 </w:t>
      </w:r>
      <w:r w:rsidRPr="00A96D05">
        <w:rPr>
          <w:rFonts w:ascii="Book Antiqua" w:hAnsi="Book Antiqua" w:cs="Book Antiqua"/>
          <w:b/>
          <w:bCs/>
          <w:color w:val="000000"/>
          <w:sz w:val="24"/>
          <w:szCs w:val="24"/>
          <w:lang w:val="en-US"/>
        </w:rPr>
        <w:t>Fleming FE</w:t>
      </w:r>
      <w:r w:rsidRPr="00A96D05">
        <w:rPr>
          <w:rFonts w:ascii="Book Antiqua" w:hAnsi="Book Antiqua" w:cs="Book Antiqua"/>
          <w:color w:val="000000"/>
          <w:sz w:val="24"/>
          <w:szCs w:val="24"/>
          <w:lang w:val="en-US"/>
        </w:rPr>
        <w:t xml:space="preserve">, Böhm R, Dang VT, Holloway G, Haselhorst T, Madge PD, Deveryshetty J, Yu X, Blanchard H, von Itzstein M, Coulson BS. Relative roles of GM1 ganglioside, N-acylneuraminic acids, and </w:t>
      </w:r>
      <w:r w:rsidRPr="00A96D05">
        <w:rPr>
          <w:rFonts w:ascii="Book Antiqua" w:hAnsi="Book Antiqua" w:cs="Book Antiqua"/>
          <w:color w:val="000000"/>
          <w:sz w:val="24"/>
          <w:szCs w:val="24"/>
        </w:rPr>
        <w:t>α</w:t>
      </w:r>
      <w:r w:rsidRPr="00A96D05">
        <w:rPr>
          <w:rFonts w:ascii="Book Antiqua" w:hAnsi="Book Antiqua" w:cs="Book Antiqua"/>
          <w:color w:val="000000"/>
          <w:sz w:val="24"/>
          <w:szCs w:val="24"/>
          <w:lang w:val="en-US"/>
        </w:rPr>
        <w:t>2</w:t>
      </w:r>
      <w:r w:rsidRPr="00A96D05">
        <w:rPr>
          <w:rFonts w:ascii="Book Antiqua" w:hAnsi="Book Antiqua" w:cs="Book Antiqua"/>
          <w:color w:val="000000"/>
          <w:sz w:val="24"/>
          <w:szCs w:val="24"/>
        </w:rPr>
        <w:t>β</w:t>
      </w:r>
      <w:r w:rsidRPr="00A96D05">
        <w:rPr>
          <w:rFonts w:ascii="Book Antiqua" w:hAnsi="Book Antiqua" w:cs="Book Antiqua"/>
          <w:color w:val="000000"/>
          <w:sz w:val="24"/>
          <w:szCs w:val="24"/>
          <w:lang w:val="en-US"/>
        </w:rPr>
        <w:t>1 integrin in mediating rotavirus infection.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88</w:t>
      </w:r>
      <w:r w:rsidRPr="00A96D05">
        <w:rPr>
          <w:rFonts w:ascii="Book Antiqua" w:hAnsi="Book Antiqua" w:cs="Book Antiqua"/>
          <w:color w:val="000000"/>
          <w:sz w:val="24"/>
          <w:szCs w:val="24"/>
          <w:lang w:val="en-US"/>
        </w:rPr>
        <w:t>: 4558-4571 [PMID: 24501414 DOI: 10.1128/jvi.03431-13]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108 </w:t>
      </w:r>
      <w:r w:rsidRPr="00A96D05">
        <w:rPr>
          <w:rFonts w:ascii="Book Antiqua" w:hAnsi="Book Antiqua" w:cs="Book Antiqua"/>
          <w:b/>
          <w:bCs/>
          <w:color w:val="000000"/>
          <w:sz w:val="24"/>
          <w:szCs w:val="24"/>
          <w:lang w:val="en-US"/>
        </w:rPr>
        <w:t>Dormitzer PR</w:t>
      </w:r>
      <w:r w:rsidRPr="00A96D05">
        <w:rPr>
          <w:rFonts w:ascii="Book Antiqua" w:hAnsi="Book Antiqua" w:cs="Book Antiqua"/>
          <w:color w:val="000000"/>
          <w:sz w:val="24"/>
          <w:szCs w:val="24"/>
          <w:lang w:val="en-US"/>
        </w:rPr>
        <w:t>, Sun ZY, Wagner G, Harrison SC. The rhesus rotavirus VP4 sialic acid binding domain has a galectin fold with a novel carbohydrate binding site. </w:t>
      </w:r>
      <w:r w:rsidRPr="00A96D05">
        <w:rPr>
          <w:rFonts w:ascii="Book Antiqua" w:hAnsi="Book Antiqua" w:cs="Book Antiqua"/>
          <w:i/>
          <w:iCs/>
          <w:color w:val="000000"/>
          <w:sz w:val="24"/>
          <w:szCs w:val="24"/>
          <w:lang w:val="en-US"/>
        </w:rPr>
        <w:t>EMBO J</w:t>
      </w:r>
      <w:r w:rsidRPr="00A96D05">
        <w:rPr>
          <w:rFonts w:ascii="Book Antiqua" w:hAnsi="Book Antiqua" w:cs="Book Antiqua"/>
          <w:color w:val="000000"/>
          <w:sz w:val="24"/>
          <w:szCs w:val="24"/>
          <w:lang w:val="en-US"/>
        </w:rPr>
        <w:t> 2002; </w:t>
      </w:r>
      <w:r w:rsidRPr="00A96D05">
        <w:rPr>
          <w:rFonts w:ascii="Book Antiqua" w:hAnsi="Book Antiqua" w:cs="Book Antiqua"/>
          <w:b/>
          <w:bCs/>
          <w:color w:val="000000"/>
          <w:sz w:val="24"/>
          <w:szCs w:val="24"/>
          <w:lang w:val="en-US"/>
        </w:rPr>
        <w:t>21</w:t>
      </w:r>
      <w:r w:rsidRPr="00A96D05">
        <w:rPr>
          <w:rFonts w:ascii="Book Antiqua" w:hAnsi="Book Antiqua" w:cs="Book Antiqua"/>
          <w:color w:val="000000"/>
          <w:sz w:val="24"/>
          <w:szCs w:val="24"/>
          <w:lang w:val="en-US"/>
        </w:rPr>
        <w:t>: 885-897 [PMID: 11867517 DOI: 10.1093/emboj/21.5.885]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109 </w:t>
      </w:r>
      <w:r w:rsidRPr="00A96D05">
        <w:rPr>
          <w:rFonts w:ascii="Book Antiqua" w:hAnsi="Book Antiqua" w:cs="Book Antiqua"/>
          <w:b/>
          <w:bCs/>
          <w:color w:val="000000"/>
          <w:sz w:val="24"/>
          <w:szCs w:val="24"/>
          <w:lang w:val="en-US"/>
        </w:rPr>
        <w:t>Venkataram Prasad BV</w:t>
      </w:r>
      <w:r w:rsidRPr="00A96D05">
        <w:rPr>
          <w:rFonts w:ascii="Book Antiqua" w:hAnsi="Book Antiqua" w:cs="Book Antiqua"/>
          <w:color w:val="000000"/>
          <w:sz w:val="24"/>
          <w:szCs w:val="24"/>
          <w:lang w:val="en-US"/>
        </w:rPr>
        <w:t>, Shanker S, Hu L, Choi JM, Crawford SE, Ramani S, Czako R, Atmar RL, Estes MK. Structural basis of glycan interaction in gastroenteric viral pathogens. </w:t>
      </w:r>
      <w:r w:rsidRPr="00A96D05">
        <w:rPr>
          <w:rFonts w:ascii="Book Antiqua" w:hAnsi="Book Antiqua" w:cs="Book Antiqua"/>
          <w:i/>
          <w:iCs/>
          <w:color w:val="000000"/>
          <w:sz w:val="24"/>
          <w:szCs w:val="24"/>
          <w:lang w:val="en-US"/>
        </w:rPr>
        <w:t>Curr Opin Virol</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7</w:t>
      </w:r>
      <w:r w:rsidRPr="00A96D05">
        <w:rPr>
          <w:rFonts w:ascii="Book Antiqua" w:hAnsi="Book Antiqua" w:cs="Book Antiqua"/>
          <w:color w:val="000000"/>
          <w:sz w:val="24"/>
          <w:szCs w:val="24"/>
          <w:lang w:val="en-US"/>
        </w:rPr>
        <w:t>: 119-127 [PMID: 25073118 DOI: 10.1016/j.coviro.2014.05.008]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110 </w:t>
      </w:r>
      <w:r w:rsidRPr="00A96D05">
        <w:rPr>
          <w:rFonts w:ascii="Book Antiqua" w:hAnsi="Book Antiqua" w:cs="Book Antiqua"/>
          <w:b/>
          <w:bCs/>
          <w:color w:val="000000"/>
          <w:sz w:val="24"/>
          <w:szCs w:val="24"/>
          <w:lang w:val="en-US"/>
        </w:rPr>
        <w:t>Hu L</w:t>
      </w:r>
      <w:r w:rsidRPr="00A96D05">
        <w:rPr>
          <w:rFonts w:ascii="Book Antiqua" w:hAnsi="Book Antiqua" w:cs="Book Antiqua"/>
          <w:color w:val="000000"/>
          <w:sz w:val="24"/>
          <w:szCs w:val="24"/>
          <w:lang w:val="en-US"/>
        </w:rPr>
        <w:t>, Crawford SE, Czako R, Cortes-Penfield NW, Smith DF, Le Pendu J, Estes MK, Prasad BV. Cell attachment protein VP8* of a human rotavirus specifically interacts with A-type histo-blood group antigen. </w:t>
      </w:r>
      <w:r w:rsidRPr="00A96D05">
        <w:rPr>
          <w:rFonts w:ascii="Book Antiqua" w:hAnsi="Book Antiqua" w:cs="Book Antiqua"/>
          <w:i/>
          <w:iCs/>
          <w:color w:val="000000"/>
          <w:sz w:val="24"/>
          <w:szCs w:val="24"/>
          <w:lang w:val="en-US"/>
        </w:rPr>
        <w:t>Nature</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485</w:t>
      </w:r>
      <w:r w:rsidRPr="00A96D05">
        <w:rPr>
          <w:rFonts w:ascii="Book Antiqua" w:hAnsi="Book Antiqua" w:cs="Book Antiqua"/>
          <w:color w:val="000000"/>
          <w:sz w:val="24"/>
          <w:szCs w:val="24"/>
          <w:lang w:val="en-US"/>
        </w:rPr>
        <w:t>: 256-259 [PMID: 22504179 DOI: 10.1038/nature10996]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111 </w:t>
      </w:r>
      <w:r w:rsidRPr="00A96D05">
        <w:rPr>
          <w:rFonts w:ascii="Book Antiqua" w:hAnsi="Book Antiqua" w:cs="Book Antiqua"/>
          <w:b/>
          <w:bCs/>
          <w:color w:val="000000"/>
          <w:sz w:val="24"/>
          <w:szCs w:val="24"/>
          <w:lang w:val="en-US"/>
        </w:rPr>
        <w:t>Liu Y</w:t>
      </w:r>
      <w:r w:rsidRPr="00A96D05">
        <w:rPr>
          <w:rFonts w:ascii="Book Antiqua" w:hAnsi="Book Antiqua" w:cs="Book Antiqua"/>
          <w:color w:val="000000"/>
          <w:sz w:val="24"/>
          <w:szCs w:val="24"/>
          <w:lang w:val="en-US"/>
        </w:rPr>
        <w:t>, Huang P, Tan M, Liu Y, Biesiada J, Meller J, Castello AA, Jiang B, Jiang X. Rotavirus VP8*: phylogeny, host range, and interaction with histo-blood group antigens.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86</w:t>
      </w:r>
      <w:r w:rsidRPr="00A96D05">
        <w:rPr>
          <w:rFonts w:ascii="Book Antiqua" w:hAnsi="Book Antiqua" w:cs="Book Antiqua"/>
          <w:color w:val="000000"/>
          <w:sz w:val="24"/>
          <w:szCs w:val="24"/>
          <w:lang w:val="en-US"/>
        </w:rPr>
        <w:t>: 9899-9910 [PMID: 22761376 DOI: 10.1128/jvi.00979-12]</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lang w:val="en-US"/>
        </w:rPr>
        <w:t>112 </w:t>
      </w:r>
      <w:r w:rsidRPr="00A96D05">
        <w:rPr>
          <w:rFonts w:ascii="Book Antiqua" w:hAnsi="Book Antiqua" w:cs="Book Antiqua"/>
          <w:b/>
          <w:bCs/>
          <w:color w:val="000000"/>
          <w:sz w:val="24"/>
          <w:szCs w:val="24"/>
          <w:lang w:val="en-US"/>
        </w:rPr>
        <w:t>Huang P</w:t>
      </w:r>
      <w:r w:rsidRPr="00A96D05">
        <w:rPr>
          <w:rFonts w:ascii="Book Antiqua" w:hAnsi="Book Antiqua" w:cs="Book Antiqua"/>
          <w:color w:val="000000"/>
          <w:sz w:val="24"/>
          <w:szCs w:val="24"/>
          <w:lang w:val="en-US"/>
        </w:rPr>
        <w:t>, Xia M, Tan M, Zhong W, Wei C, Wang L, Morrow A, Jiang X. Spike protein VP8* of human rotavirus recognizes histo-blood group antigens in a type-specific manner. </w:t>
      </w:r>
      <w:r w:rsidRPr="00A96D05">
        <w:rPr>
          <w:rFonts w:ascii="Book Antiqua" w:hAnsi="Book Antiqua" w:cs="Book Antiqua"/>
          <w:i/>
          <w:iCs/>
          <w:color w:val="000000"/>
          <w:sz w:val="24"/>
          <w:szCs w:val="24"/>
        </w:rPr>
        <w:t>J Virol</w:t>
      </w:r>
      <w:r w:rsidRPr="00A96D05">
        <w:rPr>
          <w:rFonts w:ascii="Book Antiqua" w:hAnsi="Book Antiqua" w:cs="Book Antiqua"/>
          <w:color w:val="000000"/>
          <w:sz w:val="24"/>
          <w:szCs w:val="24"/>
        </w:rPr>
        <w:t> 2012; </w:t>
      </w:r>
      <w:r w:rsidRPr="00A96D05">
        <w:rPr>
          <w:rFonts w:ascii="Book Antiqua" w:hAnsi="Book Antiqua" w:cs="Book Antiqua"/>
          <w:b/>
          <w:bCs/>
          <w:color w:val="000000"/>
          <w:sz w:val="24"/>
          <w:szCs w:val="24"/>
        </w:rPr>
        <w:t>86</w:t>
      </w:r>
      <w:r w:rsidRPr="00A96D05">
        <w:rPr>
          <w:rFonts w:ascii="Book Antiqua" w:hAnsi="Book Antiqua" w:cs="Book Antiqua"/>
          <w:color w:val="000000"/>
          <w:sz w:val="24"/>
          <w:szCs w:val="24"/>
        </w:rPr>
        <w:t>: 4833-4843 [PMID: 22345472 DOI: 10.1128/JVI.05507-11]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rPr>
        <w:t>113 </w:t>
      </w:r>
      <w:r w:rsidRPr="00A96D05">
        <w:rPr>
          <w:rFonts w:ascii="Book Antiqua" w:hAnsi="Book Antiqua" w:cs="Book Antiqua"/>
          <w:b/>
          <w:bCs/>
          <w:color w:val="000000"/>
          <w:sz w:val="24"/>
          <w:szCs w:val="24"/>
        </w:rPr>
        <w:t>Guerrero CA</w:t>
      </w:r>
      <w:r w:rsidRPr="00A96D05">
        <w:rPr>
          <w:rFonts w:ascii="Book Antiqua" w:hAnsi="Book Antiqua" w:cs="Book Antiqua"/>
          <w:color w:val="000000"/>
          <w:sz w:val="24"/>
          <w:szCs w:val="24"/>
        </w:rPr>
        <w:t xml:space="preserve">, Méndez E, Zárate S, Isa P, López S, Arias CF. </w:t>
      </w:r>
      <w:r w:rsidRPr="00A96D05">
        <w:rPr>
          <w:rFonts w:ascii="Book Antiqua" w:hAnsi="Book Antiqua" w:cs="Book Antiqua"/>
          <w:color w:val="000000"/>
          <w:sz w:val="24"/>
          <w:szCs w:val="24"/>
          <w:lang w:val="en-US"/>
        </w:rPr>
        <w:t>Integrin alpha(v)beta(3) mediates rotavirus cell entry. </w:t>
      </w:r>
      <w:r w:rsidRPr="00A96D05">
        <w:rPr>
          <w:rFonts w:ascii="Book Antiqua" w:hAnsi="Book Antiqua" w:cs="Book Antiqua"/>
          <w:i/>
          <w:iCs/>
          <w:color w:val="000000"/>
          <w:sz w:val="24"/>
          <w:szCs w:val="24"/>
          <w:lang w:val="en-US"/>
        </w:rPr>
        <w:t>Proc Natl Acad Sci USA</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97</w:t>
      </w:r>
      <w:r w:rsidRPr="00A96D05">
        <w:rPr>
          <w:rFonts w:ascii="Book Antiqua" w:hAnsi="Book Antiqua" w:cs="Book Antiqua"/>
          <w:color w:val="000000"/>
          <w:sz w:val="24"/>
          <w:szCs w:val="24"/>
          <w:lang w:val="en-US"/>
        </w:rPr>
        <w:t>: 14644-14649 [PMID: 11114176 DOI: 10.1073/pnas.250299897]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114 </w:t>
      </w:r>
      <w:r w:rsidRPr="00A96D05">
        <w:rPr>
          <w:rFonts w:ascii="Book Antiqua" w:hAnsi="Book Antiqua" w:cs="Book Antiqua"/>
          <w:b/>
          <w:bCs/>
          <w:color w:val="000000"/>
          <w:sz w:val="24"/>
          <w:szCs w:val="24"/>
          <w:lang w:val="en-US"/>
        </w:rPr>
        <w:t>Hewish MJ</w:t>
      </w:r>
      <w:r w:rsidRPr="00A96D05">
        <w:rPr>
          <w:rFonts w:ascii="Book Antiqua" w:hAnsi="Book Antiqua" w:cs="Book Antiqua"/>
          <w:color w:val="000000"/>
          <w:sz w:val="24"/>
          <w:szCs w:val="24"/>
          <w:lang w:val="en-US"/>
        </w:rPr>
        <w:t>, Takada Y, Coulson BS. Integrins alpha2beta1 and alpha4beta1 can mediate SA11 rotavirus attachment and entry into cells.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74</w:t>
      </w:r>
      <w:r w:rsidRPr="00A96D05">
        <w:rPr>
          <w:rFonts w:ascii="Book Antiqua" w:hAnsi="Book Antiqua" w:cs="Book Antiqua"/>
          <w:color w:val="000000"/>
          <w:sz w:val="24"/>
          <w:szCs w:val="24"/>
          <w:lang w:val="en-US"/>
        </w:rPr>
        <w:t>: 228-236 [PMID: 10590110]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115 </w:t>
      </w:r>
      <w:r w:rsidRPr="00A96D05">
        <w:rPr>
          <w:rFonts w:ascii="Book Antiqua" w:hAnsi="Book Antiqua" w:cs="Book Antiqua"/>
          <w:b/>
          <w:bCs/>
          <w:color w:val="000000"/>
          <w:sz w:val="24"/>
          <w:szCs w:val="24"/>
          <w:lang w:val="en-US"/>
        </w:rPr>
        <w:t>Ren J</w:t>
      </w:r>
      <w:r w:rsidRPr="00A96D05">
        <w:rPr>
          <w:rFonts w:ascii="Book Antiqua" w:hAnsi="Book Antiqua" w:cs="Book Antiqua"/>
          <w:color w:val="000000"/>
          <w:sz w:val="24"/>
          <w:szCs w:val="24"/>
          <w:lang w:val="en-US"/>
        </w:rPr>
        <w:t>, Ding T, Zhang W, Song J, Ma W. Does Japanese encephalitis virus share the same cellular receptor with other mosquito-borne flaviviruses on the C6/36 mosquito cells? </w:t>
      </w:r>
      <w:r w:rsidRPr="00A96D05">
        <w:rPr>
          <w:rFonts w:ascii="Book Antiqua" w:hAnsi="Book Antiqua" w:cs="Book Antiqua"/>
          <w:i/>
          <w:iCs/>
          <w:color w:val="000000"/>
          <w:sz w:val="24"/>
          <w:szCs w:val="24"/>
          <w:lang w:val="en-US"/>
        </w:rPr>
        <w:t>Virol J</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4</w:t>
      </w:r>
      <w:r w:rsidRPr="00A96D05">
        <w:rPr>
          <w:rFonts w:ascii="Book Antiqua" w:hAnsi="Book Antiqua" w:cs="Book Antiqua"/>
          <w:color w:val="000000"/>
          <w:sz w:val="24"/>
          <w:szCs w:val="24"/>
          <w:lang w:val="en-US"/>
        </w:rPr>
        <w:t>: 83 [PMID: 17803826 DOI: 10.1186/1743-422x-4-83]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116 </w:t>
      </w:r>
      <w:r w:rsidRPr="00A96D05">
        <w:rPr>
          <w:rFonts w:ascii="Book Antiqua" w:hAnsi="Book Antiqua" w:cs="Book Antiqua"/>
          <w:b/>
          <w:bCs/>
          <w:color w:val="000000"/>
          <w:sz w:val="24"/>
          <w:szCs w:val="24"/>
          <w:lang w:val="en-US"/>
        </w:rPr>
        <w:t>Graham KL</w:t>
      </w:r>
      <w:r w:rsidRPr="00A96D05">
        <w:rPr>
          <w:rFonts w:ascii="Book Antiqua" w:hAnsi="Book Antiqua" w:cs="Book Antiqua"/>
          <w:color w:val="000000"/>
          <w:sz w:val="24"/>
          <w:szCs w:val="24"/>
          <w:lang w:val="en-US"/>
        </w:rPr>
        <w:t>, Takada Y, Coulson BS. Rotavirus spike protein VP5* binds alpha2beta1 integrin on the cell surface and competes with virus for cell binding and infectivity. </w:t>
      </w:r>
      <w:r w:rsidRPr="00A96D05">
        <w:rPr>
          <w:rFonts w:ascii="Book Antiqua" w:hAnsi="Book Antiqua" w:cs="Book Antiqua"/>
          <w:i/>
          <w:iCs/>
          <w:color w:val="000000"/>
          <w:sz w:val="24"/>
          <w:szCs w:val="24"/>
          <w:lang w:val="en-US"/>
        </w:rPr>
        <w:t>J Gen Virol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87</w:t>
      </w:r>
      <w:r w:rsidRPr="00A96D05">
        <w:rPr>
          <w:rFonts w:ascii="Book Antiqua" w:hAnsi="Book Antiqua" w:cs="Book Antiqua"/>
          <w:color w:val="000000"/>
          <w:sz w:val="24"/>
          <w:szCs w:val="24"/>
          <w:lang w:val="en-US"/>
        </w:rPr>
        <w:t>: 1275-1283 [PMID: 16603530 DOI: 10.1099/vir.0.81580-0]</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lang w:val="en-US"/>
        </w:rPr>
        <w:t>117 </w:t>
      </w:r>
      <w:r w:rsidRPr="00A96D05">
        <w:rPr>
          <w:rFonts w:ascii="Book Antiqua" w:hAnsi="Book Antiqua" w:cs="Book Antiqua"/>
          <w:b/>
          <w:bCs/>
          <w:color w:val="000000"/>
          <w:sz w:val="24"/>
          <w:szCs w:val="24"/>
          <w:lang w:val="en-US"/>
        </w:rPr>
        <w:t>Morimoto RI</w:t>
      </w:r>
      <w:r w:rsidRPr="00A96D05">
        <w:rPr>
          <w:rFonts w:ascii="Book Antiqua" w:hAnsi="Book Antiqua" w:cs="Book Antiqua"/>
          <w:color w:val="000000"/>
          <w:sz w:val="24"/>
          <w:szCs w:val="24"/>
          <w:lang w:val="en-US"/>
        </w:rPr>
        <w:t>. Dynamic remodeling of transcription complexes by molecular chaperones. </w:t>
      </w:r>
      <w:r w:rsidRPr="00A96D05">
        <w:rPr>
          <w:rFonts w:ascii="Book Antiqua" w:hAnsi="Book Antiqua" w:cs="Book Antiqua"/>
          <w:i/>
          <w:iCs/>
          <w:color w:val="000000"/>
          <w:sz w:val="24"/>
          <w:szCs w:val="24"/>
        </w:rPr>
        <w:t>Cell</w:t>
      </w:r>
      <w:r w:rsidRPr="00A96D05">
        <w:rPr>
          <w:rFonts w:ascii="Book Antiqua" w:hAnsi="Book Antiqua" w:cs="Book Antiqua"/>
          <w:color w:val="000000"/>
          <w:sz w:val="24"/>
          <w:szCs w:val="24"/>
        </w:rPr>
        <w:t> 2002; </w:t>
      </w:r>
      <w:r w:rsidRPr="00A96D05">
        <w:rPr>
          <w:rFonts w:ascii="Book Antiqua" w:hAnsi="Book Antiqua" w:cs="Book Antiqua"/>
          <w:b/>
          <w:bCs/>
          <w:color w:val="000000"/>
          <w:sz w:val="24"/>
          <w:szCs w:val="24"/>
        </w:rPr>
        <w:t>110</w:t>
      </w:r>
      <w:r w:rsidRPr="00A96D05">
        <w:rPr>
          <w:rFonts w:ascii="Book Antiqua" w:hAnsi="Book Antiqua" w:cs="Book Antiqua"/>
          <w:color w:val="000000"/>
          <w:sz w:val="24"/>
          <w:szCs w:val="24"/>
        </w:rPr>
        <w:t>: 281-284 [PMID: 12176314]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rPr>
        <w:t>118 </w:t>
      </w:r>
      <w:r w:rsidRPr="00A96D05">
        <w:rPr>
          <w:rFonts w:ascii="Book Antiqua" w:hAnsi="Book Antiqua" w:cs="Book Antiqua"/>
          <w:b/>
          <w:bCs/>
          <w:color w:val="000000"/>
          <w:sz w:val="24"/>
          <w:szCs w:val="24"/>
        </w:rPr>
        <w:t>Pérez-Vargas J</w:t>
      </w:r>
      <w:r w:rsidRPr="00A96D05">
        <w:rPr>
          <w:rFonts w:ascii="Book Antiqua" w:hAnsi="Book Antiqua" w:cs="Book Antiqua"/>
          <w:color w:val="000000"/>
          <w:sz w:val="24"/>
          <w:szCs w:val="24"/>
        </w:rPr>
        <w:t xml:space="preserve">, Romero P, López S, Arias CF. </w:t>
      </w:r>
      <w:r w:rsidRPr="00A96D05">
        <w:rPr>
          <w:rFonts w:ascii="Book Antiqua" w:hAnsi="Book Antiqua" w:cs="Book Antiqua"/>
          <w:color w:val="000000"/>
          <w:sz w:val="24"/>
          <w:szCs w:val="24"/>
          <w:lang w:val="en-US"/>
        </w:rPr>
        <w:t>The peptide-binding and ATPase domains of recombinant hsc70 are required to interact with rotavirus and reduce its infectivity.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80</w:t>
      </w:r>
      <w:r w:rsidRPr="00A96D05">
        <w:rPr>
          <w:rFonts w:ascii="Book Antiqua" w:hAnsi="Book Antiqua" w:cs="Book Antiqua"/>
          <w:color w:val="000000"/>
          <w:sz w:val="24"/>
          <w:szCs w:val="24"/>
          <w:lang w:val="en-US"/>
        </w:rPr>
        <w:t>: 3322-3331 [PMID: 16537599 DOI: 10.1128/jvi.80.7.3322-3331.2006]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119 </w:t>
      </w:r>
      <w:r w:rsidRPr="00A96D05">
        <w:rPr>
          <w:rFonts w:ascii="Book Antiqua" w:hAnsi="Book Antiqua" w:cs="Book Antiqua"/>
          <w:b/>
          <w:bCs/>
          <w:color w:val="000000"/>
          <w:sz w:val="24"/>
          <w:szCs w:val="24"/>
          <w:lang w:val="en-US"/>
        </w:rPr>
        <w:t>Delmas O</w:t>
      </w:r>
      <w:r w:rsidRPr="00A96D05">
        <w:rPr>
          <w:rFonts w:ascii="Book Antiqua" w:hAnsi="Book Antiqua" w:cs="Book Antiqua"/>
          <w:color w:val="000000"/>
          <w:sz w:val="24"/>
          <w:szCs w:val="24"/>
          <w:lang w:val="en-US"/>
        </w:rPr>
        <w:t>, Durand-Schneider AM, Cohen J, Colard O, Trugnan G. Spike protein VP4 assembly with maturing rotavirus requires a postendoplasmic reticulum event in polarized caco-2 cells.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78</w:t>
      </w:r>
      <w:r w:rsidRPr="00A96D05">
        <w:rPr>
          <w:rFonts w:ascii="Book Antiqua" w:hAnsi="Book Antiqua" w:cs="Book Antiqua"/>
          <w:color w:val="000000"/>
          <w:sz w:val="24"/>
          <w:szCs w:val="24"/>
          <w:lang w:val="en-US"/>
        </w:rPr>
        <w:t>: 10987-10994 [PMID: 15452219 DOI: 10.1128/jvi.78.20.10987-10994.2004]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120 </w:t>
      </w:r>
      <w:r w:rsidRPr="00A96D05">
        <w:rPr>
          <w:rFonts w:ascii="Book Antiqua" w:hAnsi="Book Antiqua" w:cs="Book Antiqua"/>
          <w:b/>
          <w:bCs/>
          <w:color w:val="000000"/>
          <w:sz w:val="24"/>
          <w:szCs w:val="24"/>
          <w:lang w:val="en-US"/>
        </w:rPr>
        <w:t>Dowling W</w:t>
      </w:r>
      <w:r w:rsidRPr="00A96D05">
        <w:rPr>
          <w:rFonts w:ascii="Book Antiqua" w:hAnsi="Book Antiqua" w:cs="Book Antiqua"/>
          <w:color w:val="000000"/>
          <w:sz w:val="24"/>
          <w:szCs w:val="24"/>
          <w:lang w:val="en-US"/>
        </w:rPr>
        <w:t>, Denisova E, LaMonica R, Mackow ER. Selective membrane permeabilization by the rotavirus VP5* protein is abrogated by mutations in an internal hydrophobic domain.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74</w:t>
      </w:r>
      <w:r w:rsidRPr="00A96D05">
        <w:rPr>
          <w:rFonts w:ascii="Book Antiqua" w:hAnsi="Book Antiqua" w:cs="Book Antiqua"/>
          <w:color w:val="000000"/>
          <w:sz w:val="24"/>
          <w:szCs w:val="24"/>
          <w:lang w:val="en-US"/>
        </w:rPr>
        <w:t xml:space="preserve">: 6368-6376 [PMID: 10864647 DOI: </w:t>
      </w:r>
      <w:hyperlink r:id="rId8" w:tgtFrame="_blank" w:history="1">
        <w:r w:rsidRPr="00A96D05">
          <w:rPr>
            <w:rStyle w:val="Hyperlink"/>
            <w:rFonts w:ascii="Book Antiqua" w:hAnsi="Book Antiqua" w:cs="Book Antiqua"/>
            <w:color w:val="000000"/>
            <w:sz w:val="24"/>
            <w:szCs w:val="24"/>
            <w:u w:val="none"/>
            <w:shd w:val="clear" w:color="auto" w:fill="FFFFFF"/>
            <w:lang w:val="en-US"/>
          </w:rPr>
          <w:t>10.1128/JVI.74.14.6368-6376.2000</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lang w:val="en-US"/>
        </w:rPr>
        <w:t>121 </w:t>
      </w:r>
      <w:r w:rsidRPr="00A96D05">
        <w:rPr>
          <w:rFonts w:ascii="Book Antiqua" w:hAnsi="Book Antiqua" w:cs="Book Antiqua"/>
          <w:b/>
          <w:bCs/>
          <w:color w:val="000000"/>
          <w:sz w:val="24"/>
          <w:szCs w:val="24"/>
          <w:lang w:val="en-US"/>
        </w:rPr>
        <w:t>Coulson BS</w:t>
      </w:r>
      <w:r w:rsidRPr="00A96D05">
        <w:rPr>
          <w:rFonts w:ascii="Book Antiqua" w:hAnsi="Book Antiqua" w:cs="Book Antiqua"/>
          <w:color w:val="000000"/>
          <w:sz w:val="24"/>
          <w:szCs w:val="24"/>
          <w:lang w:val="en-US"/>
        </w:rPr>
        <w:t>, Londrigan SL, Lee DJ. Rotavirus contains integrin ligand sequences and a disintegrin-like domain that are implicated in virus entry into cells. </w:t>
      </w:r>
      <w:r w:rsidRPr="00A96D05">
        <w:rPr>
          <w:rFonts w:ascii="Book Antiqua" w:hAnsi="Book Antiqua" w:cs="Book Antiqua"/>
          <w:i/>
          <w:iCs/>
          <w:color w:val="000000"/>
          <w:sz w:val="24"/>
          <w:szCs w:val="24"/>
        </w:rPr>
        <w:t>Proc Natl Acad Sci USA</w:t>
      </w:r>
      <w:r w:rsidRPr="00A96D05">
        <w:rPr>
          <w:rFonts w:ascii="Book Antiqua" w:hAnsi="Book Antiqua" w:cs="Book Antiqua"/>
          <w:color w:val="000000"/>
          <w:sz w:val="24"/>
          <w:szCs w:val="24"/>
        </w:rPr>
        <w:t> 1997; </w:t>
      </w:r>
      <w:r w:rsidRPr="00A96D05">
        <w:rPr>
          <w:rFonts w:ascii="Book Antiqua" w:hAnsi="Book Antiqua" w:cs="Book Antiqua"/>
          <w:b/>
          <w:bCs/>
          <w:color w:val="000000"/>
          <w:sz w:val="24"/>
          <w:szCs w:val="24"/>
        </w:rPr>
        <w:t>94</w:t>
      </w:r>
      <w:r w:rsidRPr="00A96D05">
        <w:rPr>
          <w:rFonts w:ascii="Book Antiqua" w:hAnsi="Book Antiqua" w:cs="Book Antiqua"/>
          <w:color w:val="000000"/>
          <w:sz w:val="24"/>
          <w:szCs w:val="24"/>
        </w:rPr>
        <w:t xml:space="preserve">: 5389-5394 [PMID: 9144247 DOI: </w:t>
      </w:r>
      <w:hyperlink r:id="rId9" w:tgtFrame="_blank" w:history="1">
        <w:r w:rsidRPr="00A96D05">
          <w:rPr>
            <w:rStyle w:val="Hyperlink"/>
            <w:rFonts w:ascii="Book Antiqua" w:hAnsi="Book Antiqua" w:cs="Book Antiqua"/>
            <w:color w:val="000000"/>
            <w:sz w:val="24"/>
            <w:szCs w:val="24"/>
            <w:u w:val="none"/>
            <w:shd w:val="clear" w:color="auto" w:fill="FFFFFF"/>
          </w:rPr>
          <w:t>10.1073/pnas.94.10.5389</w:t>
        </w:r>
      </w:hyperlink>
      <w:r w:rsidRPr="00A96D05">
        <w:rPr>
          <w:rFonts w:ascii="Book Antiqua" w:hAnsi="Book Antiqua" w:cs="Book Antiqua"/>
          <w:color w:val="000000"/>
          <w:sz w:val="24"/>
          <w:szCs w:val="24"/>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rPr>
        <w:t>122 </w:t>
      </w:r>
      <w:r w:rsidRPr="00A96D05">
        <w:rPr>
          <w:rFonts w:ascii="Book Antiqua" w:hAnsi="Book Antiqua" w:cs="Book Antiqua"/>
          <w:b/>
          <w:bCs/>
          <w:color w:val="000000"/>
          <w:sz w:val="24"/>
          <w:szCs w:val="24"/>
        </w:rPr>
        <w:t>López S</w:t>
      </w:r>
      <w:r w:rsidRPr="00A96D05">
        <w:rPr>
          <w:rFonts w:ascii="Book Antiqua" w:hAnsi="Book Antiqua" w:cs="Book Antiqua"/>
          <w:color w:val="000000"/>
          <w:sz w:val="24"/>
          <w:szCs w:val="24"/>
        </w:rPr>
        <w:t xml:space="preserve">, Arias CF. </w:t>
      </w:r>
      <w:r w:rsidRPr="00A96D05">
        <w:rPr>
          <w:rFonts w:ascii="Book Antiqua" w:hAnsi="Book Antiqua" w:cs="Book Antiqua"/>
          <w:color w:val="000000"/>
          <w:sz w:val="24"/>
          <w:szCs w:val="24"/>
          <w:lang w:val="en-US"/>
        </w:rPr>
        <w:t>Multistep entry of rotavirus into cells: a Versaillesque dance. </w:t>
      </w:r>
      <w:r w:rsidRPr="00A96D05">
        <w:rPr>
          <w:rFonts w:ascii="Book Antiqua" w:hAnsi="Book Antiqua" w:cs="Book Antiqua"/>
          <w:i/>
          <w:iCs/>
          <w:color w:val="000000"/>
          <w:sz w:val="24"/>
          <w:szCs w:val="24"/>
          <w:lang w:val="en-US"/>
        </w:rPr>
        <w:t>Trends Microbiol</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12</w:t>
      </w:r>
      <w:r w:rsidRPr="00A96D05">
        <w:rPr>
          <w:rFonts w:ascii="Book Antiqua" w:hAnsi="Book Antiqua" w:cs="Book Antiqua"/>
          <w:color w:val="000000"/>
          <w:sz w:val="24"/>
          <w:szCs w:val="24"/>
          <w:lang w:val="en-US"/>
        </w:rPr>
        <w:t xml:space="preserve">: 271-278 [PMID: 15165605 DOI: </w:t>
      </w:r>
      <w:hyperlink r:id="rId10" w:tgtFrame="_blank" w:history="1">
        <w:r w:rsidRPr="00A96D05">
          <w:rPr>
            <w:rStyle w:val="Hyperlink"/>
            <w:rFonts w:ascii="Book Antiqua" w:hAnsi="Book Antiqua" w:cs="Book Antiqua"/>
            <w:color w:val="000000"/>
            <w:sz w:val="24"/>
            <w:szCs w:val="24"/>
            <w:u w:val="none"/>
            <w:shd w:val="clear" w:color="auto" w:fill="FFFFFF"/>
            <w:lang w:val="en-US"/>
          </w:rPr>
          <w:t>10.1016/j.tim.2004.04.003</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123 </w:t>
      </w:r>
      <w:r w:rsidRPr="00A96D05">
        <w:rPr>
          <w:rFonts w:ascii="Book Antiqua" w:hAnsi="Book Antiqua" w:cs="Book Antiqua"/>
          <w:b/>
          <w:bCs/>
          <w:color w:val="000000"/>
          <w:sz w:val="24"/>
          <w:szCs w:val="24"/>
          <w:lang w:val="en-US"/>
        </w:rPr>
        <w:t>Trask SD</w:t>
      </w:r>
      <w:r w:rsidRPr="00A96D05">
        <w:rPr>
          <w:rFonts w:ascii="Book Antiqua" w:hAnsi="Book Antiqua" w:cs="Book Antiqua"/>
          <w:color w:val="000000"/>
          <w:sz w:val="24"/>
          <w:szCs w:val="24"/>
          <w:lang w:val="en-US"/>
        </w:rPr>
        <w:t>, Dormitzer PR. Assembly of highly infectious rotavirus particles recoated with recombinant outer capsid proteins.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80</w:t>
      </w:r>
      <w:r w:rsidRPr="00A96D05">
        <w:rPr>
          <w:rFonts w:ascii="Book Antiqua" w:hAnsi="Book Antiqua" w:cs="Book Antiqua"/>
          <w:color w:val="000000"/>
          <w:sz w:val="24"/>
          <w:szCs w:val="24"/>
          <w:lang w:val="en-US"/>
        </w:rPr>
        <w:t>: 11293-11304 [PMID: 16971442 DOI: 10.1128/jvi.01346-06]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124 </w:t>
      </w:r>
      <w:r w:rsidRPr="00A96D05">
        <w:rPr>
          <w:rFonts w:ascii="Book Antiqua" w:hAnsi="Book Antiqua" w:cs="Book Antiqua"/>
          <w:b/>
          <w:bCs/>
          <w:color w:val="000000"/>
          <w:sz w:val="24"/>
          <w:szCs w:val="24"/>
          <w:lang w:val="en-US"/>
        </w:rPr>
        <w:t>Mandel R</w:t>
      </w:r>
      <w:r w:rsidRPr="00A96D05">
        <w:rPr>
          <w:rFonts w:ascii="Book Antiqua" w:hAnsi="Book Antiqua" w:cs="Book Antiqua"/>
          <w:color w:val="000000"/>
          <w:sz w:val="24"/>
          <w:szCs w:val="24"/>
          <w:lang w:val="en-US"/>
        </w:rPr>
        <w:t>, Ryser HJ, Ghani F, Wu M, Peak D. Inhibition of a reductive function of the plasma membrane by bacitracin and antibodies against protein disulfide-isomerase. </w:t>
      </w:r>
      <w:r w:rsidRPr="00A96D05">
        <w:rPr>
          <w:rFonts w:ascii="Book Antiqua" w:hAnsi="Book Antiqua" w:cs="Book Antiqua"/>
          <w:i/>
          <w:iCs/>
          <w:color w:val="000000"/>
          <w:sz w:val="24"/>
          <w:szCs w:val="24"/>
          <w:lang w:val="en-US"/>
        </w:rPr>
        <w:t>Proc Natl Acad Sci USA</w:t>
      </w:r>
      <w:r w:rsidRPr="00A96D05">
        <w:rPr>
          <w:rFonts w:ascii="Book Antiqua" w:hAnsi="Book Antiqua" w:cs="Book Antiqua"/>
          <w:color w:val="000000"/>
          <w:sz w:val="24"/>
          <w:szCs w:val="24"/>
          <w:lang w:val="en-US"/>
        </w:rPr>
        <w:t> 1993; </w:t>
      </w:r>
      <w:r w:rsidRPr="00A96D05">
        <w:rPr>
          <w:rFonts w:ascii="Book Antiqua" w:hAnsi="Book Antiqua" w:cs="Book Antiqua"/>
          <w:b/>
          <w:bCs/>
          <w:color w:val="000000"/>
          <w:sz w:val="24"/>
          <w:szCs w:val="24"/>
          <w:lang w:val="en-US"/>
        </w:rPr>
        <w:t>90</w:t>
      </w:r>
      <w:r w:rsidRPr="00A96D05">
        <w:rPr>
          <w:rFonts w:ascii="Book Antiqua" w:hAnsi="Book Antiqua" w:cs="Book Antiqua"/>
          <w:color w:val="000000"/>
          <w:sz w:val="24"/>
          <w:szCs w:val="24"/>
          <w:lang w:val="en-US"/>
        </w:rPr>
        <w:t>: 4112-4116 [PMID: 8387210]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125 </w:t>
      </w:r>
      <w:r w:rsidRPr="00A96D05">
        <w:rPr>
          <w:rFonts w:ascii="Book Antiqua" w:hAnsi="Book Antiqua" w:cs="Book Antiqua"/>
          <w:b/>
          <w:bCs/>
          <w:color w:val="000000"/>
          <w:sz w:val="24"/>
          <w:szCs w:val="24"/>
          <w:lang w:val="en-US"/>
        </w:rPr>
        <w:t>Couët J</w:t>
      </w:r>
      <w:r w:rsidRPr="00A96D05">
        <w:rPr>
          <w:rFonts w:ascii="Book Antiqua" w:hAnsi="Book Antiqua" w:cs="Book Antiqua"/>
          <w:color w:val="000000"/>
          <w:sz w:val="24"/>
          <w:szCs w:val="24"/>
          <w:lang w:val="en-US"/>
        </w:rPr>
        <w:t>, de Bernard S, Loosfelt H, Saunier B, Milgrom E, Misrahi M. Cell surface protein disulfide-isomerase is involved in the shedding of human thyrotropin receptor ectodomain. </w:t>
      </w:r>
      <w:r w:rsidRPr="00A96D05">
        <w:rPr>
          <w:rFonts w:ascii="Book Antiqua" w:hAnsi="Book Antiqua" w:cs="Book Antiqua"/>
          <w:i/>
          <w:iCs/>
          <w:color w:val="000000"/>
          <w:sz w:val="24"/>
          <w:szCs w:val="24"/>
          <w:lang w:val="en-US"/>
        </w:rPr>
        <w:t>Biochemistry</w:t>
      </w:r>
      <w:r w:rsidRPr="00A96D05">
        <w:rPr>
          <w:rFonts w:ascii="Book Antiqua" w:hAnsi="Book Antiqua" w:cs="Book Antiqua"/>
          <w:color w:val="000000"/>
          <w:sz w:val="24"/>
          <w:szCs w:val="24"/>
          <w:lang w:val="en-US"/>
        </w:rPr>
        <w:t> 1996; </w:t>
      </w:r>
      <w:r w:rsidRPr="00A96D05">
        <w:rPr>
          <w:rFonts w:ascii="Book Antiqua" w:hAnsi="Book Antiqua" w:cs="Book Antiqua"/>
          <w:b/>
          <w:bCs/>
          <w:color w:val="000000"/>
          <w:sz w:val="24"/>
          <w:szCs w:val="24"/>
          <w:lang w:val="en-US"/>
        </w:rPr>
        <w:t>35</w:t>
      </w:r>
      <w:r w:rsidRPr="00A96D05">
        <w:rPr>
          <w:rFonts w:ascii="Book Antiqua" w:hAnsi="Book Antiqua" w:cs="Book Antiqua"/>
          <w:color w:val="000000"/>
          <w:sz w:val="24"/>
          <w:szCs w:val="24"/>
          <w:lang w:val="en-US"/>
        </w:rPr>
        <w:t>: 14800-14805 [PMID: 8942642 DOI: 10.1021/bi961359w]</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126 </w:t>
      </w:r>
      <w:r w:rsidRPr="00A96D05">
        <w:rPr>
          <w:rFonts w:ascii="Book Antiqua" w:hAnsi="Book Antiqua" w:cs="Book Antiqua"/>
          <w:b/>
          <w:bCs/>
          <w:color w:val="000000"/>
          <w:sz w:val="24"/>
          <w:szCs w:val="24"/>
          <w:lang w:val="en-US"/>
        </w:rPr>
        <w:t>Orlandi PA</w:t>
      </w:r>
      <w:r w:rsidRPr="00A96D05">
        <w:rPr>
          <w:rFonts w:ascii="Book Antiqua" w:hAnsi="Book Antiqua" w:cs="Book Antiqua"/>
          <w:color w:val="000000"/>
          <w:sz w:val="24"/>
          <w:szCs w:val="24"/>
          <w:lang w:val="en-US"/>
        </w:rPr>
        <w:t>. Protein-disulfide isomerase-mediated reduction of the A subunit of cholera toxin in a human intestinal cell line. </w:t>
      </w:r>
      <w:r w:rsidRPr="00A96D05">
        <w:rPr>
          <w:rFonts w:ascii="Book Antiqua" w:hAnsi="Book Antiqua" w:cs="Book Antiqua"/>
          <w:i/>
          <w:iCs/>
          <w:color w:val="000000"/>
          <w:sz w:val="24"/>
          <w:szCs w:val="24"/>
          <w:lang w:val="en-US"/>
        </w:rPr>
        <w:t>J Biol Chem</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272</w:t>
      </w:r>
      <w:r w:rsidRPr="00A96D05">
        <w:rPr>
          <w:rFonts w:ascii="Book Antiqua" w:hAnsi="Book Antiqua" w:cs="Book Antiqua"/>
          <w:color w:val="000000"/>
          <w:sz w:val="24"/>
          <w:szCs w:val="24"/>
          <w:lang w:val="en-US"/>
        </w:rPr>
        <w:t>: 4591-4599 [PMID: 9020187]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127 </w:t>
      </w:r>
      <w:r w:rsidRPr="00A96D05">
        <w:rPr>
          <w:rFonts w:ascii="Book Antiqua" w:hAnsi="Book Antiqua" w:cs="Book Antiqua"/>
          <w:b/>
          <w:bCs/>
          <w:color w:val="000000"/>
          <w:sz w:val="24"/>
          <w:szCs w:val="24"/>
          <w:lang w:val="en-US"/>
        </w:rPr>
        <w:t>Santana AY</w:t>
      </w:r>
      <w:r w:rsidRPr="00A96D05">
        <w:rPr>
          <w:rFonts w:ascii="Book Antiqua" w:hAnsi="Book Antiqua" w:cs="Book Antiqua"/>
          <w:color w:val="000000"/>
          <w:sz w:val="24"/>
          <w:szCs w:val="24"/>
          <w:lang w:val="en-US"/>
        </w:rPr>
        <w:t xml:space="preserve">, Guerrero CA, Acosta O. Implication of Hsc70, PDI and integrin </w:t>
      </w:r>
      <w:r w:rsidRPr="00A96D05">
        <w:rPr>
          <w:rFonts w:ascii="Book Antiqua" w:hAnsi="Book Antiqua" w:cs="Book Antiqua"/>
          <w:color w:val="000000"/>
          <w:sz w:val="24"/>
          <w:szCs w:val="24"/>
        </w:rPr>
        <w:t>α</w:t>
      </w:r>
      <w:r w:rsidRPr="00A96D05">
        <w:rPr>
          <w:rFonts w:ascii="Book Antiqua" w:hAnsi="Book Antiqua" w:cs="Book Antiqua"/>
          <w:color w:val="000000"/>
          <w:sz w:val="24"/>
          <w:szCs w:val="24"/>
          <w:lang w:val="en-US"/>
        </w:rPr>
        <w:t>v</w:t>
      </w:r>
      <w:r w:rsidRPr="00A96D05">
        <w:rPr>
          <w:rFonts w:ascii="Book Antiqua" w:hAnsi="Book Antiqua" w:cs="Book Antiqua"/>
          <w:color w:val="000000"/>
          <w:sz w:val="24"/>
          <w:szCs w:val="24"/>
        </w:rPr>
        <w:t>β</w:t>
      </w:r>
      <w:r w:rsidRPr="00A96D05">
        <w:rPr>
          <w:rFonts w:ascii="Book Antiqua" w:hAnsi="Book Antiqua" w:cs="Book Antiqua"/>
          <w:color w:val="000000"/>
          <w:sz w:val="24"/>
          <w:szCs w:val="24"/>
          <w:lang w:val="en-US"/>
        </w:rPr>
        <w:t>3 involvement during entry of the murine rotavirus ECwt into small-intestinal villi of suckling mice. </w:t>
      </w:r>
      <w:r w:rsidRPr="00A96D05">
        <w:rPr>
          <w:rFonts w:ascii="Book Antiqua" w:hAnsi="Book Antiqua" w:cs="Book Antiqua"/>
          <w:i/>
          <w:iCs/>
          <w:color w:val="000000"/>
          <w:sz w:val="24"/>
          <w:szCs w:val="24"/>
          <w:lang w:val="en-US"/>
        </w:rPr>
        <w:t>Arch Virol</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158</w:t>
      </w:r>
      <w:r w:rsidRPr="00A96D05">
        <w:rPr>
          <w:rFonts w:ascii="Book Antiqua" w:hAnsi="Book Antiqua" w:cs="Book Antiqua"/>
          <w:color w:val="000000"/>
          <w:sz w:val="24"/>
          <w:szCs w:val="24"/>
          <w:lang w:val="en-US"/>
        </w:rPr>
        <w:t>: 1323-1336 [PMID: 23404461 DOI: 10.1007/s00705-013-1626-6]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128 </w:t>
      </w:r>
      <w:r w:rsidRPr="00A96D05">
        <w:rPr>
          <w:rFonts w:ascii="Book Antiqua" w:hAnsi="Book Antiqua" w:cs="Book Antiqua"/>
          <w:b/>
          <w:bCs/>
          <w:color w:val="000000"/>
          <w:sz w:val="24"/>
          <w:szCs w:val="24"/>
          <w:lang w:val="en-US"/>
        </w:rPr>
        <w:t>Isa P</w:t>
      </w:r>
      <w:r w:rsidRPr="00A96D05">
        <w:rPr>
          <w:rFonts w:ascii="Book Antiqua" w:hAnsi="Book Antiqua" w:cs="Book Antiqua"/>
          <w:color w:val="000000"/>
          <w:sz w:val="24"/>
          <w:szCs w:val="24"/>
          <w:lang w:val="en-US"/>
        </w:rPr>
        <w:t>, Realpe M, Romero P, López S, Arias CF. Rotavirus RRV associates with lipid membrane microdomains during cell entry. </w:t>
      </w:r>
      <w:r w:rsidRPr="00A96D05">
        <w:rPr>
          <w:rFonts w:ascii="Book Antiqua" w:hAnsi="Book Antiqua" w:cs="Book Antiqua"/>
          <w:i/>
          <w:iCs/>
          <w:color w:val="000000"/>
          <w:sz w:val="24"/>
          <w:szCs w:val="24"/>
          <w:lang w:val="en-US"/>
        </w:rPr>
        <w:t>Virology</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322</w:t>
      </w:r>
      <w:r w:rsidRPr="00A96D05">
        <w:rPr>
          <w:rFonts w:ascii="Book Antiqua" w:hAnsi="Book Antiqua" w:cs="Book Antiqua"/>
          <w:color w:val="000000"/>
          <w:sz w:val="24"/>
          <w:szCs w:val="24"/>
          <w:lang w:val="en-US"/>
        </w:rPr>
        <w:t>: 370-381 [PMID: 15110534 DOI: 10.1016/j.virol.2004.02.018]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129 </w:t>
      </w:r>
      <w:r w:rsidRPr="00A96D05">
        <w:rPr>
          <w:rFonts w:ascii="Book Antiqua" w:hAnsi="Book Antiqua" w:cs="Book Antiqua"/>
          <w:b/>
          <w:bCs/>
          <w:color w:val="000000"/>
          <w:sz w:val="24"/>
          <w:szCs w:val="24"/>
          <w:lang w:val="en-US"/>
        </w:rPr>
        <w:t>Swiatkowska M</w:t>
      </w:r>
      <w:r w:rsidRPr="00A96D05">
        <w:rPr>
          <w:rFonts w:ascii="Book Antiqua" w:hAnsi="Book Antiqua" w:cs="Book Antiqua"/>
          <w:color w:val="000000"/>
          <w:sz w:val="24"/>
          <w:szCs w:val="24"/>
          <w:lang w:val="en-US"/>
        </w:rPr>
        <w:t>, Szymański J, Padula G, Cierniewski CS. Interaction and functional association of protein disulfide isomerase with alphaVbeta3 integrin on endothelial cells. </w:t>
      </w:r>
      <w:r w:rsidRPr="00A96D05">
        <w:rPr>
          <w:rFonts w:ascii="Book Antiqua" w:hAnsi="Book Antiqua" w:cs="Book Antiqua"/>
          <w:i/>
          <w:iCs/>
          <w:color w:val="000000"/>
          <w:sz w:val="24"/>
          <w:szCs w:val="24"/>
          <w:lang w:val="en-US"/>
        </w:rPr>
        <w:t>FEBS J</w:t>
      </w:r>
      <w:r w:rsidRPr="00A96D05">
        <w:rPr>
          <w:rFonts w:ascii="Book Antiqua" w:hAnsi="Book Antiqua" w:cs="Book Antiqua"/>
          <w:color w:val="000000"/>
          <w:sz w:val="24"/>
          <w:szCs w:val="24"/>
          <w:lang w:val="en-US"/>
        </w:rPr>
        <w:t> 2008; </w:t>
      </w:r>
      <w:r w:rsidRPr="00A96D05">
        <w:rPr>
          <w:rFonts w:ascii="Book Antiqua" w:hAnsi="Book Antiqua" w:cs="Book Antiqua"/>
          <w:b/>
          <w:bCs/>
          <w:color w:val="000000"/>
          <w:sz w:val="24"/>
          <w:szCs w:val="24"/>
          <w:lang w:val="en-US"/>
        </w:rPr>
        <w:t>275</w:t>
      </w:r>
      <w:r w:rsidRPr="00A96D05">
        <w:rPr>
          <w:rFonts w:ascii="Book Antiqua" w:hAnsi="Book Antiqua" w:cs="Book Antiqua"/>
          <w:color w:val="000000"/>
          <w:sz w:val="24"/>
          <w:szCs w:val="24"/>
          <w:lang w:val="en-US"/>
        </w:rPr>
        <w:t>: 1813-1823 [PMID: 18331351 DOI: 10.1111/j.1742-4658.2008.06339.x]</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130 </w:t>
      </w:r>
      <w:r w:rsidRPr="00A96D05">
        <w:rPr>
          <w:rFonts w:ascii="Book Antiqua" w:hAnsi="Book Antiqua" w:cs="Book Antiqua"/>
          <w:b/>
          <w:bCs/>
          <w:color w:val="000000"/>
          <w:sz w:val="24"/>
          <w:szCs w:val="24"/>
          <w:lang w:val="en-US"/>
        </w:rPr>
        <w:t>Lahav J</w:t>
      </w:r>
      <w:r w:rsidRPr="00A96D05">
        <w:rPr>
          <w:rFonts w:ascii="Book Antiqua" w:hAnsi="Book Antiqua" w:cs="Book Antiqua"/>
          <w:color w:val="000000"/>
          <w:sz w:val="24"/>
          <w:szCs w:val="24"/>
          <w:lang w:val="en-US"/>
        </w:rPr>
        <w:t>, Wijnen EM, Hess O, Hamaia SW, Griffiths D, Makris M, Knight CG, Essex DW, Farndale RW. Enzymatically catalyzed disulfide exchange is required for platelet adhesion to collagen via integrin alpha2beta1. </w:t>
      </w:r>
      <w:r w:rsidRPr="00A96D05">
        <w:rPr>
          <w:rFonts w:ascii="Book Antiqua" w:hAnsi="Book Antiqua" w:cs="Book Antiqua"/>
          <w:i/>
          <w:iCs/>
          <w:color w:val="000000"/>
          <w:sz w:val="24"/>
          <w:szCs w:val="24"/>
          <w:lang w:val="en-US"/>
        </w:rPr>
        <w:t>Blood</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102</w:t>
      </w:r>
      <w:r w:rsidRPr="00A96D05">
        <w:rPr>
          <w:rFonts w:ascii="Book Antiqua" w:hAnsi="Book Antiqua" w:cs="Book Antiqua"/>
          <w:color w:val="000000"/>
          <w:sz w:val="24"/>
          <w:szCs w:val="24"/>
          <w:lang w:val="en-US"/>
        </w:rPr>
        <w:t>: 2085-2092 [PMID: 12791669 DOI: 10.1182/blood-2002-06-1646]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131 </w:t>
      </w:r>
      <w:r w:rsidRPr="00A96D05">
        <w:rPr>
          <w:rFonts w:ascii="Book Antiqua" w:hAnsi="Book Antiqua" w:cs="Book Antiqua"/>
          <w:b/>
          <w:bCs/>
          <w:color w:val="000000"/>
          <w:sz w:val="24"/>
          <w:szCs w:val="24"/>
          <w:lang w:val="en-US"/>
        </w:rPr>
        <w:t>Di Paolo NC</w:t>
      </w:r>
      <w:r w:rsidRPr="00A96D05">
        <w:rPr>
          <w:rFonts w:ascii="Book Antiqua" w:hAnsi="Book Antiqua" w:cs="Book Antiqua"/>
          <w:color w:val="000000"/>
          <w:sz w:val="24"/>
          <w:szCs w:val="24"/>
          <w:lang w:val="en-US"/>
        </w:rPr>
        <w:t>, Miao EA, Iwakura Y, Murali-Krishna K, Aderem A, Flavell RA, Papayannopoulou T, Shayakhmetov DM. Virus binding to a plasma membrane receptor triggers interleukin-1 alpha-mediated proinflammatory macrophage response in vivo. </w:t>
      </w:r>
      <w:r w:rsidRPr="00A96D05">
        <w:rPr>
          <w:rFonts w:ascii="Book Antiqua" w:hAnsi="Book Antiqua" w:cs="Book Antiqua"/>
          <w:i/>
          <w:iCs/>
          <w:color w:val="000000"/>
          <w:sz w:val="24"/>
          <w:szCs w:val="24"/>
          <w:lang w:val="en-US"/>
        </w:rPr>
        <w:t>Immunity</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31</w:t>
      </w:r>
      <w:r w:rsidRPr="00A96D05">
        <w:rPr>
          <w:rFonts w:ascii="Book Antiqua" w:hAnsi="Book Antiqua" w:cs="Book Antiqua"/>
          <w:color w:val="000000"/>
          <w:sz w:val="24"/>
          <w:szCs w:val="24"/>
          <w:lang w:val="en-US"/>
        </w:rPr>
        <w:t>: 110-121 [PMID: 19576795 DOI: 10.1016/j.immuni.2009.04.015]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132 </w:t>
      </w:r>
      <w:r w:rsidRPr="00A96D05">
        <w:rPr>
          <w:rFonts w:ascii="Book Antiqua" w:hAnsi="Book Antiqua" w:cs="Book Antiqua"/>
          <w:b/>
          <w:bCs/>
          <w:color w:val="000000"/>
          <w:sz w:val="24"/>
          <w:szCs w:val="24"/>
          <w:lang w:val="en-US"/>
        </w:rPr>
        <w:t>Browne A</w:t>
      </w:r>
      <w:r w:rsidRPr="00A96D05">
        <w:rPr>
          <w:rFonts w:ascii="Book Antiqua" w:hAnsi="Book Antiqua" w:cs="Book Antiqua"/>
          <w:color w:val="000000"/>
          <w:sz w:val="24"/>
          <w:szCs w:val="24"/>
          <w:lang w:val="en-US"/>
        </w:rPr>
        <w:t xml:space="preserve">, Tookman LA, Ingemarsdotter CK, Bouwman RD, Pirlo K, Wang Y, McNeish IA, Lockley M. Pharmacological Inhibition of </w:t>
      </w:r>
      <w:r w:rsidRPr="00A96D05">
        <w:rPr>
          <w:rFonts w:ascii="Book Antiqua" w:hAnsi="Book Antiqua" w:cs="Book Antiqua"/>
          <w:color w:val="000000"/>
          <w:sz w:val="24"/>
          <w:szCs w:val="24"/>
        </w:rPr>
        <w:t>β</w:t>
      </w:r>
      <w:r w:rsidRPr="00A96D05">
        <w:rPr>
          <w:rFonts w:ascii="Book Antiqua" w:hAnsi="Book Antiqua" w:cs="Book Antiqua"/>
          <w:color w:val="000000"/>
          <w:sz w:val="24"/>
          <w:szCs w:val="24"/>
          <w:lang w:val="en-US"/>
        </w:rPr>
        <w:t>3 Integrin Reduces the Inflammatory Toxicities Caused by Oncolytic Adenovirus without Compromising Anticancer Activity. </w:t>
      </w:r>
      <w:r w:rsidRPr="00A96D05">
        <w:rPr>
          <w:rFonts w:ascii="Book Antiqua" w:hAnsi="Book Antiqua" w:cs="Book Antiqua"/>
          <w:i/>
          <w:iCs/>
          <w:color w:val="000000"/>
          <w:sz w:val="24"/>
          <w:szCs w:val="24"/>
          <w:lang w:val="en-US"/>
        </w:rPr>
        <w:t>Cancer Res</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75</w:t>
      </w:r>
      <w:r w:rsidRPr="00A96D05">
        <w:rPr>
          <w:rFonts w:ascii="Book Antiqua" w:hAnsi="Book Antiqua" w:cs="Book Antiqua"/>
          <w:color w:val="000000"/>
          <w:sz w:val="24"/>
          <w:szCs w:val="24"/>
          <w:lang w:val="en-US"/>
        </w:rPr>
        <w:t>: 2811-2821 [PMID: 25977332 DOI: 10.1158/0008-5472.can-14-3761]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133 </w:t>
      </w:r>
      <w:r w:rsidRPr="00A96D05">
        <w:rPr>
          <w:rFonts w:ascii="Book Antiqua" w:hAnsi="Book Antiqua" w:cs="Book Antiqua"/>
          <w:b/>
          <w:bCs/>
          <w:color w:val="000000"/>
          <w:sz w:val="24"/>
          <w:szCs w:val="24"/>
          <w:lang w:val="en-US"/>
        </w:rPr>
        <w:t>Li W</w:t>
      </w:r>
      <w:r w:rsidRPr="00A96D05">
        <w:rPr>
          <w:rFonts w:ascii="Book Antiqua" w:hAnsi="Book Antiqua" w:cs="Book Antiqua"/>
          <w:color w:val="000000"/>
          <w:sz w:val="24"/>
          <w:szCs w:val="24"/>
          <w:lang w:val="en-US"/>
        </w:rPr>
        <w:t xml:space="preserve">, Wang G, Liang W, Kang K, Guo K, Zhang Y. Integrin </w:t>
      </w:r>
      <w:r w:rsidRPr="00A96D05">
        <w:rPr>
          <w:rFonts w:ascii="Book Antiqua" w:hAnsi="Book Antiqua" w:cs="Book Antiqua"/>
          <w:color w:val="000000"/>
          <w:sz w:val="24"/>
          <w:szCs w:val="24"/>
        </w:rPr>
        <w:t>β</w:t>
      </w:r>
      <w:r w:rsidRPr="00A96D05">
        <w:rPr>
          <w:rFonts w:ascii="Book Antiqua" w:hAnsi="Book Antiqua" w:cs="Book Antiqua"/>
          <w:color w:val="000000"/>
          <w:sz w:val="24"/>
          <w:szCs w:val="24"/>
          <w:lang w:val="en-US"/>
        </w:rPr>
        <w:t>3 is required in infection and proliferation of classical swine fever virus. </w:t>
      </w:r>
      <w:r w:rsidRPr="00A96D05">
        <w:rPr>
          <w:rFonts w:ascii="Book Antiqua" w:hAnsi="Book Antiqua" w:cs="Book Antiqua"/>
          <w:i/>
          <w:iCs/>
          <w:color w:val="000000"/>
          <w:sz w:val="24"/>
          <w:szCs w:val="24"/>
          <w:lang w:val="en-US"/>
        </w:rPr>
        <w:t>PLoS One</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9</w:t>
      </w:r>
      <w:r w:rsidRPr="00A96D05">
        <w:rPr>
          <w:rFonts w:ascii="Book Antiqua" w:hAnsi="Book Antiqua" w:cs="Book Antiqua"/>
          <w:color w:val="000000"/>
          <w:sz w:val="24"/>
          <w:szCs w:val="24"/>
          <w:lang w:val="en-US"/>
        </w:rPr>
        <w:t>: e110911 [PMID: 25340775 DOI: 10.1371/journal.pone.0110911]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 xml:space="preserve">134 </w:t>
      </w:r>
      <w:r w:rsidRPr="00A96D05">
        <w:rPr>
          <w:rFonts w:ascii="Book Antiqua" w:hAnsi="Book Antiqua" w:cs="Book Antiqua"/>
          <w:b/>
          <w:bCs/>
          <w:color w:val="000000"/>
          <w:sz w:val="24"/>
          <w:szCs w:val="24"/>
          <w:lang w:val="en-US"/>
        </w:rPr>
        <w:t>Ning P</w:t>
      </w:r>
      <w:r w:rsidRPr="00A96D05">
        <w:rPr>
          <w:rFonts w:ascii="Book Antiqua" w:hAnsi="Book Antiqua" w:cs="Book Antiqua"/>
          <w:color w:val="000000"/>
          <w:sz w:val="24"/>
          <w:szCs w:val="24"/>
          <w:lang w:val="en-US"/>
        </w:rPr>
        <w:t xml:space="preserve">, An L, Liang W, Zhang Y. Identification of inhibition of protein disulphide isomerase expression related to classical swine fever virus infection by using real-time PCR analysis. </w:t>
      </w:r>
      <w:r w:rsidRPr="00A96D05">
        <w:rPr>
          <w:rFonts w:ascii="Book Antiqua" w:hAnsi="Book Antiqua" w:cs="Book Antiqua"/>
          <w:i/>
          <w:iCs/>
          <w:color w:val="000000"/>
          <w:sz w:val="24"/>
          <w:szCs w:val="24"/>
          <w:lang w:val="en-US"/>
        </w:rPr>
        <w:t>Biotechnol Equip</w:t>
      </w:r>
      <w:r w:rsidRPr="00A96D05">
        <w:rPr>
          <w:rFonts w:ascii="Book Antiqua" w:hAnsi="Book Antiqua" w:cs="Book Antiqua"/>
          <w:color w:val="000000"/>
          <w:sz w:val="24"/>
          <w:szCs w:val="24"/>
          <w:lang w:val="en-US"/>
        </w:rPr>
        <w:t xml:space="preserve"> 2015; </w:t>
      </w:r>
      <w:r w:rsidRPr="00A96D05">
        <w:rPr>
          <w:rFonts w:ascii="Book Antiqua" w:hAnsi="Book Antiqua" w:cs="Book Antiqua"/>
          <w:b/>
          <w:bCs/>
          <w:color w:val="000000"/>
          <w:sz w:val="24"/>
          <w:szCs w:val="24"/>
          <w:lang w:val="en-US"/>
        </w:rPr>
        <w:t>29</w:t>
      </w:r>
      <w:r w:rsidRPr="00A96D05">
        <w:rPr>
          <w:rFonts w:ascii="Book Antiqua" w:hAnsi="Book Antiqua" w:cs="Book Antiqua"/>
          <w:color w:val="000000"/>
          <w:sz w:val="24"/>
          <w:szCs w:val="24"/>
          <w:lang w:val="en-US"/>
        </w:rPr>
        <w:t>: 564-569 [DOI: 10.1080/13102818.2015.1018840]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135 </w:t>
      </w:r>
      <w:r w:rsidRPr="00A96D05">
        <w:rPr>
          <w:rFonts w:ascii="Book Antiqua" w:hAnsi="Book Antiqua" w:cs="Book Antiqua"/>
          <w:b/>
          <w:bCs/>
          <w:color w:val="000000"/>
          <w:sz w:val="24"/>
          <w:szCs w:val="24"/>
          <w:lang w:val="en-US"/>
        </w:rPr>
        <w:t>Zhang JL</w:t>
      </w:r>
      <w:r w:rsidRPr="00A96D05">
        <w:rPr>
          <w:rFonts w:ascii="Book Antiqua" w:hAnsi="Book Antiqua" w:cs="Book Antiqua"/>
          <w:color w:val="000000"/>
          <w:sz w:val="24"/>
          <w:szCs w:val="24"/>
          <w:lang w:val="en-US"/>
        </w:rPr>
        <w:t>, Wang JL, Gao N, Chen ZT, Tian YP, An J. Up-regulated expression of beta3 integrin induced by dengue virus serotype 2 infection associated with virus entry into human dermal microvascular endothelial cells. </w:t>
      </w:r>
      <w:r w:rsidRPr="00A96D05">
        <w:rPr>
          <w:rFonts w:ascii="Book Antiqua" w:hAnsi="Book Antiqua" w:cs="Book Antiqua"/>
          <w:i/>
          <w:iCs/>
          <w:color w:val="000000"/>
          <w:sz w:val="24"/>
          <w:szCs w:val="24"/>
          <w:lang w:val="en-US"/>
        </w:rPr>
        <w:t>Biochem Biophys Res Commun</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356</w:t>
      </w:r>
      <w:r w:rsidRPr="00A96D05">
        <w:rPr>
          <w:rFonts w:ascii="Book Antiqua" w:hAnsi="Book Antiqua" w:cs="Book Antiqua"/>
          <w:color w:val="000000"/>
          <w:sz w:val="24"/>
          <w:szCs w:val="24"/>
          <w:lang w:val="en-US"/>
        </w:rPr>
        <w:t>: 763-768 [PMID: 17382900 DOI: 10.1016/j.bbrc.2007.03.051]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136 </w:t>
      </w:r>
      <w:r w:rsidRPr="00A96D05">
        <w:rPr>
          <w:rFonts w:ascii="Book Antiqua" w:hAnsi="Book Antiqua" w:cs="Book Antiqua"/>
          <w:b/>
          <w:bCs/>
          <w:color w:val="000000"/>
          <w:sz w:val="24"/>
          <w:szCs w:val="24"/>
          <w:lang w:val="en-US"/>
        </w:rPr>
        <w:t>Halasz P</w:t>
      </w:r>
      <w:r w:rsidRPr="00A96D05">
        <w:rPr>
          <w:rFonts w:ascii="Book Antiqua" w:hAnsi="Book Antiqua" w:cs="Book Antiqua"/>
          <w:color w:val="000000"/>
          <w:sz w:val="24"/>
          <w:szCs w:val="24"/>
          <w:lang w:val="en-US"/>
        </w:rPr>
        <w:t>, Holloway G, Turner SJ, Coulson BS. Rotavirus replication in intestinal cells differentially regulates integrin expression by a phosphatidylinositol 3-kinase-dependent pathway, resulting in increased cell adhesion and virus yield.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2008; </w:t>
      </w:r>
      <w:r w:rsidRPr="00A96D05">
        <w:rPr>
          <w:rFonts w:ascii="Book Antiqua" w:hAnsi="Book Antiqua" w:cs="Book Antiqua"/>
          <w:b/>
          <w:bCs/>
          <w:color w:val="000000"/>
          <w:sz w:val="24"/>
          <w:szCs w:val="24"/>
          <w:lang w:val="en-US"/>
        </w:rPr>
        <w:t>82</w:t>
      </w:r>
      <w:r w:rsidRPr="00A96D05">
        <w:rPr>
          <w:rFonts w:ascii="Book Antiqua" w:hAnsi="Book Antiqua" w:cs="Book Antiqua"/>
          <w:color w:val="000000"/>
          <w:sz w:val="24"/>
          <w:szCs w:val="24"/>
          <w:lang w:val="en-US"/>
        </w:rPr>
        <w:t>: 148-160 [PMID: 17942548 DOI: 10.1128/jvi.01980-07]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137 </w:t>
      </w:r>
      <w:r w:rsidRPr="00A96D05">
        <w:rPr>
          <w:rFonts w:ascii="Book Antiqua" w:hAnsi="Book Antiqua" w:cs="Book Antiqua"/>
          <w:b/>
          <w:bCs/>
          <w:color w:val="000000"/>
          <w:sz w:val="24"/>
          <w:szCs w:val="24"/>
          <w:lang w:val="en-US"/>
        </w:rPr>
        <w:t>Wang C</w:t>
      </w:r>
      <w:r w:rsidRPr="00A96D05">
        <w:rPr>
          <w:rFonts w:ascii="Book Antiqua" w:hAnsi="Book Antiqua" w:cs="Book Antiqua"/>
          <w:color w:val="000000"/>
          <w:sz w:val="24"/>
          <w:szCs w:val="24"/>
          <w:lang w:val="en-US"/>
        </w:rPr>
        <w:t>, Li W, Ren J, Fang J, Ke H, Gong W, Feng W, Wang CC. Structural insights into the redox-regulated dynamic conformations of human protein disulfide isomerase. </w:t>
      </w:r>
      <w:r w:rsidRPr="00A96D05">
        <w:rPr>
          <w:rFonts w:ascii="Book Antiqua" w:hAnsi="Book Antiqua" w:cs="Book Antiqua"/>
          <w:i/>
          <w:iCs/>
          <w:color w:val="000000"/>
          <w:sz w:val="24"/>
          <w:szCs w:val="24"/>
          <w:lang w:val="en-US"/>
        </w:rPr>
        <w:t>Antioxid Redox Signal</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19</w:t>
      </w:r>
      <w:r w:rsidRPr="00A96D05">
        <w:rPr>
          <w:rFonts w:ascii="Book Antiqua" w:hAnsi="Book Antiqua" w:cs="Book Antiqua"/>
          <w:color w:val="000000"/>
          <w:sz w:val="24"/>
          <w:szCs w:val="24"/>
          <w:lang w:val="en-US"/>
        </w:rPr>
        <w:t>: 36-45 [PMID: 22657537 DOI: 10.1089/ars.2012.4630]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138 </w:t>
      </w:r>
      <w:r w:rsidRPr="00A96D05">
        <w:rPr>
          <w:rFonts w:ascii="Book Antiqua" w:hAnsi="Book Antiqua" w:cs="Book Antiqua"/>
          <w:b/>
          <w:bCs/>
          <w:color w:val="000000"/>
          <w:sz w:val="24"/>
          <w:szCs w:val="24"/>
          <w:lang w:val="en-US"/>
        </w:rPr>
        <w:t>Mor-Cohen R</w:t>
      </w:r>
      <w:r w:rsidRPr="00A96D05">
        <w:rPr>
          <w:rFonts w:ascii="Book Antiqua" w:hAnsi="Book Antiqua" w:cs="Book Antiqua"/>
          <w:color w:val="000000"/>
          <w:sz w:val="24"/>
          <w:szCs w:val="24"/>
          <w:lang w:val="en-US"/>
        </w:rPr>
        <w:t>. Disulfide Bonds as Regulators of Integrin Function in Thrombosis and Hemostasis. </w:t>
      </w:r>
      <w:r w:rsidRPr="00A96D05">
        <w:rPr>
          <w:rFonts w:ascii="Book Antiqua" w:hAnsi="Book Antiqua" w:cs="Book Antiqua"/>
          <w:i/>
          <w:iCs/>
          <w:color w:val="000000"/>
          <w:sz w:val="24"/>
          <w:szCs w:val="24"/>
          <w:lang w:val="en-US"/>
        </w:rPr>
        <w:t>Antioxid Redox Signal</w:t>
      </w:r>
      <w:r w:rsidRPr="00A96D05">
        <w:rPr>
          <w:rFonts w:ascii="Book Antiqua" w:hAnsi="Book Antiqua" w:cs="Book Antiqua"/>
          <w:color w:val="000000"/>
          <w:sz w:val="24"/>
          <w:szCs w:val="24"/>
          <w:lang w:val="en-US"/>
        </w:rPr>
        <w:t> 2016; </w:t>
      </w:r>
      <w:r w:rsidRPr="00A96D05">
        <w:rPr>
          <w:rFonts w:ascii="Book Antiqua" w:hAnsi="Book Antiqua" w:cs="Book Antiqua"/>
          <w:b/>
          <w:bCs/>
          <w:color w:val="000000"/>
          <w:sz w:val="24"/>
          <w:szCs w:val="24"/>
          <w:lang w:val="en-US"/>
        </w:rPr>
        <w:t>24</w:t>
      </w:r>
      <w:r w:rsidRPr="00A96D05">
        <w:rPr>
          <w:rFonts w:ascii="Book Antiqua" w:hAnsi="Book Antiqua" w:cs="Book Antiqua"/>
          <w:color w:val="000000"/>
          <w:sz w:val="24"/>
          <w:szCs w:val="24"/>
          <w:lang w:val="en-US"/>
        </w:rPr>
        <w:t>: 16-31 [PMID: 25314675 DOI: 10.1089/ars.2014.6149]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139 </w:t>
      </w:r>
      <w:r w:rsidRPr="00A96D05">
        <w:rPr>
          <w:rFonts w:ascii="Book Antiqua" w:hAnsi="Book Antiqua" w:cs="Book Antiqua"/>
          <w:b/>
          <w:bCs/>
          <w:color w:val="000000"/>
          <w:sz w:val="24"/>
          <w:szCs w:val="24"/>
          <w:lang w:val="en-US"/>
        </w:rPr>
        <w:t>Patton JT</w:t>
      </w:r>
      <w:r w:rsidRPr="00A96D05">
        <w:rPr>
          <w:rFonts w:ascii="Book Antiqua" w:hAnsi="Book Antiqua" w:cs="Book Antiqua"/>
          <w:color w:val="000000"/>
          <w:sz w:val="24"/>
          <w:szCs w:val="24"/>
          <w:lang w:val="en-US"/>
        </w:rPr>
        <w:t>, Hua J, Mansell EA. Location of intrachain disulfide bonds in the VP5* and VP8* trypsin cleavage fragments of the rhesus rotavirus spike protein VP4.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1993; </w:t>
      </w:r>
      <w:r w:rsidRPr="00A96D05">
        <w:rPr>
          <w:rFonts w:ascii="Book Antiqua" w:hAnsi="Book Antiqua" w:cs="Book Antiqua"/>
          <w:b/>
          <w:bCs/>
          <w:color w:val="000000"/>
          <w:sz w:val="24"/>
          <w:szCs w:val="24"/>
          <w:lang w:val="en-US"/>
        </w:rPr>
        <w:t>67</w:t>
      </w:r>
      <w:r w:rsidRPr="00A96D05">
        <w:rPr>
          <w:rFonts w:ascii="Book Antiqua" w:hAnsi="Book Antiqua" w:cs="Book Antiqua"/>
          <w:color w:val="000000"/>
          <w:sz w:val="24"/>
          <w:szCs w:val="24"/>
          <w:lang w:val="en-US"/>
        </w:rPr>
        <w:t>: 4848-4855 [PMID: 8392619]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140 </w:t>
      </w:r>
      <w:r w:rsidRPr="00A96D05">
        <w:rPr>
          <w:rFonts w:ascii="Book Antiqua" w:hAnsi="Book Antiqua" w:cs="Book Antiqua"/>
          <w:b/>
          <w:bCs/>
          <w:color w:val="000000"/>
          <w:sz w:val="24"/>
          <w:szCs w:val="24"/>
          <w:lang w:val="en-US"/>
        </w:rPr>
        <w:t>Svensson L</w:t>
      </w:r>
      <w:r w:rsidRPr="00A96D05">
        <w:rPr>
          <w:rFonts w:ascii="Book Antiqua" w:hAnsi="Book Antiqua" w:cs="Book Antiqua"/>
          <w:color w:val="000000"/>
          <w:sz w:val="24"/>
          <w:szCs w:val="24"/>
          <w:lang w:val="en-US"/>
        </w:rPr>
        <w:t>, Dormitzer PR, von Bonsdorff CH, Maunula L, Greenberg HB. Intracellular manipulation of disulfide bond formation in rotavirus proteins during assembly.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1994; </w:t>
      </w:r>
      <w:r w:rsidRPr="00A96D05">
        <w:rPr>
          <w:rFonts w:ascii="Book Antiqua" w:hAnsi="Book Antiqua" w:cs="Book Antiqua"/>
          <w:b/>
          <w:bCs/>
          <w:color w:val="000000"/>
          <w:sz w:val="24"/>
          <w:szCs w:val="24"/>
          <w:lang w:val="en-US"/>
        </w:rPr>
        <w:t>68</w:t>
      </w:r>
      <w:r w:rsidRPr="00A96D05">
        <w:rPr>
          <w:rFonts w:ascii="Book Antiqua" w:hAnsi="Book Antiqua" w:cs="Book Antiqua"/>
          <w:color w:val="000000"/>
          <w:sz w:val="24"/>
          <w:szCs w:val="24"/>
          <w:lang w:val="en-US"/>
        </w:rPr>
        <w:t>: 5204-5215 [PMID: 8035518]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141 </w:t>
      </w:r>
      <w:r w:rsidRPr="00A96D05">
        <w:rPr>
          <w:rFonts w:ascii="Book Antiqua" w:hAnsi="Book Antiqua" w:cs="Book Antiqua"/>
          <w:b/>
          <w:bCs/>
          <w:color w:val="000000"/>
          <w:sz w:val="24"/>
          <w:szCs w:val="24"/>
          <w:lang w:val="en-US"/>
        </w:rPr>
        <w:t>Aoki ST</w:t>
      </w:r>
      <w:r w:rsidRPr="00A96D05">
        <w:rPr>
          <w:rFonts w:ascii="Book Antiqua" w:hAnsi="Book Antiqua" w:cs="Book Antiqua"/>
          <w:color w:val="000000"/>
          <w:sz w:val="24"/>
          <w:szCs w:val="24"/>
          <w:lang w:val="en-US"/>
        </w:rPr>
        <w:t>, Settembre EC, Trask SD, Greenberg HB, Harrison SC, Dormitzer PR. Structure of rotavirus outer-layer protein VP7 bound with a neutralizing Fab. </w:t>
      </w:r>
      <w:r w:rsidRPr="00A96D05">
        <w:rPr>
          <w:rFonts w:ascii="Book Antiqua" w:hAnsi="Book Antiqua" w:cs="Book Antiqua"/>
          <w:i/>
          <w:iCs/>
          <w:color w:val="000000"/>
          <w:sz w:val="24"/>
          <w:szCs w:val="24"/>
          <w:lang w:val="en-US"/>
        </w:rPr>
        <w:t>Science</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324</w:t>
      </w:r>
      <w:r w:rsidRPr="00A96D05">
        <w:rPr>
          <w:rFonts w:ascii="Book Antiqua" w:hAnsi="Book Antiqua" w:cs="Book Antiqua"/>
          <w:color w:val="000000"/>
          <w:sz w:val="24"/>
          <w:szCs w:val="24"/>
          <w:lang w:val="en-US"/>
        </w:rPr>
        <w:t>: 1444-1447 [PMID: 19520960 DOI: 10.1126/science.1170481]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142 </w:t>
      </w:r>
      <w:r w:rsidRPr="00A96D05">
        <w:rPr>
          <w:rFonts w:ascii="Book Antiqua" w:hAnsi="Book Antiqua" w:cs="Book Antiqua"/>
          <w:b/>
          <w:bCs/>
          <w:color w:val="000000"/>
          <w:sz w:val="24"/>
          <w:szCs w:val="24"/>
          <w:lang w:val="en-US"/>
        </w:rPr>
        <w:t>Mathieu M</w:t>
      </w:r>
      <w:r w:rsidRPr="00A96D05">
        <w:rPr>
          <w:rFonts w:ascii="Book Antiqua" w:hAnsi="Book Antiqua" w:cs="Book Antiqua"/>
          <w:color w:val="000000"/>
          <w:sz w:val="24"/>
          <w:szCs w:val="24"/>
          <w:lang w:val="en-US"/>
        </w:rPr>
        <w:t>, Petitpas I, Navaza J, Lepault J, Kohli E, Pothier P, Prasad BV, Cohen J, Rey FA. Atomic structure of the major capsid protein of rotavirus: implications for the architecture of the virion. </w:t>
      </w:r>
      <w:r w:rsidRPr="00A96D05">
        <w:rPr>
          <w:rFonts w:ascii="Book Antiqua" w:hAnsi="Book Antiqua" w:cs="Book Antiqua"/>
          <w:i/>
          <w:iCs/>
          <w:color w:val="000000"/>
          <w:sz w:val="24"/>
          <w:szCs w:val="24"/>
          <w:lang w:val="en-US"/>
        </w:rPr>
        <w:t>EMBO J</w:t>
      </w:r>
      <w:r w:rsidRPr="00A96D05">
        <w:rPr>
          <w:rFonts w:ascii="Book Antiqua" w:hAnsi="Book Antiqua" w:cs="Book Antiqua"/>
          <w:color w:val="000000"/>
          <w:sz w:val="24"/>
          <w:szCs w:val="24"/>
          <w:lang w:val="en-US"/>
        </w:rPr>
        <w:t> 2001; </w:t>
      </w:r>
      <w:r w:rsidRPr="00A96D05">
        <w:rPr>
          <w:rFonts w:ascii="Book Antiqua" w:hAnsi="Book Antiqua" w:cs="Book Antiqua"/>
          <w:b/>
          <w:bCs/>
          <w:color w:val="000000"/>
          <w:sz w:val="24"/>
          <w:szCs w:val="24"/>
          <w:lang w:val="en-US"/>
        </w:rPr>
        <w:t>20</w:t>
      </w:r>
      <w:r w:rsidRPr="00A96D05">
        <w:rPr>
          <w:rFonts w:ascii="Book Antiqua" w:hAnsi="Book Antiqua" w:cs="Book Antiqua"/>
          <w:color w:val="000000"/>
          <w:sz w:val="24"/>
          <w:szCs w:val="24"/>
          <w:lang w:val="en-US"/>
        </w:rPr>
        <w:t>: 1485-1497 [PMID: 11285213 DOI: 10.1093/emboj/20.7.1485]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143 </w:t>
      </w:r>
      <w:r w:rsidRPr="00A96D05">
        <w:rPr>
          <w:rFonts w:ascii="Book Antiqua" w:hAnsi="Book Antiqua" w:cs="Book Antiqua"/>
          <w:b/>
          <w:bCs/>
          <w:color w:val="000000"/>
          <w:sz w:val="24"/>
          <w:szCs w:val="24"/>
          <w:lang w:val="en-US"/>
        </w:rPr>
        <w:t>Yoder JD</w:t>
      </w:r>
      <w:r w:rsidRPr="00A96D05">
        <w:rPr>
          <w:rFonts w:ascii="Book Antiqua" w:hAnsi="Book Antiqua" w:cs="Book Antiqua"/>
          <w:color w:val="000000"/>
          <w:sz w:val="24"/>
          <w:szCs w:val="24"/>
          <w:lang w:val="en-US"/>
        </w:rPr>
        <w:t>, Trask SD, Vo TP, Binka M, Feng N, Harrison SC, Greenberg HB, Dormitzer PR. VP5* rearranges when rotavirus uncoats.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83</w:t>
      </w:r>
      <w:r w:rsidRPr="00A96D05">
        <w:rPr>
          <w:rFonts w:ascii="Book Antiqua" w:hAnsi="Book Antiqua" w:cs="Book Antiqua"/>
          <w:color w:val="000000"/>
          <w:sz w:val="24"/>
          <w:szCs w:val="24"/>
          <w:lang w:val="en-US"/>
        </w:rPr>
        <w:t>: 11372-11377 [PMID: 19692464 DOI: 10.1128/jvi.01228-09]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144 </w:t>
      </w:r>
      <w:r w:rsidRPr="00A96D05">
        <w:rPr>
          <w:rFonts w:ascii="Book Antiqua" w:hAnsi="Book Antiqua" w:cs="Book Antiqua"/>
          <w:b/>
          <w:bCs/>
          <w:color w:val="000000"/>
          <w:sz w:val="24"/>
          <w:szCs w:val="24"/>
          <w:lang w:val="en-US"/>
        </w:rPr>
        <w:t>Cuadras MA</w:t>
      </w:r>
      <w:r w:rsidRPr="00A96D05">
        <w:rPr>
          <w:rFonts w:ascii="Book Antiqua" w:hAnsi="Book Antiqua" w:cs="Book Antiqua"/>
          <w:color w:val="000000"/>
          <w:sz w:val="24"/>
          <w:szCs w:val="24"/>
          <w:lang w:val="en-US"/>
        </w:rPr>
        <w:t>, Méndez E, Arias CF, López S. A new cysteine in rotavirus VP4 participates in the formation of an alternate disulfide bond. </w:t>
      </w:r>
      <w:r w:rsidRPr="00A96D05">
        <w:rPr>
          <w:rFonts w:ascii="Book Antiqua" w:hAnsi="Book Antiqua" w:cs="Book Antiqua"/>
          <w:i/>
          <w:iCs/>
          <w:color w:val="000000"/>
          <w:sz w:val="24"/>
          <w:szCs w:val="24"/>
          <w:lang w:val="en-US"/>
        </w:rPr>
        <w:t>J Gen Virol</w:t>
      </w:r>
      <w:r w:rsidRPr="00A96D05">
        <w:rPr>
          <w:rFonts w:ascii="Book Antiqua" w:hAnsi="Book Antiqua" w:cs="Book Antiqua"/>
          <w:color w:val="000000"/>
          <w:sz w:val="24"/>
          <w:szCs w:val="24"/>
          <w:lang w:val="en-US"/>
        </w:rPr>
        <w:t> 1998; </w:t>
      </w:r>
      <w:r w:rsidRPr="00A96D05">
        <w:rPr>
          <w:rFonts w:ascii="Book Antiqua" w:hAnsi="Book Antiqua" w:cs="Book Antiqua"/>
          <w:b/>
          <w:bCs/>
          <w:color w:val="000000"/>
          <w:sz w:val="24"/>
          <w:szCs w:val="24"/>
          <w:lang w:val="en-US"/>
        </w:rPr>
        <w:t xml:space="preserve">79 </w:t>
      </w:r>
      <w:r w:rsidRPr="00A96D05">
        <w:rPr>
          <w:rFonts w:ascii="Book Antiqua" w:hAnsi="Book Antiqua" w:cs="Book Antiqua"/>
          <w:color w:val="000000"/>
          <w:sz w:val="24"/>
          <w:szCs w:val="24"/>
          <w:lang w:val="en-US"/>
        </w:rPr>
        <w:t>(Pt 11): 2673-2677 [PMID: 9820142]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145 </w:t>
      </w:r>
      <w:r w:rsidRPr="00A96D05">
        <w:rPr>
          <w:rFonts w:ascii="Book Antiqua" w:hAnsi="Book Antiqua" w:cs="Book Antiqua"/>
          <w:b/>
          <w:bCs/>
          <w:color w:val="000000"/>
          <w:sz w:val="24"/>
          <w:szCs w:val="24"/>
          <w:lang w:val="en-US"/>
        </w:rPr>
        <w:t>Butera D</w:t>
      </w:r>
      <w:r w:rsidRPr="00A96D05">
        <w:rPr>
          <w:rFonts w:ascii="Book Antiqua" w:hAnsi="Book Antiqua" w:cs="Book Antiqua"/>
          <w:color w:val="000000"/>
          <w:sz w:val="24"/>
          <w:szCs w:val="24"/>
          <w:lang w:val="en-US"/>
        </w:rPr>
        <w:t>, Cook KM, Chiu J, Wong JW, Hogg PJ. Control of blood proteins by functional disulfide bonds. </w:t>
      </w:r>
      <w:r w:rsidRPr="00A96D05">
        <w:rPr>
          <w:rFonts w:ascii="Book Antiqua" w:hAnsi="Book Antiqua" w:cs="Book Antiqua"/>
          <w:i/>
          <w:iCs/>
          <w:color w:val="000000"/>
          <w:sz w:val="24"/>
          <w:szCs w:val="24"/>
          <w:lang w:val="en-US"/>
        </w:rPr>
        <w:t>Blood</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123</w:t>
      </w:r>
      <w:r w:rsidRPr="00A96D05">
        <w:rPr>
          <w:rFonts w:ascii="Book Antiqua" w:hAnsi="Book Antiqua" w:cs="Book Antiqua"/>
          <w:color w:val="000000"/>
          <w:sz w:val="24"/>
          <w:szCs w:val="24"/>
          <w:lang w:val="en-US"/>
        </w:rPr>
        <w:t>: 2000-2007 [PMID: 24523239 DOI: 10.1182/blood-2014-01-549816]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146 </w:t>
      </w:r>
      <w:r w:rsidRPr="00A96D05">
        <w:rPr>
          <w:rFonts w:ascii="Book Antiqua" w:hAnsi="Book Antiqua" w:cs="Book Antiqua"/>
          <w:b/>
          <w:bCs/>
          <w:color w:val="000000"/>
          <w:sz w:val="24"/>
          <w:szCs w:val="24"/>
          <w:lang w:val="en-US"/>
        </w:rPr>
        <w:t>Arias CF</w:t>
      </w:r>
      <w:r w:rsidRPr="00A96D05">
        <w:rPr>
          <w:rFonts w:ascii="Book Antiqua" w:hAnsi="Book Antiqua" w:cs="Book Antiqua"/>
          <w:color w:val="000000"/>
          <w:sz w:val="24"/>
          <w:szCs w:val="24"/>
          <w:lang w:val="en-US"/>
        </w:rPr>
        <w:t>, Silva-Ayala D, López S. Rotavirus entry: a deep journey into the cell with several exits.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89</w:t>
      </w:r>
      <w:r w:rsidRPr="00A96D05">
        <w:rPr>
          <w:rFonts w:ascii="Book Antiqua" w:hAnsi="Book Antiqua" w:cs="Book Antiqua"/>
          <w:color w:val="000000"/>
          <w:sz w:val="24"/>
          <w:szCs w:val="24"/>
          <w:lang w:val="en-US"/>
        </w:rPr>
        <w:t>: 890-893 [PMID: 25378490 DOI: 10.1128/jvi.01787-14]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147 </w:t>
      </w:r>
      <w:r w:rsidRPr="00A96D05">
        <w:rPr>
          <w:rFonts w:ascii="Book Antiqua" w:hAnsi="Book Antiqua" w:cs="Book Antiqua"/>
          <w:b/>
          <w:bCs/>
          <w:color w:val="000000"/>
          <w:sz w:val="24"/>
          <w:szCs w:val="24"/>
          <w:lang w:val="en-US"/>
        </w:rPr>
        <w:t>Inoue T</w:t>
      </w:r>
      <w:r w:rsidRPr="00A96D05">
        <w:rPr>
          <w:rFonts w:ascii="Book Antiqua" w:hAnsi="Book Antiqua" w:cs="Book Antiqua"/>
          <w:color w:val="000000"/>
          <w:sz w:val="24"/>
          <w:szCs w:val="24"/>
          <w:lang w:val="en-US"/>
        </w:rPr>
        <w:t>, Moore P, Tsai B. How viruses and toxins disassemble to enter host cells. </w:t>
      </w:r>
      <w:r w:rsidRPr="00A96D05">
        <w:rPr>
          <w:rFonts w:ascii="Book Antiqua" w:hAnsi="Book Antiqua" w:cs="Book Antiqua"/>
          <w:i/>
          <w:iCs/>
          <w:color w:val="000000"/>
          <w:sz w:val="24"/>
          <w:szCs w:val="24"/>
          <w:lang w:val="en-US"/>
        </w:rPr>
        <w:t>Annu Rev Microbiol</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65</w:t>
      </w:r>
      <w:r w:rsidRPr="00A96D05">
        <w:rPr>
          <w:rFonts w:ascii="Book Antiqua" w:hAnsi="Book Antiqua" w:cs="Book Antiqua"/>
          <w:color w:val="000000"/>
          <w:sz w:val="24"/>
          <w:szCs w:val="24"/>
          <w:lang w:val="en-US"/>
        </w:rPr>
        <w:t>: 287-305 [PMID: 21682643 DOI: 10.1146/annurev-micro-090110-102855]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148 </w:t>
      </w:r>
      <w:r w:rsidRPr="00A96D05">
        <w:rPr>
          <w:rFonts w:ascii="Book Antiqua" w:hAnsi="Book Antiqua" w:cs="Book Antiqua"/>
          <w:b/>
          <w:bCs/>
          <w:color w:val="000000"/>
          <w:sz w:val="24"/>
          <w:szCs w:val="24"/>
          <w:lang w:val="en-US"/>
        </w:rPr>
        <w:t>Inoue T</w:t>
      </w:r>
      <w:r w:rsidRPr="00A96D05">
        <w:rPr>
          <w:rFonts w:ascii="Book Antiqua" w:hAnsi="Book Antiqua" w:cs="Book Antiqua"/>
          <w:color w:val="000000"/>
          <w:sz w:val="24"/>
          <w:szCs w:val="24"/>
          <w:lang w:val="en-US"/>
        </w:rPr>
        <w:t>, Tsai B. How viruses use the endoplasmic reticulum for entry, replication, and assembly. </w:t>
      </w:r>
      <w:r w:rsidRPr="00A96D05">
        <w:rPr>
          <w:rFonts w:ascii="Book Antiqua" w:hAnsi="Book Antiqua" w:cs="Book Antiqua"/>
          <w:i/>
          <w:iCs/>
          <w:color w:val="000000"/>
          <w:sz w:val="24"/>
          <w:szCs w:val="24"/>
          <w:lang w:val="en-US"/>
        </w:rPr>
        <w:t>Cold Spring Harb Perspect Biol</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5</w:t>
      </w:r>
      <w:r w:rsidRPr="00A96D05">
        <w:rPr>
          <w:rFonts w:ascii="Book Antiqua" w:hAnsi="Book Antiqua" w:cs="Book Antiqua"/>
          <w:color w:val="000000"/>
          <w:sz w:val="24"/>
          <w:szCs w:val="24"/>
          <w:lang w:val="en-US"/>
        </w:rPr>
        <w:t>: a013250 [PMID: 23284050 DOI: 10.1101/cshperspect.a013250]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rPr>
        <w:t>149 </w:t>
      </w:r>
      <w:r w:rsidRPr="00A96D05">
        <w:rPr>
          <w:rFonts w:ascii="Book Antiqua" w:hAnsi="Book Antiqua" w:cs="Book Antiqua"/>
          <w:b/>
          <w:bCs/>
          <w:color w:val="000000"/>
          <w:sz w:val="24"/>
          <w:szCs w:val="24"/>
        </w:rPr>
        <w:t>Cuadras MA</w:t>
      </w:r>
      <w:r w:rsidRPr="00A96D05">
        <w:rPr>
          <w:rFonts w:ascii="Book Antiqua" w:hAnsi="Book Antiqua" w:cs="Book Antiqua"/>
          <w:color w:val="000000"/>
          <w:sz w:val="24"/>
          <w:szCs w:val="24"/>
        </w:rPr>
        <w:t xml:space="preserve">, Bordier BB, Zambrano JL, Ludert JE, Greenberg HB. </w:t>
      </w:r>
      <w:r w:rsidRPr="00A96D05">
        <w:rPr>
          <w:rFonts w:ascii="Book Antiqua" w:hAnsi="Book Antiqua" w:cs="Book Antiqua"/>
          <w:color w:val="000000"/>
          <w:sz w:val="24"/>
          <w:szCs w:val="24"/>
          <w:lang w:val="en-US"/>
        </w:rPr>
        <w:t>Dissecting rotavirus particle-raft interaction with small interfering RNAs: insights into rotavirus transit through the secretory pathway.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80</w:t>
      </w:r>
      <w:r w:rsidRPr="00A96D05">
        <w:rPr>
          <w:rFonts w:ascii="Book Antiqua" w:hAnsi="Book Antiqua" w:cs="Book Antiqua"/>
          <w:color w:val="000000"/>
          <w:sz w:val="24"/>
          <w:szCs w:val="24"/>
          <w:lang w:val="en-US"/>
        </w:rPr>
        <w:t>: 3935-3946 [PMID: 16571810 DOI: 10.1128/jvi.80.8.3935-3946.2006]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150 </w:t>
      </w:r>
      <w:r w:rsidRPr="00A96D05">
        <w:rPr>
          <w:rFonts w:ascii="Book Antiqua" w:hAnsi="Book Antiqua" w:cs="Book Antiqua"/>
          <w:b/>
          <w:bCs/>
          <w:color w:val="000000"/>
          <w:sz w:val="24"/>
          <w:szCs w:val="24"/>
          <w:lang w:val="en-US"/>
        </w:rPr>
        <w:t>Charpilienne A</w:t>
      </w:r>
      <w:r w:rsidRPr="00A96D05">
        <w:rPr>
          <w:rFonts w:ascii="Book Antiqua" w:hAnsi="Book Antiqua" w:cs="Book Antiqua"/>
          <w:color w:val="000000"/>
          <w:sz w:val="24"/>
          <w:szCs w:val="24"/>
          <w:lang w:val="en-US"/>
        </w:rPr>
        <w:t>, Abad MJ, Michelangeli F, Alvarado F, Vasseur M, Cohen J, Ruiz MC. Solubilized and cleaved VP7, the outer glycoprotein of rotavirus, induces permeabilization of cell membrane vesicles. </w:t>
      </w:r>
      <w:r w:rsidRPr="00A96D05">
        <w:rPr>
          <w:rFonts w:ascii="Book Antiqua" w:hAnsi="Book Antiqua" w:cs="Book Antiqua"/>
          <w:i/>
          <w:iCs/>
          <w:color w:val="000000"/>
          <w:sz w:val="24"/>
          <w:szCs w:val="24"/>
          <w:lang w:val="en-US"/>
        </w:rPr>
        <w:t>J Gen Virol</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 xml:space="preserve">78 </w:t>
      </w:r>
      <w:r w:rsidRPr="00A96D05">
        <w:rPr>
          <w:rFonts w:ascii="Book Antiqua" w:hAnsi="Book Antiqua" w:cs="Book Antiqua"/>
          <w:color w:val="000000"/>
          <w:sz w:val="24"/>
          <w:szCs w:val="24"/>
          <w:lang w:val="en-US"/>
        </w:rPr>
        <w:t>(Pt 6): 1367-1371 [PMID: 9191931]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151 </w:t>
      </w:r>
      <w:r w:rsidRPr="00A96D05">
        <w:rPr>
          <w:rFonts w:ascii="Book Antiqua" w:hAnsi="Book Antiqua" w:cs="Book Antiqua"/>
          <w:b/>
          <w:bCs/>
          <w:color w:val="000000"/>
          <w:sz w:val="24"/>
          <w:szCs w:val="24"/>
          <w:lang w:val="en-US"/>
        </w:rPr>
        <w:t>He B</w:t>
      </w:r>
      <w:r w:rsidRPr="00A96D05">
        <w:rPr>
          <w:rFonts w:ascii="Book Antiqua" w:hAnsi="Book Antiqua" w:cs="Book Antiqua"/>
          <w:color w:val="000000"/>
          <w:sz w:val="24"/>
          <w:szCs w:val="24"/>
          <w:lang w:val="en-US"/>
        </w:rPr>
        <w:t>. Viruses, endoplasmic reticulum stress, and interferon responses. </w:t>
      </w:r>
      <w:r w:rsidRPr="00A96D05">
        <w:rPr>
          <w:rFonts w:ascii="Book Antiqua" w:hAnsi="Book Antiqua" w:cs="Book Antiqua"/>
          <w:i/>
          <w:iCs/>
          <w:color w:val="000000"/>
          <w:sz w:val="24"/>
          <w:szCs w:val="24"/>
          <w:lang w:val="en-US"/>
        </w:rPr>
        <w:t>Cell Death Differ</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13</w:t>
      </w:r>
      <w:r w:rsidRPr="00A96D05">
        <w:rPr>
          <w:rFonts w:ascii="Book Antiqua" w:hAnsi="Book Antiqua" w:cs="Book Antiqua"/>
          <w:color w:val="000000"/>
          <w:sz w:val="24"/>
          <w:szCs w:val="24"/>
          <w:lang w:val="en-US"/>
        </w:rPr>
        <w:t>: 393-403 [PMID: 16397582 DOI: 10.1038/sj.cdd.4401833]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152 </w:t>
      </w:r>
      <w:r w:rsidRPr="00A96D05">
        <w:rPr>
          <w:rFonts w:ascii="Book Antiqua" w:hAnsi="Book Antiqua" w:cs="Book Antiqua"/>
          <w:b/>
          <w:bCs/>
          <w:color w:val="000000"/>
          <w:sz w:val="24"/>
          <w:szCs w:val="24"/>
          <w:lang w:val="en-US"/>
        </w:rPr>
        <w:t>Mirazimi A</w:t>
      </w:r>
      <w:r w:rsidRPr="00A96D05">
        <w:rPr>
          <w:rFonts w:ascii="Book Antiqua" w:hAnsi="Book Antiqua" w:cs="Book Antiqua"/>
          <w:color w:val="000000"/>
          <w:sz w:val="24"/>
          <w:szCs w:val="24"/>
          <w:lang w:val="en-US"/>
        </w:rPr>
        <w:t>, Svensson L. Carbohydrates facilitate correct disulfide bond formation and folding of rotavirus VP7.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1998; </w:t>
      </w:r>
      <w:r w:rsidRPr="00A96D05">
        <w:rPr>
          <w:rFonts w:ascii="Book Antiqua" w:hAnsi="Book Antiqua" w:cs="Book Antiqua"/>
          <w:b/>
          <w:bCs/>
          <w:color w:val="000000"/>
          <w:sz w:val="24"/>
          <w:szCs w:val="24"/>
          <w:lang w:val="en-US"/>
        </w:rPr>
        <w:t>72</w:t>
      </w:r>
      <w:r w:rsidRPr="00A96D05">
        <w:rPr>
          <w:rFonts w:ascii="Book Antiqua" w:hAnsi="Book Antiqua" w:cs="Book Antiqua"/>
          <w:color w:val="000000"/>
          <w:sz w:val="24"/>
          <w:szCs w:val="24"/>
          <w:lang w:val="en-US"/>
        </w:rPr>
        <w:t>: 3887-3892 [PMID: 9557673]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153 </w:t>
      </w:r>
      <w:r w:rsidRPr="00A96D05">
        <w:rPr>
          <w:rFonts w:ascii="Book Antiqua" w:hAnsi="Book Antiqua" w:cs="Book Antiqua"/>
          <w:b/>
          <w:bCs/>
          <w:color w:val="000000"/>
          <w:sz w:val="24"/>
          <w:szCs w:val="24"/>
          <w:lang w:val="en-US"/>
        </w:rPr>
        <w:t>Maruri-Avidal L</w:t>
      </w:r>
      <w:r w:rsidRPr="00A96D05">
        <w:rPr>
          <w:rFonts w:ascii="Book Antiqua" w:hAnsi="Book Antiqua" w:cs="Book Antiqua"/>
          <w:color w:val="000000"/>
          <w:sz w:val="24"/>
          <w:szCs w:val="24"/>
          <w:lang w:val="en-US"/>
        </w:rPr>
        <w:t>, López S, Arias CF. Endoplasmic reticulum chaperones are involved in the morphogenesis of rotavirus infectious particles.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2008; </w:t>
      </w:r>
      <w:r w:rsidRPr="00A96D05">
        <w:rPr>
          <w:rFonts w:ascii="Book Antiqua" w:hAnsi="Book Antiqua" w:cs="Book Antiqua"/>
          <w:b/>
          <w:bCs/>
          <w:color w:val="000000"/>
          <w:sz w:val="24"/>
          <w:szCs w:val="24"/>
          <w:lang w:val="en-US"/>
        </w:rPr>
        <w:t>82</w:t>
      </w:r>
      <w:r w:rsidRPr="00A96D05">
        <w:rPr>
          <w:rFonts w:ascii="Book Antiqua" w:hAnsi="Book Antiqua" w:cs="Book Antiqua"/>
          <w:color w:val="000000"/>
          <w:sz w:val="24"/>
          <w:szCs w:val="24"/>
          <w:lang w:val="en-US"/>
        </w:rPr>
        <w:t>: 5368-5380 [PMID: 18385250 DOI: 10.1128/jvi.02751-07]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154 </w:t>
      </w:r>
      <w:r w:rsidRPr="00A96D05">
        <w:rPr>
          <w:rFonts w:ascii="Book Antiqua" w:hAnsi="Book Antiqua" w:cs="Book Antiqua"/>
          <w:b/>
          <w:bCs/>
          <w:color w:val="000000"/>
          <w:sz w:val="24"/>
          <w:szCs w:val="24"/>
          <w:lang w:val="en-US"/>
        </w:rPr>
        <w:t>Chemello ME</w:t>
      </w:r>
      <w:r w:rsidRPr="00A96D05">
        <w:rPr>
          <w:rFonts w:ascii="Book Antiqua" w:hAnsi="Book Antiqua" w:cs="Book Antiqua"/>
          <w:color w:val="000000"/>
          <w:sz w:val="24"/>
          <w:szCs w:val="24"/>
          <w:lang w:val="en-US"/>
        </w:rPr>
        <w:t>, Aristimuño OC, Michelangeli F, Ruiz MC. Requirement for vacuolar H+ -ATPase activity and Ca2+ gradient during entry of rotavirus into MA104 cells.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2002; </w:t>
      </w:r>
      <w:r w:rsidRPr="00A96D05">
        <w:rPr>
          <w:rFonts w:ascii="Book Antiqua" w:hAnsi="Book Antiqua" w:cs="Book Antiqua"/>
          <w:b/>
          <w:bCs/>
          <w:color w:val="000000"/>
          <w:sz w:val="24"/>
          <w:szCs w:val="24"/>
          <w:lang w:val="en-US"/>
        </w:rPr>
        <w:t>76</w:t>
      </w:r>
      <w:r w:rsidRPr="00A96D05">
        <w:rPr>
          <w:rFonts w:ascii="Book Antiqua" w:hAnsi="Book Antiqua" w:cs="Book Antiqua"/>
          <w:color w:val="000000"/>
          <w:sz w:val="24"/>
          <w:szCs w:val="24"/>
          <w:lang w:val="en-US"/>
        </w:rPr>
        <w:t xml:space="preserve">: 13083-13087 [PMID: 12438636 DOI: </w:t>
      </w:r>
      <w:hyperlink r:id="rId11" w:tgtFrame="_blank" w:history="1">
        <w:r w:rsidRPr="00A96D05">
          <w:rPr>
            <w:rStyle w:val="Hyperlink"/>
            <w:rFonts w:ascii="Book Antiqua" w:hAnsi="Book Antiqua" w:cs="Book Antiqua"/>
            <w:color w:val="000000"/>
            <w:sz w:val="24"/>
            <w:szCs w:val="24"/>
            <w:u w:val="none"/>
            <w:shd w:val="clear" w:color="auto" w:fill="FFFFFF"/>
            <w:lang w:val="en-US"/>
          </w:rPr>
          <w:t>10.1128/JVI.76.24.13083-13087.2002</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155 </w:t>
      </w:r>
      <w:r w:rsidRPr="00A96D05">
        <w:rPr>
          <w:rFonts w:ascii="Book Antiqua" w:hAnsi="Book Antiqua" w:cs="Book Antiqua"/>
          <w:b/>
          <w:bCs/>
          <w:color w:val="000000"/>
          <w:sz w:val="24"/>
          <w:szCs w:val="24"/>
          <w:lang w:val="en-US"/>
        </w:rPr>
        <w:t>Gerasimenko JV</w:t>
      </w:r>
      <w:r w:rsidRPr="00A96D05">
        <w:rPr>
          <w:rFonts w:ascii="Book Antiqua" w:hAnsi="Book Antiqua" w:cs="Book Antiqua"/>
          <w:color w:val="000000"/>
          <w:sz w:val="24"/>
          <w:szCs w:val="24"/>
          <w:lang w:val="en-US"/>
        </w:rPr>
        <w:t>, Tepikin AV, Petersen OH, Gerasimenko OV. Calcium uptake via endocytosis with rapid release from acidifying endosomes. </w:t>
      </w:r>
      <w:r w:rsidRPr="00A96D05">
        <w:rPr>
          <w:rFonts w:ascii="Book Antiqua" w:hAnsi="Book Antiqua" w:cs="Book Antiqua"/>
          <w:i/>
          <w:iCs/>
          <w:color w:val="000000"/>
          <w:sz w:val="24"/>
          <w:szCs w:val="24"/>
          <w:lang w:val="en-US"/>
        </w:rPr>
        <w:t>Curr Biol</w:t>
      </w:r>
      <w:r w:rsidRPr="00A96D05">
        <w:rPr>
          <w:rFonts w:ascii="Book Antiqua" w:hAnsi="Book Antiqua" w:cs="Book Antiqua"/>
          <w:color w:val="000000"/>
          <w:sz w:val="24"/>
          <w:szCs w:val="24"/>
          <w:lang w:val="en-US"/>
        </w:rPr>
        <w:t> 1998; </w:t>
      </w:r>
      <w:r w:rsidRPr="00A96D05">
        <w:rPr>
          <w:rFonts w:ascii="Book Antiqua" w:hAnsi="Book Antiqua" w:cs="Book Antiqua"/>
          <w:b/>
          <w:bCs/>
          <w:color w:val="000000"/>
          <w:sz w:val="24"/>
          <w:szCs w:val="24"/>
          <w:lang w:val="en-US"/>
        </w:rPr>
        <w:t>8</w:t>
      </w:r>
      <w:r w:rsidRPr="00A96D05">
        <w:rPr>
          <w:rFonts w:ascii="Book Antiqua" w:hAnsi="Book Antiqua" w:cs="Book Antiqua"/>
          <w:color w:val="000000"/>
          <w:sz w:val="24"/>
          <w:szCs w:val="24"/>
          <w:lang w:val="en-US"/>
        </w:rPr>
        <w:t xml:space="preserve">: 1335-1338 [PMID: 9843688 DOI: </w:t>
      </w:r>
      <w:hyperlink r:id="rId12" w:tgtFrame="_blank" w:history="1">
        <w:r w:rsidRPr="00A96D05">
          <w:rPr>
            <w:rStyle w:val="Hyperlink"/>
            <w:rFonts w:ascii="Book Antiqua" w:hAnsi="Book Antiqua" w:cs="Book Antiqua"/>
            <w:color w:val="000000"/>
            <w:sz w:val="24"/>
            <w:szCs w:val="24"/>
            <w:u w:val="none"/>
            <w:shd w:val="clear" w:color="auto" w:fill="FFFFFF"/>
            <w:lang w:val="en-US"/>
          </w:rPr>
          <w:t>10.1016/S0960-9822(07)00565-9</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156 </w:t>
      </w:r>
      <w:r w:rsidRPr="00A96D05">
        <w:rPr>
          <w:rFonts w:ascii="Book Antiqua" w:hAnsi="Book Antiqua" w:cs="Book Antiqua"/>
          <w:b/>
          <w:bCs/>
          <w:color w:val="000000"/>
          <w:sz w:val="24"/>
          <w:szCs w:val="24"/>
          <w:lang w:val="en-US"/>
        </w:rPr>
        <w:t>Ruiz MC</w:t>
      </w:r>
      <w:r w:rsidRPr="00A96D05">
        <w:rPr>
          <w:rFonts w:ascii="Book Antiqua" w:hAnsi="Book Antiqua" w:cs="Book Antiqua"/>
          <w:color w:val="000000"/>
          <w:sz w:val="24"/>
          <w:szCs w:val="24"/>
          <w:lang w:val="en-US"/>
        </w:rPr>
        <w:t>, Abad MJ, Charpilienne A, Cohen J, Michelangeli F. Cell lines susceptible to infection are permeabilized by cleaved and solubilized outer layer proteins of rotavirus. </w:t>
      </w:r>
      <w:r w:rsidRPr="00A96D05">
        <w:rPr>
          <w:rFonts w:ascii="Book Antiqua" w:hAnsi="Book Antiqua" w:cs="Book Antiqua"/>
          <w:i/>
          <w:iCs/>
          <w:color w:val="000000"/>
          <w:sz w:val="24"/>
          <w:szCs w:val="24"/>
          <w:lang w:val="en-US"/>
        </w:rPr>
        <w:t>J Gen Virol</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 xml:space="preserve">78 </w:t>
      </w:r>
      <w:r w:rsidRPr="00A96D05">
        <w:rPr>
          <w:rFonts w:ascii="Book Antiqua" w:hAnsi="Book Antiqua" w:cs="Book Antiqua"/>
          <w:color w:val="000000"/>
          <w:sz w:val="24"/>
          <w:szCs w:val="24"/>
          <w:lang w:val="en-US"/>
        </w:rPr>
        <w:t xml:space="preserve">(Pt 11): 2883-2893 [PMID: 9367375 DOI: </w:t>
      </w:r>
      <w:hyperlink r:id="rId13" w:tgtFrame="_blank" w:history="1">
        <w:r w:rsidRPr="00A96D05">
          <w:rPr>
            <w:rStyle w:val="Hyperlink"/>
            <w:rFonts w:ascii="Book Antiqua" w:hAnsi="Book Antiqua" w:cs="Book Antiqua"/>
            <w:color w:val="000000"/>
            <w:sz w:val="24"/>
            <w:szCs w:val="24"/>
            <w:u w:val="none"/>
            <w:shd w:val="clear" w:color="auto" w:fill="FFFFFF"/>
            <w:lang w:val="en-US"/>
          </w:rPr>
          <w:t>10.1099/0022-1317-78-11-2883</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157 </w:t>
      </w:r>
      <w:r w:rsidRPr="00A96D05">
        <w:rPr>
          <w:rFonts w:ascii="Book Antiqua" w:hAnsi="Book Antiqua" w:cs="Book Antiqua"/>
          <w:b/>
          <w:bCs/>
          <w:color w:val="000000"/>
          <w:sz w:val="24"/>
          <w:szCs w:val="24"/>
          <w:lang w:val="en-US"/>
        </w:rPr>
        <w:t>Beaulieu JF</w:t>
      </w:r>
      <w:r w:rsidRPr="00A96D05">
        <w:rPr>
          <w:rFonts w:ascii="Book Antiqua" w:hAnsi="Book Antiqua" w:cs="Book Antiqua"/>
          <w:color w:val="000000"/>
          <w:sz w:val="24"/>
          <w:szCs w:val="24"/>
          <w:lang w:val="en-US"/>
        </w:rPr>
        <w:t>. Differential expression of the VLA family of integrins along the crypt-villus axis in the human small intestine. </w:t>
      </w:r>
      <w:r w:rsidRPr="00A96D05">
        <w:rPr>
          <w:rFonts w:ascii="Book Antiqua" w:hAnsi="Book Antiqua" w:cs="Book Antiqua"/>
          <w:i/>
          <w:iCs/>
          <w:color w:val="000000"/>
          <w:sz w:val="24"/>
          <w:szCs w:val="24"/>
          <w:lang w:val="en-US"/>
        </w:rPr>
        <w:t>J Cell Sci</w:t>
      </w:r>
      <w:r w:rsidRPr="00A96D05">
        <w:rPr>
          <w:rFonts w:ascii="Book Antiqua" w:hAnsi="Book Antiqua" w:cs="Book Antiqua"/>
          <w:color w:val="000000"/>
          <w:sz w:val="24"/>
          <w:szCs w:val="24"/>
          <w:lang w:val="en-US"/>
        </w:rPr>
        <w:t> 1992; </w:t>
      </w:r>
      <w:r w:rsidRPr="00A96D05">
        <w:rPr>
          <w:rFonts w:ascii="Book Antiqua" w:hAnsi="Book Antiqua" w:cs="Book Antiqua"/>
          <w:b/>
          <w:bCs/>
          <w:color w:val="000000"/>
          <w:sz w:val="24"/>
          <w:szCs w:val="24"/>
          <w:lang w:val="en-US"/>
        </w:rPr>
        <w:t xml:space="preserve">102 </w:t>
      </w:r>
      <w:r w:rsidRPr="00A96D05">
        <w:rPr>
          <w:rFonts w:ascii="Book Antiqua" w:hAnsi="Book Antiqua" w:cs="Book Antiqua"/>
          <w:color w:val="000000"/>
          <w:sz w:val="24"/>
          <w:szCs w:val="24"/>
          <w:lang w:val="en-US"/>
        </w:rPr>
        <w:t>(Pt 3): 427-436 [PMID: 1506425]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158 </w:t>
      </w:r>
      <w:r w:rsidRPr="00A96D05">
        <w:rPr>
          <w:rFonts w:ascii="Book Antiqua" w:hAnsi="Book Antiqua" w:cs="Book Antiqua"/>
          <w:b/>
          <w:bCs/>
          <w:color w:val="000000"/>
          <w:sz w:val="24"/>
          <w:szCs w:val="24"/>
          <w:lang w:val="en-US"/>
        </w:rPr>
        <w:t>Hamilton TE</w:t>
      </w:r>
      <w:r w:rsidRPr="00A96D05">
        <w:rPr>
          <w:rFonts w:ascii="Book Antiqua" w:hAnsi="Book Antiqua" w:cs="Book Antiqua"/>
          <w:color w:val="000000"/>
          <w:sz w:val="24"/>
          <w:szCs w:val="24"/>
          <w:lang w:val="en-US"/>
        </w:rPr>
        <w:t>, McClane SJ, Baldwin S, Burke C, Patel H, Rombeau JL, Raper SE. Efficient adenoviral-mediated murine neonatal small intestinal gene transfer is dependent on alpha(v) integrin expression. </w:t>
      </w:r>
      <w:r w:rsidRPr="00A96D05">
        <w:rPr>
          <w:rFonts w:ascii="Book Antiqua" w:hAnsi="Book Antiqua" w:cs="Book Antiqua"/>
          <w:i/>
          <w:iCs/>
          <w:color w:val="000000"/>
          <w:sz w:val="24"/>
          <w:szCs w:val="24"/>
          <w:lang w:val="en-US"/>
        </w:rPr>
        <w:t>J Pediatr Surg</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32</w:t>
      </w:r>
      <w:r w:rsidRPr="00A96D05">
        <w:rPr>
          <w:rFonts w:ascii="Book Antiqua" w:hAnsi="Book Antiqua" w:cs="Book Antiqua"/>
          <w:color w:val="000000"/>
          <w:sz w:val="24"/>
          <w:szCs w:val="24"/>
          <w:lang w:val="en-US"/>
        </w:rPr>
        <w:t>: 1695-1703 [PMID: 9434001 DOI: 10.1016/S0022-3468(97)90508-X]</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159 </w:t>
      </w:r>
      <w:r w:rsidRPr="00A96D05">
        <w:rPr>
          <w:rFonts w:ascii="Book Antiqua" w:hAnsi="Book Antiqua" w:cs="Book Antiqua"/>
          <w:b/>
          <w:bCs/>
          <w:color w:val="000000"/>
          <w:sz w:val="24"/>
          <w:szCs w:val="24"/>
          <w:lang w:val="en-US"/>
        </w:rPr>
        <w:t>Beck MA</w:t>
      </w:r>
      <w:r w:rsidRPr="00A96D05">
        <w:rPr>
          <w:rFonts w:ascii="Book Antiqua" w:hAnsi="Book Antiqua" w:cs="Book Antiqua"/>
          <w:color w:val="000000"/>
          <w:sz w:val="24"/>
          <w:szCs w:val="24"/>
          <w:lang w:val="en-US"/>
        </w:rPr>
        <w:t>, Handy J, Levander OA. The role of oxidative stress in viral infections. </w:t>
      </w:r>
      <w:r w:rsidRPr="00A96D05">
        <w:rPr>
          <w:rFonts w:ascii="Book Antiqua" w:hAnsi="Book Antiqua" w:cs="Book Antiqua"/>
          <w:i/>
          <w:iCs/>
          <w:color w:val="000000"/>
          <w:sz w:val="24"/>
          <w:szCs w:val="24"/>
          <w:lang w:val="en-US"/>
        </w:rPr>
        <w:t>Ann N Y Acad Sci</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917</w:t>
      </w:r>
      <w:r w:rsidRPr="00A96D05">
        <w:rPr>
          <w:rFonts w:ascii="Book Antiqua" w:hAnsi="Book Antiqua" w:cs="Book Antiqua"/>
          <w:color w:val="000000"/>
          <w:sz w:val="24"/>
          <w:szCs w:val="24"/>
          <w:lang w:val="en-US"/>
        </w:rPr>
        <w:t>: 906-912 [PMID: 11268420]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160 </w:t>
      </w:r>
      <w:r w:rsidRPr="00A96D05">
        <w:rPr>
          <w:rFonts w:ascii="Book Antiqua" w:hAnsi="Book Antiqua" w:cs="Book Antiqua"/>
          <w:b/>
          <w:bCs/>
          <w:color w:val="000000"/>
          <w:sz w:val="24"/>
          <w:szCs w:val="24"/>
          <w:lang w:val="en-US"/>
        </w:rPr>
        <w:t>Djordjević VB</w:t>
      </w:r>
      <w:r w:rsidRPr="00A96D05">
        <w:rPr>
          <w:rFonts w:ascii="Book Antiqua" w:hAnsi="Book Antiqua" w:cs="Book Antiqua"/>
          <w:color w:val="000000"/>
          <w:sz w:val="24"/>
          <w:szCs w:val="24"/>
          <w:lang w:val="en-US"/>
        </w:rPr>
        <w:t>. Free radicals in cell biology. </w:t>
      </w:r>
      <w:r w:rsidRPr="00A96D05">
        <w:rPr>
          <w:rFonts w:ascii="Book Antiqua" w:hAnsi="Book Antiqua" w:cs="Book Antiqua"/>
          <w:i/>
          <w:iCs/>
          <w:color w:val="000000"/>
          <w:sz w:val="24"/>
          <w:szCs w:val="24"/>
          <w:lang w:val="en-US"/>
        </w:rPr>
        <w:t>Int Rev Cytol</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237</w:t>
      </w:r>
      <w:r w:rsidRPr="00A96D05">
        <w:rPr>
          <w:rFonts w:ascii="Book Antiqua" w:hAnsi="Book Antiqua" w:cs="Book Antiqua"/>
          <w:color w:val="000000"/>
          <w:sz w:val="24"/>
          <w:szCs w:val="24"/>
          <w:lang w:val="en-US"/>
        </w:rPr>
        <w:t>: 57-89 [PMID: 15380666 DOI: 10.1016/s0074-7696(04)37002-6]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161 </w:t>
      </w:r>
      <w:r w:rsidRPr="00A96D05">
        <w:rPr>
          <w:rFonts w:ascii="Book Antiqua" w:hAnsi="Book Antiqua" w:cs="Book Antiqua"/>
          <w:b/>
          <w:bCs/>
          <w:color w:val="000000"/>
          <w:sz w:val="24"/>
          <w:szCs w:val="24"/>
          <w:lang w:val="en-US"/>
        </w:rPr>
        <w:t>Schwarz KB</w:t>
      </w:r>
      <w:r w:rsidRPr="00A96D05">
        <w:rPr>
          <w:rFonts w:ascii="Book Antiqua" w:hAnsi="Book Antiqua" w:cs="Book Antiqua"/>
          <w:color w:val="000000"/>
          <w:sz w:val="24"/>
          <w:szCs w:val="24"/>
          <w:lang w:val="en-US"/>
        </w:rPr>
        <w:t>. Oxidative stress during viral infection: a review. </w:t>
      </w:r>
      <w:r w:rsidRPr="00A96D05">
        <w:rPr>
          <w:rFonts w:ascii="Book Antiqua" w:hAnsi="Book Antiqua" w:cs="Book Antiqua"/>
          <w:i/>
          <w:iCs/>
          <w:color w:val="000000"/>
          <w:sz w:val="24"/>
          <w:szCs w:val="24"/>
          <w:lang w:val="en-US"/>
        </w:rPr>
        <w:t>Free Radic Biol Med</w:t>
      </w:r>
      <w:r w:rsidRPr="00A96D05">
        <w:rPr>
          <w:rFonts w:ascii="Book Antiqua" w:hAnsi="Book Antiqua" w:cs="Book Antiqua"/>
          <w:color w:val="000000"/>
          <w:sz w:val="24"/>
          <w:szCs w:val="24"/>
          <w:lang w:val="en-US"/>
        </w:rPr>
        <w:t> 1996; </w:t>
      </w:r>
      <w:r w:rsidRPr="00A96D05">
        <w:rPr>
          <w:rFonts w:ascii="Book Antiqua" w:hAnsi="Book Antiqua" w:cs="Book Antiqua"/>
          <w:b/>
          <w:bCs/>
          <w:color w:val="000000"/>
          <w:sz w:val="24"/>
          <w:szCs w:val="24"/>
          <w:lang w:val="en-US"/>
        </w:rPr>
        <w:t>21</w:t>
      </w:r>
      <w:r w:rsidRPr="00A96D05">
        <w:rPr>
          <w:rFonts w:ascii="Book Antiqua" w:hAnsi="Book Antiqua" w:cs="Book Antiqua"/>
          <w:color w:val="000000"/>
          <w:sz w:val="24"/>
          <w:szCs w:val="24"/>
          <w:lang w:val="en-US"/>
        </w:rPr>
        <w:t>: 641-649 [PMID: 8891667]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162 </w:t>
      </w:r>
      <w:r w:rsidRPr="00A96D05">
        <w:rPr>
          <w:rFonts w:ascii="Book Antiqua" w:hAnsi="Book Antiqua" w:cs="Book Antiqua"/>
          <w:b/>
          <w:bCs/>
          <w:color w:val="000000"/>
          <w:sz w:val="24"/>
          <w:szCs w:val="24"/>
          <w:lang w:val="en-US"/>
        </w:rPr>
        <w:t>Zhang Y</w:t>
      </w:r>
      <w:r w:rsidRPr="00A96D05">
        <w:rPr>
          <w:rFonts w:ascii="Book Antiqua" w:hAnsi="Book Antiqua" w:cs="Book Antiqua"/>
          <w:color w:val="000000"/>
          <w:sz w:val="24"/>
          <w:szCs w:val="24"/>
          <w:lang w:val="en-US"/>
        </w:rPr>
        <w:t>, Wang Z, Chen H, Chen Z, Tian Y. Antioxidants: potential antiviral agents for Japanese encephalitis virus infection. </w:t>
      </w:r>
      <w:r w:rsidRPr="00A96D05">
        <w:rPr>
          <w:rFonts w:ascii="Book Antiqua" w:hAnsi="Book Antiqua" w:cs="Book Antiqua"/>
          <w:i/>
          <w:iCs/>
          <w:color w:val="000000"/>
          <w:sz w:val="24"/>
          <w:szCs w:val="24"/>
          <w:lang w:val="en-US"/>
        </w:rPr>
        <w:t>Int J Infect Dis</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24</w:t>
      </w:r>
      <w:r w:rsidRPr="00A96D05">
        <w:rPr>
          <w:rFonts w:ascii="Book Antiqua" w:hAnsi="Book Antiqua" w:cs="Book Antiqua"/>
          <w:color w:val="000000"/>
          <w:sz w:val="24"/>
          <w:szCs w:val="24"/>
          <w:lang w:val="en-US"/>
        </w:rPr>
        <w:t>: 30-36 [PMID: 24780919 DOI: 10.1016/j.ijid.2014.02.011]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163 </w:t>
      </w:r>
      <w:r w:rsidRPr="00A96D05">
        <w:rPr>
          <w:rFonts w:ascii="Book Antiqua" w:hAnsi="Book Antiqua" w:cs="Book Antiqua"/>
          <w:b/>
          <w:bCs/>
          <w:color w:val="000000"/>
          <w:sz w:val="24"/>
          <w:szCs w:val="24"/>
          <w:lang w:val="en-US"/>
        </w:rPr>
        <w:t>Randow F</w:t>
      </w:r>
      <w:r w:rsidRPr="00A96D05">
        <w:rPr>
          <w:rFonts w:ascii="Book Antiqua" w:hAnsi="Book Antiqua" w:cs="Book Antiqua"/>
          <w:color w:val="000000"/>
          <w:sz w:val="24"/>
          <w:szCs w:val="24"/>
          <w:lang w:val="en-US"/>
        </w:rPr>
        <w:t>, MacMicking JD, James LC. Cellular self-defense: how cell-autonomous immunity protects against pathogens. </w:t>
      </w:r>
      <w:r w:rsidRPr="00A96D05">
        <w:rPr>
          <w:rFonts w:ascii="Book Antiqua" w:hAnsi="Book Antiqua" w:cs="Book Antiqua"/>
          <w:i/>
          <w:iCs/>
          <w:color w:val="000000"/>
          <w:sz w:val="24"/>
          <w:szCs w:val="24"/>
          <w:lang w:val="en-US"/>
        </w:rPr>
        <w:t>Science</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340</w:t>
      </w:r>
      <w:r w:rsidRPr="00A96D05">
        <w:rPr>
          <w:rFonts w:ascii="Book Antiqua" w:hAnsi="Book Antiqua" w:cs="Book Antiqua"/>
          <w:color w:val="000000"/>
          <w:sz w:val="24"/>
          <w:szCs w:val="24"/>
          <w:lang w:val="en-US"/>
        </w:rPr>
        <w:t>: 701-706 [PMID: 23661752 DOI: 10.1126/science.1233028]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164 </w:t>
      </w:r>
      <w:r w:rsidRPr="00A96D05">
        <w:rPr>
          <w:rFonts w:ascii="Book Antiqua" w:hAnsi="Book Antiqua" w:cs="Book Antiqua"/>
          <w:b/>
          <w:bCs/>
          <w:color w:val="000000"/>
          <w:sz w:val="24"/>
          <w:szCs w:val="24"/>
          <w:lang w:val="en-US"/>
        </w:rPr>
        <w:t>Akaike T</w:t>
      </w:r>
      <w:r w:rsidRPr="00A96D05">
        <w:rPr>
          <w:rFonts w:ascii="Book Antiqua" w:hAnsi="Book Antiqua" w:cs="Book Antiqua"/>
          <w:color w:val="000000"/>
          <w:sz w:val="24"/>
          <w:szCs w:val="24"/>
          <w:lang w:val="en-US"/>
        </w:rPr>
        <w:t>. Role of free radicals in viral pathogenesis and mutation. </w:t>
      </w:r>
      <w:r w:rsidRPr="00A96D05">
        <w:rPr>
          <w:rFonts w:ascii="Book Antiqua" w:hAnsi="Book Antiqua" w:cs="Book Antiqua"/>
          <w:i/>
          <w:iCs/>
          <w:color w:val="000000"/>
          <w:sz w:val="24"/>
          <w:szCs w:val="24"/>
          <w:lang w:val="en-US"/>
        </w:rPr>
        <w:t>Rev Med Virol</w:t>
      </w:r>
      <w:r w:rsidRPr="00A96D05">
        <w:rPr>
          <w:rFonts w:ascii="Book Antiqua" w:hAnsi="Book Antiqua" w:cs="Book Antiqua"/>
          <w:color w:val="000000"/>
          <w:sz w:val="24"/>
          <w:szCs w:val="24"/>
          <w:lang w:val="en-US"/>
        </w:rPr>
        <w:t> 2001; </w:t>
      </w:r>
      <w:r w:rsidRPr="00A96D05">
        <w:rPr>
          <w:rFonts w:ascii="Book Antiqua" w:hAnsi="Book Antiqua" w:cs="Book Antiqua"/>
          <w:b/>
          <w:bCs/>
          <w:color w:val="000000"/>
          <w:sz w:val="24"/>
          <w:szCs w:val="24"/>
          <w:lang w:val="en-US"/>
        </w:rPr>
        <w:t>11</w:t>
      </w:r>
      <w:r w:rsidRPr="00A96D05">
        <w:rPr>
          <w:rFonts w:ascii="Book Antiqua" w:hAnsi="Book Antiqua" w:cs="Book Antiqua"/>
          <w:color w:val="000000"/>
          <w:sz w:val="24"/>
          <w:szCs w:val="24"/>
          <w:lang w:val="en-US"/>
        </w:rPr>
        <w:t xml:space="preserve">: 87-101 [PMID: 11262528 DOI: </w:t>
      </w:r>
      <w:hyperlink r:id="rId14" w:tgtFrame="_blank" w:history="1">
        <w:r w:rsidRPr="00A96D05">
          <w:rPr>
            <w:rStyle w:val="Hyperlink"/>
            <w:rFonts w:ascii="Book Antiqua" w:hAnsi="Book Antiqua" w:cs="Book Antiqua"/>
            <w:color w:val="000000"/>
            <w:sz w:val="24"/>
            <w:szCs w:val="24"/>
            <w:u w:val="none"/>
            <w:shd w:val="clear" w:color="auto" w:fill="FFFFFF"/>
            <w:lang w:val="en-US"/>
          </w:rPr>
          <w:t>10.1002/rmv.303</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165 </w:t>
      </w:r>
      <w:r w:rsidRPr="00A96D05">
        <w:rPr>
          <w:rFonts w:ascii="Book Antiqua" w:hAnsi="Book Antiqua" w:cs="Book Antiqua"/>
          <w:b/>
          <w:bCs/>
          <w:color w:val="000000"/>
          <w:sz w:val="24"/>
          <w:szCs w:val="24"/>
          <w:lang w:val="en-US"/>
        </w:rPr>
        <w:t>Dobmeyer TS</w:t>
      </w:r>
      <w:r w:rsidRPr="00A96D05">
        <w:rPr>
          <w:rFonts w:ascii="Book Antiqua" w:hAnsi="Book Antiqua" w:cs="Book Antiqua"/>
          <w:color w:val="000000"/>
          <w:sz w:val="24"/>
          <w:szCs w:val="24"/>
          <w:lang w:val="en-US"/>
        </w:rPr>
        <w:t>, Findhammer S, Dobmeyer JM, Klein SA, Raffel B, Hoelzer D, Helm EB, Kabelitz D, Rossol R. Ex vivo induction of apoptosis in lymphocytes is mediated by oxidative stress: role for lymphocyte loss in HIV infection. </w:t>
      </w:r>
      <w:r w:rsidRPr="00A96D05">
        <w:rPr>
          <w:rFonts w:ascii="Book Antiqua" w:hAnsi="Book Antiqua" w:cs="Book Antiqua"/>
          <w:i/>
          <w:iCs/>
          <w:color w:val="000000"/>
          <w:sz w:val="24"/>
          <w:szCs w:val="24"/>
          <w:lang w:val="en-US"/>
        </w:rPr>
        <w:t>Free Radic Biol Med</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22</w:t>
      </w:r>
      <w:r w:rsidRPr="00A96D05">
        <w:rPr>
          <w:rFonts w:ascii="Book Antiqua" w:hAnsi="Book Antiqua" w:cs="Book Antiqua"/>
          <w:color w:val="000000"/>
          <w:sz w:val="24"/>
          <w:szCs w:val="24"/>
          <w:lang w:val="en-US"/>
        </w:rPr>
        <w:t xml:space="preserve">: 775-785 [PMID: 9119245 DOI: </w:t>
      </w:r>
      <w:hyperlink r:id="rId15" w:tgtFrame="_blank" w:history="1">
        <w:r w:rsidRPr="00A96D05">
          <w:rPr>
            <w:rStyle w:val="Hyperlink"/>
            <w:rFonts w:ascii="Book Antiqua" w:hAnsi="Book Antiqua" w:cs="Book Antiqua"/>
            <w:color w:val="000000"/>
            <w:sz w:val="24"/>
            <w:szCs w:val="24"/>
            <w:u w:val="none"/>
            <w:shd w:val="clear" w:color="auto" w:fill="FFFFFF"/>
            <w:lang w:val="en-US"/>
          </w:rPr>
          <w:t>10.1016/S0891-5849(96)00403-0</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166 </w:t>
      </w:r>
      <w:r w:rsidRPr="00A96D05">
        <w:rPr>
          <w:rFonts w:ascii="Book Antiqua" w:hAnsi="Book Antiqua" w:cs="Book Antiqua"/>
          <w:b/>
          <w:bCs/>
          <w:color w:val="000000"/>
          <w:sz w:val="24"/>
          <w:szCs w:val="24"/>
          <w:lang w:val="en-US"/>
        </w:rPr>
        <w:t>Knobil K</w:t>
      </w:r>
      <w:r w:rsidRPr="00A96D05">
        <w:rPr>
          <w:rFonts w:ascii="Book Antiqua" w:hAnsi="Book Antiqua" w:cs="Book Antiqua"/>
          <w:color w:val="000000"/>
          <w:sz w:val="24"/>
          <w:szCs w:val="24"/>
          <w:lang w:val="en-US"/>
        </w:rPr>
        <w:t>, Choi AM, Weigand GW, Jacoby DB. Role of oxidants in influenza virus-induced gene expression. </w:t>
      </w:r>
      <w:r w:rsidRPr="00A96D05">
        <w:rPr>
          <w:rFonts w:ascii="Book Antiqua" w:hAnsi="Book Antiqua" w:cs="Book Antiqua"/>
          <w:i/>
          <w:iCs/>
          <w:color w:val="000000"/>
          <w:sz w:val="24"/>
          <w:szCs w:val="24"/>
          <w:lang w:val="en-US"/>
        </w:rPr>
        <w:t>Am J Physiol</w:t>
      </w:r>
      <w:r w:rsidRPr="00A96D05">
        <w:rPr>
          <w:rFonts w:ascii="Book Antiqua" w:hAnsi="Book Antiqua" w:cs="Book Antiqua"/>
          <w:color w:val="000000"/>
          <w:sz w:val="24"/>
          <w:szCs w:val="24"/>
          <w:lang w:val="en-US"/>
        </w:rPr>
        <w:t> 1998; </w:t>
      </w:r>
      <w:r w:rsidRPr="00A96D05">
        <w:rPr>
          <w:rFonts w:ascii="Book Antiqua" w:hAnsi="Book Antiqua" w:cs="Book Antiqua"/>
          <w:b/>
          <w:bCs/>
          <w:color w:val="000000"/>
          <w:sz w:val="24"/>
          <w:szCs w:val="24"/>
          <w:lang w:val="en-US"/>
        </w:rPr>
        <w:t>274</w:t>
      </w:r>
      <w:r w:rsidRPr="00A96D05">
        <w:rPr>
          <w:rFonts w:ascii="Book Antiqua" w:hAnsi="Book Antiqua" w:cs="Book Antiqua"/>
          <w:color w:val="000000"/>
          <w:sz w:val="24"/>
          <w:szCs w:val="24"/>
          <w:lang w:val="en-US"/>
        </w:rPr>
        <w:t>: L134-L142 [PMID: 9458811]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167 </w:t>
      </w:r>
      <w:r w:rsidRPr="00A96D05">
        <w:rPr>
          <w:rFonts w:ascii="Book Antiqua" w:hAnsi="Book Antiqua" w:cs="Book Antiqua"/>
          <w:b/>
          <w:bCs/>
          <w:color w:val="000000"/>
          <w:sz w:val="24"/>
          <w:szCs w:val="24"/>
          <w:lang w:val="en-US"/>
        </w:rPr>
        <w:t>Dikici I</w:t>
      </w:r>
      <w:r w:rsidRPr="00A96D05">
        <w:rPr>
          <w:rFonts w:ascii="Book Antiqua" w:hAnsi="Book Antiqua" w:cs="Book Antiqua"/>
          <w:color w:val="000000"/>
          <w:sz w:val="24"/>
          <w:szCs w:val="24"/>
          <w:lang w:val="en-US"/>
        </w:rPr>
        <w:t>, Mehmetoglu I, Dikici N, Bitirgen M, Kurban S. Investigation of oxidative stress and some antioxidants in patients with acute and chronic viral hepatitis B and the effect of interferon-alpha treatment. </w:t>
      </w:r>
      <w:r w:rsidRPr="00A96D05">
        <w:rPr>
          <w:rFonts w:ascii="Book Antiqua" w:hAnsi="Book Antiqua" w:cs="Book Antiqua"/>
          <w:i/>
          <w:iCs/>
          <w:color w:val="000000"/>
          <w:sz w:val="24"/>
          <w:szCs w:val="24"/>
          <w:lang w:val="en-US"/>
        </w:rPr>
        <w:t>Clin Biochem</w:t>
      </w:r>
      <w:r w:rsidRPr="00A96D05">
        <w:rPr>
          <w:rFonts w:ascii="Book Antiqua" w:hAnsi="Book Antiqua" w:cs="Book Antiqua"/>
          <w:color w:val="000000"/>
          <w:sz w:val="24"/>
          <w:szCs w:val="24"/>
          <w:lang w:val="en-US"/>
        </w:rPr>
        <w:t> 2005; </w:t>
      </w:r>
      <w:r w:rsidRPr="00A96D05">
        <w:rPr>
          <w:rFonts w:ascii="Book Antiqua" w:hAnsi="Book Antiqua" w:cs="Book Antiqua"/>
          <w:b/>
          <w:bCs/>
          <w:color w:val="000000"/>
          <w:sz w:val="24"/>
          <w:szCs w:val="24"/>
          <w:lang w:val="en-US"/>
        </w:rPr>
        <w:t>38</w:t>
      </w:r>
      <w:r w:rsidRPr="00A96D05">
        <w:rPr>
          <w:rFonts w:ascii="Book Antiqua" w:hAnsi="Book Antiqua" w:cs="Book Antiqua"/>
          <w:color w:val="000000"/>
          <w:sz w:val="24"/>
          <w:szCs w:val="24"/>
          <w:lang w:val="en-US"/>
        </w:rPr>
        <w:t>: 1141-1144 [PMID: 16300751 DOI: 10.1016/j.clinbiochem.2005.10.006]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168 </w:t>
      </w:r>
      <w:r w:rsidRPr="00A96D05">
        <w:rPr>
          <w:rFonts w:ascii="Book Antiqua" w:hAnsi="Book Antiqua" w:cs="Book Antiqua"/>
          <w:b/>
          <w:bCs/>
          <w:color w:val="000000"/>
          <w:sz w:val="24"/>
          <w:szCs w:val="24"/>
          <w:lang w:val="en-US"/>
        </w:rPr>
        <w:t>Korenaga M</w:t>
      </w:r>
      <w:r w:rsidRPr="00A96D05">
        <w:rPr>
          <w:rFonts w:ascii="Book Antiqua" w:hAnsi="Book Antiqua" w:cs="Book Antiqua"/>
          <w:color w:val="000000"/>
          <w:sz w:val="24"/>
          <w:szCs w:val="24"/>
          <w:lang w:val="en-US"/>
        </w:rPr>
        <w:t>, Wang T, Li Y, Showalter LA, Chan T, Sun J, Weinman SA. Hepatitis C virus core protein inhibits mitochondrial electron transport and increases reactive oxygen species (ROS) production. </w:t>
      </w:r>
      <w:r w:rsidRPr="00A96D05">
        <w:rPr>
          <w:rFonts w:ascii="Book Antiqua" w:hAnsi="Book Antiqua" w:cs="Book Antiqua"/>
          <w:i/>
          <w:iCs/>
          <w:color w:val="000000"/>
          <w:sz w:val="24"/>
          <w:szCs w:val="24"/>
          <w:lang w:val="en-US"/>
        </w:rPr>
        <w:t>J Biol Chem</w:t>
      </w:r>
      <w:r w:rsidRPr="00A96D05">
        <w:rPr>
          <w:rFonts w:ascii="Book Antiqua" w:hAnsi="Book Antiqua" w:cs="Book Antiqua"/>
          <w:color w:val="000000"/>
          <w:sz w:val="24"/>
          <w:szCs w:val="24"/>
          <w:lang w:val="en-US"/>
        </w:rPr>
        <w:t> 2005; </w:t>
      </w:r>
      <w:r w:rsidRPr="00A96D05">
        <w:rPr>
          <w:rFonts w:ascii="Book Antiqua" w:hAnsi="Book Antiqua" w:cs="Book Antiqua"/>
          <w:b/>
          <w:bCs/>
          <w:color w:val="000000"/>
          <w:sz w:val="24"/>
          <w:szCs w:val="24"/>
          <w:lang w:val="en-US"/>
        </w:rPr>
        <w:t>280</w:t>
      </w:r>
      <w:r w:rsidRPr="00A96D05">
        <w:rPr>
          <w:rFonts w:ascii="Book Antiqua" w:hAnsi="Book Antiqua" w:cs="Book Antiqua"/>
          <w:color w:val="000000"/>
          <w:sz w:val="24"/>
          <w:szCs w:val="24"/>
          <w:lang w:val="en-US"/>
        </w:rPr>
        <w:t>: 37481-37488 [PMID: 16150732 DOI: 10.1074/jbc.M506412200]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169 </w:t>
      </w:r>
      <w:r w:rsidRPr="00A96D05">
        <w:rPr>
          <w:rFonts w:ascii="Book Antiqua" w:hAnsi="Book Antiqua" w:cs="Book Antiqua"/>
          <w:b/>
          <w:bCs/>
          <w:color w:val="000000"/>
          <w:sz w:val="24"/>
          <w:szCs w:val="24"/>
          <w:lang w:val="en-US"/>
        </w:rPr>
        <w:t>Ano Y</w:t>
      </w:r>
      <w:r w:rsidRPr="00A96D05">
        <w:rPr>
          <w:rFonts w:ascii="Book Antiqua" w:hAnsi="Book Antiqua" w:cs="Book Antiqua"/>
          <w:color w:val="000000"/>
          <w:sz w:val="24"/>
          <w:szCs w:val="24"/>
          <w:lang w:val="en-US"/>
        </w:rPr>
        <w:t>, Sakudo A, Kimata T, Uraki R, Sugiura K, Onodera T. Oxidative damage to neurons caused by the induction of microglial NADPH oxidase in encephalomyocarditis virus infection. </w:t>
      </w:r>
      <w:r w:rsidRPr="00A96D05">
        <w:rPr>
          <w:rFonts w:ascii="Book Antiqua" w:hAnsi="Book Antiqua" w:cs="Book Antiqua"/>
          <w:i/>
          <w:iCs/>
          <w:color w:val="000000"/>
          <w:sz w:val="24"/>
          <w:szCs w:val="24"/>
          <w:lang w:val="en-US"/>
        </w:rPr>
        <w:t>Neurosci Lett</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469</w:t>
      </w:r>
      <w:r w:rsidRPr="00A96D05">
        <w:rPr>
          <w:rFonts w:ascii="Book Antiqua" w:hAnsi="Book Antiqua" w:cs="Book Antiqua"/>
          <w:color w:val="000000"/>
          <w:sz w:val="24"/>
          <w:szCs w:val="24"/>
          <w:lang w:val="en-US"/>
        </w:rPr>
        <w:t>: 39-43 [PMID: 19945511 DOI: 10.1016/j.neulet.2009.11.040]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170 </w:t>
      </w:r>
      <w:r w:rsidRPr="00A96D05">
        <w:rPr>
          <w:rFonts w:ascii="Book Antiqua" w:hAnsi="Book Antiqua" w:cs="Book Antiqua"/>
          <w:b/>
          <w:bCs/>
          <w:color w:val="000000"/>
          <w:sz w:val="24"/>
          <w:szCs w:val="24"/>
          <w:lang w:val="en-US"/>
        </w:rPr>
        <w:t>Mochizuki H</w:t>
      </w:r>
      <w:r w:rsidRPr="00A96D05">
        <w:rPr>
          <w:rFonts w:ascii="Book Antiqua" w:hAnsi="Book Antiqua" w:cs="Book Antiqua"/>
          <w:color w:val="000000"/>
          <w:sz w:val="24"/>
          <w:szCs w:val="24"/>
          <w:lang w:val="en-US"/>
        </w:rPr>
        <w:t>, Todokoro M, Arakawa H. RS virus-induced inflammation and the intracellular glutathione redox state in cultured human airway epithelial cells. </w:t>
      </w:r>
      <w:r w:rsidRPr="00A96D05">
        <w:rPr>
          <w:rFonts w:ascii="Book Antiqua" w:hAnsi="Book Antiqua" w:cs="Book Antiqua"/>
          <w:i/>
          <w:iCs/>
          <w:color w:val="000000"/>
          <w:sz w:val="24"/>
          <w:szCs w:val="24"/>
          <w:lang w:val="en-US"/>
        </w:rPr>
        <w:t>Inflammation</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32</w:t>
      </w:r>
      <w:r w:rsidRPr="00A96D05">
        <w:rPr>
          <w:rFonts w:ascii="Book Antiqua" w:hAnsi="Book Antiqua" w:cs="Book Antiqua"/>
          <w:color w:val="000000"/>
          <w:sz w:val="24"/>
          <w:szCs w:val="24"/>
          <w:lang w:val="en-US"/>
        </w:rPr>
        <w:t>: 252-264 [PMID: 19548075 DOI: 10.1007/s10753-009-9128-0]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171 </w:t>
      </w:r>
      <w:r w:rsidRPr="00A96D05">
        <w:rPr>
          <w:rFonts w:ascii="Book Antiqua" w:hAnsi="Book Antiqua" w:cs="Book Antiqua"/>
          <w:b/>
          <w:bCs/>
          <w:color w:val="000000"/>
          <w:sz w:val="24"/>
          <w:szCs w:val="24"/>
          <w:lang w:val="en-US"/>
        </w:rPr>
        <w:t>Olagnier D</w:t>
      </w:r>
      <w:r w:rsidRPr="00A96D05">
        <w:rPr>
          <w:rFonts w:ascii="Book Antiqua" w:hAnsi="Book Antiqua" w:cs="Book Antiqua"/>
          <w:color w:val="000000"/>
          <w:sz w:val="24"/>
          <w:szCs w:val="24"/>
          <w:lang w:val="en-US"/>
        </w:rPr>
        <w:t>, Peri S, Steel C, van Montfoort N, Chiang C, Beljanski V, Slifker M, He Z, Nichols CN, Lin R, Balachandran S, Hiscott J. Cellular oxidative stress response controls the antiviral and apoptotic programs in dengue virus-infected dendritic cells. </w:t>
      </w:r>
      <w:r w:rsidRPr="00A96D05">
        <w:rPr>
          <w:rFonts w:ascii="Book Antiqua" w:hAnsi="Book Antiqua" w:cs="Book Antiqua"/>
          <w:i/>
          <w:iCs/>
          <w:color w:val="000000"/>
          <w:sz w:val="24"/>
          <w:szCs w:val="24"/>
          <w:lang w:val="en-US"/>
        </w:rPr>
        <w:t>PLoS Pathog</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10</w:t>
      </w:r>
      <w:r w:rsidRPr="00A96D05">
        <w:rPr>
          <w:rFonts w:ascii="Book Antiqua" w:hAnsi="Book Antiqua" w:cs="Book Antiqua"/>
          <w:color w:val="000000"/>
          <w:sz w:val="24"/>
          <w:szCs w:val="24"/>
          <w:lang w:val="en-US"/>
        </w:rPr>
        <w:t>: e1004566 [PMID: 25521078 DOI: 10.1371/journal.ppat.1004566]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172 </w:t>
      </w:r>
      <w:r w:rsidRPr="00A96D05">
        <w:rPr>
          <w:rFonts w:ascii="Book Antiqua" w:hAnsi="Book Antiqua" w:cs="Book Antiqua"/>
          <w:b/>
          <w:bCs/>
          <w:color w:val="000000"/>
          <w:sz w:val="24"/>
          <w:szCs w:val="24"/>
          <w:lang w:val="en-US"/>
        </w:rPr>
        <w:t>Gullberg RC</w:t>
      </w:r>
      <w:r w:rsidRPr="00A96D05">
        <w:rPr>
          <w:rFonts w:ascii="Book Antiqua" w:hAnsi="Book Antiqua" w:cs="Book Antiqua"/>
          <w:color w:val="000000"/>
          <w:sz w:val="24"/>
          <w:szCs w:val="24"/>
          <w:lang w:val="en-US"/>
        </w:rPr>
        <w:t>, Jordan Steel J, Moon SL, Soltani E, Geiss BJ. Oxidative stress influences positive strand RNA virus genome synthesis and capping. </w:t>
      </w:r>
      <w:r w:rsidRPr="00A96D05">
        <w:rPr>
          <w:rFonts w:ascii="Book Antiqua" w:hAnsi="Book Antiqua" w:cs="Book Antiqua"/>
          <w:i/>
          <w:iCs/>
          <w:color w:val="000000"/>
          <w:sz w:val="24"/>
          <w:szCs w:val="24"/>
          <w:lang w:val="en-US"/>
        </w:rPr>
        <w:t>Virology</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475</w:t>
      </w:r>
      <w:r w:rsidRPr="00A96D05">
        <w:rPr>
          <w:rFonts w:ascii="Book Antiqua" w:hAnsi="Book Antiqua" w:cs="Book Antiqua"/>
          <w:color w:val="000000"/>
          <w:sz w:val="24"/>
          <w:szCs w:val="24"/>
          <w:lang w:val="en-US"/>
        </w:rPr>
        <w:t>: 219-229 [PMID: 25514423 DOI: 10.1016/j.virol.2014.10.037]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173 </w:t>
      </w:r>
      <w:r w:rsidRPr="00A96D05">
        <w:rPr>
          <w:rFonts w:ascii="Book Antiqua" w:hAnsi="Book Antiqua" w:cs="Book Antiqua"/>
          <w:b/>
          <w:bCs/>
          <w:color w:val="000000"/>
          <w:sz w:val="24"/>
          <w:szCs w:val="24"/>
          <w:lang w:val="en-US"/>
        </w:rPr>
        <w:t>Liao SL</w:t>
      </w:r>
      <w:r w:rsidRPr="00A96D05">
        <w:rPr>
          <w:rFonts w:ascii="Book Antiqua" w:hAnsi="Book Antiqua" w:cs="Book Antiqua"/>
          <w:color w:val="000000"/>
          <w:sz w:val="24"/>
          <w:szCs w:val="24"/>
          <w:lang w:val="en-US"/>
        </w:rPr>
        <w:t>, Raung SL, Chen CJ. Japanese encephalitis virus stimulates superoxide dismutase activity in rat glial cultures. </w:t>
      </w:r>
      <w:r w:rsidRPr="00A96D05">
        <w:rPr>
          <w:rFonts w:ascii="Book Antiqua" w:hAnsi="Book Antiqua" w:cs="Book Antiqua"/>
          <w:i/>
          <w:iCs/>
          <w:color w:val="000000"/>
          <w:sz w:val="24"/>
          <w:szCs w:val="24"/>
          <w:lang w:val="en-US"/>
        </w:rPr>
        <w:t>Neurosci Lett</w:t>
      </w:r>
      <w:r w:rsidRPr="00A96D05">
        <w:rPr>
          <w:rFonts w:ascii="Book Antiqua" w:hAnsi="Book Antiqua" w:cs="Book Antiqua"/>
          <w:color w:val="000000"/>
          <w:sz w:val="24"/>
          <w:szCs w:val="24"/>
          <w:lang w:val="en-US"/>
        </w:rPr>
        <w:t> 2002; </w:t>
      </w:r>
      <w:r w:rsidRPr="00A96D05">
        <w:rPr>
          <w:rFonts w:ascii="Book Antiqua" w:hAnsi="Book Antiqua" w:cs="Book Antiqua"/>
          <w:b/>
          <w:bCs/>
          <w:color w:val="000000"/>
          <w:sz w:val="24"/>
          <w:szCs w:val="24"/>
          <w:lang w:val="en-US"/>
        </w:rPr>
        <w:t>324</w:t>
      </w:r>
      <w:r w:rsidRPr="00A96D05">
        <w:rPr>
          <w:rFonts w:ascii="Book Antiqua" w:hAnsi="Book Antiqua" w:cs="Book Antiqua"/>
          <w:color w:val="000000"/>
          <w:sz w:val="24"/>
          <w:szCs w:val="24"/>
          <w:lang w:val="en-US"/>
        </w:rPr>
        <w:t>: 133-136 [PMID: 11988345]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174 </w:t>
      </w:r>
      <w:r w:rsidRPr="00A96D05">
        <w:rPr>
          <w:rFonts w:ascii="Book Antiqua" w:hAnsi="Book Antiqua" w:cs="Book Antiqua"/>
          <w:b/>
          <w:bCs/>
          <w:color w:val="000000"/>
          <w:sz w:val="24"/>
          <w:szCs w:val="24"/>
          <w:lang w:val="en-US"/>
        </w:rPr>
        <w:t>Sodhi CP</w:t>
      </w:r>
      <w:r w:rsidRPr="00A96D05">
        <w:rPr>
          <w:rFonts w:ascii="Book Antiqua" w:hAnsi="Book Antiqua" w:cs="Book Antiqua"/>
          <w:color w:val="000000"/>
          <w:sz w:val="24"/>
          <w:szCs w:val="24"/>
          <w:lang w:val="en-US"/>
        </w:rPr>
        <w:t>, Katyal R, Rana SV, Attri S, Singh V. Study of oxidative-stress in rotavirus infected infant mice. </w:t>
      </w:r>
      <w:r w:rsidRPr="00A96D05">
        <w:rPr>
          <w:rFonts w:ascii="Book Antiqua" w:hAnsi="Book Antiqua" w:cs="Book Antiqua"/>
          <w:i/>
          <w:iCs/>
          <w:color w:val="000000"/>
          <w:sz w:val="24"/>
          <w:szCs w:val="24"/>
          <w:lang w:val="en-US"/>
        </w:rPr>
        <w:t>Indian J Med Res</w:t>
      </w:r>
      <w:r w:rsidRPr="00A96D05">
        <w:rPr>
          <w:rFonts w:ascii="Book Antiqua" w:hAnsi="Book Antiqua" w:cs="Book Antiqua"/>
          <w:color w:val="000000"/>
          <w:sz w:val="24"/>
          <w:szCs w:val="24"/>
          <w:lang w:val="en-US"/>
        </w:rPr>
        <w:t> 1996; </w:t>
      </w:r>
      <w:r w:rsidRPr="00A96D05">
        <w:rPr>
          <w:rFonts w:ascii="Book Antiqua" w:hAnsi="Book Antiqua" w:cs="Book Antiqua"/>
          <w:b/>
          <w:bCs/>
          <w:color w:val="000000"/>
          <w:sz w:val="24"/>
          <w:szCs w:val="24"/>
          <w:lang w:val="en-US"/>
        </w:rPr>
        <w:t>104</w:t>
      </w:r>
      <w:r w:rsidRPr="00A96D05">
        <w:rPr>
          <w:rFonts w:ascii="Book Antiqua" w:hAnsi="Book Antiqua" w:cs="Book Antiqua"/>
          <w:color w:val="000000"/>
          <w:sz w:val="24"/>
          <w:szCs w:val="24"/>
          <w:lang w:val="en-US"/>
        </w:rPr>
        <w:t>: 245-249 [PMID: 8952176]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175 </w:t>
      </w:r>
      <w:r w:rsidRPr="00A96D05">
        <w:rPr>
          <w:rFonts w:ascii="Book Antiqua" w:hAnsi="Book Antiqua" w:cs="Book Antiqua"/>
          <w:b/>
          <w:bCs/>
          <w:color w:val="000000"/>
          <w:sz w:val="24"/>
          <w:szCs w:val="24"/>
          <w:lang w:val="en-US"/>
        </w:rPr>
        <w:t>Borghan MA</w:t>
      </w:r>
      <w:r w:rsidRPr="00A96D05">
        <w:rPr>
          <w:rFonts w:ascii="Book Antiqua" w:hAnsi="Book Antiqua" w:cs="Book Antiqua"/>
          <w:color w:val="000000"/>
          <w:sz w:val="24"/>
          <w:szCs w:val="24"/>
          <w:lang w:val="en-US"/>
        </w:rPr>
        <w:t>, Mori Y, El-Mahmoudy AB, Ito N, Sugiyama M, Takewaki T, Minamoto N. Induction of nitric oxide synthase by rotavirus enterotoxin NSP4: implication for rotavirus pathogenicity. </w:t>
      </w:r>
      <w:r w:rsidRPr="00A96D05">
        <w:rPr>
          <w:rFonts w:ascii="Book Antiqua" w:hAnsi="Book Antiqua" w:cs="Book Antiqua"/>
          <w:i/>
          <w:iCs/>
          <w:color w:val="000000"/>
          <w:sz w:val="24"/>
          <w:szCs w:val="24"/>
          <w:lang w:val="en-US"/>
        </w:rPr>
        <w:t>J Gen Virol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88</w:t>
      </w:r>
      <w:r w:rsidRPr="00A96D05">
        <w:rPr>
          <w:rFonts w:ascii="Book Antiqua" w:hAnsi="Book Antiqua" w:cs="Book Antiqua"/>
          <w:color w:val="000000"/>
          <w:sz w:val="24"/>
          <w:szCs w:val="24"/>
          <w:lang w:val="en-US"/>
        </w:rPr>
        <w:t>: 2064-2072 [PMID: 17554041 DOI: 10.1099/vir.0.82618-0]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176 </w:t>
      </w:r>
      <w:r w:rsidRPr="00A96D05">
        <w:rPr>
          <w:rFonts w:ascii="Book Antiqua" w:hAnsi="Book Antiqua" w:cs="Book Antiqua"/>
          <w:b/>
          <w:bCs/>
          <w:color w:val="000000"/>
          <w:sz w:val="24"/>
          <w:szCs w:val="24"/>
          <w:lang w:val="en-US"/>
        </w:rPr>
        <w:t>Rodríguez-Díaz J</w:t>
      </w:r>
      <w:r w:rsidRPr="00A96D05">
        <w:rPr>
          <w:rFonts w:ascii="Book Antiqua" w:hAnsi="Book Antiqua" w:cs="Book Antiqua"/>
          <w:color w:val="000000"/>
          <w:sz w:val="24"/>
          <w:szCs w:val="24"/>
          <w:lang w:val="en-US"/>
        </w:rPr>
        <w:t>, Banasaz M, Istrate C, Buesa J, Lundgren O, Espinoza F, Sundqvist T, Rottenberg M, Svensson L. Role of nitric oxide during rotavirus infection. </w:t>
      </w:r>
      <w:r w:rsidRPr="00A96D05">
        <w:rPr>
          <w:rFonts w:ascii="Book Antiqua" w:hAnsi="Book Antiqua" w:cs="Book Antiqua"/>
          <w:i/>
          <w:iCs/>
          <w:color w:val="000000"/>
          <w:sz w:val="24"/>
          <w:szCs w:val="24"/>
          <w:lang w:val="en-US"/>
        </w:rPr>
        <w:t>J Med Virol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78</w:t>
      </w:r>
      <w:r w:rsidRPr="00A96D05">
        <w:rPr>
          <w:rFonts w:ascii="Book Antiqua" w:hAnsi="Book Antiqua" w:cs="Book Antiqua"/>
          <w:color w:val="000000"/>
          <w:sz w:val="24"/>
          <w:szCs w:val="24"/>
          <w:lang w:val="en-US"/>
        </w:rPr>
        <w:t>: 979-985 [PMID: 16721855 DOI: 10.1002/jmv.20650]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177 </w:t>
      </w:r>
      <w:r w:rsidRPr="00A96D05">
        <w:rPr>
          <w:rFonts w:ascii="Book Antiqua" w:hAnsi="Book Antiqua" w:cs="Book Antiqua"/>
          <w:b/>
          <w:bCs/>
          <w:color w:val="000000"/>
          <w:sz w:val="24"/>
          <w:szCs w:val="24"/>
          <w:lang w:val="en-US"/>
        </w:rPr>
        <w:t>Gac M</w:t>
      </w:r>
      <w:r w:rsidRPr="00A96D05">
        <w:rPr>
          <w:rFonts w:ascii="Book Antiqua" w:hAnsi="Book Antiqua" w:cs="Book Antiqua"/>
          <w:color w:val="000000"/>
          <w:sz w:val="24"/>
          <w:szCs w:val="24"/>
          <w:lang w:val="en-US"/>
        </w:rPr>
        <w:t>, Bigda J, Vahlenkamp TW. Increased mitochondrial superoxide dismutase expression and lowered production of reactive oxygen species during rotavirus infection. </w:t>
      </w:r>
      <w:r w:rsidRPr="00A96D05">
        <w:rPr>
          <w:rFonts w:ascii="Book Antiqua" w:hAnsi="Book Antiqua" w:cs="Book Antiqua"/>
          <w:i/>
          <w:iCs/>
          <w:color w:val="000000"/>
          <w:sz w:val="24"/>
          <w:szCs w:val="24"/>
          <w:lang w:val="en-US"/>
        </w:rPr>
        <w:t>Virology</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404</w:t>
      </w:r>
      <w:r w:rsidRPr="00A96D05">
        <w:rPr>
          <w:rFonts w:ascii="Book Antiqua" w:hAnsi="Book Antiqua" w:cs="Book Antiqua"/>
          <w:color w:val="000000"/>
          <w:sz w:val="24"/>
          <w:szCs w:val="24"/>
          <w:lang w:val="en-US"/>
        </w:rPr>
        <w:t>: 293-303 [PMID: 20538313 DOI: 10.1016/j.virol.2010.05.018]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178 </w:t>
      </w:r>
      <w:r w:rsidRPr="00A96D05">
        <w:rPr>
          <w:rFonts w:ascii="Book Antiqua" w:hAnsi="Book Antiqua" w:cs="Book Antiqua"/>
          <w:b/>
          <w:bCs/>
          <w:color w:val="000000"/>
          <w:sz w:val="24"/>
          <w:szCs w:val="24"/>
          <w:lang w:val="en-US"/>
        </w:rPr>
        <w:t>Warner BB</w:t>
      </w:r>
      <w:r w:rsidRPr="00A96D05">
        <w:rPr>
          <w:rFonts w:ascii="Book Antiqua" w:hAnsi="Book Antiqua" w:cs="Book Antiqua"/>
          <w:color w:val="000000"/>
          <w:sz w:val="24"/>
          <w:szCs w:val="24"/>
          <w:lang w:val="en-US"/>
        </w:rPr>
        <w:t>, Stuart L, Gebb S, Wispé JR. Redox regulation of manganese superoxide dismutase. </w:t>
      </w:r>
      <w:r w:rsidRPr="00A96D05">
        <w:rPr>
          <w:rFonts w:ascii="Book Antiqua" w:hAnsi="Book Antiqua" w:cs="Book Antiqua"/>
          <w:i/>
          <w:iCs/>
          <w:color w:val="000000"/>
          <w:sz w:val="24"/>
          <w:szCs w:val="24"/>
          <w:lang w:val="en-US"/>
        </w:rPr>
        <w:t>Am J Physiol</w:t>
      </w:r>
      <w:r w:rsidRPr="00A96D05">
        <w:rPr>
          <w:rFonts w:ascii="Book Antiqua" w:hAnsi="Book Antiqua" w:cs="Book Antiqua"/>
          <w:color w:val="000000"/>
          <w:sz w:val="24"/>
          <w:szCs w:val="24"/>
          <w:lang w:val="en-US"/>
        </w:rPr>
        <w:t> 1996; </w:t>
      </w:r>
      <w:r w:rsidRPr="00A96D05">
        <w:rPr>
          <w:rFonts w:ascii="Book Antiqua" w:hAnsi="Book Antiqua" w:cs="Book Antiqua"/>
          <w:b/>
          <w:bCs/>
          <w:color w:val="000000"/>
          <w:sz w:val="24"/>
          <w:szCs w:val="24"/>
          <w:lang w:val="en-US"/>
        </w:rPr>
        <w:t>271</w:t>
      </w:r>
      <w:r w:rsidRPr="00A96D05">
        <w:rPr>
          <w:rFonts w:ascii="Book Antiqua" w:hAnsi="Book Antiqua" w:cs="Book Antiqua"/>
          <w:color w:val="000000"/>
          <w:sz w:val="24"/>
          <w:szCs w:val="24"/>
          <w:lang w:val="en-US"/>
        </w:rPr>
        <w:t>: L150-L158 [PMID: 8760145]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179 </w:t>
      </w:r>
      <w:r w:rsidRPr="00A96D05">
        <w:rPr>
          <w:rFonts w:ascii="Book Antiqua" w:hAnsi="Book Antiqua" w:cs="Book Antiqua"/>
          <w:b/>
          <w:bCs/>
          <w:color w:val="000000"/>
          <w:sz w:val="24"/>
          <w:szCs w:val="24"/>
          <w:lang w:val="en-US"/>
        </w:rPr>
        <w:t>Nogae C</w:t>
      </w:r>
      <w:r w:rsidRPr="00A96D05">
        <w:rPr>
          <w:rFonts w:ascii="Book Antiqua" w:hAnsi="Book Antiqua" w:cs="Book Antiqua"/>
          <w:color w:val="000000"/>
          <w:sz w:val="24"/>
          <w:szCs w:val="24"/>
          <w:lang w:val="en-US"/>
        </w:rPr>
        <w:t>, Makino N, Hata T, Nogae I, Takahashi S, Suzuki K, Taniguchi N, Yanaga T. Interleukin 1 alpha-induced expression of manganous superoxide dismutase reduces myocardial reperfusion injury in the rat. </w:t>
      </w:r>
      <w:r w:rsidRPr="00A96D05">
        <w:rPr>
          <w:rFonts w:ascii="Book Antiqua" w:hAnsi="Book Antiqua" w:cs="Book Antiqua"/>
          <w:i/>
          <w:iCs/>
          <w:color w:val="000000"/>
          <w:sz w:val="24"/>
          <w:szCs w:val="24"/>
          <w:lang w:val="en-US"/>
        </w:rPr>
        <w:t>J Mol Cell Cardiol</w:t>
      </w:r>
      <w:r w:rsidRPr="00A96D05">
        <w:rPr>
          <w:rFonts w:ascii="Book Antiqua" w:hAnsi="Book Antiqua" w:cs="Book Antiqua"/>
          <w:color w:val="000000"/>
          <w:sz w:val="24"/>
          <w:szCs w:val="24"/>
          <w:lang w:val="en-US"/>
        </w:rPr>
        <w:t> 1995; </w:t>
      </w:r>
      <w:r w:rsidRPr="00A96D05">
        <w:rPr>
          <w:rFonts w:ascii="Book Antiqua" w:hAnsi="Book Antiqua" w:cs="Book Antiqua"/>
          <w:b/>
          <w:bCs/>
          <w:color w:val="000000"/>
          <w:sz w:val="24"/>
          <w:szCs w:val="24"/>
          <w:lang w:val="en-US"/>
        </w:rPr>
        <w:t>27</w:t>
      </w:r>
      <w:r w:rsidRPr="00A96D05">
        <w:rPr>
          <w:rFonts w:ascii="Book Antiqua" w:hAnsi="Book Antiqua" w:cs="Book Antiqua"/>
          <w:color w:val="000000"/>
          <w:sz w:val="24"/>
          <w:szCs w:val="24"/>
          <w:lang w:val="en-US"/>
        </w:rPr>
        <w:t>: 2091-2099 [PMID: 8576926]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180 </w:t>
      </w:r>
      <w:r w:rsidRPr="00A96D05">
        <w:rPr>
          <w:rFonts w:ascii="Book Antiqua" w:hAnsi="Book Antiqua" w:cs="Book Antiqua"/>
          <w:b/>
          <w:bCs/>
          <w:color w:val="000000"/>
          <w:sz w:val="24"/>
          <w:szCs w:val="24"/>
          <w:lang w:val="en-US"/>
        </w:rPr>
        <w:t>Jones PL</w:t>
      </w:r>
      <w:r w:rsidRPr="00A96D05">
        <w:rPr>
          <w:rFonts w:ascii="Book Antiqua" w:hAnsi="Book Antiqua" w:cs="Book Antiqua"/>
          <w:color w:val="000000"/>
          <w:sz w:val="24"/>
          <w:szCs w:val="24"/>
          <w:lang w:val="en-US"/>
        </w:rPr>
        <w:t>, Ping D, Boss JM. Tumor necrosis factor alpha and interleukin-1beta regulate the murine manganese superoxide dismutase gene through a complex intronic enhancer involving C/EBP-beta and NF-kappaB. </w:t>
      </w:r>
      <w:r w:rsidRPr="00A96D05">
        <w:rPr>
          <w:rFonts w:ascii="Book Antiqua" w:hAnsi="Book Antiqua" w:cs="Book Antiqua"/>
          <w:i/>
          <w:iCs/>
          <w:color w:val="000000"/>
          <w:sz w:val="24"/>
          <w:szCs w:val="24"/>
          <w:lang w:val="en-US"/>
        </w:rPr>
        <w:t>Mol Cell Biol</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17</w:t>
      </w:r>
      <w:r w:rsidRPr="00A96D05">
        <w:rPr>
          <w:rFonts w:ascii="Book Antiqua" w:hAnsi="Book Antiqua" w:cs="Book Antiqua"/>
          <w:color w:val="000000"/>
          <w:sz w:val="24"/>
          <w:szCs w:val="24"/>
          <w:lang w:val="en-US"/>
        </w:rPr>
        <w:t>: 6970-6981 [PMID: 9372929]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181 </w:t>
      </w:r>
      <w:r w:rsidRPr="00A96D05">
        <w:rPr>
          <w:rFonts w:ascii="Book Antiqua" w:hAnsi="Book Antiqua" w:cs="Book Antiqua"/>
          <w:b/>
          <w:bCs/>
          <w:color w:val="000000"/>
          <w:sz w:val="24"/>
          <w:szCs w:val="24"/>
          <w:lang w:val="en-US"/>
        </w:rPr>
        <w:t>Haynes CM</w:t>
      </w:r>
      <w:r w:rsidRPr="00A96D05">
        <w:rPr>
          <w:rFonts w:ascii="Book Antiqua" w:hAnsi="Book Antiqua" w:cs="Book Antiqua"/>
          <w:color w:val="000000"/>
          <w:sz w:val="24"/>
          <w:szCs w:val="24"/>
          <w:lang w:val="en-US"/>
        </w:rPr>
        <w:t>, Titus EA, Cooper AA. Degradation of misfolded proteins prevents ER-derived oxidative stress and cell death. </w:t>
      </w:r>
      <w:r w:rsidRPr="00A96D05">
        <w:rPr>
          <w:rFonts w:ascii="Book Antiqua" w:hAnsi="Book Antiqua" w:cs="Book Antiqua"/>
          <w:i/>
          <w:iCs/>
          <w:color w:val="000000"/>
          <w:sz w:val="24"/>
          <w:szCs w:val="24"/>
          <w:lang w:val="en-US"/>
        </w:rPr>
        <w:t>Mol Cell</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15</w:t>
      </w:r>
      <w:r w:rsidRPr="00A96D05">
        <w:rPr>
          <w:rFonts w:ascii="Book Antiqua" w:hAnsi="Book Antiqua" w:cs="Book Antiqua"/>
          <w:color w:val="000000"/>
          <w:sz w:val="24"/>
          <w:szCs w:val="24"/>
          <w:lang w:val="en-US"/>
        </w:rPr>
        <w:t>: 767-776 [PMID: 15350220 DOI: 10.1016/j.molcel.2004.08.025]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182 </w:t>
      </w:r>
      <w:r w:rsidRPr="00A96D05">
        <w:rPr>
          <w:rFonts w:ascii="Book Antiqua" w:hAnsi="Book Antiqua" w:cs="Book Antiqua"/>
          <w:b/>
          <w:bCs/>
          <w:color w:val="000000"/>
          <w:sz w:val="24"/>
          <w:szCs w:val="24"/>
          <w:lang w:val="en-US"/>
        </w:rPr>
        <w:t>Kaneko M</w:t>
      </w:r>
      <w:r w:rsidRPr="00A96D05">
        <w:rPr>
          <w:rFonts w:ascii="Book Antiqua" w:hAnsi="Book Antiqua" w:cs="Book Antiqua"/>
          <w:color w:val="000000"/>
          <w:sz w:val="24"/>
          <w:szCs w:val="24"/>
          <w:lang w:val="en-US"/>
        </w:rPr>
        <w:t>, Takahashi T, Niinuma Y, Nomura Y. Manganese superoxide dismutase is induced by endoplasmic reticulum stress through IRE1-mediated nuclear factor (NF)-kappaB and AP-1 activation. </w:t>
      </w:r>
      <w:r w:rsidRPr="00A96D05">
        <w:rPr>
          <w:rFonts w:ascii="Book Antiqua" w:hAnsi="Book Antiqua" w:cs="Book Antiqua"/>
          <w:i/>
          <w:iCs/>
          <w:color w:val="000000"/>
          <w:sz w:val="24"/>
          <w:szCs w:val="24"/>
          <w:lang w:val="en-US"/>
        </w:rPr>
        <w:t>Biol Pharm Bull</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27</w:t>
      </w:r>
      <w:r w:rsidRPr="00A96D05">
        <w:rPr>
          <w:rFonts w:ascii="Book Antiqua" w:hAnsi="Book Antiqua" w:cs="Book Antiqua"/>
          <w:color w:val="000000"/>
          <w:sz w:val="24"/>
          <w:szCs w:val="24"/>
          <w:lang w:val="en-US"/>
        </w:rPr>
        <w:t>: 1202-1206 [PMID: 15305022]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183 </w:t>
      </w:r>
      <w:r w:rsidRPr="00A96D05">
        <w:rPr>
          <w:rFonts w:ascii="Book Antiqua" w:hAnsi="Book Antiqua" w:cs="Book Antiqua"/>
          <w:b/>
          <w:bCs/>
          <w:color w:val="000000"/>
          <w:sz w:val="24"/>
          <w:szCs w:val="24"/>
          <w:lang w:val="en-US"/>
        </w:rPr>
        <w:t>Kumar De U</w:t>
      </w:r>
      <w:r w:rsidRPr="00A96D05">
        <w:rPr>
          <w:rFonts w:ascii="Book Antiqua" w:hAnsi="Book Antiqua" w:cs="Book Antiqua"/>
          <w:color w:val="000000"/>
          <w:sz w:val="24"/>
          <w:szCs w:val="24"/>
          <w:lang w:val="en-US"/>
        </w:rPr>
        <w:t>, Mukherjee R, Nandi S, Patel BH, Dimri U, Ravishankar C, Verma AK. Alterations in oxidant/antioxidant balance, high-mobility group box 1 protein and acute phase response in cross-bred suckling piglets suffering from rotaviral enteritis. </w:t>
      </w:r>
      <w:r w:rsidRPr="00A96D05">
        <w:rPr>
          <w:rFonts w:ascii="Book Antiqua" w:hAnsi="Book Antiqua" w:cs="Book Antiqua"/>
          <w:i/>
          <w:iCs/>
          <w:color w:val="000000"/>
          <w:sz w:val="24"/>
          <w:szCs w:val="24"/>
          <w:lang w:val="en-US"/>
        </w:rPr>
        <w:t>Trop Anim Health Prod</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46</w:t>
      </w:r>
      <w:r w:rsidRPr="00A96D05">
        <w:rPr>
          <w:rFonts w:ascii="Book Antiqua" w:hAnsi="Book Antiqua" w:cs="Book Antiqua"/>
          <w:color w:val="000000"/>
          <w:sz w:val="24"/>
          <w:szCs w:val="24"/>
          <w:lang w:val="en-US"/>
        </w:rPr>
        <w:t>: 1127-1133 [PMID: 24848720 DOI: 10.1007/s11250-014-0616-3]</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lang w:val="en-US"/>
        </w:rPr>
        <w:t>184 </w:t>
      </w:r>
      <w:r w:rsidRPr="00A96D05">
        <w:rPr>
          <w:rFonts w:ascii="Book Antiqua" w:hAnsi="Book Antiqua" w:cs="Book Antiqua"/>
          <w:b/>
          <w:bCs/>
          <w:color w:val="000000"/>
          <w:sz w:val="24"/>
          <w:szCs w:val="24"/>
          <w:lang w:val="en-US"/>
        </w:rPr>
        <w:t>Guerrero CA</w:t>
      </w:r>
      <w:r w:rsidRPr="00A96D05">
        <w:rPr>
          <w:rFonts w:ascii="Book Antiqua" w:hAnsi="Book Antiqua" w:cs="Book Antiqua"/>
          <w:color w:val="000000"/>
          <w:sz w:val="24"/>
          <w:szCs w:val="24"/>
          <w:lang w:val="en-US"/>
        </w:rPr>
        <w:t>, Murillo A, Acosta O. Inhibition of rotavirus infection in cultured cells by N-acetyl-cysteine, PPAR</w:t>
      </w:r>
      <w:r w:rsidRPr="00A96D05">
        <w:rPr>
          <w:rFonts w:ascii="Book Antiqua" w:hAnsi="Book Antiqua" w:cs="Book Antiqua"/>
          <w:color w:val="000000"/>
          <w:sz w:val="24"/>
          <w:szCs w:val="24"/>
        </w:rPr>
        <w:t>γ</w:t>
      </w:r>
      <w:r w:rsidRPr="00A96D05">
        <w:rPr>
          <w:rFonts w:ascii="Book Antiqua" w:hAnsi="Book Antiqua" w:cs="Book Antiqua"/>
          <w:color w:val="000000"/>
          <w:sz w:val="24"/>
          <w:szCs w:val="24"/>
          <w:lang w:val="en-US"/>
        </w:rPr>
        <w:t xml:space="preserve"> agonists and NSAIDs. </w:t>
      </w:r>
      <w:r w:rsidRPr="00A96D05">
        <w:rPr>
          <w:rFonts w:ascii="Book Antiqua" w:hAnsi="Book Antiqua" w:cs="Book Antiqua"/>
          <w:i/>
          <w:iCs/>
          <w:color w:val="000000"/>
          <w:sz w:val="24"/>
          <w:szCs w:val="24"/>
        </w:rPr>
        <w:t>Antiviral Res</w:t>
      </w:r>
      <w:r w:rsidRPr="00A96D05">
        <w:rPr>
          <w:rFonts w:ascii="Book Antiqua" w:hAnsi="Book Antiqua" w:cs="Book Antiqua"/>
          <w:color w:val="000000"/>
          <w:sz w:val="24"/>
          <w:szCs w:val="24"/>
        </w:rPr>
        <w:t> 2012; </w:t>
      </w:r>
      <w:r w:rsidRPr="00A96D05">
        <w:rPr>
          <w:rFonts w:ascii="Book Antiqua" w:hAnsi="Book Antiqua" w:cs="Book Antiqua"/>
          <w:b/>
          <w:bCs/>
          <w:color w:val="000000"/>
          <w:sz w:val="24"/>
          <w:szCs w:val="24"/>
        </w:rPr>
        <w:t>96</w:t>
      </w:r>
      <w:r w:rsidRPr="00A96D05">
        <w:rPr>
          <w:rFonts w:ascii="Book Antiqua" w:hAnsi="Book Antiqua" w:cs="Book Antiqua"/>
          <w:color w:val="000000"/>
          <w:sz w:val="24"/>
          <w:szCs w:val="24"/>
        </w:rPr>
        <w:t>: 1-12 [PMID: 22842004 DOI: 10.1016/j.antiviral.2012.06.011]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rPr>
        <w:t>185 </w:t>
      </w:r>
      <w:r w:rsidRPr="00A96D05">
        <w:rPr>
          <w:rFonts w:ascii="Book Antiqua" w:hAnsi="Book Antiqua" w:cs="Book Antiqua"/>
          <w:b/>
          <w:bCs/>
          <w:color w:val="000000"/>
          <w:sz w:val="24"/>
          <w:szCs w:val="24"/>
        </w:rPr>
        <w:t>Guerrero CA</w:t>
      </w:r>
      <w:r w:rsidRPr="00A96D05">
        <w:rPr>
          <w:rFonts w:ascii="Book Antiqua" w:hAnsi="Book Antiqua" w:cs="Book Antiqua"/>
          <w:color w:val="000000"/>
          <w:sz w:val="24"/>
          <w:szCs w:val="24"/>
        </w:rPr>
        <w:t xml:space="preserve">, Paula Pardo VR, Rafael Guerrero OA. </w:t>
      </w:r>
      <w:r w:rsidRPr="00A96D05">
        <w:rPr>
          <w:rFonts w:ascii="Book Antiqua" w:hAnsi="Book Antiqua" w:cs="Book Antiqua"/>
          <w:color w:val="000000"/>
          <w:sz w:val="24"/>
          <w:szCs w:val="24"/>
          <w:lang w:val="en-US"/>
        </w:rPr>
        <w:t>Inhibition of rotavirus ECwt infection in ICR suckling mice by N-acetylcysteine, peroxisome proliferator-activated receptor gamma agonists and cyclooxygenase-2 inhibitors. </w:t>
      </w:r>
      <w:r w:rsidRPr="00A96D05">
        <w:rPr>
          <w:rFonts w:ascii="Book Antiqua" w:hAnsi="Book Antiqua" w:cs="Book Antiqua"/>
          <w:i/>
          <w:iCs/>
          <w:color w:val="000000"/>
          <w:sz w:val="24"/>
          <w:szCs w:val="24"/>
          <w:lang w:val="en-US"/>
        </w:rPr>
        <w:t>Mem Inst Oswaldo Cruz</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108</w:t>
      </w:r>
      <w:r w:rsidRPr="00A96D05">
        <w:rPr>
          <w:rFonts w:ascii="Book Antiqua" w:hAnsi="Book Antiqua" w:cs="Book Antiqua"/>
          <w:color w:val="000000"/>
          <w:sz w:val="24"/>
          <w:szCs w:val="24"/>
          <w:lang w:val="en-US"/>
        </w:rPr>
        <w:t>: 741-754 [PMID: 24037197 DOI: 10.1590/0074-0276108062013011]</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lang w:val="en-US"/>
        </w:rPr>
        <w:t>186 </w:t>
      </w:r>
      <w:r w:rsidRPr="00A96D05">
        <w:rPr>
          <w:rFonts w:ascii="Book Antiqua" w:hAnsi="Book Antiqua" w:cs="Book Antiqua"/>
          <w:b/>
          <w:bCs/>
          <w:color w:val="000000"/>
          <w:sz w:val="24"/>
          <w:szCs w:val="24"/>
          <w:lang w:val="en-US"/>
        </w:rPr>
        <w:t>Guerrero CA</w:t>
      </w:r>
      <w:r w:rsidRPr="00A96D05">
        <w:rPr>
          <w:rFonts w:ascii="Book Antiqua" w:hAnsi="Book Antiqua" w:cs="Book Antiqua"/>
          <w:color w:val="000000"/>
          <w:sz w:val="24"/>
          <w:szCs w:val="24"/>
          <w:lang w:val="en-US"/>
        </w:rPr>
        <w:t>, Torres DP, García LL, Guerrero RA, Acosta O. N-Acetylcysteine treatment of rotavirus-associated diarrhea in children. </w:t>
      </w:r>
      <w:r w:rsidRPr="00A96D05">
        <w:rPr>
          <w:rFonts w:ascii="Book Antiqua" w:hAnsi="Book Antiqua" w:cs="Book Antiqua"/>
          <w:i/>
          <w:iCs/>
          <w:color w:val="000000"/>
          <w:sz w:val="24"/>
          <w:szCs w:val="24"/>
        </w:rPr>
        <w:t>Pharmacotherapy</w:t>
      </w:r>
      <w:r w:rsidRPr="00A96D05">
        <w:rPr>
          <w:rFonts w:ascii="Book Antiqua" w:hAnsi="Book Antiqua" w:cs="Book Antiqua"/>
          <w:color w:val="000000"/>
          <w:sz w:val="24"/>
          <w:szCs w:val="24"/>
        </w:rPr>
        <w:t> 2014; </w:t>
      </w:r>
      <w:r w:rsidRPr="00A96D05">
        <w:rPr>
          <w:rFonts w:ascii="Book Antiqua" w:hAnsi="Book Antiqua" w:cs="Book Antiqua"/>
          <w:b/>
          <w:bCs/>
          <w:color w:val="000000"/>
          <w:sz w:val="24"/>
          <w:szCs w:val="24"/>
        </w:rPr>
        <w:t>34</w:t>
      </w:r>
      <w:r w:rsidRPr="00A96D05">
        <w:rPr>
          <w:rFonts w:ascii="Book Antiqua" w:hAnsi="Book Antiqua" w:cs="Book Antiqua"/>
          <w:color w:val="000000"/>
          <w:sz w:val="24"/>
          <w:szCs w:val="24"/>
        </w:rPr>
        <w:t>: e333-e340 [PMID: 25251886 DOI: 10.1002/phar.1489]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rPr>
        <w:t>187 </w:t>
      </w:r>
      <w:r w:rsidRPr="00A96D05">
        <w:rPr>
          <w:rFonts w:ascii="Book Antiqua" w:hAnsi="Book Antiqua" w:cs="Book Antiqua"/>
          <w:b/>
          <w:bCs/>
          <w:color w:val="000000"/>
          <w:sz w:val="24"/>
          <w:szCs w:val="24"/>
        </w:rPr>
        <w:t>Luo K</w:t>
      </w:r>
      <w:r w:rsidRPr="00A96D05">
        <w:rPr>
          <w:rFonts w:ascii="Book Antiqua" w:hAnsi="Book Antiqua" w:cs="Book Antiqua"/>
          <w:color w:val="000000"/>
          <w:sz w:val="24"/>
          <w:szCs w:val="24"/>
        </w:rPr>
        <w:t xml:space="preserve">, Cao SS. </w:t>
      </w:r>
      <w:r w:rsidRPr="00A96D05">
        <w:rPr>
          <w:rFonts w:ascii="Book Antiqua" w:hAnsi="Book Antiqua" w:cs="Book Antiqua"/>
          <w:color w:val="000000"/>
          <w:sz w:val="24"/>
          <w:szCs w:val="24"/>
          <w:lang w:val="en-US"/>
        </w:rPr>
        <w:t>Endoplasmic reticulum stress in intestinal epithelial cell function and inflammatory bowel disease. </w:t>
      </w:r>
      <w:r w:rsidRPr="00A96D05">
        <w:rPr>
          <w:rFonts w:ascii="Book Antiqua" w:hAnsi="Book Antiqua" w:cs="Book Antiqua"/>
          <w:i/>
          <w:iCs/>
          <w:color w:val="000000"/>
          <w:sz w:val="24"/>
          <w:szCs w:val="24"/>
          <w:lang w:val="en-US"/>
        </w:rPr>
        <w:t>Gastroenterol Res Pract</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2015</w:t>
      </w:r>
      <w:r w:rsidRPr="00A96D05">
        <w:rPr>
          <w:rFonts w:ascii="Book Antiqua" w:hAnsi="Book Antiqua" w:cs="Book Antiqua"/>
          <w:color w:val="000000"/>
          <w:sz w:val="24"/>
          <w:szCs w:val="24"/>
          <w:lang w:val="en-US"/>
        </w:rPr>
        <w:t>: 328791 [PMID: 25755668 DOI: 10.1155/2015/328791]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188 </w:t>
      </w:r>
      <w:r w:rsidRPr="00A96D05">
        <w:rPr>
          <w:rFonts w:ascii="Book Antiqua" w:hAnsi="Book Antiqua" w:cs="Book Antiqua"/>
          <w:b/>
          <w:bCs/>
          <w:color w:val="000000"/>
          <w:sz w:val="24"/>
          <w:szCs w:val="24"/>
          <w:lang w:val="en-US"/>
        </w:rPr>
        <w:t>Kaufman RJ</w:t>
      </w:r>
      <w:r w:rsidRPr="00A96D05">
        <w:rPr>
          <w:rFonts w:ascii="Book Antiqua" w:hAnsi="Book Antiqua" w:cs="Book Antiqua"/>
          <w:color w:val="000000"/>
          <w:sz w:val="24"/>
          <w:szCs w:val="24"/>
          <w:lang w:val="en-US"/>
        </w:rPr>
        <w:t>. Regulation of mRNA translation by protein folding in the endoplasmic reticulum. </w:t>
      </w:r>
      <w:r w:rsidRPr="00A96D05">
        <w:rPr>
          <w:rFonts w:ascii="Book Antiqua" w:hAnsi="Book Antiqua" w:cs="Book Antiqua"/>
          <w:i/>
          <w:iCs/>
          <w:color w:val="000000"/>
          <w:sz w:val="24"/>
          <w:szCs w:val="24"/>
          <w:lang w:val="en-US"/>
        </w:rPr>
        <w:t>Trends Biochem Sci</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29</w:t>
      </w:r>
      <w:r w:rsidRPr="00A96D05">
        <w:rPr>
          <w:rFonts w:ascii="Book Antiqua" w:hAnsi="Book Antiqua" w:cs="Book Antiqua"/>
          <w:color w:val="000000"/>
          <w:sz w:val="24"/>
          <w:szCs w:val="24"/>
          <w:lang w:val="en-US"/>
        </w:rPr>
        <w:t>: 152-158 [PMID: 15003273 DOI: 10.1016/j.tibs.2004.01.004]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189 </w:t>
      </w:r>
      <w:r w:rsidRPr="00A96D05">
        <w:rPr>
          <w:rFonts w:ascii="Book Antiqua" w:hAnsi="Book Antiqua" w:cs="Book Antiqua"/>
          <w:b/>
          <w:bCs/>
          <w:color w:val="000000"/>
          <w:sz w:val="24"/>
          <w:szCs w:val="24"/>
          <w:lang w:val="en-US"/>
        </w:rPr>
        <w:t>Malhotra JD</w:t>
      </w:r>
      <w:r w:rsidRPr="00A96D05">
        <w:rPr>
          <w:rFonts w:ascii="Book Antiqua" w:hAnsi="Book Antiqua" w:cs="Book Antiqua"/>
          <w:color w:val="000000"/>
          <w:sz w:val="24"/>
          <w:szCs w:val="24"/>
          <w:lang w:val="en-US"/>
        </w:rPr>
        <w:t>, Miao H, Zhang K, Wolfson A, Pennathur S, Pipe SW, Kaufman RJ. Antioxidants reduce endoplasmic reticulum stress and improve protein secretion. </w:t>
      </w:r>
      <w:r w:rsidRPr="00A96D05">
        <w:rPr>
          <w:rFonts w:ascii="Book Antiqua" w:hAnsi="Book Antiqua" w:cs="Book Antiqua"/>
          <w:i/>
          <w:iCs/>
          <w:color w:val="000000"/>
          <w:sz w:val="24"/>
          <w:szCs w:val="24"/>
          <w:lang w:val="en-US"/>
        </w:rPr>
        <w:t>Proc Natl Acad Sci USA</w:t>
      </w:r>
      <w:r w:rsidRPr="00A96D05">
        <w:rPr>
          <w:rFonts w:ascii="Book Antiqua" w:hAnsi="Book Antiqua" w:cs="Book Antiqua"/>
          <w:color w:val="000000"/>
          <w:sz w:val="24"/>
          <w:szCs w:val="24"/>
          <w:lang w:val="en-US"/>
        </w:rPr>
        <w:t> 2008; </w:t>
      </w:r>
      <w:r w:rsidRPr="00A96D05">
        <w:rPr>
          <w:rFonts w:ascii="Book Antiqua" w:hAnsi="Book Antiqua" w:cs="Book Antiqua"/>
          <w:b/>
          <w:bCs/>
          <w:color w:val="000000"/>
          <w:sz w:val="24"/>
          <w:szCs w:val="24"/>
          <w:lang w:val="en-US"/>
        </w:rPr>
        <w:t>105</w:t>
      </w:r>
      <w:r w:rsidRPr="00A96D05">
        <w:rPr>
          <w:rFonts w:ascii="Book Antiqua" w:hAnsi="Book Antiqua" w:cs="Book Antiqua"/>
          <w:color w:val="000000"/>
          <w:sz w:val="24"/>
          <w:szCs w:val="24"/>
          <w:lang w:val="en-US"/>
        </w:rPr>
        <w:t>: 18525-18530 [PMID: 19011102 DOI: 10.1073/pnas.0809677105]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190 </w:t>
      </w:r>
      <w:r w:rsidRPr="00A96D05">
        <w:rPr>
          <w:rFonts w:ascii="Book Antiqua" w:hAnsi="Book Antiqua" w:cs="Book Antiqua"/>
          <w:b/>
          <w:bCs/>
          <w:color w:val="000000"/>
          <w:sz w:val="24"/>
          <w:szCs w:val="24"/>
          <w:lang w:val="en-US"/>
        </w:rPr>
        <w:t>Chaudhari N</w:t>
      </w:r>
      <w:r w:rsidRPr="00A96D05">
        <w:rPr>
          <w:rFonts w:ascii="Book Antiqua" w:hAnsi="Book Antiqua" w:cs="Book Antiqua"/>
          <w:color w:val="000000"/>
          <w:sz w:val="24"/>
          <w:szCs w:val="24"/>
          <w:lang w:val="en-US"/>
        </w:rPr>
        <w:t>, Talwar P, Parimisetty A, Lefebvre d'Hellencourt C, Ravanan P. A molecular web: endoplasmic reticulum stress, inflammation, and oxidative stress. </w:t>
      </w:r>
      <w:r w:rsidRPr="00A96D05">
        <w:rPr>
          <w:rFonts w:ascii="Book Antiqua" w:hAnsi="Book Antiqua" w:cs="Book Antiqua"/>
          <w:i/>
          <w:iCs/>
          <w:color w:val="000000"/>
          <w:sz w:val="24"/>
          <w:szCs w:val="24"/>
          <w:lang w:val="en-US"/>
        </w:rPr>
        <w:t>Front Cell Neurosci</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8</w:t>
      </w:r>
      <w:r w:rsidRPr="00A96D05">
        <w:rPr>
          <w:rFonts w:ascii="Book Antiqua" w:hAnsi="Book Antiqua" w:cs="Book Antiqua"/>
          <w:color w:val="000000"/>
          <w:sz w:val="24"/>
          <w:szCs w:val="24"/>
          <w:lang w:val="en-US"/>
        </w:rPr>
        <w:t>: 213 [PMID: 25120434 DOI: 10.3389/fncel.2014.00213]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191 </w:t>
      </w:r>
      <w:r w:rsidRPr="00A96D05">
        <w:rPr>
          <w:rFonts w:ascii="Book Antiqua" w:hAnsi="Book Antiqua" w:cs="Book Antiqua"/>
          <w:b/>
          <w:bCs/>
          <w:color w:val="000000"/>
          <w:sz w:val="24"/>
          <w:szCs w:val="24"/>
          <w:lang w:val="en-US"/>
        </w:rPr>
        <w:t>Bhandary B</w:t>
      </w:r>
      <w:r w:rsidRPr="00A96D05">
        <w:rPr>
          <w:rFonts w:ascii="Book Antiqua" w:hAnsi="Book Antiqua" w:cs="Book Antiqua"/>
          <w:color w:val="000000"/>
          <w:sz w:val="24"/>
          <w:szCs w:val="24"/>
          <w:lang w:val="en-US"/>
        </w:rPr>
        <w:t>, Marahatta A, Kim HR, Chae HJ. An involvement of oxidative stress in endoplasmic reticulum stress and its associated diseases. </w:t>
      </w:r>
      <w:r w:rsidRPr="00A96D05">
        <w:rPr>
          <w:rFonts w:ascii="Book Antiqua" w:hAnsi="Book Antiqua" w:cs="Book Antiqua"/>
          <w:i/>
          <w:iCs/>
          <w:color w:val="000000"/>
          <w:sz w:val="24"/>
          <w:szCs w:val="24"/>
          <w:lang w:val="en-US"/>
        </w:rPr>
        <w:t>Int J Mol Sci</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14</w:t>
      </w:r>
      <w:r w:rsidRPr="00A96D05">
        <w:rPr>
          <w:rFonts w:ascii="Book Antiqua" w:hAnsi="Book Antiqua" w:cs="Book Antiqua"/>
          <w:color w:val="000000"/>
          <w:sz w:val="24"/>
          <w:szCs w:val="24"/>
          <w:lang w:val="en-US"/>
        </w:rPr>
        <w:t>: 434-456 [PMID: 23263672 DOI: 10.3390/ijms14010434]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192 </w:t>
      </w:r>
      <w:r w:rsidRPr="00A96D05">
        <w:rPr>
          <w:rFonts w:ascii="Book Antiqua" w:hAnsi="Book Antiqua" w:cs="Book Antiqua"/>
          <w:b/>
          <w:bCs/>
          <w:color w:val="000000"/>
          <w:sz w:val="24"/>
          <w:szCs w:val="24"/>
          <w:lang w:val="en-US"/>
        </w:rPr>
        <w:t>Cao SS</w:t>
      </w:r>
      <w:r w:rsidRPr="00A96D05">
        <w:rPr>
          <w:rFonts w:ascii="Book Antiqua" w:hAnsi="Book Antiqua" w:cs="Book Antiqua"/>
          <w:color w:val="000000"/>
          <w:sz w:val="24"/>
          <w:szCs w:val="24"/>
          <w:lang w:val="en-US"/>
        </w:rPr>
        <w:t>, Kaufman RJ. Endoplasmic reticulum stress and oxidative stress in cell fate decision and human disease. </w:t>
      </w:r>
      <w:r w:rsidRPr="00A96D05">
        <w:rPr>
          <w:rFonts w:ascii="Book Antiqua" w:hAnsi="Book Antiqua" w:cs="Book Antiqua"/>
          <w:i/>
          <w:iCs/>
          <w:color w:val="000000"/>
          <w:sz w:val="24"/>
          <w:szCs w:val="24"/>
          <w:lang w:val="en-US"/>
        </w:rPr>
        <w:t>Antioxid Redox Signal</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21</w:t>
      </w:r>
      <w:r w:rsidRPr="00A96D05">
        <w:rPr>
          <w:rFonts w:ascii="Book Antiqua" w:hAnsi="Book Antiqua" w:cs="Book Antiqua"/>
          <w:color w:val="000000"/>
          <w:sz w:val="24"/>
          <w:szCs w:val="24"/>
          <w:lang w:val="en-US"/>
        </w:rPr>
        <w:t>: 396-413 [PMID: 24702237 DOI: 10.1089/ars.2014.5851]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193 </w:t>
      </w:r>
      <w:r w:rsidRPr="00A96D05">
        <w:rPr>
          <w:rFonts w:ascii="Book Antiqua" w:hAnsi="Book Antiqua" w:cs="Book Antiqua"/>
          <w:b/>
          <w:bCs/>
          <w:color w:val="000000"/>
          <w:sz w:val="24"/>
          <w:szCs w:val="24"/>
          <w:lang w:val="en-US"/>
        </w:rPr>
        <w:t>Hwang C</w:t>
      </w:r>
      <w:r w:rsidRPr="00A96D05">
        <w:rPr>
          <w:rFonts w:ascii="Book Antiqua" w:hAnsi="Book Antiqua" w:cs="Book Antiqua"/>
          <w:color w:val="000000"/>
          <w:sz w:val="24"/>
          <w:szCs w:val="24"/>
          <w:lang w:val="en-US"/>
        </w:rPr>
        <w:t>, Sinskey AJ, Lodish HF. Oxidized redox state of glutathione in the endoplasmic reticulum. </w:t>
      </w:r>
      <w:r w:rsidRPr="00A96D05">
        <w:rPr>
          <w:rFonts w:ascii="Book Antiqua" w:hAnsi="Book Antiqua" w:cs="Book Antiqua"/>
          <w:i/>
          <w:iCs/>
          <w:color w:val="000000"/>
          <w:sz w:val="24"/>
          <w:szCs w:val="24"/>
          <w:lang w:val="en-US"/>
        </w:rPr>
        <w:t>Science</w:t>
      </w:r>
      <w:r w:rsidRPr="00A96D05">
        <w:rPr>
          <w:rFonts w:ascii="Book Antiqua" w:hAnsi="Book Antiqua" w:cs="Book Antiqua"/>
          <w:color w:val="000000"/>
          <w:sz w:val="24"/>
          <w:szCs w:val="24"/>
          <w:lang w:val="en-US"/>
        </w:rPr>
        <w:t> 1992; </w:t>
      </w:r>
      <w:r w:rsidRPr="00A96D05">
        <w:rPr>
          <w:rFonts w:ascii="Book Antiqua" w:hAnsi="Book Antiqua" w:cs="Book Antiqua"/>
          <w:b/>
          <w:bCs/>
          <w:color w:val="000000"/>
          <w:sz w:val="24"/>
          <w:szCs w:val="24"/>
          <w:lang w:val="en-US"/>
        </w:rPr>
        <w:t>257</w:t>
      </w:r>
      <w:r w:rsidRPr="00A96D05">
        <w:rPr>
          <w:rFonts w:ascii="Book Antiqua" w:hAnsi="Book Antiqua" w:cs="Book Antiqua"/>
          <w:color w:val="000000"/>
          <w:sz w:val="24"/>
          <w:szCs w:val="24"/>
          <w:lang w:val="en-US"/>
        </w:rPr>
        <w:t>: 1496-1502 [PMID: 1523409]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194 </w:t>
      </w:r>
      <w:r w:rsidRPr="00A96D05">
        <w:rPr>
          <w:rFonts w:ascii="Book Antiqua" w:hAnsi="Book Antiqua" w:cs="Book Antiqua"/>
          <w:b/>
          <w:bCs/>
          <w:color w:val="000000"/>
          <w:sz w:val="24"/>
          <w:szCs w:val="24"/>
          <w:lang w:val="en-US"/>
        </w:rPr>
        <w:t>van der Vlies D</w:t>
      </w:r>
      <w:r w:rsidRPr="00A96D05">
        <w:rPr>
          <w:rFonts w:ascii="Book Antiqua" w:hAnsi="Book Antiqua" w:cs="Book Antiqua"/>
          <w:color w:val="000000"/>
          <w:sz w:val="24"/>
          <w:szCs w:val="24"/>
          <w:lang w:val="en-US"/>
        </w:rPr>
        <w:t>, Makkinje M, Jansens A, Braakman I, Verkleij AJ, Wirtz KW, Post JA. Oxidation of ER resident proteins upon oxidative stress: effects of altering cellular redox/antioxidant status and implications for protein maturation. </w:t>
      </w:r>
      <w:r w:rsidRPr="00A96D05">
        <w:rPr>
          <w:rFonts w:ascii="Book Antiqua" w:hAnsi="Book Antiqua" w:cs="Book Antiqua"/>
          <w:i/>
          <w:iCs/>
          <w:color w:val="000000"/>
          <w:sz w:val="24"/>
          <w:szCs w:val="24"/>
          <w:lang w:val="en-US"/>
        </w:rPr>
        <w:t>Antioxid Redox Signal</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5</w:t>
      </w:r>
      <w:r w:rsidRPr="00A96D05">
        <w:rPr>
          <w:rFonts w:ascii="Book Antiqua" w:hAnsi="Book Antiqua" w:cs="Book Antiqua"/>
          <w:color w:val="000000"/>
          <w:sz w:val="24"/>
          <w:szCs w:val="24"/>
          <w:lang w:val="en-US"/>
        </w:rPr>
        <w:t>: 381-387 [PMID: 13678525 DOI: 10.1089/152308603768295113]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195 </w:t>
      </w:r>
      <w:r w:rsidRPr="00A96D05">
        <w:rPr>
          <w:rFonts w:ascii="Book Antiqua" w:hAnsi="Book Antiqua" w:cs="Book Antiqua"/>
          <w:b/>
          <w:bCs/>
          <w:color w:val="000000"/>
          <w:sz w:val="24"/>
          <w:szCs w:val="24"/>
          <w:lang w:val="en-US"/>
        </w:rPr>
        <w:t>Sideraki V</w:t>
      </w:r>
      <w:r w:rsidRPr="00A96D05">
        <w:rPr>
          <w:rFonts w:ascii="Book Antiqua" w:hAnsi="Book Antiqua" w:cs="Book Antiqua"/>
          <w:color w:val="000000"/>
          <w:sz w:val="24"/>
          <w:szCs w:val="24"/>
          <w:lang w:val="en-US"/>
        </w:rPr>
        <w:t>, Gilbert HF. Mechanism of the antichaperone activity of protein disulfide isomerase: facilitated assembly of large, insoluble aggregates of denatured lysozyme and PDI. </w:t>
      </w:r>
      <w:r w:rsidRPr="00A96D05">
        <w:rPr>
          <w:rFonts w:ascii="Book Antiqua" w:hAnsi="Book Antiqua" w:cs="Book Antiqua"/>
          <w:i/>
          <w:iCs/>
          <w:color w:val="000000"/>
          <w:sz w:val="24"/>
          <w:szCs w:val="24"/>
          <w:lang w:val="en-US"/>
        </w:rPr>
        <w:t>Biochemistry</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39</w:t>
      </w:r>
      <w:r w:rsidRPr="00A96D05">
        <w:rPr>
          <w:rFonts w:ascii="Book Antiqua" w:hAnsi="Book Antiqua" w:cs="Book Antiqua"/>
          <w:color w:val="000000"/>
          <w:sz w:val="24"/>
          <w:szCs w:val="24"/>
          <w:lang w:val="en-US"/>
        </w:rPr>
        <w:t>: 1180-1188 [PMID: 10653666]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196 </w:t>
      </w:r>
      <w:r w:rsidRPr="00A96D05">
        <w:rPr>
          <w:rFonts w:ascii="Book Antiqua" w:hAnsi="Book Antiqua" w:cs="Book Antiqua"/>
          <w:b/>
          <w:bCs/>
          <w:color w:val="000000"/>
          <w:sz w:val="24"/>
          <w:szCs w:val="24"/>
          <w:lang w:val="en-US"/>
        </w:rPr>
        <w:t>Malhotra JD</w:t>
      </w:r>
      <w:r w:rsidRPr="00A96D05">
        <w:rPr>
          <w:rFonts w:ascii="Book Antiqua" w:hAnsi="Book Antiqua" w:cs="Book Antiqua"/>
          <w:color w:val="000000"/>
          <w:sz w:val="24"/>
          <w:szCs w:val="24"/>
          <w:lang w:val="en-US"/>
        </w:rPr>
        <w:t>, Kaufman RJ. Endoplasmic reticulum stress and oxidative stress: a vicious cycle or a double-edged sword? </w:t>
      </w:r>
      <w:r w:rsidRPr="00A96D05">
        <w:rPr>
          <w:rFonts w:ascii="Book Antiqua" w:hAnsi="Book Antiqua" w:cs="Book Antiqua"/>
          <w:i/>
          <w:iCs/>
          <w:color w:val="000000"/>
          <w:sz w:val="24"/>
          <w:szCs w:val="24"/>
          <w:lang w:val="en-US"/>
        </w:rPr>
        <w:t>Antioxid Redox Signal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9</w:t>
      </w:r>
      <w:r w:rsidRPr="00A96D05">
        <w:rPr>
          <w:rFonts w:ascii="Book Antiqua" w:hAnsi="Book Antiqua" w:cs="Book Antiqua"/>
          <w:color w:val="000000"/>
          <w:sz w:val="24"/>
          <w:szCs w:val="24"/>
          <w:lang w:val="en-US"/>
        </w:rPr>
        <w:t>: 2277-2293 [PMID: 17979528 DOI: 10.1089/ars.2007.1782]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197 </w:t>
      </w:r>
      <w:r w:rsidRPr="00A96D05">
        <w:rPr>
          <w:rFonts w:ascii="Book Antiqua" w:hAnsi="Book Antiqua" w:cs="Book Antiqua"/>
          <w:b/>
          <w:bCs/>
          <w:color w:val="000000"/>
          <w:sz w:val="24"/>
          <w:szCs w:val="24"/>
          <w:lang w:val="en-US"/>
        </w:rPr>
        <w:t>Gross E</w:t>
      </w:r>
      <w:r w:rsidRPr="00A96D05">
        <w:rPr>
          <w:rFonts w:ascii="Book Antiqua" w:hAnsi="Book Antiqua" w:cs="Book Antiqua"/>
          <w:color w:val="000000"/>
          <w:sz w:val="24"/>
          <w:szCs w:val="24"/>
          <w:lang w:val="en-US"/>
        </w:rPr>
        <w:t>, Kastner DB, Kaiser CA, Fass D. Structure of Ero1p, source of disulfide bonds for oxidative protein folding in the cell. </w:t>
      </w:r>
      <w:r w:rsidRPr="00A96D05">
        <w:rPr>
          <w:rFonts w:ascii="Book Antiqua" w:hAnsi="Book Antiqua" w:cs="Book Antiqua"/>
          <w:i/>
          <w:iCs/>
          <w:color w:val="000000"/>
          <w:sz w:val="24"/>
          <w:szCs w:val="24"/>
          <w:lang w:val="en-US"/>
        </w:rPr>
        <w:t>Cell</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117</w:t>
      </w:r>
      <w:r w:rsidRPr="00A96D05">
        <w:rPr>
          <w:rFonts w:ascii="Book Antiqua" w:hAnsi="Book Antiqua" w:cs="Book Antiqua"/>
          <w:color w:val="000000"/>
          <w:sz w:val="24"/>
          <w:szCs w:val="24"/>
          <w:lang w:val="en-US"/>
        </w:rPr>
        <w:t>: 601-610 [PMID: 15163408]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198 </w:t>
      </w:r>
      <w:r w:rsidRPr="00A96D05">
        <w:rPr>
          <w:rFonts w:ascii="Book Antiqua" w:hAnsi="Book Antiqua" w:cs="Book Antiqua"/>
          <w:b/>
          <w:bCs/>
          <w:color w:val="000000"/>
          <w:sz w:val="24"/>
          <w:szCs w:val="24"/>
          <w:lang w:val="en-US"/>
        </w:rPr>
        <w:t>Harding HP</w:t>
      </w:r>
      <w:r w:rsidRPr="00A96D05">
        <w:rPr>
          <w:rFonts w:ascii="Book Antiqua" w:hAnsi="Book Antiqua" w:cs="Book Antiqua"/>
          <w:color w:val="000000"/>
          <w:sz w:val="24"/>
          <w:szCs w:val="24"/>
          <w:lang w:val="en-US"/>
        </w:rPr>
        <w:t>, Zhang Y, Zeng H, Novoa I, Lu PD, Calfon M, Sadri N, Yun C, Popko B, Paules R, Stojdl DF, Bell JC, Hettmann T, Leiden JM, Ron D. An integrated stress response regulates amino acid metabolism and resistance to oxidative stress. </w:t>
      </w:r>
      <w:r w:rsidRPr="00A96D05">
        <w:rPr>
          <w:rFonts w:ascii="Book Antiqua" w:hAnsi="Book Antiqua" w:cs="Book Antiqua"/>
          <w:i/>
          <w:iCs/>
          <w:color w:val="000000"/>
          <w:sz w:val="24"/>
          <w:szCs w:val="24"/>
          <w:lang w:val="en-US"/>
        </w:rPr>
        <w:t>Mol Cell</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11</w:t>
      </w:r>
      <w:r w:rsidRPr="00A96D05">
        <w:rPr>
          <w:rFonts w:ascii="Book Antiqua" w:hAnsi="Book Antiqua" w:cs="Book Antiqua"/>
          <w:color w:val="000000"/>
          <w:sz w:val="24"/>
          <w:szCs w:val="24"/>
          <w:lang w:val="en-US"/>
        </w:rPr>
        <w:t>: 619-633 [PMID: 12667446]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199 </w:t>
      </w:r>
      <w:r w:rsidRPr="00A96D05">
        <w:rPr>
          <w:rFonts w:ascii="Book Antiqua" w:hAnsi="Book Antiqua" w:cs="Book Antiqua"/>
          <w:b/>
          <w:bCs/>
          <w:color w:val="000000"/>
          <w:sz w:val="24"/>
          <w:szCs w:val="24"/>
          <w:lang w:val="en-US"/>
        </w:rPr>
        <w:t>Fung TS</w:t>
      </w:r>
      <w:r w:rsidRPr="00A96D05">
        <w:rPr>
          <w:rFonts w:ascii="Book Antiqua" w:hAnsi="Book Antiqua" w:cs="Book Antiqua"/>
          <w:color w:val="000000"/>
          <w:sz w:val="24"/>
          <w:szCs w:val="24"/>
          <w:lang w:val="en-US"/>
        </w:rPr>
        <w:t>, Liu DX. Coronavirus infection, ER stress, apoptosis and innate immunity. </w:t>
      </w:r>
      <w:r w:rsidRPr="00A96D05">
        <w:rPr>
          <w:rFonts w:ascii="Book Antiqua" w:hAnsi="Book Antiqua" w:cs="Book Antiqua"/>
          <w:i/>
          <w:iCs/>
          <w:color w:val="000000"/>
          <w:sz w:val="24"/>
          <w:szCs w:val="24"/>
          <w:lang w:val="en-US"/>
        </w:rPr>
        <w:t>Front Microbiol</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5</w:t>
      </w:r>
      <w:r w:rsidRPr="00A96D05">
        <w:rPr>
          <w:rFonts w:ascii="Book Antiqua" w:hAnsi="Book Antiqua" w:cs="Book Antiqua"/>
          <w:color w:val="000000"/>
          <w:sz w:val="24"/>
          <w:szCs w:val="24"/>
          <w:lang w:val="en-US"/>
        </w:rPr>
        <w:t>: 296 [PMID: 24987391 DOI: 10.3389/fmicb.2014.00296]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200 </w:t>
      </w:r>
      <w:r w:rsidRPr="00A96D05">
        <w:rPr>
          <w:rFonts w:ascii="Book Antiqua" w:hAnsi="Book Antiqua" w:cs="Book Antiqua"/>
          <w:b/>
          <w:bCs/>
          <w:color w:val="000000"/>
          <w:sz w:val="24"/>
          <w:szCs w:val="24"/>
          <w:lang w:val="en-US"/>
        </w:rPr>
        <w:t>Nieva JL</w:t>
      </w:r>
      <w:r w:rsidRPr="00A96D05">
        <w:rPr>
          <w:rFonts w:ascii="Book Antiqua" w:hAnsi="Book Antiqua" w:cs="Book Antiqua"/>
          <w:color w:val="000000"/>
          <w:sz w:val="24"/>
          <w:szCs w:val="24"/>
          <w:lang w:val="en-US"/>
        </w:rPr>
        <w:t>, Madan V, Carrasco L. Viroporins: structure and biological functions. </w:t>
      </w:r>
      <w:r w:rsidRPr="00A96D05">
        <w:rPr>
          <w:rFonts w:ascii="Book Antiqua" w:hAnsi="Book Antiqua" w:cs="Book Antiqua"/>
          <w:i/>
          <w:iCs/>
          <w:color w:val="000000"/>
          <w:sz w:val="24"/>
          <w:szCs w:val="24"/>
          <w:lang w:val="en-US"/>
        </w:rPr>
        <w:t>Nat Rev Microbiol</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10</w:t>
      </w:r>
      <w:r w:rsidRPr="00A96D05">
        <w:rPr>
          <w:rFonts w:ascii="Book Antiqua" w:hAnsi="Book Antiqua" w:cs="Book Antiqua"/>
          <w:color w:val="000000"/>
          <w:sz w:val="24"/>
          <w:szCs w:val="24"/>
          <w:lang w:val="en-US"/>
        </w:rPr>
        <w:t>: 563-574 [PMID: 22751485 DOI: 10.1038/nrmicro2820]</w:t>
      </w:r>
    </w:p>
    <w:p w:rsidR="005C6065" w:rsidRPr="00A96D05" w:rsidRDefault="005C6065" w:rsidP="00A96D05">
      <w:pPr>
        <w:spacing w:after="0" w:line="360" w:lineRule="auto"/>
        <w:jc w:val="both"/>
        <w:rPr>
          <w:rFonts w:ascii="Book Antiqua" w:hAnsi="Book Antiqua" w:cs="Book Antiqua"/>
          <w:color w:val="000000"/>
          <w:sz w:val="24"/>
          <w:szCs w:val="24"/>
        </w:rPr>
      </w:pPr>
      <w:r w:rsidRPr="00A96D05">
        <w:rPr>
          <w:rFonts w:ascii="Book Antiqua" w:hAnsi="Book Antiqua" w:cs="Book Antiqua"/>
          <w:color w:val="000000"/>
          <w:sz w:val="24"/>
          <w:szCs w:val="24"/>
          <w:lang w:val="en-US"/>
        </w:rPr>
        <w:t>201 </w:t>
      </w:r>
      <w:r w:rsidRPr="00A96D05">
        <w:rPr>
          <w:rFonts w:ascii="Book Antiqua" w:hAnsi="Book Antiqua" w:cs="Book Antiqua"/>
          <w:b/>
          <w:bCs/>
          <w:color w:val="000000"/>
          <w:sz w:val="24"/>
          <w:szCs w:val="24"/>
          <w:lang w:val="en-US"/>
        </w:rPr>
        <w:t>Crawford SE</w:t>
      </w:r>
      <w:r w:rsidRPr="00A96D05">
        <w:rPr>
          <w:rFonts w:ascii="Book Antiqua" w:hAnsi="Book Antiqua" w:cs="Book Antiqua"/>
          <w:color w:val="000000"/>
          <w:sz w:val="24"/>
          <w:szCs w:val="24"/>
          <w:lang w:val="en-US"/>
        </w:rPr>
        <w:t>, Hyser JM, Utama B, Estes MK. Autophagy hijacked through viroporin-activated calcium/calmodulin-dependent kinase-</w:t>
      </w:r>
      <w:r w:rsidRPr="00A96D05">
        <w:rPr>
          <w:rFonts w:ascii="Book Antiqua" w:hAnsi="Book Antiqua" w:cs="Book Antiqua"/>
          <w:color w:val="000000"/>
          <w:sz w:val="24"/>
          <w:szCs w:val="24"/>
        </w:rPr>
        <w:t>β</w:t>
      </w:r>
      <w:r w:rsidRPr="00A96D05">
        <w:rPr>
          <w:rFonts w:ascii="Book Antiqua" w:hAnsi="Book Antiqua" w:cs="Book Antiqua"/>
          <w:color w:val="000000"/>
          <w:sz w:val="24"/>
          <w:szCs w:val="24"/>
          <w:lang w:val="en-US"/>
        </w:rPr>
        <w:t xml:space="preserve"> signaling is required for rotavirus replication. </w:t>
      </w:r>
      <w:r w:rsidRPr="00A96D05">
        <w:rPr>
          <w:rFonts w:ascii="Book Antiqua" w:hAnsi="Book Antiqua" w:cs="Book Antiqua"/>
          <w:i/>
          <w:iCs/>
          <w:color w:val="000000"/>
          <w:sz w:val="24"/>
          <w:szCs w:val="24"/>
        </w:rPr>
        <w:t>Proc Natl Acad Sci USA</w:t>
      </w:r>
      <w:r w:rsidRPr="00A96D05">
        <w:rPr>
          <w:rFonts w:ascii="Book Antiqua" w:hAnsi="Book Antiqua" w:cs="Book Antiqua"/>
          <w:color w:val="000000"/>
          <w:sz w:val="24"/>
          <w:szCs w:val="24"/>
        </w:rPr>
        <w:t> 2012; </w:t>
      </w:r>
      <w:r w:rsidRPr="00A96D05">
        <w:rPr>
          <w:rFonts w:ascii="Book Antiqua" w:hAnsi="Book Antiqua" w:cs="Book Antiqua"/>
          <w:b/>
          <w:bCs/>
          <w:color w:val="000000"/>
          <w:sz w:val="24"/>
          <w:szCs w:val="24"/>
        </w:rPr>
        <w:t>109</w:t>
      </w:r>
      <w:r w:rsidRPr="00A96D05">
        <w:rPr>
          <w:rFonts w:ascii="Book Antiqua" w:hAnsi="Book Antiqua" w:cs="Book Antiqua"/>
          <w:color w:val="000000"/>
          <w:sz w:val="24"/>
          <w:szCs w:val="24"/>
        </w:rPr>
        <w:t>: E3405-E3413 [PMID: 23184977 DOI: 10.1073/pnas.1216539109]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202 </w:t>
      </w:r>
      <w:r w:rsidRPr="00A96D05">
        <w:rPr>
          <w:rFonts w:ascii="Book Antiqua" w:hAnsi="Book Antiqua" w:cs="Book Antiqua"/>
          <w:b/>
          <w:bCs/>
          <w:color w:val="000000"/>
          <w:sz w:val="24"/>
          <w:szCs w:val="24"/>
          <w:lang w:val="en-US"/>
        </w:rPr>
        <w:t>Zhang L</w:t>
      </w:r>
      <w:r w:rsidRPr="00A96D05">
        <w:rPr>
          <w:rFonts w:ascii="Book Antiqua" w:hAnsi="Book Antiqua" w:cs="Book Antiqua"/>
          <w:color w:val="000000"/>
          <w:sz w:val="24"/>
          <w:szCs w:val="24"/>
          <w:lang w:val="en-US"/>
        </w:rPr>
        <w:t>, Wang A. Virus-induced ER stress and the unfolded protein response. </w:t>
      </w:r>
      <w:r w:rsidRPr="00A96D05">
        <w:rPr>
          <w:rFonts w:ascii="Book Antiqua" w:hAnsi="Book Antiqua" w:cs="Book Antiqua"/>
          <w:i/>
          <w:iCs/>
          <w:color w:val="000000"/>
          <w:sz w:val="24"/>
          <w:szCs w:val="24"/>
          <w:lang w:val="en-US"/>
        </w:rPr>
        <w:t>Front Plant Sci</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3</w:t>
      </w:r>
      <w:r w:rsidRPr="00A96D05">
        <w:rPr>
          <w:rFonts w:ascii="Book Antiqua" w:hAnsi="Book Antiqua" w:cs="Book Antiqua"/>
          <w:color w:val="000000"/>
          <w:sz w:val="24"/>
          <w:szCs w:val="24"/>
          <w:lang w:val="en-US"/>
        </w:rPr>
        <w:t>: 293 [PMID: 23293645 DOI: 10.3389/fpls.2012.00293]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203 </w:t>
      </w:r>
      <w:r w:rsidRPr="00A96D05">
        <w:rPr>
          <w:rFonts w:ascii="Book Antiqua" w:hAnsi="Book Antiqua" w:cs="Book Antiqua"/>
          <w:b/>
          <w:bCs/>
          <w:color w:val="000000"/>
          <w:sz w:val="24"/>
          <w:szCs w:val="24"/>
          <w:lang w:val="en-US"/>
        </w:rPr>
        <w:t>Jheng JR</w:t>
      </w:r>
      <w:r w:rsidRPr="00A96D05">
        <w:rPr>
          <w:rFonts w:ascii="Book Antiqua" w:hAnsi="Book Antiqua" w:cs="Book Antiqua"/>
          <w:color w:val="000000"/>
          <w:sz w:val="24"/>
          <w:szCs w:val="24"/>
          <w:lang w:val="en-US"/>
        </w:rPr>
        <w:t>, Ho JY, Horng JT. ER stress, autophagy, and RNA viruses. </w:t>
      </w:r>
      <w:r w:rsidRPr="00A96D05">
        <w:rPr>
          <w:rFonts w:ascii="Book Antiqua" w:hAnsi="Book Antiqua" w:cs="Book Antiqua"/>
          <w:i/>
          <w:iCs/>
          <w:color w:val="000000"/>
          <w:sz w:val="24"/>
          <w:szCs w:val="24"/>
          <w:lang w:val="en-US"/>
        </w:rPr>
        <w:t>Front Microbiol</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5</w:t>
      </w:r>
      <w:r w:rsidRPr="00A96D05">
        <w:rPr>
          <w:rFonts w:ascii="Book Antiqua" w:hAnsi="Book Antiqua" w:cs="Book Antiqua"/>
          <w:color w:val="000000"/>
          <w:sz w:val="24"/>
          <w:szCs w:val="24"/>
          <w:lang w:val="en-US"/>
        </w:rPr>
        <w:t>: 388 [PMID: 25140166 DOI: 10.3389/fmicb.2014.00388]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204 </w:t>
      </w:r>
      <w:r w:rsidRPr="00A96D05">
        <w:rPr>
          <w:rFonts w:ascii="Book Antiqua" w:hAnsi="Book Antiqua" w:cs="Book Antiqua"/>
          <w:b/>
          <w:bCs/>
          <w:color w:val="000000"/>
          <w:sz w:val="24"/>
          <w:szCs w:val="24"/>
          <w:lang w:val="en-US"/>
        </w:rPr>
        <w:t>Isler JA</w:t>
      </w:r>
      <w:r w:rsidRPr="00A96D05">
        <w:rPr>
          <w:rFonts w:ascii="Book Antiqua" w:hAnsi="Book Antiqua" w:cs="Book Antiqua"/>
          <w:color w:val="000000"/>
          <w:sz w:val="24"/>
          <w:szCs w:val="24"/>
          <w:lang w:val="en-US"/>
        </w:rPr>
        <w:t>, Skalet AH, Alwine JC. Human cytomegalovirus infection activates and regulates the unfolded protein response.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2005; </w:t>
      </w:r>
      <w:r w:rsidRPr="00A96D05">
        <w:rPr>
          <w:rFonts w:ascii="Book Antiqua" w:hAnsi="Book Antiqua" w:cs="Book Antiqua"/>
          <w:b/>
          <w:bCs/>
          <w:color w:val="000000"/>
          <w:sz w:val="24"/>
          <w:szCs w:val="24"/>
          <w:lang w:val="en-US"/>
        </w:rPr>
        <w:t>79</w:t>
      </w:r>
      <w:r w:rsidRPr="00A96D05">
        <w:rPr>
          <w:rFonts w:ascii="Book Antiqua" w:hAnsi="Book Antiqua" w:cs="Book Antiqua"/>
          <w:color w:val="000000"/>
          <w:sz w:val="24"/>
          <w:szCs w:val="24"/>
          <w:lang w:val="en-US"/>
        </w:rPr>
        <w:t>: 6890-6899 [PMID: 15890928 DOI: 10.1128/jvi.79.11.6890-6899.2005]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205 </w:t>
      </w:r>
      <w:r w:rsidRPr="00A96D05">
        <w:rPr>
          <w:rFonts w:ascii="Book Antiqua" w:hAnsi="Book Antiqua" w:cs="Book Antiqua"/>
          <w:b/>
          <w:bCs/>
          <w:color w:val="000000"/>
          <w:sz w:val="24"/>
          <w:szCs w:val="24"/>
          <w:lang w:val="en-US"/>
        </w:rPr>
        <w:t>Pavio N</w:t>
      </w:r>
      <w:r w:rsidRPr="00A96D05">
        <w:rPr>
          <w:rFonts w:ascii="Book Antiqua" w:hAnsi="Book Antiqua" w:cs="Book Antiqua"/>
          <w:color w:val="000000"/>
          <w:sz w:val="24"/>
          <w:szCs w:val="24"/>
          <w:lang w:val="en-US"/>
        </w:rPr>
        <w:t>, Romano PR, Graczyk TM, Feinstone SM, Taylor DR. Protein synthesis and endoplasmic reticulum stress can be modulated by the hepatitis C virus envelope protein E2 through the eukaryotic initiation factor 2alpha kinase PERK.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77</w:t>
      </w:r>
      <w:r w:rsidRPr="00A96D05">
        <w:rPr>
          <w:rFonts w:ascii="Book Antiqua" w:hAnsi="Book Antiqua" w:cs="Book Antiqua"/>
          <w:color w:val="000000"/>
          <w:sz w:val="24"/>
          <w:szCs w:val="24"/>
          <w:lang w:val="en-US"/>
        </w:rPr>
        <w:t>: 3578-3585 [PMID: 12610133]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206 </w:t>
      </w:r>
      <w:r w:rsidRPr="00A96D05">
        <w:rPr>
          <w:rFonts w:ascii="Book Antiqua" w:hAnsi="Book Antiqua" w:cs="Book Antiqua"/>
          <w:b/>
          <w:bCs/>
          <w:color w:val="000000"/>
          <w:sz w:val="24"/>
          <w:szCs w:val="24"/>
          <w:lang w:val="en-US"/>
        </w:rPr>
        <w:t>Tardif KD</w:t>
      </w:r>
      <w:r w:rsidRPr="00A96D05">
        <w:rPr>
          <w:rFonts w:ascii="Book Antiqua" w:hAnsi="Book Antiqua" w:cs="Book Antiqua"/>
          <w:color w:val="000000"/>
          <w:sz w:val="24"/>
          <w:szCs w:val="24"/>
          <w:lang w:val="en-US"/>
        </w:rPr>
        <w:t>, Mori K, Siddiqui A. Hepatitis C virus subgenomic replicons induce endoplasmic reticulum stress activating an intracellular signaling pathway.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2002; </w:t>
      </w:r>
      <w:r w:rsidRPr="00A96D05">
        <w:rPr>
          <w:rFonts w:ascii="Book Antiqua" w:hAnsi="Book Antiqua" w:cs="Book Antiqua"/>
          <w:b/>
          <w:bCs/>
          <w:color w:val="000000"/>
          <w:sz w:val="24"/>
          <w:szCs w:val="24"/>
          <w:lang w:val="en-US"/>
        </w:rPr>
        <w:t>76</w:t>
      </w:r>
      <w:r w:rsidRPr="00A96D05">
        <w:rPr>
          <w:rFonts w:ascii="Book Antiqua" w:hAnsi="Book Antiqua" w:cs="Book Antiqua"/>
          <w:color w:val="000000"/>
          <w:sz w:val="24"/>
          <w:szCs w:val="24"/>
          <w:lang w:val="en-US"/>
        </w:rPr>
        <w:t>: 7453-7459 [PMID: 12097557]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207 </w:t>
      </w:r>
      <w:r w:rsidRPr="00A96D05">
        <w:rPr>
          <w:rFonts w:ascii="Book Antiqua" w:hAnsi="Book Antiqua" w:cs="Book Antiqua"/>
          <w:b/>
          <w:bCs/>
          <w:color w:val="000000"/>
          <w:sz w:val="24"/>
          <w:szCs w:val="24"/>
          <w:lang w:val="en-US"/>
        </w:rPr>
        <w:t>Fung TS</w:t>
      </w:r>
      <w:r w:rsidRPr="00A96D05">
        <w:rPr>
          <w:rFonts w:ascii="Book Antiqua" w:hAnsi="Book Antiqua" w:cs="Book Antiqua"/>
          <w:color w:val="000000"/>
          <w:sz w:val="24"/>
          <w:szCs w:val="24"/>
          <w:lang w:val="en-US"/>
        </w:rPr>
        <w:t>, Torres J, Liu DX. The Emerging Roles of Viroporins in ER Stress Response and Autophagy Induction during Virus Infection. </w:t>
      </w:r>
      <w:r w:rsidRPr="00A96D05">
        <w:rPr>
          <w:rFonts w:ascii="Book Antiqua" w:hAnsi="Book Antiqua" w:cs="Book Antiqua"/>
          <w:i/>
          <w:iCs/>
          <w:color w:val="000000"/>
          <w:sz w:val="24"/>
          <w:szCs w:val="24"/>
          <w:lang w:val="en-US"/>
        </w:rPr>
        <w:t>Viruses</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7</w:t>
      </w:r>
      <w:r w:rsidRPr="00A96D05">
        <w:rPr>
          <w:rFonts w:ascii="Book Antiqua" w:hAnsi="Book Antiqua" w:cs="Book Antiqua"/>
          <w:color w:val="000000"/>
          <w:sz w:val="24"/>
          <w:szCs w:val="24"/>
          <w:lang w:val="en-US"/>
        </w:rPr>
        <w:t>: 2834-2857 [PMID: 26053926 DOI: 10.3390/v7062749]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208 </w:t>
      </w:r>
      <w:r w:rsidRPr="00A96D05">
        <w:rPr>
          <w:rFonts w:ascii="Book Antiqua" w:hAnsi="Book Antiqua" w:cs="Book Antiqua"/>
          <w:b/>
          <w:bCs/>
          <w:color w:val="000000"/>
          <w:sz w:val="24"/>
          <w:szCs w:val="24"/>
          <w:lang w:val="en-US"/>
        </w:rPr>
        <w:t>Mekahli D</w:t>
      </w:r>
      <w:r w:rsidRPr="00A96D05">
        <w:rPr>
          <w:rFonts w:ascii="Book Antiqua" w:hAnsi="Book Antiqua" w:cs="Book Antiqua"/>
          <w:color w:val="000000"/>
          <w:sz w:val="24"/>
          <w:szCs w:val="24"/>
          <w:lang w:val="en-US"/>
        </w:rPr>
        <w:t>, Bultynck G, Parys JB, De Smedt H, Missiaen L. Endoplasmic-reticulum calcium depletion and disease. </w:t>
      </w:r>
      <w:r w:rsidRPr="00A96D05">
        <w:rPr>
          <w:rFonts w:ascii="Book Antiqua" w:hAnsi="Book Antiqua" w:cs="Book Antiqua"/>
          <w:i/>
          <w:iCs/>
          <w:color w:val="000000"/>
          <w:sz w:val="24"/>
          <w:szCs w:val="24"/>
          <w:lang w:val="en-US"/>
        </w:rPr>
        <w:t>Cold Spring Harb Perspect Biol</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3</w:t>
      </w:r>
      <w:r w:rsidRPr="00A96D05">
        <w:rPr>
          <w:rFonts w:ascii="Book Antiqua" w:hAnsi="Book Antiqua" w:cs="Book Antiqua"/>
          <w:color w:val="000000"/>
          <w:sz w:val="24"/>
          <w:szCs w:val="24"/>
          <w:lang w:val="en-US"/>
        </w:rPr>
        <w:t>: pii: a004317 [PMID: 21441595 DOI: 10.1101/cshperspect.a004317]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209 </w:t>
      </w:r>
      <w:r w:rsidRPr="00A96D05">
        <w:rPr>
          <w:rFonts w:ascii="Book Antiqua" w:hAnsi="Book Antiqua" w:cs="Book Antiqua"/>
          <w:b/>
          <w:bCs/>
          <w:color w:val="000000"/>
          <w:sz w:val="24"/>
          <w:szCs w:val="24"/>
          <w:lang w:val="en-US"/>
        </w:rPr>
        <w:t>Hyser JM</w:t>
      </w:r>
      <w:r w:rsidRPr="00A96D05">
        <w:rPr>
          <w:rFonts w:ascii="Book Antiqua" w:hAnsi="Book Antiqua" w:cs="Book Antiqua"/>
          <w:color w:val="000000"/>
          <w:sz w:val="24"/>
          <w:szCs w:val="24"/>
          <w:lang w:val="en-US"/>
        </w:rPr>
        <w:t>, Collinson-Pautz MR, Utama B, Estes MK. Rotavirus disrupts calcium homeostasis by NSP4 viroporin activity. </w:t>
      </w:r>
      <w:r w:rsidRPr="00A96D05">
        <w:rPr>
          <w:rFonts w:ascii="Book Antiqua" w:hAnsi="Book Antiqua" w:cs="Book Antiqua"/>
          <w:i/>
          <w:iCs/>
          <w:color w:val="000000"/>
          <w:sz w:val="24"/>
          <w:szCs w:val="24"/>
          <w:lang w:val="en-US"/>
        </w:rPr>
        <w:t>MBio</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1</w:t>
      </w:r>
      <w:r w:rsidRPr="00A96D05">
        <w:rPr>
          <w:rFonts w:ascii="Book Antiqua" w:hAnsi="Book Antiqua" w:cs="Book Antiqua"/>
          <w:color w:val="000000"/>
          <w:sz w:val="24"/>
          <w:szCs w:val="24"/>
          <w:lang w:val="en-US"/>
        </w:rPr>
        <w:t>:</w:t>
      </w:r>
      <w:r w:rsidRPr="00A96D05">
        <w:rPr>
          <w:rStyle w:val="apple-converted-space"/>
          <w:rFonts w:ascii="Book Antiqua" w:hAnsi="Book Antiqua" w:cs="Book Antiqua"/>
          <w:color w:val="000000"/>
          <w:sz w:val="24"/>
          <w:szCs w:val="24"/>
          <w:shd w:val="clear" w:color="auto" w:fill="FFFFFF"/>
          <w:lang w:val="en-US"/>
        </w:rPr>
        <w:t> </w:t>
      </w:r>
      <w:r w:rsidRPr="00A96D05">
        <w:rPr>
          <w:rFonts w:ascii="Book Antiqua" w:hAnsi="Book Antiqua" w:cs="Book Antiqua"/>
          <w:color w:val="000000"/>
          <w:sz w:val="24"/>
          <w:szCs w:val="24"/>
          <w:lang w:val="en-US"/>
        </w:rPr>
        <w:t>pii: e00265-10 [PMID: 21151776 DOI: 10.1128/mBio.00265-10]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210 </w:t>
      </w:r>
      <w:r w:rsidRPr="00A96D05">
        <w:rPr>
          <w:rFonts w:ascii="Book Antiqua" w:hAnsi="Book Antiqua" w:cs="Book Antiqua"/>
          <w:b/>
          <w:bCs/>
          <w:color w:val="000000"/>
          <w:sz w:val="24"/>
          <w:szCs w:val="24"/>
          <w:lang w:val="en-US"/>
        </w:rPr>
        <w:t>Guo HC</w:t>
      </w:r>
      <w:r w:rsidRPr="00A96D05">
        <w:rPr>
          <w:rFonts w:ascii="Book Antiqua" w:hAnsi="Book Antiqua" w:cs="Book Antiqua"/>
          <w:color w:val="000000"/>
          <w:sz w:val="24"/>
          <w:szCs w:val="24"/>
          <w:lang w:val="en-US"/>
        </w:rPr>
        <w:t>, Sun SQ, Sun DH, Wei YQ, Xu J, Huang M, Liu XT, Liu ZX, Luo JX, Yin H, Liu DX. Viroporin activity and membrane topology of classic swine fever virus p7 protein. </w:t>
      </w:r>
      <w:r w:rsidRPr="00A96D05">
        <w:rPr>
          <w:rFonts w:ascii="Book Antiqua" w:hAnsi="Book Antiqua" w:cs="Book Antiqua"/>
          <w:i/>
          <w:iCs/>
          <w:color w:val="000000"/>
          <w:sz w:val="24"/>
          <w:szCs w:val="24"/>
          <w:lang w:val="en-US"/>
        </w:rPr>
        <w:t>Int J Biochem Cell Biol</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45</w:t>
      </w:r>
      <w:r w:rsidRPr="00A96D05">
        <w:rPr>
          <w:rFonts w:ascii="Book Antiqua" w:hAnsi="Book Antiqua" w:cs="Book Antiqua"/>
          <w:color w:val="000000"/>
          <w:sz w:val="24"/>
          <w:szCs w:val="24"/>
          <w:lang w:val="en-US"/>
        </w:rPr>
        <w:t>: 1186-1194 [PMID: 23583663 DOI: 10.1016/j.biocel.2013.03.021]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211 </w:t>
      </w:r>
      <w:r w:rsidRPr="00A96D05">
        <w:rPr>
          <w:rFonts w:ascii="Book Antiqua" w:hAnsi="Book Antiqua" w:cs="Book Antiqua"/>
          <w:b/>
          <w:bCs/>
          <w:color w:val="000000"/>
          <w:sz w:val="24"/>
          <w:szCs w:val="24"/>
          <w:lang w:val="en-US"/>
        </w:rPr>
        <w:t>Bhowmick R</w:t>
      </w:r>
      <w:r w:rsidRPr="00A96D05">
        <w:rPr>
          <w:rFonts w:ascii="Book Antiqua" w:hAnsi="Book Antiqua" w:cs="Book Antiqua"/>
          <w:color w:val="000000"/>
          <w:sz w:val="24"/>
          <w:szCs w:val="24"/>
          <w:lang w:val="en-US"/>
        </w:rPr>
        <w:t>, Halder UC, Chattopadhyay S, Chanda S, Nandi S, Bagchi P, Nayak MK, Chakrabarti O, Kobayashi N, Chawla-Sarkar M. Rotaviral enterotoxin nonstructural protein 4 targets mitochondria for activation of apoptosis during infection. </w:t>
      </w:r>
      <w:r w:rsidRPr="00A96D05">
        <w:rPr>
          <w:rFonts w:ascii="Book Antiqua" w:hAnsi="Book Antiqua" w:cs="Book Antiqua"/>
          <w:i/>
          <w:iCs/>
          <w:color w:val="000000"/>
          <w:sz w:val="24"/>
          <w:szCs w:val="24"/>
          <w:lang w:val="en-US"/>
        </w:rPr>
        <w:t>J Biol Chem</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287</w:t>
      </w:r>
      <w:r w:rsidRPr="00A96D05">
        <w:rPr>
          <w:rFonts w:ascii="Book Antiqua" w:hAnsi="Book Antiqua" w:cs="Book Antiqua"/>
          <w:color w:val="000000"/>
          <w:sz w:val="24"/>
          <w:szCs w:val="24"/>
          <w:lang w:val="en-US"/>
        </w:rPr>
        <w:t>: 35004-35020 [PMID: 22888003 DOI: 10.1074/jbc.M112.369595]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212 </w:t>
      </w:r>
      <w:r w:rsidRPr="00A96D05">
        <w:rPr>
          <w:rFonts w:ascii="Book Antiqua" w:hAnsi="Book Antiqua" w:cs="Book Antiqua"/>
          <w:b/>
          <w:bCs/>
          <w:color w:val="000000"/>
          <w:sz w:val="24"/>
          <w:szCs w:val="24"/>
          <w:lang w:val="en-US"/>
        </w:rPr>
        <w:t>Ao D</w:t>
      </w:r>
      <w:r w:rsidRPr="00A96D05">
        <w:rPr>
          <w:rFonts w:ascii="Book Antiqua" w:hAnsi="Book Antiqua" w:cs="Book Antiqua"/>
          <w:color w:val="000000"/>
          <w:sz w:val="24"/>
          <w:szCs w:val="24"/>
          <w:lang w:val="en-US"/>
        </w:rPr>
        <w:t>, Guo HC, Sun SQ, Sun DH, Fung TS, Wei YQ, Han SC, Yao XP, Cao SZ, Liu DX, Liu XT. Viroporin Activity of the Foot-and-Mouth Disease Virus Non-Structural 2B Protein. </w:t>
      </w:r>
      <w:r w:rsidRPr="00A96D05">
        <w:rPr>
          <w:rFonts w:ascii="Book Antiqua" w:hAnsi="Book Antiqua" w:cs="Book Antiqua"/>
          <w:i/>
          <w:iCs/>
          <w:color w:val="000000"/>
          <w:sz w:val="24"/>
          <w:szCs w:val="24"/>
          <w:lang w:val="en-US"/>
        </w:rPr>
        <w:t>PLoS One</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10</w:t>
      </w:r>
      <w:r w:rsidRPr="00A96D05">
        <w:rPr>
          <w:rFonts w:ascii="Book Antiqua" w:hAnsi="Book Antiqua" w:cs="Book Antiqua"/>
          <w:color w:val="000000"/>
          <w:sz w:val="24"/>
          <w:szCs w:val="24"/>
          <w:lang w:val="en-US"/>
        </w:rPr>
        <w:t>: e0125828 [PMID: 25946195 DOI: 10.1371/journal.pone.0125828]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213 </w:t>
      </w:r>
      <w:r w:rsidRPr="00A96D05">
        <w:rPr>
          <w:rFonts w:ascii="Book Antiqua" w:hAnsi="Book Antiqua" w:cs="Book Antiqua"/>
          <w:b/>
          <w:bCs/>
          <w:color w:val="000000"/>
          <w:sz w:val="24"/>
          <w:szCs w:val="24"/>
          <w:lang w:val="en-US"/>
        </w:rPr>
        <w:t>Berkova Z</w:t>
      </w:r>
      <w:r w:rsidRPr="00A96D05">
        <w:rPr>
          <w:rFonts w:ascii="Book Antiqua" w:hAnsi="Book Antiqua" w:cs="Book Antiqua"/>
          <w:color w:val="000000"/>
          <w:sz w:val="24"/>
          <w:szCs w:val="24"/>
          <w:lang w:val="en-US"/>
        </w:rPr>
        <w:t>, Crawford SE, Trugnan G, Yoshimori T, Morris AP, Estes MK. Rotavirus NSP4 induces a novel vesicular compartment regulated by calcium and associated with viroplasms.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80</w:t>
      </w:r>
      <w:r w:rsidRPr="00A96D05">
        <w:rPr>
          <w:rFonts w:ascii="Book Antiqua" w:hAnsi="Book Antiqua" w:cs="Book Antiqua"/>
          <w:color w:val="000000"/>
          <w:sz w:val="24"/>
          <w:szCs w:val="24"/>
          <w:lang w:val="en-US"/>
        </w:rPr>
        <w:t>: 6061-6071 [PMID: 16731945 DOI: 10.1128/jvi.02167-05]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214 </w:t>
      </w:r>
      <w:r w:rsidRPr="00A96D05">
        <w:rPr>
          <w:rFonts w:ascii="Book Antiqua" w:hAnsi="Book Antiqua" w:cs="Book Antiqua"/>
          <w:b/>
          <w:bCs/>
          <w:color w:val="000000"/>
          <w:sz w:val="24"/>
          <w:szCs w:val="24"/>
          <w:lang w:val="en-US"/>
        </w:rPr>
        <w:t>Trujillo-Alonso V</w:t>
      </w:r>
      <w:r w:rsidRPr="00A96D05">
        <w:rPr>
          <w:rFonts w:ascii="Book Antiqua" w:hAnsi="Book Antiqua" w:cs="Book Antiqua"/>
          <w:color w:val="000000"/>
          <w:sz w:val="24"/>
          <w:szCs w:val="24"/>
          <w:lang w:val="en-US"/>
        </w:rPr>
        <w:t>, Maruri-Avidal L, Arias CF, López S. Rotavirus infection induces the unfolded protein response of the cell and controls it through the nonstructural protein NSP3.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85</w:t>
      </w:r>
      <w:r w:rsidRPr="00A96D05">
        <w:rPr>
          <w:rFonts w:ascii="Book Antiqua" w:hAnsi="Book Antiqua" w:cs="Book Antiqua"/>
          <w:color w:val="000000"/>
          <w:sz w:val="24"/>
          <w:szCs w:val="24"/>
          <w:lang w:val="en-US"/>
        </w:rPr>
        <w:t>: 12594-12604 [PMID: 21937647 DOI: 10.1128/jvi.05620-11]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215 </w:t>
      </w:r>
      <w:r w:rsidRPr="00A96D05">
        <w:rPr>
          <w:rFonts w:ascii="Book Antiqua" w:hAnsi="Book Antiqua" w:cs="Book Antiqua"/>
          <w:b/>
          <w:bCs/>
          <w:color w:val="000000"/>
          <w:sz w:val="24"/>
          <w:szCs w:val="24"/>
          <w:lang w:val="en-US"/>
        </w:rPr>
        <w:t>Chan CP</w:t>
      </w:r>
      <w:r w:rsidRPr="00A96D05">
        <w:rPr>
          <w:rFonts w:ascii="Book Antiqua" w:hAnsi="Book Antiqua" w:cs="Book Antiqua"/>
          <w:color w:val="000000"/>
          <w:sz w:val="24"/>
          <w:szCs w:val="24"/>
          <w:lang w:val="en-US"/>
        </w:rPr>
        <w:t>, Siu KL, Chin KT, Yuen KY, Zheng B, Jin DY. Modulation of the unfolded protein response by the severe acute respiratory syndrome coronavirus spike protein.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80</w:t>
      </w:r>
      <w:r w:rsidRPr="00A96D05">
        <w:rPr>
          <w:rFonts w:ascii="Book Antiqua" w:hAnsi="Book Antiqua" w:cs="Book Antiqua"/>
          <w:color w:val="000000"/>
          <w:sz w:val="24"/>
          <w:szCs w:val="24"/>
          <w:lang w:val="en-US"/>
        </w:rPr>
        <w:t>: 9279-9287 [PMID: 16940539 DOI: 10.1128/jvi.00659-06]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216 </w:t>
      </w:r>
      <w:r w:rsidRPr="00A96D05">
        <w:rPr>
          <w:rFonts w:ascii="Book Antiqua" w:hAnsi="Book Antiqua" w:cs="Book Antiqua"/>
          <w:b/>
          <w:bCs/>
          <w:color w:val="000000"/>
          <w:sz w:val="24"/>
          <w:szCs w:val="24"/>
          <w:lang w:val="en-US"/>
        </w:rPr>
        <w:t>Yu CY</w:t>
      </w:r>
      <w:r w:rsidRPr="00A96D05">
        <w:rPr>
          <w:rFonts w:ascii="Book Antiqua" w:hAnsi="Book Antiqua" w:cs="Book Antiqua"/>
          <w:color w:val="000000"/>
          <w:sz w:val="24"/>
          <w:szCs w:val="24"/>
          <w:lang w:val="en-US"/>
        </w:rPr>
        <w:t>, Hsu YW, Liao CL, Lin YL. Flavivirus infection activates the XBP1 pathway of the unfolded protein response to cope with endoplasmic reticulum stress.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80</w:t>
      </w:r>
      <w:r w:rsidRPr="00A96D05">
        <w:rPr>
          <w:rFonts w:ascii="Book Antiqua" w:hAnsi="Book Antiqua" w:cs="Book Antiqua"/>
          <w:color w:val="000000"/>
          <w:sz w:val="24"/>
          <w:szCs w:val="24"/>
          <w:lang w:val="en-US"/>
        </w:rPr>
        <w:t>: 11868-11880 [PMID: 16987981 DOI: 10.1128/jvi.00879-06]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217 </w:t>
      </w:r>
      <w:r w:rsidRPr="00A96D05">
        <w:rPr>
          <w:rFonts w:ascii="Book Antiqua" w:hAnsi="Book Antiqua" w:cs="Book Antiqua"/>
          <w:b/>
          <w:bCs/>
          <w:color w:val="000000"/>
          <w:sz w:val="24"/>
          <w:szCs w:val="24"/>
          <w:lang w:val="en-US"/>
        </w:rPr>
        <w:t>Xuan B</w:t>
      </w:r>
      <w:r w:rsidRPr="00A96D05">
        <w:rPr>
          <w:rFonts w:ascii="Book Antiqua" w:hAnsi="Book Antiqua" w:cs="Book Antiqua"/>
          <w:color w:val="000000"/>
          <w:sz w:val="24"/>
          <w:szCs w:val="24"/>
          <w:lang w:val="en-US"/>
        </w:rPr>
        <w:t>, Qian Z, Torigoi E, Yu D. Human cytomegalovirus protein pUL38 induces ATF4 expression, inhibits persistent JNK phosphorylation, and suppresses endoplasmic reticulum stress-induced cell death.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83</w:t>
      </w:r>
      <w:r w:rsidRPr="00A96D05">
        <w:rPr>
          <w:rFonts w:ascii="Book Antiqua" w:hAnsi="Book Antiqua" w:cs="Book Antiqua"/>
          <w:color w:val="000000"/>
          <w:sz w:val="24"/>
          <w:szCs w:val="24"/>
          <w:lang w:val="en-US"/>
        </w:rPr>
        <w:t>: 3463-3474 [PMID: 19193809 DOI: 10.1128/jvi.02307-08]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218 </w:t>
      </w:r>
      <w:r w:rsidRPr="00A96D05">
        <w:rPr>
          <w:rFonts w:ascii="Book Antiqua" w:hAnsi="Book Antiqua" w:cs="Book Antiqua"/>
          <w:b/>
          <w:bCs/>
          <w:color w:val="000000"/>
          <w:sz w:val="24"/>
          <w:szCs w:val="24"/>
          <w:lang w:val="en-US"/>
        </w:rPr>
        <w:t>Ambrose RL</w:t>
      </w:r>
      <w:r w:rsidRPr="00A96D05">
        <w:rPr>
          <w:rFonts w:ascii="Book Antiqua" w:hAnsi="Book Antiqua" w:cs="Book Antiqua"/>
          <w:color w:val="000000"/>
          <w:sz w:val="24"/>
          <w:szCs w:val="24"/>
          <w:lang w:val="en-US"/>
        </w:rPr>
        <w:t>, Mackenzie JM. West Nile virus differentially modulates the unfolded protein response to facilitate replication and immune evasion.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85</w:t>
      </w:r>
      <w:r w:rsidRPr="00A96D05">
        <w:rPr>
          <w:rFonts w:ascii="Book Antiqua" w:hAnsi="Book Antiqua" w:cs="Book Antiqua"/>
          <w:color w:val="000000"/>
          <w:sz w:val="24"/>
          <w:szCs w:val="24"/>
          <w:lang w:val="en-US"/>
        </w:rPr>
        <w:t>: 2723-2732 [PMID: 21191014 DOI: 10.1128/jvi.02050-10]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219 </w:t>
      </w:r>
      <w:r w:rsidRPr="00A96D05">
        <w:rPr>
          <w:rFonts w:ascii="Book Antiqua" w:hAnsi="Book Antiqua" w:cs="Book Antiqua"/>
          <w:b/>
          <w:bCs/>
          <w:color w:val="000000"/>
          <w:sz w:val="24"/>
          <w:szCs w:val="24"/>
          <w:lang w:val="en-US"/>
        </w:rPr>
        <w:t>Field M</w:t>
      </w:r>
      <w:r w:rsidRPr="00A96D05">
        <w:rPr>
          <w:rFonts w:ascii="Book Antiqua" w:hAnsi="Book Antiqua" w:cs="Book Antiqua"/>
          <w:color w:val="000000"/>
          <w:sz w:val="24"/>
          <w:szCs w:val="24"/>
          <w:lang w:val="en-US"/>
        </w:rPr>
        <w:t>. Intestinal ion transport and the pathophysiology of diarrhea. </w:t>
      </w:r>
      <w:r w:rsidRPr="00A96D05">
        <w:rPr>
          <w:rFonts w:ascii="Book Antiqua" w:hAnsi="Book Antiqua" w:cs="Book Antiqua"/>
          <w:i/>
          <w:iCs/>
          <w:color w:val="000000"/>
          <w:sz w:val="24"/>
          <w:szCs w:val="24"/>
          <w:lang w:val="en-US"/>
        </w:rPr>
        <w:t>J Clin Invest</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111</w:t>
      </w:r>
      <w:r w:rsidRPr="00A96D05">
        <w:rPr>
          <w:rFonts w:ascii="Book Antiqua" w:hAnsi="Book Antiqua" w:cs="Book Antiqua"/>
          <w:color w:val="000000"/>
          <w:sz w:val="24"/>
          <w:szCs w:val="24"/>
          <w:lang w:val="en-US"/>
        </w:rPr>
        <w:t>: 931-943 [PMID: 12671039 DOI: 10.1172/jci18326]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220 </w:t>
      </w:r>
      <w:r w:rsidRPr="00A96D05">
        <w:rPr>
          <w:rFonts w:ascii="Book Antiqua" w:hAnsi="Book Antiqua" w:cs="Book Antiqua"/>
          <w:b/>
          <w:bCs/>
          <w:color w:val="000000"/>
          <w:sz w:val="24"/>
          <w:szCs w:val="24"/>
          <w:lang w:val="en-US"/>
        </w:rPr>
        <w:t>Tian P</w:t>
      </w:r>
      <w:r w:rsidRPr="00A96D05">
        <w:rPr>
          <w:rFonts w:ascii="Book Antiqua" w:hAnsi="Book Antiqua" w:cs="Book Antiqua"/>
          <w:color w:val="000000"/>
          <w:sz w:val="24"/>
          <w:szCs w:val="24"/>
          <w:lang w:val="en-US"/>
        </w:rPr>
        <w:t>, Estes MK, Hu Y, Ball JM, Zeng CQ, Schilling WP. The rotavirus nonstructural glycoprotein NSP4 mobilizes Ca2+ from the endoplasmic reticulum.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1995; </w:t>
      </w:r>
      <w:r w:rsidRPr="00A96D05">
        <w:rPr>
          <w:rFonts w:ascii="Book Antiqua" w:hAnsi="Book Antiqua" w:cs="Book Antiqua"/>
          <w:b/>
          <w:bCs/>
          <w:color w:val="000000"/>
          <w:sz w:val="24"/>
          <w:szCs w:val="24"/>
          <w:lang w:val="en-US"/>
        </w:rPr>
        <w:t>69</w:t>
      </w:r>
      <w:r w:rsidRPr="00A96D05">
        <w:rPr>
          <w:rFonts w:ascii="Book Antiqua" w:hAnsi="Book Antiqua" w:cs="Book Antiqua"/>
          <w:color w:val="000000"/>
          <w:sz w:val="24"/>
          <w:szCs w:val="24"/>
          <w:lang w:val="en-US"/>
        </w:rPr>
        <w:t>: 5763-5772 [PMID: 7637021]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221 </w:t>
      </w:r>
      <w:r w:rsidRPr="00A96D05">
        <w:rPr>
          <w:rFonts w:ascii="Book Antiqua" w:hAnsi="Book Antiqua" w:cs="Book Antiqua"/>
          <w:b/>
          <w:bCs/>
          <w:color w:val="000000"/>
          <w:sz w:val="24"/>
          <w:szCs w:val="24"/>
          <w:lang w:val="en-US"/>
        </w:rPr>
        <w:t>Ball JM</w:t>
      </w:r>
      <w:r w:rsidRPr="00A96D05">
        <w:rPr>
          <w:rFonts w:ascii="Book Antiqua" w:hAnsi="Book Antiqua" w:cs="Book Antiqua"/>
          <w:color w:val="000000"/>
          <w:sz w:val="24"/>
          <w:szCs w:val="24"/>
          <w:lang w:val="en-US"/>
        </w:rPr>
        <w:t>, Tian P, Zeng CQ, Morris AP, Estes MK. Age-dependent diarrhea induced by a rotaviral nonstructural glycoprotein. </w:t>
      </w:r>
      <w:r w:rsidRPr="00A96D05">
        <w:rPr>
          <w:rFonts w:ascii="Book Antiqua" w:hAnsi="Book Antiqua" w:cs="Book Antiqua"/>
          <w:i/>
          <w:iCs/>
          <w:color w:val="000000"/>
          <w:sz w:val="24"/>
          <w:szCs w:val="24"/>
          <w:lang w:val="en-US"/>
        </w:rPr>
        <w:t>Science</w:t>
      </w:r>
      <w:r w:rsidRPr="00A96D05">
        <w:rPr>
          <w:rFonts w:ascii="Book Antiqua" w:hAnsi="Book Antiqua" w:cs="Book Antiqua"/>
          <w:color w:val="000000"/>
          <w:sz w:val="24"/>
          <w:szCs w:val="24"/>
          <w:lang w:val="en-US"/>
        </w:rPr>
        <w:t> 1996; </w:t>
      </w:r>
      <w:r w:rsidRPr="00A96D05">
        <w:rPr>
          <w:rFonts w:ascii="Book Antiqua" w:hAnsi="Book Antiqua" w:cs="Book Antiqua"/>
          <w:b/>
          <w:bCs/>
          <w:color w:val="000000"/>
          <w:sz w:val="24"/>
          <w:szCs w:val="24"/>
          <w:lang w:val="en-US"/>
        </w:rPr>
        <w:t>272</w:t>
      </w:r>
      <w:r w:rsidRPr="00A96D05">
        <w:rPr>
          <w:rFonts w:ascii="Book Antiqua" w:hAnsi="Book Antiqua" w:cs="Book Antiqua"/>
          <w:color w:val="000000"/>
          <w:sz w:val="24"/>
          <w:szCs w:val="24"/>
          <w:lang w:val="en-US"/>
        </w:rPr>
        <w:t>: 101-104 [PMID: 8600515]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222 </w:t>
      </w:r>
      <w:r w:rsidRPr="00A96D05">
        <w:rPr>
          <w:rFonts w:ascii="Book Antiqua" w:hAnsi="Book Antiqua" w:cs="Book Antiqua"/>
          <w:b/>
          <w:bCs/>
          <w:color w:val="000000"/>
          <w:sz w:val="24"/>
          <w:szCs w:val="24"/>
          <w:lang w:val="en-US"/>
        </w:rPr>
        <w:t>Ousingsawat J</w:t>
      </w:r>
      <w:r w:rsidRPr="00A96D05">
        <w:rPr>
          <w:rFonts w:ascii="Book Antiqua" w:hAnsi="Book Antiqua" w:cs="Book Antiqua"/>
          <w:color w:val="000000"/>
          <w:sz w:val="24"/>
          <w:szCs w:val="24"/>
          <w:lang w:val="en-US"/>
        </w:rPr>
        <w:t>, Mirza M, Tian Y, Roussa E, Schreiber R, Cook DI, Kunzelmann K. Rotavirus toxin NSP4 induces diarrhea by activation of TMEM16A and inhibition of Na+ absorption. </w:t>
      </w:r>
      <w:r w:rsidRPr="00A96D05">
        <w:rPr>
          <w:rFonts w:ascii="Book Antiqua" w:hAnsi="Book Antiqua" w:cs="Book Antiqua"/>
          <w:i/>
          <w:iCs/>
          <w:color w:val="000000"/>
          <w:sz w:val="24"/>
          <w:szCs w:val="24"/>
          <w:lang w:val="en-US"/>
        </w:rPr>
        <w:t>Pflugers Arch</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461</w:t>
      </w:r>
      <w:r w:rsidRPr="00A96D05">
        <w:rPr>
          <w:rFonts w:ascii="Book Antiqua" w:hAnsi="Book Antiqua" w:cs="Book Antiqua"/>
          <w:color w:val="000000"/>
          <w:sz w:val="24"/>
          <w:szCs w:val="24"/>
          <w:lang w:val="en-US"/>
        </w:rPr>
        <w:t>: 579-589 [PMID: 21399895 DOI: 10.1007/s00424-011-0947-0]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223 </w:t>
      </w:r>
      <w:r w:rsidRPr="00A96D05">
        <w:rPr>
          <w:rFonts w:ascii="Book Antiqua" w:hAnsi="Book Antiqua" w:cs="Book Antiqua"/>
          <w:b/>
          <w:bCs/>
          <w:color w:val="000000"/>
          <w:sz w:val="24"/>
          <w:szCs w:val="24"/>
          <w:lang w:val="en-US"/>
        </w:rPr>
        <w:t>Lorrot M</w:t>
      </w:r>
      <w:r w:rsidRPr="00A96D05">
        <w:rPr>
          <w:rFonts w:ascii="Book Antiqua" w:hAnsi="Book Antiqua" w:cs="Book Antiqua"/>
          <w:color w:val="000000"/>
          <w:sz w:val="24"/>
          <w:szCs w:val="24"/>
          <w:lang w:val="en-US"/>
        </w:rPr>
        <w:t>, Vasseur M. How do the rotavirus NSP4 and bacterial enterotoxins lead differently to diarrhea? </w:t>
      </w:r>
      <w:r w:rsidRPr="00A96D05">
        <w:rPr>
          <w:rFonts w:ascii="Book Antiqua" w:hAnsi="Book Antiqua" w:cs="Book Antiqua"/>
          <w:i/>
          <w:iCs/>
          <w:color w:val="000000"/>
          <w:sz w:val="24"/>
          <w:szCs w:val="24"/>
          <w:lang w:val="en-US"/>
        </w:rPr>
        <w:t>Virol J</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4</w:t>
      </w:r>
      <w:r w:rsidRPr="00A96D05">
        <w:rPr>
          <w:rFonts w:ascii="Book Antiqua" w:hAnsi="Book Antiqua" w:cs="Book Antiqua"/>
          <w:color w:val="000000"/>
          <w:sz w:val="24"/>
          <w:szCs w:val="24"/>
          <w:lang w:val="en-US"/>
        </w:rPr>
        <w:t>: 31 [PMID: 17376232 DOI: 10.1186/1743-422x-4-31]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224 </w:t>
      </w:r>
      <w:r w:rsidRPr="00A96D05">
        <w:rPr>
          <w:rFonts w:ascii="Book Antiqua" w:hAnsi="Book Antiqua" w:cs="Book Antiqua"/>
          <w:b/>
          <w:bCs/>
          <w:color w:val="000000"/>
          <w:sz w:val="24"/>
          <w:szCs w:val="24"/>
          <w:lang w:val="en-US"/>
        </w:rPr>
        <w:t>Buccigrossi V</w:t>
      </w:r>
      <w:r w:rsidRPr="00A96D05">
        <w:rPr>
          <w:rFonts w:ascii="Book Antiqua" w:hAnsi="Book Antiqua" w:cs="Book Antiqua"/>
          <w:color w:val="000000"/>
          <w:sz w:val="24"/>
          <w:szCs w:val="24"/>
          <w:lang w:val="en-US"/>
        </w:rPr>
        <w:t>, Laudiero G, Russo C, Miele E, Sofia M, Monini M, Ruggeri FM, Guarino A. Chloride secretion induced by rotavirus is oxidative stress-dependent and inhibited by Saccharomyces boulardii in human enterocytes. </w:t>
      </w:r>
      <w:r w:rsidRPr="00A96D05">
        <w:rPr>
          <w:rFonts w:ascii="Book Antiqua" w:hAnsi="Book Antiqua" w:cs="Book Antiqua"/>
          <w:i/>
          <w:iCs/>
          <w:color w:val="000000"/>
          <w:sz w:val="24"/>
          <w:szCs w:val="24"/>
          <w:lang w:val="en-US"/>
        </w:rPr>
        <w:t>PLoS One</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9</w:t>
      </w:r>
      <w:r w:rsidRPr="00A96D05">
        <w:rPr>
          <w:rFonts w:ascii="Book Antiqua" w:hAnsi="Book Antiqua" w:cs="Book Antiqua"/>
          <w:color w:val="000000"/>
          <w:sz w:val="24"/>
          <w:szCs w:val="24"/>
          <w:lang w:val="en-US"/>
        </w:rPr>
        <w:t>: e99830 [PMID: 24918938 DOI: 10.1371/journal.pone.0099830]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225 </w:t>
      </w:r>
      <w:r w:rsidRPr="00A96D05">
        <w:rPr>
          <w:rFonts w:ascii="Book Antiqua" w:hAnsi="Book Antiqua" w:cs="Book Antiqua"/>
          <w:b/>
          <w:bCs/>
          <w:color w:val="000000"/>
          <w:sz w:val="24"/>
          <w:szCs w:val="24"/>
          <w:lang w:val="en-US"/>
        </w:rPr>
        <w:t>Denning TL</w:t>
      </w:r>
      <w:r w:rsidRPr="00A96D05">
        <w:rPr>
          <w:rFonts w:ascii="Book Antiqua" w:hAnsi="Book Antiqua" w:cs="Book Antiqua"/>
          <w:color w:val="000000"/>
          <w:sz w:val="24"/>
          <w:szCs w:val="24"/>
          <w:lang w:val="en-US"/>
        </w:rPr>
        <w:t>, Takaishi H, Crowe SE, Boldogh I, Jevnikar A, Ernst PB. Oxidative stress induces the expression of Fas and Fas ligand and apoptosis in murine intestinal epithelial cells. </w:t>
      </w:r>
      <w:r w:rsidRPr="00A96D05">
        <w:rPr>
          <w:rFonts w:ascii="Book Antiqua" w:hAnsi="Book Antiqua" w:cs="Book Antiqua"/>
          <w:i/>
          <w:iCs/>
          <w:color w:val="000000"/>
          <w:sz w:val="24"/>
          <w:szCs w:val="24"/>
          <w:lang w:val="en-US"/>
        </w:rPr>
        <w:t>Free Radic Biol Med</w:t>
      </w:r>
      <w:r w:rsidRPr="00A96D05">
        <w:rPr>
          <w:rFonts w:ascii="Book Antiqua" w:hAnsi="Book Antiqua" w:cs="Book Antiqua"/>
          <w:color w:val="000000"/>
          <w:sz w:val="24"/>
          <w:szCs w:val="24"/>
          <w:lang w:val="en-US"/>
        </w:rPr>
        <w:t> 2002; </w:t>
      </w:r>
      <w:r w:rsidRPr="00A96D05">
        <w:rPr>
          <w:rFonts w:ascii="Book Antiqua" w:hAnsi="Book Antiqua" w:cs="Book Antiqua"/>
          <w:b/>
          <w:bCs/>
          <w:color w:val="000000"/>
          <w:sz w:val="24"/>
          <w:szCs w:val="24"/>
          <w:lang w:val="en-US"/>
        </w:rPr>
        <w:t>33</w:t>
      </w:r>
      <w:r w:rsidRPr="00A96D05">
        <w:rPr>
          <w:rFonts w:ascii="Book Antiqua" w:hAnsi="Book Antiqua" w:cs="Book Antiqua"/>
          <w:color w:val="000000"/>
          <w:sz w:val="24"/>
          <w:szCs w:val="24"/>
          <w:lang w:val="en-US"/>
        </w:rPr>
        <w:t>: 1641-1650 [PMID: 12488132]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226 </w:t>
      </w:r>
      <w:r w:rsidRPr="00A96D05">
        <w:rPr>
          <w:rFonts w:ascii="Book Antiqua" w:hAnsi="Book Antiqua" w:cs="Book Antiqua"/>
          <w:b/>
          <w:bCs/>
          <w:color w:val="000000"/>
          <w:sz w:val="24"/>
          <w:szCs w:val="24"/>
          <w:lang w:val="en-US"/>
        </w:rPr>
        <w:t>Atkuri KR</w:t>
      </w:r>
      <w:r w:rsidRPr="00A96D05">
        <w:rPr>
          <w:rFonts w:ascii="Book Antiqua" w:hAnsi="Book Antiqua" w:cs="Book Antiqua"/>
          <w:color w:val="000000"/>
          <w:sz w:val="24"/>
          <w:szCs w:val="24"/>
          <w:lang w:val="en-US"/>
        </w:rPr>
        <w:t>, Mantovani JJ, Herzenberg LA, Herzenberg LA. N-Acetylcysteine--a safe antidote for cysteine/glutathione deficiency. </w:t>
      </w:r>
      <w:r w:rsidRPr="00A96D05">
        <w:rPr>
          <w:rFonts w:ascii="Book Antiqua" w:hAnsi="Book Antiqua" w:cs="Book Antiqua"/>
          <w:i/>
          <w:iCs/>
          <w:color w:val="000000"/>
          <w:sz w:val="24"/>
          <w:szCs w:val="24"/>
          <w:lang w:val="en-US"/>
        </w:rPr>
        <w:t>Curr Opin Pharmacol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7</w:t>
      </w:r>
      <w:r w:rsidRPr="00A96D05">
        <w:rPr>
          <w:rFonts w:ascii="Book Antiqua" w:hAnsi="Book Antiqua" w:cs="Book Antiqua"/>
          <w:color w:val="000000"/>
          <w:sz w:val="24"/>
          <w:szCs w:val="24"/>
          <w:lang w:val="en-US"/>
        </w:rPr>
        <w:t>: 355-359 [PMID: 17602868 DOI: 10.1016/j.coph.2007.04.005]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227 </w:t>
      </w:r>
      <w:r w:rsidRPr="00A96D05">
        <w:rPr>
          <w:rFonts w:ascii="Book Antiqua" w:hAnsi="Book Antiqua" w:cs="Book Antiqua"/>
          <w:b/>
          <w:bCs/>
          <w:color w:val="000000"/>
          <w:sz w:val="24"/>
          <w:szCs w:val="24"/>
          <w:lang w:val="en-US"/>
        </w:rPr>
        <w:t>Cotgreave IA</w:t>
      </w:r>
      <w:r w:rsidRPr="00A96D05">
        <w:rPr>
          <w:rFonts w:ascii="Book Antiqua" w:hAnsi="Book Antiqua" w:cs="Book Antiqua"/>
          <w:color w:val="000000"/>
          <w:sz w:val="24"/>
          <w:szCs w:val="24"/>
          <w:lang w:val="en-US"/>
        </w:rPr>
        <w:t>. N-acetylcysteine: pharmacological considerations and experimental and clinical applications. </w:t>
      </w:r>
      <w:r w:rsidRPr="00A96D05">
        <w:rPr>
          <w:rFonts w:ascii="Book Antiqua" w:hAnsi="Book Antiqua" w:cs="Book Antiqua"/>
          <w:i/>
          <w:iCs/>
          <w:color w:val="000000"/>
          <w:sz w:val="24"/>
          <w:szCs w:val="24"/>
          <w:lang w:val="en-US"/>
        </w:rPr>
        <w:t>Adv Pharmacol</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38</w:t>
      </w:r>
      <w:r w:rsidRPr="00A96D05">
        <w:rPr>
          <w:rFonts w:ascii="Book Antiqua" w:hAnsi="Book Antiqua" w:cs="Book Antiqua"/>
          <w:color w:val="000000"/>
          <w:sz w:val="24"/>
          <w:szCs w:val="24"/>
          <w:lang w:val="en-US"/>
        </w:rPr>
        <w:t>: 205-227 [PMID: 8895810]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228 </w:t>
      </w:r>
      <w:r w:rsidRPr="00A96D05">
        <w:rPr>
          <w:rFonts w:ascii="Book Antiqua" w:hAnsi="Book Antiqua" w:cs="Book Antiqua"/>
          <w:b/>
          <w:bCs/>
          <w:color w:val="000000"/>
          <w:sz w:val="24"/>
          <w:szCs w:val="24"/>
          <w:lang w:val="en-US"/>
        </w:rPr>
        <w:t>Aitio ML</w:t>
      </w:r>
      <w:r w:rsidRPr="00A96D05">
        <w:rPr>
          <w:rFonts w:ascii="Book Antiqua" w:hAnsi="Book Antiqua" w:cs="Book Antiqua"/>
          <w:color w:val="000000"/>
          <w:sz w:val="24"/>
          <w:szCs w:val="24"/>
          <w:lang w:val="en-US"/>
        </w:rPr>
        <w:t>. N-acetylcysteine -- passe-partout or much ado about nothing? </w:t>
      </w:r>
      <w:r w:rsidRPr="00A96D05">
        <w:rPr>
          <w:rFonts w:ascii="Book Antiqua" w:hAnsi="Book Antiqua" w:cs="Book Antiqua"/>
          <w:i/>
          <w:iCs/>
          <w:color w:val="000000"/>
          <w:sz w:val="24"/>
          <w:szCs w:val="24"/>
          <w:lang w:val="en-US"/>
        </w:rPr>
        <w:t>Br J Clin Pharmacol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61</w:t>
      </w:r>
      <w:r w:rsidRPr="00A96D05">
        <w:rPr>
          <w:rFonts w:ascii="Book Antiqua" w:hAnsi="Book Antiqua" w:cs="Book Antiqua"/>
          <w:color w:val="000000"/>
          <w:sz w:val="24"/>
          <w:szCs w:val="24"/>
          <w:lang w:val="en-US"/>
        </w:rPr>
        <w:t>: 5-15 [PMID: 16390346 DOI: 10.1111/j.1365-2125.2005.02523.x]</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229 </w:t>
      </w:r>
      <w:r w:rsidRPr="00A96D05">
        <w:rPr>
          <w:rFonts w:ascii="Book Antiqua" w:hAnsi="Book Antiqua" w:cs="Book Antiqua"/>
          <w:b/>
          <w:bCs/>
          <w:color w:val="000000"/>
          <w:sz w:val="24"/>
          <w:szCs w:val="24"/>
          <w:lang w:val="en-US"/>
        </w:rPr>
        <w:t>Sparks B</w:t>
      </w:r>
      <w:r w:rsidRPr="00A96D05">
        <w:rPr>
          <w:rFonts w:ascii="Book Antiqua" w:hAnsi="Book Antiqua" w:cs="Book Antiqua"/>
          <w:color w:val="000000"/>
          <w:sz w:val="24"/>
          <w:szCs w:val="24"/>
          <w:lang w:val="en-US"/>
        </w:rPr>
        <w:t>, Kesavan A. Treatment of a gastric lactobezoar with N-acetylcysteine. </w:t>
      </w:r>
      <w:r w:rsidRPr="00A96D05">
        <w:rPr>
          <w:rFonts w:ascii="Book Antiqua" w:hAnsi="Book Antiqua" w:cs="Book Antiqua"/>
          <w:i/>
          <w:iCs/>
          <w:color w:val="000000"/>
          <w:sz w:val="24"/>
          <w:szCs w:val="24"/>
          <w:lang w:val="en-US"/>
        </w:rPr>
        <w:t>Case Rep Gastrointest Med</w:t>
      </w:r>
      <w:r w:rsidRPr="00A96D05">
        <w:rPr>
          <w:rFonts w:ascii="Book Antiqua" w:hAnsi="Book Antiqua" w:cs="Book Antiqua"/>
          <w:color w:val="000000"/>
          <w:sz w:val="24"/>
          <w:szCs w:val="24"/>
          <w:lang w:val="en-US"/>
        </w:rPr>
        <w:t> 2014; </w:t>
      </w:r>
      <w:r w:rsidRPr="00A96D05">
        <w:rPr>
          <w:rFonts w:ascii="Book Antiqua" w:hAnsi="Book Antiqua" w:cs="Book Antiqua"/>
          <w:b/>
          <w:bCs/>
          <w:color w:val="000000"/>
          <w:sz w:val="24"/>
          <w:szCs w:val="24"/>
          <w:lang w:val="en-US"/>
        </w:rPr>
        <w:t>2014</w:t>
      </w:r>
      <w:r w:rsidRPr="00A96D05">
        <w:rPr>
          <w:rFonts w:ascii="Book Antiqua" w:hAnsi="Book Antiqua" w:cs="Book Antiqua"/>
          <w:color w:val="000000"/>
          <w:sz w:val="24"/>
          <w:szCs w:val="24"/>
          <w:lang w:val="en-US"/>
        </w:rPr>
        <w:t>: 254741 [PMID: 25505999 DOI: 10.1155/2014/254741]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230 </w:t>
      </w:r>
      <w:r w:rsidRPr="00A96D05">
        <w:rPr>
          <w:rFonts w:ascii="Book Antiqua" w:hAnsi="Book Antiqua" w:cs="Book Antiqua"/>
          <w:b/>
          <w:bCs/>
          <w:color w:val="000000"/>
          <w:sz w:val="24"/>
          <w:szCs w:val="24"/>
          <w:lang w:val="en-US"/>
        </w:rPr>
        <w:t>Song JW</w:t>
      </w:r>
      <w:r w:rsidRPr="00A96D05">
        <w:rPr>
          <w:rFonts w:ascii="Book Antiqua" w:hAnsi="Book Antiqua" w:cs="Book Antiqua"/>
          <w:color w:val="000000"/>
          <w:sz w:val="24"/>
          <w:szCs w:val="24"/>
          <w:lang w:val="en-US"/>
        </w:rPr>
        <w:t>, Shim JK, Soh S, Jang J, Kwak YL. Double-blinded, randomized controlled trial of N-acetylcysteine for prevention of acute kidney injury in high risk patients undergoing off-pump coronary artery bypass. </w:t>
      </w:r>
      <w:r w:rsidRPr="00A96D05">
        <w:rPr>
          <w:rFonts w:ascii="Book Antiqua" w:hAnsi="Book Antiqua" w:cs="Book Antiqua"/>
          <w:i/>
          <w:iCs/>
          <w:color w:val="000000"/>
          <w:sz w:val="24"/>
          <w:szCs w:val="24"/>
          <w:lang w:val="en-US"/>
        </w:rPr>
        <w:t xml:space="preserve">Nephrology </w:t>
      </w:r>
      <w:r w:rsidRPr="00A96D05">
        <w:rPr>
          <w:rFonts w:ascii="Book Antiqua" w:hAnsi="Book Antiqua" w:cs="Book Antiqua"/>
          <w:color w:val="000000"/>
          <w:sz w:val="24"/>
          <w:szCs w:val="24"/>
          <w:lang w:val="en-US"/>
        </w:rPr>
        <w:t>(Carlton) 2015; </w:t>
      </w:r>
      <w:r w:rsidRPr="00A96D05">
        <w:rPr>
          <w:rFonts w:ascii="Book Antiqua" w:hAnsi="Book Antiqua" w:cs="Book Antiqua"/>
          <w:b/>
          <w:bCs/>
          <w:color w:val="000000"/>
          <w:sz w:val="24"/>
          <w:szCs w:val="24"/>
          <w:lang w:val="en-US"/>
        </w:rPr>
        <w:t>20</w:t>
      </w:r>
      <w:r w:rsidRPr="00A96D05">
        <w:rPr>
          <w:rFonts w:ascii="Book Antiqua" w:hAnsi="Book Antiqua" w:cs="Book Antiqua"/>
          <w:color w:val="000000"/>
          <w:sz w:val="24"/>
          <w:szCs w:val="24"/>
          <w:lang w:val="en-US"/>
        </w:rPr>
        <w:t>: 96-102 [PMID: 25384603 DOI: 10.1111/nep.12361]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231 </w:t>
      </w:r>
      <w:r w:rsidRPr="00A96D05">
        <w:rPr>
          <w:rFonts w:ascii="Book Antiqua" w:hAnsi="Book Antiqua" w:cs="Book Antiqua"/>
          <w:b/>
          <w:bCs/>
          <w:color w:val="000000"/>
          <w:sz w:val="24"/>
          <w:szCs w:val="24"/>
          <w:lang w:val="en-US"/>
        </w:rPr>
        <w:t>Mahmoud KM</w:t>
      </w:r>
      <w:r w:rsidRPr="00A96D05">
        <w:rPr>
          <w:rFonts w:ascii="Book Antiqua" w:hAnsi="Book Antiqua" w:cs="Book Antiqua"/>
          <w:color w:val="000000"/>
          <w:sz w:val="24"/>
          <w:szCs w:val="24"/>
          <w:lang w:val="en-US"/>
        </w:rPr>
        <w:t>, Ammar AS. Effect of N-acetylcysteine on cardiac injury and oxidative stress after abdominal aortic aneurysm repair: a randomized controlled trial. </w:t>
      </w:r>
      <w:r w:rsidRPr="00A96D05">
        <w:rPr>
          <w:rFonts w:ascii="Book Antiqua" w:hAnsi="Book Antiqua" w:cs="Book Antiqua"/>
          <w:i/>
          <w:iCs/>
          <w:color w:val="000000"/>
          <w:sz w:val="24"/>
          <w:szCs w:val="24"/>
          <w:lang w:val="en-US"/>
        </w:rPr>
        <w:t>Acta Anaesthesiol Scand</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55</w:t>
      </w:r>
      <w:r w:rsidRPr="00A96D05">
        <w:rPr>
          <w:rFonts w:ascii="Book Antiqua" w:hAnsi="Book Antiqua" w:cs="Book Antiqua"/>
          <w:color w:val="000000"/>
          <w:sz w:val="24"/>
          <w:szCs w:val="24"/>
          <w:lang w:val="en-US"/>
        </w:rPr>
        <w:t>: 1015-1021 [PMID: 22092168 DOI: 10.1111/j.1399-6576.2011.02492.x]</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232 </w:t>
      </w:r>
      <w:r w:rsidRPr="00A96D05">
        <w:rPr>
          <w:rFonts w:ascii="Book Antiqua" w:hAnsi="Book Antiqua" w:cs="Book Antiqua"/>
          <w:b/>
          <w:bCs/>
          <w:color w:val="000000"/>
          <w:sz w:val="24"/>
          <w:szCs w:val="24"/>
          <w:lang w:val="en-US"/>
        </w:rPr>
        <w:t>Sakamoto S</w:t>
      </w:r>
      <w:r w:rsidRPr="00A96D05">
        <w:rPr>
          <w:rFonts w:ascii="Book Antiqua" w:hAnsi="Book Antiqua" w:cs="Book Antiqua"/>
          <w:color w:val="000000"/>
          <w:sz w:val="24"/>
          <w:szCs w:val="24"/>
          <w:lang w:val="en-US"/>
        </w:rPr>
        <w:t>, Muramatsu Y, Satoh K, Ishida F, Kikuchi N, Sano G, Sugino K, Isobe K, Takai Y, Homma S. Effectiveness of combined therapy with pirfenidone and inhaled N-acetylcysteine for advanced idiopathic pulmonary fibrosis: a case-control study. </w:t>
      </w:r>
      <w:r w:rsidRPr="00A96D05">
        <w:rPr>
          <w:rFonts w:ascii="Book Antiqua" w:hAnsi="Book Antiqua" w:cs="Book Antiqua"/>
          <w:i/>
          <w:iCs/>
          <w:color w:val="000000"/>
          <w:sz w:val="24"/>
          <w:szCs w:val="24"/>
          <w:lang w:val="en-US"/>
        </w:rPr>
        <w:t>Respirology</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20</w:t>
      </w:r>
      <w:r w:rsidRPr="00A96D05">
        <w:rPr>
          <w:rFonts w:ascii="Book Antiqua" w:hAnsi="Book Antiqua" w:cs="Book Antiqua"/>
          <w:color w:val="000000"/>
          <w:sz w:val="24"/>
          <w:szCs w:val="24"/>
          <w:lang w:val="en-US"/>
        </w:rPr>
        <w:t>: 445-452 [PMID: 25639750 DOI: 10.1111/resp.12477]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233 </w:t>
      </w:r>
      <w:r w:rsidRPr="00A96D05">
        <w:rPr>
          <w:rFonts w:ascii="Book Antiqua" w:hAnsi="Book Antiqua" w:cs="Book Antiqua"/>
          <w:b/>
          <w:bCs/>
          <w:color w:val="000000"/>
          <w:sz w:val="24"/>
          <w:szCs w:val="24"/>
          <w:lang w:val="en-US"/>
        </w:rPr>
        <w:t>El Rahi C</w:t>
      </w:r>
      <w:r w:rsidRPr="00A96D05">
        <w:rPr>
          <w:rFonts w:ascii="Book Antiqua" w:hAnsi="Book Antiqua" w:cs="Book Antiqua"/>
          <w:color w:val="000000"/>
          <w:sz w:val="24"/>
          <w:szCs w:val="24"/>
          <w:lang w:val="en-US"/>
        </w:rPr>
        <w:t>, Thompson-Moore N, Mejia P, De Hoyos P. Successful use of N-acetylcysteine to treat severe hepatic injury caused by a dietary fitness supplement. </w:t>
      </w:r>
      <w:r w:rsidRPr="00A96D05">
        <w:rPr>
          <w:rFonts w:ascii="Book Antiqua" w:hAnsi="Book Antiqua" w:cs="Book Antiqua"/>
          <w:i/>
          <w:iCs/>
          <w:color w:val="000000"/>
          <w:sz w:val="24"/>
          <w:szCs w:val="24"/>
          <w:lang w:val="en-US"/>
        </w:rPr>
        <w:t>Pharmacotherapy</w:t>
      </w:r>
      <w:r w:rsidRPr="00A96D05">
        <w:rPr>
          <w:rFonts w:ascii="Book Antiqua" w:hAnsi="Book Antiqua" w:cs="Book Antiqua"/>
          <w:color w:val="000000"/>
          <w:sz w:val="24"/>
          <w:szCs w:val="24"/>
          <w:lang w:val="en-US"/>
        </w:rPr>
        <w:t> 2015; </w:t>
      </w:r>
      <w:r w:rsidRPr="00A96D05">
        <w:rPr>
          <w:rFonts w:ascii="Book Antiqua" w:hAnsi="Book Antiqua" w:cs="Book Antiqua"/>
          <w:b/>
          <w:bCs/>
          <w:color w:val="000000"/>
          <w:sz w:val="24"/>
          <w:szCs w:val="24"/>
          <w:lang w:val="en-US"/>
        </w:rPr>
        <w:t>35</w:t>
      </w:r>
      <w:r w:rsidRPr="00A96D05">
        <w:rPr>
          <w:rFonts w:ascii="Book Antiqua" w:hAnsi="Book Antiqua" w:cs="Book Antiqua"/>
          <w:color w:val="000000"/>
          <w:sz w:val="24"/>
          <w:szCs w:val="24"/>
          <w:lang w:val="en-US"/>
        </w:rPr>
        <w:t>: e96-e101 [PMID: 25823877 DOI: 10.1002/phar.1572]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234 </w:t>
      </w:r>
      <w:r w:rsidRPr="00A96D05">
        <w:rPr>
          <w:rFonts w:ascii="Book Antiqua" w:hAnsi="Book Antiqua" w:cs="Book Antiqua"/>
          <w:b/>
          <w:bCs/>
          <w:color w:val="000000"/>
          <w:sz w:val="24"/>
          <w:szCs w:val="24"/>
          <w:lang w:val="en-US"/>
        </w:rPr>
        <w:t>Aruoma OI</w:t>
      </w:r>
      <w:r w:rsidRPr="00A96D05">
        <w:rPr>
          <w:rFonts w:ascii="Book Antiqua" w:hAnsi="Book Antiqua" w:cs="Book Antiqua"/>
          <w:color w:val="000000"/>
          <w:sz w:val="24"/>
          <w:szCs w:val="24"/>
          <w:lang w:val="en-US"/>
        </w:rPr>
        <w:t>, Halliwell B, Hoey BM, Butler J. The antioxidant action of N-acetylcysteine: its reaction with hydrogen peroxide, hydroxyl radical, superoxide, and hypochlorous acid. </w:t>
      </w:r>
      <w:r w:rsidRPr="00A96D05">
        <w:rPr>
          <w:rFonts w:ascii="Book Antiqua" w:hAnsi="Book Antiqua" w:cs="Book Antiqua"/>
          <w:i/>
          <w:iCs/>
          <w:color w:val="000000"/>
          <w:sz w:val="24"/>
          <w:szCs w:val="24"/>
          <w:lang w:val="en-US"/>
        </w:rPr>
        <w:t>Free Radic Biol Med</w:t>
      </w:r>
      <w:r w:rsidRPr="00A96D05">
        <w:rPr>
          <w:rFonts w:ascii="Book Antiqua" w:hAnsi="Book Antiqua" w:cs="Book Antiqua"/>
          <w:color w:val="000000"/>
          <w:sz w:val="24"/>
          <w:szCs w:val="24"/>
          <w:lang w:val="en-US"/>
        </w:rPr>
        <w:t> 1989; </w:t>
      </w:r>
      <w:r w:rsidRPr="00A96D05">
        <w:rPr>
          <w:rFonts w:ascii="Book Antiqua" w:hAnsi="Book Antiqua" w:cs="Book Antiqua"/>
          <w:b/>
          <w:bCs/>
          <w:color w:val="000000"/>
          <w:sz w:val="24"/>
          <w:szCs w:val="24"/>
          <w:lang w:val="en-US"/>
        </w:rPr>
        <w:t>6</w:t>
      </w:r>
      <w:r w:rsidRPr="00A96D05">
        <w:rPr>
          <w:rFonts w:ascii="Book Antiqua" w:hAnsi="Book Antiqua" w:cs="Book Antiqua"/>
          <w:color w:val="000000"/>
          <w:sz w:val="24"/>
          <w:szCs w:val="24"/>
          <w:lang w:val="en-US"/>
        </w:rPr>
        <w:t xml:space="preserve">: 593-597 [PMID: 2546864 DOI: </w:t>
      </w:r>
      <w:hyperlink r:id="rId16" w:tgtFrame="_blank" w:history="1">
        <w:r w:rsidRPr="00A96D05">
          <w:rPr>
            <w:rStyle w:val="Hyperlink"/>
            <w:rFonts w:ascii="Book Antiqua" w:hAnsi="Book Antiqua" w:cs="Book Antiqua"/>
            <w:color w:val="000000"/>
            <w:sz w:val="24"/>
            <w:szCs w:val="24"/>
            <w:u w:val="none"/>
            <w:shd w:val="clear" w:color="auto" w:fill="FFFFFF"/>
            <w:lang w:val="en-US"/>
          </w:rPr>
          <w:t>10.1016/0891-5849(89)90066-X</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235 </w:t>
      </w:r>
      <w:r w:rsidRPr="00A96D05">
        <w:rPr>
          <w:rFonts w:ascii="Book Antiqua" w:hAnsi="Book Antiqua" w:cs="Book Antiqua"/>
          <w:b/>
          <w:bCs/>
          <w:color w:val="000000"/>
          <w:sz w:val="24"/>
          <w:szCs w:val="24"/>
          <w:lang w:val="en-US"/>
        </w:rPr>
        <w:t>De Flora S</w:t>
      </w:r>
      <w:r w:rsidRPr="00A96D05">
        <w:rPr>
          <w:rFonts w:ascii="Book Antiqua" w:hAnsi="Book Antiqua" w:cs="Book Antiqua"/>
          <w:color w:val="000000"/>
          <w:sz w:val="24"/>
          <w:szCs w:val="24"/>
          <w:lang w:val="en-US"/>
        </w:rPr>
        <w:t>, Grassi C, Carati L. Attenuation of influenza-like symptomatology and improvement of cell-mediated immunity with long-term N-acetylcysteine treatment. </w:t>
      </w:r>
      <w:r w:rsidRPr="00A96D05">
        <w:rPr>
          <w:rFonts w:ascii="Book Antiqua" w:hAnsi="Book Antiqua" w:cs="Book Antiqua"/>
          <w:i/>
          <w:iCs/>
          <w:color w:val="000000"/>
          <w:sz w:val="24"/>
          <w:szCs w:val="24"/>
          <w:lang w:val="en-US"/>
        </w:rPr>
        <w:t>Eur Respir J</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10</w:t>
      </w:r>
      <w:r w:rsidRPr="00A96D05">
        <w:rPr>
          <w:rFonts w:ascii="Book Antiqua" w:hAnsi="Book Antiqua" w:cs="Book Antiqua"/>
          <w:color w:val="000000"/>
          <w:sz w:val="24"/>
          <w:szCs w:val="24"/>
          <w:lang w:val="en-US"/>
        </w:rPr>
        <w:t xml:space="preserve">: 1535-1541 [PMID: 9230243 DOI: </w:t>
      </w:r>
      <w:hyperlink r:id="rId17" w:tgtFrame="_blank" w:history="1">
        <w:r w:rsidRPr="00A96D05">
          <w:rPr>
            <w:rStyle w:val="Hyperlink"/>
            <w:rFonts w:ascii="Book Antiqua" w:hAnsi="Book Antiqua" w:cs="Book Antiqua"/>
            <w:color w:val="000000"/>
            <w:sz w:val="24"/>
            <w:szCs w:val="24"/>
            <w:u w:val="none"/>
            <w:shd w:val="clear" w:color="auto" w:fill="FFFFFF"/>
            <w:lang w:val="en-US"/>
          </w:rPr>
          <w:t>10.1183/09031936.97.10071535</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236 </w:t>
      </w:r>
      <w:r w:rsidRPr="00A96D05">
        <w:rPr>
          <w:rFonts w:ascii="Book Antiqua" w:hAnsi="Book Antiqua" w:cs="Book Antiqua"/>
          <w:b/>
          <w:bCs/>
          <w:color w:val="000000"/>
          <w:sz w:val="24"/>
          <w:szCs w:val="24"/>
          <w:lang w:val="en-US"/>
        </w:rPr>
        <w:t>Cai J</w:t>
      </w:r>
      <w:r w:rsidRPr="00A96D05">
        <w:rPr>
          <w:rFonts w:ascii="Book Antiqua" w:hAnsi="Book Antiqua" w:cs="Book Antiqua"/>
          <w:color w:val="000000"/>
          <w:sz w:val="24"/>
          <w:szCs w:val="24"/>
          <w:lang w:val="en-US"/>
        </w:rPr>
        <w:t>, Chen Y, Seth S, Furukawa S, Compans RW, Jones DP. Inhibition of influenza infection by glutathione. </w:t>
      </w:r>
      <w:r w:rsidRPr="00A96D05">
        <w:rPr>
          <w:rFonts w:ascii="Book Antiqua" w:hAnsi="Book Antiqua" w:cs="Book Antiqua"/>
          <w:i/>
          <w:iCs/>
          <w:color w:val="000000"/>
          <w:sz w:val="24"/>
          <w:szCs w:val="24"/>
          <w:lang w:val="en-US"/>
        </w:rPr>
        <w:t>Free Radic Biol Med</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34</w:t>
      </w:r>
      <w:r w:rsidRPr="00A96D05">
        <w:rPr>
          <w:rFonts w:ascii="Book Antiqua" w:hAnsi="Book Antiqua" w:cs="Book Antiqua"/>
          <w:color w:val="000000"/>
          <w:sz w:val="24"/>
          <w:szCs w:val="24"/>
          <w:lang w:val="en-US"/>
        </w:rPr>
        <w:t xml:space="preserve">: 928-936 [PMID: 12654482 DOI: </w:t>
      </w:r>
      <w:hyperlink r:id="rId18" w:tgtFrame="_blank" w:history="1">
        <w:r w:rsidRPr="00A96D05">
          <w:rPr>
            <w:rStyle w:val="Hyperlink"/>
            <w:rFonts w:ascii="Book Antiqua" w:hAnsi="Book Antiqua" w:cs="Book Antiqua"/>
            <w:color w:val="000000"/>
            <w:sz w:val="24"/>
            <w:szCs w:val="24"/>
            <w:u w:val="none"/>
            <w:shd w:val="clear" w:color="auto" w:fill="FFFFFF"/>
            <w:lang w:val="en-US"/>
          </w:rPr>
          <w:t>10.1016/S0891-5849(03)00023-6</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237 </w:t>
      </w:r>
      <w:r w:rsidRPr="00A96D05">
        <w:rPr>
          <w:rFonts w:ascii="Book Antiqua" w:hAnsi="Book Antiqua" w:cs="Book Antiqua"/>
          <w:b/>
          <w:bCs/>
          <w:color w:val="000000"/>
          <w:sz w:val="24"/>
          <w:szCs w:val="24"/>
          <w:lang w:val="en-US"/>
        </w:rPr>
        <w:t>Garozzo A</w:t>
      </w:r>
      <w:r w:rsidRPr="00A96D05">
        <w:rPr>
          <w:rFonts w:ascii="Book Antiqua" w:hAnsi="Book Antiqua" w:cs="Book Antiqua"/>
          <w:color w:val="000000"/>
          <w:sz w:val="24"/>
          <w:szCs w:val="24"/>
          <w:lang w:val="en-US"/>
        </w:rPr>
        <w:t>, Tempera G, Ungheri D, Timpanaro R, Castro A. N-acetylcysteine synergizes with oseltamivir in protecting mice from lethal influenza infection. </w:t>
      </w:r>
      <w:r w:rsidRPr="00A96D05">
        <w:rPr>
          <w:rFonts w:ascii="Book Antiqua" w:hAnsi="Book Antiqua" w:cs="Book Antiqua"/>
          <w:i/>
          <w:iCs/>
          <w:color w:val="000000"/>
          <w:sz w:val="24"/>
          <w:szCs w:val="24"/>
          <w:lang w:val="en-US"/>
        </w:rPr>
        <w:t>Int J Immunopathol Pharmacol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20</w:t>
      </w:r>
      <w:r w:rsidRPr="00A96D05">
        <w:rPr>
          <w:rFonts w:ascii="Book Antiqua" w:hAnsi="Book Antiqua" w:cs="Book Antiqua"/>
          <w:color w:val="000000"/>
          <w:sz w:val="24"/>
          <w:szCs w:val="24"/>
          <w:lang w:val="en-US"/>
        </w:rPr>
        <w:t>: 349-354 [PMID: 17624247]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238 </w:t>
      </w:r>
      <w:r w:rsidRPr="00A96D05">
        <w:rPr>
          <w:rFonts w:ascii="Book Antiqua" w:hAnsi="Book Antiqua" w:cs="Book Antiqua"/>
          <w:b/>
          <w:bCs/>
          <w:color w:val="000000"/>
          <w:sz w:val="24"/>
          <w:szCs w:val="24"/>
          <w:lang w:val="en-US"/>
        </w:rPr>
        <w:t>Ghezzi P</w:t>
      </w:r>
      <w:r w:rsidRPr="00A96D05">
        <w:rPr>
          <w:rFonts w:ascii="Book Antiqua" w:hAnsi="Book Antiqua" w:cs="Book Antiqua"/>
          <w:color w:val="000000"/>
          <w:sz w:val="24"/>
          <w:szCs w:val="24"/>
          <w:lang w:val="en-US"/>
        </w:rPr>
        <w:t>, Ungheri D. Synergistic combination of N-acetylcysteine and ribavirin to protect from lethal influenza viral infection in a mouse model. </w:t>
      </w:r>
      <w:r w:rsidRPr="00A96D05">
        <w:rPr>
          <w:rFonts w:ascii="Book Antiqua" w:hAnsi="Book Antiqua" w:cs="Book Antiqua"/>
          <w:i/>
          <w:iCs/>
          <w:color w:val="000000"/>
          <w:sz w:val="24"/>
          <w:szCs w:val="24"/>
          <w:lang w:val="en-US"/>
        </w:rPr>
        <w:t>Int J Immunopathol Pharmacol</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17</w:t>
      </w:r>
      <w:r w:rsidRPr="00A96D05">
        <w:rPr>
          <w:rFonts w:ascii="Book Antiqua" w:hAnsi="Book Antiqua" w:cs="Book Antiqua"/>
          <w:color w:val="000000"/>
          <w:sz w:val="24"/>
          <w:szCs w:val="24"/>
          <w:lang w:val="en-US"/>
        </w:rPr>
        <w:t>: 99-102 [PMID: 15000873]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239 </w:t>
      </w:r>
      <w:r w:rsidRPr="00A96D05">
        <w:rPr>
          <w:rFonts w:ascii="Book Antiqua" w:hAnsi="Book Antiqua" w:cs="Book Antiqua"/>
          <w:b/>
          <w:bCs/>
          <w:color w:val="000000"/>
          <w:sz w:val="24"/>
          <w:szCs w:val="24"/>
          <w:lang w:val="en-US"/>
        </w:rPr>
        <w:t>Lai KY</w:t>
      </w:r>
      <w:r w:rsidRPr="00A96D05">
        <w:rPr>
          <w:rFonts w:ascii="Book Antiqua" w:hAnsi="Book Antiqua" w:cs="Book Antiqua"/>
          <w:color w:val="000000"/>
          <w:sz w:val="24"/>
          <w:szCs w:val="24"/>
          <w:lang w:val="en-US"/>
        </w:rPr>
        <w:t>, Ng WY, Osburga Chan PK, Wong KF, Cheng F. High-dose N-acetylcysteine therapy for novel H1N1 influenza pneumonia. </w:t>
      </w:r>
      <w:r w:rsidRPr="00A96D05">
        <w:rPr>
          <w:rFonts w:ascii="Book Antiqua" w:hAnsi="Book Antiqua" w:cs="Book Antiqua"/>
          <w:i/>
          <w:iCs/>
          <w:color w:val="000000"/>
          <w:sz w:val="24"/>
          <w:szCs w:val="24"/>
          <w:lang w:val="en-US"/>
        </w:rPr>
        <w:t>Ann Intern Med</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152</w:t>
      </w:r>
      <w:r w:rsidRPr="00A96D05">
        <w:rPr>
          <w:rFonts w:ascii="Book Antiqua" w:hAnsi="Book Antiqua" w:cs="Book Antiqua"/>
          <w:color w:val="000000"/>
          <w:sz w:val="24"/>
          <w:szCs w:val="24"/>
          <w:lang w:val="en-US"/>
        </w:rPr>
        <w:t>: 687-688 [PMID: 20479037 DOI: 10.7326/0003-4819-152-10-201005180-00017]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240 </w:t>
      </w:r>
      <w:r w:rsidRPr="00A96D05">
        <w:rPr>
          <w:rFonts w:ascii="Book Antiqua" w:hAnsi="Book Antiqua" w:cs="Book Antiqua"/>
          <w:b/>
          <w:bCs/>
          <w:color w:val="000000"/>
          <w:sz w:val="24"/>
          <w:szCs w:val="24"/>
          <w:lang w:val="en-US"/>
        </w:rPr>
        <w:t>Geiler J</w:t>
      </w:r>
      <w:r w:rsidRPr="00A96D05">
        <w:rPr>
          <w:rFonts w:ascii="Book Antiqua" w:hAnsi="Book Antiqua" w:cs="Book Antiqua"/>
          <w:color w:val="000000"/>
          <w:sz w:val="24"/>
          <w:szCs w:val="24"/>
          <w:lang w:val="en-US"/>
        </w:rPr>
        <w:t>, Michaelis M, Naczk P, Leutz A, Langer K, Doerr HW, Cinatl J. N-acetyl-L-cysteine (NAC) inhibits virus replication and expression of pro-inflammatory molecules in A549 cells infected with highly pathogenic H5N1 influenza A virus. </w:t>
      </w:r>
      <w:r w:rsidRPr="00A96D05">
        <w:rPr>
          <w:rFonts w:ascii="Book Antiqua" w:hAnsi="Book Antiqua" w:cs="Book Antiqua"/>
          <w:i/>
          <w:iCs/>
          <w:color w:val="000000"/>
          <w:sz w:val="24"/>
          <w:szCs w:val="24"/>
          <w:lang w:val="en-US"/>
        </w:rPr>
        <w:t>Biochem Pharmacol</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79</w:t>
      </w:r>
      <w:r w:rsidRPr="00A96D05">
        <w:rPr>
          <w:rFonts w:ascii="Book Antiqua" w:hAnsi="Book Antiqua" w:cs="Book Antiqua"/>
          <w:color w:val="000000"/>
          <w:sz w:val="24"/>
          <w:szCs w:val="24"/>
          <w:lang w:val="en-US"/>
        </w:rPr>
        <w:t>: 413-420 [PMID: 19732754 DOI: 10.1016/j.bcp.2009.08.025]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241 </w:t>
      </w:r>
      <w:r w:rsidRPr="00A96D05">
        <w:rPr>
          <w:rFonts w:ascii="Book Antiqua" w:hAnsi="Book Antiqua" w:cs="Book Antiqua"/>
          <w:b/>
          <w:bCs/>
          <w:color w:val="000000"/>
          <w:sz w:val="24"/>
          <w:szCs w:val="24"/>
          <w:lang w:val="en-US"/>
        </w:rPr>
        <w:t>Garigliany MM</w:t>
      </w:r>
      <w:r w:rsidRPr="00A96D05">
        <w:rPr>
          <w:rFonts w:ascii="Book Antiqua" w:hAnsi="Book Antiqua" w:cs="Book Antiqua"/>
          <w:color w:val="000000"/>
          <w:sz w:val="24"/>
          <w:szCs w:val="24"/>
          <w:lang w:val="en-US"/>
        </w:rPr>
        <w:t>, Desmecht DJ. N-acetylcysteine lacks universal inhibitory activity against influenza A viruses. </w:t>
      </w:r>
      <w:r w:rsidRPr="00A96D05">
        <w:rPr>
          <w:rFonts w:ascii="Book Antiqua" w:hAnsi="Book Antiqua" w:cs="Book Antiqua"/>
          <w:i/>
          <w:iCs/>
          <w:color w:val="000000"/>
          <w:sz w:val="24"/>
          <w:szCs w:val="24"/>
          <w:lang w:val="en-US"/>
        </w:rPr>
        <w:t>J Negat Results Biomed</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10</w:t>
      </w:r>
      <w:r w:rsidRPr="00A96D05">
        <w:rPr>
          <w:rFonts w:ascii="Book Antiqua" w:hAnsi="Book Antiqua" w:cs="Book Antiqua"/>
          <w:color w:val="000000"/>
          <w:sz w:val="24"/>
          <w:szCs w:val="24"/>
          <w:lang w:val="en-US"/>
        </w:rPr>
        <w:t>: 5 [PMID: 21554703 DOI: 10.1186/1477-5751-10-5]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242 </w:t>
      </w:r>
      <w:r w:rsidRPr="00A96D05">
        <w:rPr>
          <w:rFonts w:ascii="Book Antiqua" w:hAnsi="Book Antiqua" w:cs="Book Antiqua"/>
          <w:b/>
          <w:bCs/>
          <w:color w:val="000000"/>
          <w:sz w:val="24"/>
          <w:szCs w:val="24"/>
          <w:lang w:val="en-US"/>
        </w:rPr>
        <w:t>Senanayake MP</w:t>
      </w:r>
      <w:r w:rsidRPr="00A96D05">
        <w:rPr>
          <w:rFonts w:ascii="Book Antiqua" w:hAnsi="Book Antiqua" w:cs="Book Antiqua"/>
          <w:color w:val="000000"/>
          <w:sz w:val="24"/>
          <w:szCs w:val="24"/>
          <w:lang w:val="en-US"/>
        </w:rPr>
        <w:t xml:space="preserve">, Jayamanne MD, </w:t>
      </w:r>
      <w:smartTag w:uri="urn:schemas:contacts" w:element="Sn">
        <w:r w:rsidRPr="00A96D05">
          <w:rPr>
            <w:rFonts w:ascii="Book Antiqua" w:hAnsi="Book Antiqua" w:cs="Book Antiqua"/>
            <w:color w:val="000000"/>
            <w:sz w:val="24"/>
            <w:szCs w:val="24"/>
            <w:lang w:val="en-US"/>
          </w:rPr>
          <w:t>Kankananarachchi</w:t>
        </w:r>
      </w:smartTag>
      <w:r w:rsidRPr="00A96D05">
        <w:rPr>
          <w:rFonts w:ascii="Book Antiqua" w:hAnsi="Book Antiqua" w:cs="Book Antiqua"/>
          <w:color w:val="000000"/>
          <w:sz w:val="24"/>
          <w:szCs w:val="24"/>
          <w:lang w:val="en-US"/>
        </w:rPr>
        <w:t xml:space="preserve"> </w:t>
      </w:r>
      <w:smartTag w:uri="urn:schemas:contacts" w:element="Sn">
        <w:r w:rsidRPr="00A96D05">
          <w:rPr>
            <w:rFonts w:ascii="Book Antiqua" w:hAnsi="Book Antiqua" w:cs="Book Antiqua"/>
            <w:color w:val="000000"/>
            <w:sz w:val="24"/>
            <w:szCs w:val="24"/>
            <w:lang w:val="en-US"/>
          </w:rPr>
          <w:t>I.</w:t>
        </w:r>
      </w:smartTag>
      <w:r w:rsidRPr="00A96D05">
        <w:rPr>
          <w:rFonts w:ascii="Book Antiqua" w:hAnsi="Book Antiqua" w:cs="Book Antiqua"/>
          <w:color w:val="000000"/>
          <w:sz w:val="24"/>
          <w:szCs w:val="24"/>
          <w:lang w:val="en-US"/>
        </w:rPr>
        <w:t xml:space="preserve"> N-acetylcysteine in children with acute liver failure complicating dengue viral infection. </w:t>
      </w:r>
      <w:r w:rsidRPr="00A96D05">
        <w:rPr>
          <w:rFonts w:ascii="Book Antiqua" w:hAnsi="Book Antiqua" w:cs="Book Antiqua"/>
          <w:i/>
          <w:iCs/>
          <w:color w:val="000000"/>
          <w:sz w:val="24"/>
          <w:szCs w:val="24"/>
          <w:lang w:val="en-US"/>
        </w:rPr>
        <w:t>Ceylon Med J</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58</w:t>
      </w:r>
      <w:r w:rsidRPr="00A96D05">
        <w:rPr>
          <w:rFonts w:ascii="Book Antiqua" w:hAnsi="Book Antiqua" w:cs="Book Antiqua"/>
          <w:color w:val="000000"/>
          <w:sz w:val="24"/>
          <w:szCs w:val="24"/>
          <w:lang w:val="en-US"/>
        </w:rPr>
        <w:t>: 80-82 [PMID: 23817939 DOI: 10.4038/cmj.v58i2.5684]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243 </w:t>
      </w:r>
      <w:r w:rsidRPr="00A96D05">
        <w:rPr>
          <w:rFonts w:ascii="Book Antiqua" w:hAnsi="Book Antiqua" w:cs="Book Antiqua"/>
          <w:b/>
          <w:bCs/>
          <w:color w:val="000000"/>
          <w:sz w:val="24"/>
          <w:szCs w:val="24"/>
          <w:lang w:val="en-US"/>
        </w:rPr>
        <w:t>Herzenberg LA</w:t>
      </w:r>
      <w:r w:rsidRPr="00A96D05">
        <w:rPr>
          <w:rFonts w:ascii="Book Antiqua" w:hAnsi="Book Antiqua" w:cs="Book Antiqua"/>
          <w:color w:val="000000"/>
          <w:sz w:val="24"/>
          <w:szCs w:val="24"/>
          <w:lang w:val="en-US"/>
        </w:rPr>
        <w:t>, De Rosa SC, Dubs JG, Roederer M, Anderson MT, Ela SW, Deresinski SC, Herzenberg LA. Glutathione deficiency is associated with impaired survival in HIV disease. </w:t>
      </w:r>
      <w:r w:rsidRPr="00A96D05">
        <w:rPr>
          <w:rFonts w:ascii="Book Antiqua" w:hAnsi="Book Antiqua" w:cs="Book Antiqua"/>
          <w:i/>
          <w:iCs/>
          <w:color w:val="000000"/>
          <w:sz w:val="24"/>
          <w:szCs w:val="24"/>
          <w:lang w:val="en-US"/>
        </w:rPr>
        <w:t>Proc Natl Acad Sci USA</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94</w:t>
      </w:r>
      <w:r w:rsidRPr="00A96D05">
        <w:rPr>
          <w:rFonts w:ascii="Book Antiqua" w:hAnsi="Book Antiqua" w:cs="Book Antiqua"/>
          <w:color w:val="000000"/>
          <w:sz w:val="24"/>
          <w:szCs w:val="24"/>
          <w:lang w:val="en-US"/>
        </w:rPr>
        <w:t xml:space="preserve">: 1967-1972 [PMID: 9050888 DOI: </w:t>
      </w:r>
      <w:hyperlink r:id="rId19" w:tgtFrame="_blank" w:history="1">
        <w:r w:rsidRPr="00A96D05">
          <w:rPr>
            <w:rStyle w:val="Hyperlink"/>
            <w:rFonts w:ascii="Book Antiqua" w:hAnsi="Book Antiqua" w:cs="Book Antiqua"/>
            <w:color w:val="000000"/>
            <w:sz w:val="24"/>
            <w:szCs w:val="24"/>
            <w:u w:val="none"/>
            <w:shd w:val="clear" w:color="auto" w:fill="FFFFFF"/>
            <w:lang w:val="en-US"/>
          </w:rPr>
          <w:t>10.1073/pnas.94.5.1967</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244 </w:t>
      </w:r>
      <w:r w:rsidRPr="00A96D05">
        <w:rPr>
          <w:rFonts w:ascii="Book Antiqua" w:hAnsi="Book Antiqua" w:cs="Book Antiqua"/>
          <w:b/>
          <w:bCs/>
          <w:color w:val="000000"/>
          <w:sz w:val="24"/>
          <w:szCs w:val="24"/>
          <w:lang w:val="en-US"/>
        </w:rPr>
        <w:t>Dröge W</w:t>
      </w:r>
      <w:r w:rsidRPr="00A96D05">
        <w:rPr>
          <w:rFonts w:ascii="Book Antiqua" w:hAnsi="Book Antiqua" w:cs="Book Antiqua"/>
          <w:color w:val="000000"/>
          <w:sz w:val="24"/>
          <w:szCs w:val="24"/>
          <w:lang w:val="en-US"/>
        </w:rPr>
        <w:t>, Breitkreutz R. N-acetyl-cysteine in the therapy of HIV-positive patients. </w:t>
      </w:r>
      <w:r w:rsidRPr="00A96D05">
        <w:rPr>
          <w:rFonts w:ascii="Book Antiqua" w:hAnsi="Book Antiqua" w:cs="Book Antiqua"/>
          <w:i/>
          <w:iCs/>
          <w:color w:val="000000"/>
          <w:sz w:val="24"/>
          <w:szCs w:val="24"/>
          <w:lang w:val="en-US"/>
        </w:rPr>
        <w:t>Curr Opin Clin Nutr Metab Care</w:t>
      </w:r>
      <w:r w:rsidRPr="00A96D05">
        <w:rPr>
          <w:rFonts w:ascii="Book Antiqua" w:hAnsi="Book Antiqua" w:cs="Book Antiqua"/>
          <w:color w:val="000000"/>
          <w:sz w:val="24"/>
          <w:szCs w:val="24"/>
          <w:lang w:val="en-US"/>
        </w:rPr>
        <w:t> 1999; </w:t>
      </w:r>
      <w:r w:rsidRPr="00A96D05">
        <w:rPr>
          <w:rFonts w:ascii="Book Antiqua" w:hAnsi="Book Antiqua" w:cs="Book Antiqua"/>
          <w:b/>
          <w:bCs/>
          <w:color w:val="000000"/>
          <w:sz w:val="24"/>
          <w:szCs w:val="24"/>
          <w:lang w:val="en-US"/>
        </w:rPr>
        <w:t>2</w:t>
      </w:r>
      <w:r w:rsidRPr="00A96D05">
        <w:rPr>
          <w:rFonts w:ascii="Book Antiqua" w:hAnsi="Book Antiqua" w:cs="Book Antiqua"/>
          <w:color w:val="000000"/>
          <w:sz w:val="24"/>
          <w:szCs w:val="24"/>
          <w:lang w:val="en-US"/>
        </w:rPr>
        <w:t xml:space="preserve">: 493-498 [PMID: 10678679 DOI: </w:t>
      </w:r>
      <w:hyperlink r:id="rId20" w:tgtFrame="_blank" w:history="1">
        <w:r w:rsidRPr="00A96D05">
          <w:rPr>
            <w:rStyle w:val="Hyperlink"/>
            <w:rFonts w:ascii="Book Antiqua" w:hAnsi="Book Antiqua" w:cs="Book Antiqua"/>
            <w:color w:val="000000"/>
            <w:sz w:val="24"/>
            <w:szCs w:val="24"/>
            <w:u w:val="none"/>
            <w:shd w:val="clear" w:color="auto" w:fill="FFFFFF"/>
            <w:lang w:val="en-US"/>
          </w:rPr>
          <w:t>10.1097/00075197-199911000-00011</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245 </w:t>
      </w:r>
      <w:r w:rsidRPr="00A96D05">
        <w:rPr>
          <w:rFonts w:ascii="Book Antiqua" w:hAnsi="Book Antiqua" w:cs="Book Antiqua"/>
          <w:b/>
          <w:bCs/>
          <w:color w:val="000000"/>
          <w:sz w:val="24"/>
          <w:szCs w:val="24"/>
          <w:lang w:val="en-US"/>
        </w:rPr>
        <w:t>De Rosa SC</w:t>
      </w:r>
      <w:r w:rsidRPr="00A96D05">
        <w:rPr>
          <w:rFonts w:ascii="Book Antiqua" w:hAnsi="Book Antiqua" w:cs="Book Antiqua"/>
          <w:color w:val="000000"/>
          <w:sz w:val="24"/>
          <w:szCs w:val="24"/>
          <w:lang w:val="en-US"/>
        </w:rPr>
        <w:t>, Zaretsky MD, Dubs JG, Roederer M, Anderson M, Green A, Mitra D, Watanabe N, Nakamura H, Tjioe I, Deresinski SC, Moore WA, Ela SW, Parks D, Herzenberg LA, Herzenberg LA. N-acetylcysteine replenishes glutathione in HIV infection. </w:t>
      </w:r>
      <w:r w:rsidRPr="00A96D05">
        <w:rPr>
          <w:rFonts w:ascii="Book Antiqua" w:hAnsi="Book Antiqua" w:cs="Book Antiqua"/>
          <w:i/>
          <w:iCs/>
          <w:color w:val="000000"/>
          <w:sz w:val="24"/>
          <w:szCs w:val="24"/>
          <w:lang w:val="en-US"/>
        </w:rPr>
        <w:t>Eur J Clin Invest</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30</w:t>
      </w:r>
      <w:r w:rsidRPr="00A96D05">
        <w:rPr>
          <w:rFonts w:ascii="Book Antiqua" w:hAnsi="Book Antiqua" w:cs="Book Antiqua"/>
          <w:color w:val="000000"/>
          <w:sz w:val="24"/>
          <w:szCs w:val="24"/>
          <w:lang w:val="en-US"/>
        </w:rPr>
        <w:t xml:space="preserve">: 915-929 [PMID: 11029607 DOI: </w:t>
      </w:r>
      <w:hyperlink r:id="rId21" w:tgtFrame="_blank" w:history="1">
        <w:r w:rsidRPr="00A96D05">
          <w:rPr>
            <w:rStyle w:val="Hyperlink"/>
            <w:rFonts w:ascii="Book Antiqua" w:hAnsi="Book Antiqua" w:cs="Book Antiqua"/>
            <w:color w:val="000000"/>
            <w:sz w:val="24"/>
            <w:szCs w:val="24"/>
            <w:u w:val="none"/>
            <w:shd w:val="clear" w:color="auto" w:fill="FFFFFF"/>
            <w:lang w:val="en-US"/>
          </w:rPr>
          <w:t>10.1046/j.1365-2362.2000.00736.x</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246 </w:t>
      </w:r>
      <w:r w:rsidRPr="00A96D05">
        <w:rPr>
          <w:rFonts w:ascii="Book Antiqua" w:hAnsi="Book Antiqua" w:cs="Book Antiqua"/>
          <w:b/>
          <w:bCs/>
          <w:color w:val="000000"/>
          <w:sz w:val="24"/>
          <w:szCs w:val="24"/>
          <w:lang w:val="en-US"/>
        </w:rPr>
        <w:t>Duh EJ</w:t>
      </w:r>
      <w:r w:rsidRPr="00A96D05">
        <w:rPr>
          <w:rFonts w:ascii="Book Antiqua" w:hAnsi="Book Antiqua" w:cs="Book Antiqua"/>
          <w:color w:val="000000"/>
          <w:sz w:val="24"/>
          <w:szCs w:val="24"/>
          <w:lang w:val="en-US"/>
        </w:rPr>
        <w:t>, Maury WJ, Folks TM, Fauci AS, Rabson AB. Tumor necrosis factor alpha activates human immunodeficiency virus type 1 through induction of nuclear factor binding to the NF-kappa B sites in the long terminal repeat. </w:t>
      </w:r>
      <w:r w:rsidRPr="00A96D05">
        <w:rPr>
          <w:rFonts w:ascii="Book Antiqua" w:hAnsi="Book Antiqua" w:cs="Book Antiqua"/>
          <w:i/>
          <w:iCs/>
          <w:color w:val="000000"/>
          <w:sz w:val="24"/>
          <w:szCs w:val="24"/>
          <w:lang w:val="en-US"/>
        </w:rPr>
        <w:t>Proc Natl Acad Sci USA</w:t>
      </w:r>
      <w:r w:rsidRPr="00A96D05">
        <w:rPr>
          <w:rFonts w:ascii="Book Antiqua" w:hAnsi="Book Antiqua" w:cs="Book Antiqua"/>
          <w:color w:val="000000"/>
          <w:sz w:val="24"/>
          <w:szCs w:val="24"/>
          <w:lang w:val="en-US"/>
        </w:rPr>
        <w:t> 1989; </w:t>
      </w:r>
      <w:r w:rsidRPr="00A96D05">
        <w:rPr>
          <w:rFonts w:ascii="Book Antiqua" w:hAnsi="Book Antiqua" w:cs="Book Antiqua"/>
          <w:b/>
          <w:bCs/>
          <w:color w:val="000000"/>
          <w:sz w:val="24"/>
          <w:szCs w:val="24"/>
          <w:lang w:val="en-US"/>
        </w:rPr>
        <w:t>86</w:t>
      </w:r>
      <w:r w:rsidRPr="00A96D05">
        <w:rPr>
          <w:rFonts w:ascii="Book Antiqua" w:hAnsi="Book Antiqua" w:cs="Book Antiqua"/>
          <w:color w:val="000000"/>
          <w:sz w:val="24"/>
          <w:szCs w:val="24"/>
          <w:lang w:val="en-US"/>
        </w:rPr>
        <w:t xml:space="preserve">: 5974-5978 [PMID: 2762307 DOI: </w:t>
      </w:r>
      <w:hyperlink r:id="rId22" w:tgtFrame="_blank" w:history="1">
        <w:r w:rsidRPr="00A96D05">
          <w:rPr>
            <w:rStyle w:val="Hyperlink"/>
            <w:rFonts w:ascii="Book Antiqua" w:hAnsi="Book Antiqua" w:cs="Book Antiqua"/>
            <w:color w:val="000000"/>
            <w:sz w:val="24"/>
            <w:szCs w:val="24"/>
            <w:u w:val="none"/>
            <w:shd w:val="clear" w:color="auto" w:fill="FFFFFF"/>
            <w:lang w:val="en-US"/>
          </w:rPr>
          <w:t>10.1073/pnas.86.15.5974</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247 </w:t>
      </w:r>
      <w:r w:rsidRPr="00A96D05">
        <w:rPr>
          <w:rFonts w:ascii="Book Antiqua" w:hAnsi="Book Antiqua" w:cs="Book Antiqua"/>
          <w:b/>
          <w:bCs/>
          <w:color w:val="000000"/>
          <w:sz w:val="24"/>
          <w:szCs w:val="24"/>
          <w:lang w:val="en-US"/>
        </w:rPr>
        <w:t>Roederer M</w:t>
      </w:r>
      <w:r w:rsidRPr="00A96D05">
        <w:rPr>
          <w:rFonts w:ascii="Book Antiqua" w:hAnsi="Book Antiqua" w:cs="Book Antiqua"/>
          <w:color w:val="000000"/>
          <w:sz w:val="24"/>
          <w:szCs w:val="24"/>
          <w:lang w:val="en-US"/>
        </w:rPr>
        <w:t>, Staal FJ, Raju PA, Ela SW, Herzenberg LA, Herzenberg LA. Cytokine-stimulated human immunodeficiency virus replication is inhibited by N-acetyl-L-cysteine. </w:t>
      </w:r>
      <w:r w:rsidRPr="00A96D05">
        <w:rPr>
          <w:rFonts w:ascii="Book Antiqua" w:hAnsi="Book Antiqua" w:cs="Book Antiqua"/>
          <w:i/>
          <w:iCs/>
          <w:color w:val="000000"/>
          <w:sz w:val="24"/>
          <w:szCs w:val="24"/>
          <w:lang w:val="en-US"/>
        </w:rPr>
        <w:t>Proc Natl Acad Sci USA</w:t>
      </w:r>
      <w:r w:rsidRPr="00A96D05">
        <w:rPr>
          <w:rFonts w:ascii="Book Antiqua" w:hAnsi="Book Antiqua" w:cs="Book Antiqua"/>
          <w:color w:val="000000"/>
          <w:sz w:val="24"/>
          <w:szCs w:val="24"/>
          <w:lang w:val="en-US"/>
        </w:rPr>
        <w:t> 1990; </w:t>
      </w:r>
      <w:r w:rsidRPr="00A96D05">
        <w:rPr>
          <w:rFonts w:ascii="Book Antiqua" w:hAnsi="Book Antiqua" w:cs="Book Antiqua"/>
          <w:b/>
          <w:bCs/>
          <w:color w:val="000000"/>
          <w:sz w:val="24"/>
          <w:szCs w:val="24"/>
          <w:lang w:val="en-US"/>
        </w:rPr>
        <w:t>87</w:t>
      </w:r>
      <w:r w:rsidRPr="00A96D05">
        <w:rPr>
          <w:rFonts w:ascii="Book Antiqua" w:hAnsi="Book Antiqua" w:cs="Book Antiqua"/>
          <w:color w:val="000000"/>
          <w:sz w:val="24"/>
          <w:szCs w:val="24"/>
          <w:lang w:val="en-US"/>
        </w:rPr>
        <w:t xml:space="preserve">: 4884-4888 [PMID: 2112750 DOI: </w:t>
      </w:r>
      <w:hyperlink r:id="rId23" w:tgtFrame="_blank" w:history="1">
        <w:r w:rsidRPr="00A96D05">
          <w:rPr>
            <w:rStyle w:val="Hyperlink"/>
            <w:rFonts w:ascii="Book Antiqua" w:hAnsi="Book Antiqua" w:cs="Book Antiqua"/>
            <w:color w:val="000000"/>
            <w:sz w:val="24"/>
            <w:szCs w:val="24"/>
            <w:u w:val="none"/>
            <w:shd w:val="clear" w:color="auto" w:fill="FFFFFF"/>
            <w:lang w:val="en-US"/>
          </w:rPr>
          <w:t>10.1073/pnas.87.12.4884</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248 </w:t>
      </w:r>
      <w:r w:rsidRPr="00A96D05">
        <w:rPr>
          <w:rFonts w:ascii="Book Antiqua" w:hAnsi="Book Antiqua" w:cs="Book Antiqua"/>
          <w:b/>
          <w:bCs/>
          <w:color w:val="000000"/>
          <w:sz w:val="24"/>
          <w:szCs w:val="24"/>
          <w:lang w:val="en-US"/>
        </w:rPr>
        <w:t>Staal FJ</w:t>
      </w:r>
      <w:r w:rsidRPr="00A96D05">
        <w:rPr>
          <w:rFonts w:ascii="Book Antiqua" w:hAnsi="Book Antiqua" w:cs="Book Antiqua"/>
          <w:color w:val="000000"/>
          <w:sz w:val="24"/>
          <w:szCs w:val="24"/>
          <w:lang w:val="en-US"/>
        </w:rPr>
        <w:t>, Roederer M, Herzenberg LA, Herzenberg LA. Intracellular thiols regulate activation of nuclear factor kappa B and transcription of human immunodeficiency virus. </w:t>
      </w:r>
      <w:r w:rsidRPr="00A96D05">
        <w:rPr>
          <w:rFonts w:ascii="Book Antiqua" w:hAnsi="Book Antiqua" w:cs="Book Antiqua"/>
          <w:i/>
          <w:iCs/>
          <w:color w:val="000000"/>
          <w:sz w:val="24"/>
          <w:szCs w:val="24"/>
          <w:lang w:val="en-US"/>
        </w:rPr>
        <w:t>Proc Natl Acad Sci USA</w:t>
      </w:r>
      <w:r w:rsidRPr="00A96D05">
        <w:rPr>
          <w:rFonts w:ascii="Book Antiqua" w:hAnsi="Book Antiqua" w:cs="Book Antiqua"/>
          <w:color w:val="000000"/>
          <w:sz w:val="24"/>
          <w:szCs w:val="24"/>
          <w:lang w:val="en-US"/>
        </w:rPr>
        <w:t> 1990; </w:t>
      </w:r>
      <w:r w:rsidRPr="00A96D05">
        <w:rPr>
          <w:rFonts w:ascii="Book Antiqua" w:hAnsi="Book Antiqua" w:cs="Book Antiqua"/>
          <w:b/>
          <w:bCs/>
          <w:color w:val="000000"/>
          <w:sz w:val="24"/>
          <w:szCs w:val="24"/>
          <w:lang w:val="en-US"/>
        </w:rPr>
        <w:t>87</w:t>
      </w:r>
      <w:r w:rsidRPr="00A96D05">
        <w:rPr>
          <w:rFonts w:ascii="Book Antiqua" w:hAnsi="Book Antiqua" w:cs="Book Antiqua"/>
          <w:color w:val="000000"/>
          <w:sz w:val="24"/>
          <w:szCs w:val="24"/>
          <w:lang w:val="en-US"/>
        </w:rPr>
        <w:t xml:space="preserve">: 9943-9947 [PMID: 2263644 DOI: </w:t>
      </w:r>
      <w:hyperlink r:id="rId24" w:tgtFrame="_blank" w:history="1">
        <w:r w:rsidRPr="00A96D05">
          <w:rPr>
            <w:rStyle w:val="Hyperlink"/>
            <w:rFonts w:ascii="Book Antiqua" w:hAnsi="Book Antiqua" w:cs="Book Antiqua"/>
            <w:color w:val="000000"/>
            <w:sz w:val="24"/>
            <w:szCs w:val="24"/>
            <w:u w:val="none"/>
            <w:shd w:val="clear" w:color="auto" w:fill="FFFFFF"/>
            <w:lang w:val="en-US"/>
          </w:rPr>
          <w:t>10.1073/pnas.87.24.9943</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249 </w:t>
      </w:r>
      <w:r w:rsidRPr="00A96D05">
        <w:rPr>
          <w:rFonts w:ascii="Book Antiqua" w:hAnsi="Book Antiqua" w:cs="Book Antiqua"/>
          <w:b/>
          <w:bCs/>
          <w:color w:val="000000"/>
          <w:sz w:val="24"/>
          <w:szCs w:val="24"/>
          <w:lang w:val="en-US"/>
        </w:rPr>
        <w:t>Schubert SY</w:t>
      </w:r>
      <w:r w:rsidRPr="00A96D05">
        <w:rPr>
          <w:rFonts w:ascii="Book Antiqua" w:hAnsi="Book Antiqua" w:cs="Book Antiqua"/>
          <w:color w:val="000000"/>
          <w:sz w:val="24"/>
          <w:szCs w:val="24"/>
          <w:lang w:val="en-US"/>
        </w:rPr>
        <w:t>, Neeman I, Resnick N. A novel mechanism for the inhibition of NF-kappaB activation in vascular endothelial cells by natural antioxidants. </w:t>
      </w:r>
      <w:r w:rsidRPr="00A96D05">
        <w:rPr>
          <w:rFonts w:ascii="Book Antiqua" w:hAnsi="Book Antiqua" w:cs="Book Antiqua"/>
          <w:i/>
          <w:iCs/>
          <w:color w:val="000000"/>
          <w:sz w:val="24"/>
          <w:szCs w:val="24"/>
          <w:lang w:val="en-US"/>
        </w:rPr>
        <w:t>FASEB J</w:t>
      </w:r>
      <w:r w:rsidRPr="00A96D05">
        <w:rPr>
          <w:rFonts w:ascii="Book Antiqua" w:hAnsi="Book Antiqua" w:cs="Book Antiqua"/>
          <w:color w:val="000000"/>
          <w:sz w:val="24"/>
          <w:szCs w:val="24"/>
          <w:lang w:val="en-US"/>
        </w:rPr>
        <w:t> 2002; </w:t>
      </w:r>
      <w:r w:rsidRPr="00A96D05">
        <w:rPr>
          <w:rFonts w:ascii="Book Antiqua" w:hAnsi="Book Antiqua" w:cs="Book Antiqua"/>
          <w:b/>
          <w:bCs/>
          <w:color w:val="000000"/>
          <w:sz w:val="24"/>
          <w:szCs w:val="24"/>
          <w:lang w:val="en-US"/>
        </w:rPr>
        <w:t>16</w:t>
      </w:r>
      <w:r w:rsidRPr="00A96D05">
        <w:rPr>
          <w:rFonts w:ascii="Book Antiqua" w:hAnsi="Book Antiqua" w:cs="Book Antiqua"/>
          <w:color w:val="000000"/>
          <w:sz w:val="24"/>
          <w:szCs w:val="24"/>
          <w:lang w:val="en-US"/>
        </w:rPr>
        <w:t>: 1931-1933 [PMID: 12368228 DOI: 10.1096/fj.02-0147fje]</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250 </w:t>
      </w:r>
      <w:r w:rsidRPr="00A96D05">
        <w:rPr>
          <w:rFonts w:ascii="Book Antiqua" w:hAnsi="Book Antiqua" w:cs="Book Antiqua"/>
          <w:b/>
          <w:bCs/>
          <w:color w:val="000000"/>
          <w:sz w:val="24"/>
          <w:szCs w:val="24"/>
          <w:lang w:val="en-US"/>
        </w:rPr>
        <w:t>Sen R</w:t>
      </w:r>
      <w:r w:rsidRPr="00A96D05">
        <w:rPr>
          <w:rFonts w:ascii="Book Antiqua" w:hAnsi="Book Antiqua" w:cs="Book Antiqua"/>
          <w:color w:val="000000"/>
          <w:sz w:val="24"/>
          <w:szCs w:val="24"/>
          <w:lang w:val="en-US"/>
        </w:rPr>
        <w:t>, Baltimore D. Inducibility of kappa immunoglobulin enhancer-binding protein Nf-kappa B by a posttranslational mechanism. </w:t>
      </w:r>
      <w:r w:rsidRPr="00A96D05">
        <w:rPr>
          <w:rFonts w:ascii="Book Antiqua" w:hAnsi="Book Antiqua" w:cs="Book Antiqua"/>
          <w:i/>
          <w:iCs/>
          <w:color w:val="000000"/>
          <w:sz w:val="24"/>
          <w:szCs w:val="24"/>
          <w:lang w:val="en-US"/>
        </w:rPr>
        <w:t>Cell</w:t>
      </w:r>
      <w:r w:rsidRPr="00A96D05">
        <w:rPr>
          <w:rFonts w:ascii="Book Antiqua" w:hAnsi="Book Antiqua" w:cs="Book Antiqua"/>
          <w:color w:val="000000"/>
          <w:sz w:val="24"/>
          <w:szCs w:val="24"/>
          <w:lang w:val="en-US"/>
        </w:rPr>
        <w:t> 1986; </w:t>
      </w:r>
      <w:r w:rsidRPr="00A96D05">
        <w:rPr>
          <w:rFonts w:ascii="Book Antiqua" w:hAnsi="Book Antiqua" w:cs="Book Antiqua"/>
          <w:b/>
          <w:bCs/>
          <w:color w:val="000000"/>
          <w:sz w:val="24"/>
          <w:szCs w:val="24"/>
          <w:lang w:val="en-US"/>
        </w:rPr>
        <w:t>47</w:t>
      </w:r>
      <w:r w:rsidRPr="00A96D05">
        <w:rPr>
          <w:rFonts w:ascii="Book Antiqua" w:hAnsi="Book Antiqua" w:cs="Book Antiqua"/>
          <w:color w:val="000000"/>
          <w:sz w:val="24"/>
          <w:szCs w:val="24"/>
          <w:lang w:val="en-US"/>
        </w:rPr>
        <w:t>: 921-928 [PMID: 3096580]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251 </w:t>
      </w:r>
      <w:r w:rsidRPr="00A96D05">
        <w:rPr>
          <w:rFonts w:ascii="Book Antiqua" w:hAnsi="Book Antiqua" w:cs="Book Antiqua"/>
          <w:b/>
          <w:bCs/>
          <w:color w:val="000000"/>
          <w:sz w:val="24"/>
          <w:szCs w:val="24"/>
          <w:lang w:val="en-US"/>
        </w:rPr>
        <w:t>Flohé L</w:t>
      </w:r>
      <w:r w:rsidRPr="00A96D05">
        <w:rPr>
          <w:rFonts w:ascii="Book Antiqua" w:hAnsi="Book Antiqua" w:cs="Book Antiqua"/>
          <w:color w:val="000000"/>
          <w:sz w:val="24"/>
          <w:szCs w:val="24"/>
          <w:lang w:val="en-US"/>
        </w:rPr>
        <w:t>, Brigelius-Flohé R, Saliou C, Traber MG, Packer L. Redox regulation of NF-kappa B activation. </w:t>
      </w:r>
      <w:r w:rsidRPr="00A96D05">
        <w:rPr>
          <w:rFonts w:ascii="Book Antiqua" w:hAnsi="Book Antiqua" w:cs="Book Antiqua"/>
          <w:i/>
          <w:iCs/>
          <w:color w:val="000000"/>
          <w:sz w:val="24"/>
          <w:szCs w:val="24"/>
          <w:lang w:val="en-US"/>
        </w:rPr>
        <w:t>Free Radic Biol Med</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22</w:t>
      </w:r>
      <w:r w:rsidRPr="00A96D05">
        <w:rPr>
          <w:rFonts w:ascii="Book Antiqua" w:hAnsi="Book Antiqua" w:cs="Book Antiqua"/>
          <w:color w:val="000000"/>
          <w:sz w:val="24"/>
          <w:szCs w:val="24"/>
          <w:lang w:val="en-US"/>
        </w:rPr>
        <w:t>: 1115-1126 [PMID: 9034250]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252 </w:t>
      </w:r>
      <w:r w:rsidRPr="00A96D05">
        <w:rPr>
          <w:rFonts w:ascii="Book Antiqua" w:hAnsi="Book Antiqua" w:cs="Book Antiqua"/>
          <w:b/>
          <w:bCs/>
          <w:color w:val="000000"/>
          <w:sz w:val="24"/>
          <w:szCs w:val="24"/>
          <w:lang w:val="en-US"/>
        </w:rPr>
        <w:t>Hayakawa M</w:t>
      </w:r>
      <w:r w:rsidRPr="00A96D05">
        <w:rPr>
          <w:rFonts w:ascii="Book Antiqua" w:hAnsi="Book Antiqua" w:cs="Book Antiqua"/>
          <w:color w:val="000000"/>
          <w:sz w:val="24"/>
          <w:szCs w:val="24"/>
          <w:lang w:val="en-US"/>
        </w:rPr>
        <w:t>, Miyashita H, Sakamoto I, Kitagawa M, Tanaka H, Yasuda H, Karin M, Kikugawa K. Evidence that reactive oxygen species do not mediate NF-kappaB activation. </w:t>
      </w:r>
      <w:r w:rsidRPr="00A96D05">
        <w:rPr>
          <w:rFonts w:ascii="Book Antiqua" w:hAnsi="Book Antiqua" w:cs="Book Antiqua"/>
          <w:i/>
          <w:iCs/>
          <w:color w:val="000000"/>
          <w:sz w:val="24"/>
          <w:szCs w:val="24"/>
          <w:lang w:val="en-US"/>
        </w:rPr>
        <w:t>EMBO J</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22</w:t>
      </w:r>
      <w:r w:rsidRPr="00A96D05">
        <w:rPr>
          <w:rFonts w:ascii="Book Antiqua" w:hAnsi="Book Antiqua" w:cs="Book Antiqua"/>
          <w:color w:val="000000"/>
          <w:sz w:val="24"/>
          <w:szCs w:val="24"/>
          <w:lang w:val="en-US"/>
        </w:rPr>
        <w:t>: 3356-3366 [PMID: 12839997 DOI: 10.1093/emboj/cdg332]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253 </w:t>
      </w:r>
      <w:r w:rsidRPr="00A96D05">
        <w:rPr>
          <w:rFonts w:ascii="Book Antiqua" w:hAnsi="Book Antiqua" w:cs="Book Antiqua"/>
          <w:b/>
          <w:bCs/>
          <w:color w:val="000000"/>
          <w:sz w:val="24"/>
          <w:szCs w:val="24"/>
          <w:lang w:val="en-US"/>
        </w:rPr>
        <w:t>Marui N</w:t>
      </w:r>
      <w:r w:rsidRPr="00A96D05">
        <w:rPr>
          <w:rFonts w:ascii="Book Antiqua" w:hAnsi="Book Antiqua" w:cs="Book Antiqua"/>
          <w:color w:val="000000"/>
          <w:sz w:val="24"/>
          <w:szCs w:val="24"/>
          <w:lang w:val="en-US"/>
        </w:rPr>
        <w:t>, Offermann MK, Swerlick R, Kunsch C, Rosen CA, Ahmad M, Alexander RW, Medford RM. Vascular cell adhesion molecule-1 (VCAM-1) gene transcription and expression are regulated through an antioxidant-sensitive mechanism in human vascular endothelial cells. </w:t>
      </w:r>
      <w:r w:rsidRPr="00A96D05">
        <w:rPr>
          <w:rFonts w:ascii="Book Antiqua" w:hAnsi="Book Antiqua" w:cs="Book Antiqua"/>
          <w:i/>
          <w:iCs/>
          <w:color w:val="000000"/>
          <w:sz w:val="24"/>
          <w:szCs w:val="24"/>
          <w:lang w:val="en-US"/>
        </w:rPr>
        <w:t>J Clin Invest</w:t>
      </w:r>
      <w:r w:rsidRPr="00A96D05">
        <w:rPr>
          <w:rFonts w:ascii="Book Antiqua" w:hAnsi="Book Antiqua" w:cs="Book Antiqua"/>
          <w:color w:val="000000"/>
          <w:sz w:val="24"/>
          <w:szCs w:val="24"/>
          <w:lang w:val="en-US"/>
        </w:rPr>
        <w:t> 1993; </w:t>
      </w:r>
      <w:r w:rsidRPr="00A96D05">
        <w:rPr>
          <w:rFonts w:ascii="Book Antiqua" w:hAnsi="Book Antiqua" w:cs="Book Antiqua"/>
          <w:b/>
          <w:bCs/>
          <w:color w:val="000000"/>
          <w:sz w:val="24"/>
          <w:szCs w:val="24"/>
          <w:lang w:val="en-US"/>
        </w:rPr>
        <w:t>92</w:t>
      </w:r>
      <w:r w:rsidRPr="00A96D05">
        <w:rPr>
          <w:rFonts w:ascii="Book Antiqua" w:hAnsi="Book Antiqua" w:cs="Book Antiqua"/>
          <w:color w:val="000000"/>
          <w:sz w:val="24"/>
          <w:szCs w:val="24"/>
          <w:lang w:val="en-US"/>
        </w:rPr>
        <w:t>: 1866-1874 [PMID: 7691889 DOI: 10.1172/jci116778]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254 </w:t>
      </w:r>
      <w:r w:rsidRPr="00A96D05">
        <w:rPr>
          <w:rFonts w:ascii="Book Antiqua" w:hAnsi="Book Antiqua" w:cs="Book Antiqua"/>
          <w:b/>
          <w:bCs/>
          <w:color w:val="000000"/>
          <w:sz w:val="24"/>
          <w:szCs w:val="24"/>
          <w:lang w:val="en-US"/>
        </w:rPr>
        <w:t>Faruqi RM</w:t>
      </w:r>
      <w:r w:rsidRPr="00A96D05">
        <w:rPr>
          <w:rFonts w:ascii="Book Antiqua" w:hAnsi="Book Antiqua" w:cs="Book Antiqua"/>
          <w:color w:val="000000"/>
          <w:sz w:val="24"/>
          <w:szCs w:val="24"/>
          <w:lang w:val="en-US"/>
        </w:rPr>
        <w:t>, Poptic EJ, Faruqi TR, De La Motte C, DiCorleto PE. Distinct mechanisms for N-acetylcysteine inhibition of cytokine-induced E-selectin and VCAM-1 expression. </w:t>
      </w:r>
      <w:r w:rsidRPr="00A96D05">
        <w:rPr>
          <w:rFonts w:ascii="Book Antiqua" w:hAnsi="Book Antiqua" w:cs="Book Antiqua"/>
          <w:i/>
          <w:iCs/>
          <w:color w:val="000000"/>
          <w:sz w:val="24"/>
          <w:szCs w:val="24"/>
          <w:lang w:val="en-US"/>
        </w:rPr>
        <w:t>Am J Physiol</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273</w:t>
      </w:r>
      <w:r w:rsidRPr="00A96D05">
        <w:rPr>
          <w:rFonts w:ascii="Book Antiqua" w:hAnsi="Book Antiqua" w:cs="Book Antiqua"/>
          <w:color w:val="000000"/>
          <w:sz w:val="24"/>
          <w:szCs w:val="24"/>
          <w:lang w:val="en-US"/>
        </w:rPr>
        <w:t>: H817-H826 [PMID: 9277499]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255 </w:t>
      </w:r>
      <w:r w:rsidRPr="00A96D05">
        <w:rPr>
          <w:rFonts w:ascii="Book Antiqua" w:hAnsi="Book Antiqua" w:cs="Book Antiqua"/>
          <w:b/>
          <w:bCs/>
          <w:color w:val="000000"/>
          <w:sz w:val="24"/>
          <w:szCs w:val="24"/>
          <w:lang w:val="en-US"/>
        </w:rPr>
        <w:t>Toborek M</w:t>
      </w:r>
      <w:r w:rsidRPr="00A96D05">
        <w:rPr>
          <w:rFonts w:ascii="Book Antiqua" w:hAnsi="Book Antiqua" w:cs="Book Antiqua"/>
          <w:color w:val="000000"/>
          <w:sz w:val="24"/>
          <w:szCs w:val="24"/>
          <w:lang w:val="en-US"/>
        </w:rPr>
        <w:t>, Barger SW, Mattson MP, McClain CJ, Hennig B. Role of glutathione redox cycle in TNF-alpha-mediated endothelial cell dysfunction. </w:t>
      </w:r>
      <w:r w:rsidRPr="00A96D05">
        <w:rPr>
          <w:rFonts w:ascii="Book Antiqua" w:hAnsi="Book Antiqua" w:cs="Book Antiqua"/>
          <w:i/>
          <w:iCs/>
          <w:color w:val="000000"/>
          <w:sz w:val="24"/>
          <w:szCs w:val="24"/>
          <w:lang w:val="en-US"/>
        </w:rPr>
        <w:t>Atherosclerosis</w:t>
      </w:r>
      <w:r w:rsidRPr="00A96D05">
        <w:rPr>
          <w:rFonts w:ascii="Book Antiqua" w:hAnsi="Book Antiqua" w:cs="Book Antiqua"/>
          <w:color w:val="000000"/>
          <w:sz w:val="24"/>
          <w:szCs w:val="24"/>
          <w:lang w:val="en-US"/>
        </w:rPr>
        <w:t> 1995; </w:t>
      </w:r>
      <w:r w:rsidRPr="00A96D05">
        <w:rPr>
          <w:rFonts w:ascii="Book Antiqua" w:hAnsi="Book Antiqua" w:cs="Book Antiqua"/>
          <w:b/>
          <w:bCs/>
          <w:color w:val="000000"/>
          <w:sz w:val="24"/>
          <w:szCs w:val="24"/>
          <w:lang w:val="en-US"/>
        </w:rPr>
        <w:t>117</w:t>
      </w:r>
      <w:r w:rsidRPr="00A96D05">
        <w:rPr>
          <w:rFonts w:ascii="Book Antiqua" w:hAnsi="Book Antiqua" w:cs="Book Antiqua"/>
          <w:color w:val="000000"/>
          <w:sz w:val="24"/>
          <w:szCs w:val="24"/>
          <w:lang w:val="en-US"/>
        </w:rPr>
        <w:t xml:space="preserve">: 179-188 [PMID: 8801863 DOI: </w:t>
      </w:r>
      <w:hyperlink r:id="rId25" w:tgtFrame="_blank" w:history="1">
        <w:r w:rsidRPr="00A96D05">
          <w:rPr>
            <w:rStyle w:val="Hyperlink"/>
            <w:rFonts w:ascii="Book Antiqua" w:hAnsi="Book Antiqua" w:cs="Book Antiqua"/>
            <w:color w:val="000000"/>
            <w:sz w:val="24"/>
            <w:szCs w:val="24"/>
            <w:u w:val="none"/>
            <w:shd w:val="clear" w:color="auto" w:fill="FFFFFF"/>
            <w:lang w:val="en-US"/>
          </w:rPr>
          <w:t>10.1016/0021-9150(95)05568-H</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256 </w:t>
      </w:r>
      <w:r w:rsidRPr="00A96D05">
        <w:rPr>
          <w:rFonts w:ascii="Book Antiqua" w:hAnsi="Book Antiqua" w:cs="Book Antiqua"/>
          <w:b/>
          <w:bCs/>
          <w:color w:val="000000"/>
          <w:sz w:val="24"/>
          <w:szCs w:val="24"/>
          <w:lang w:val="en-US"/>
        </w:rPr>
        <w:t>Bouloumie A</w:t>
      </w:r>
      <w:r w:rsidRPr="00A96D05">
        <w:rPr>
          <w:rFonts w:ascii="Book Antiqua" w:hAnsi="Book Antiqua" w:cs="Book Antiqua"/>
          <w:color w:val="000000"/>
          <w:sz w:val="24"/>
          <w:szCs w:val="24"/>
          <w:lang w:val="en-US"/>
        </w:rPr>
        <w:t>, Marumo T, Lafontan M, Busse R. Leptin induces oxidative stress in human endothelial cells. </w:t>
      </w:r>
      <w:r w:rsidRPr="00A96D05">
        <w:rPr>
          <w:rFonts w:ascii="Book Antiqua" w:hAnsi="Book Antiqua" w:cs="Book Antiqua"/>
          <w:i/>
          <w:iCs/>
          <w:color w:val="000000"/>
          <w:sz w:val="24"/>
          <w:szCs w:val="24"/>
          <w:lang w:val="en-US"/>
        </w:rPr>
        <w:t>FASEB J</w:t>
      </w:r>
      <w:r w:rsidRPr="00A96D05">
        <w:rPr>
          <w:rFonts w:ascii="Book Antiqua" w:hAnsi="Book Antiqua" w:cs="Book Antiqua"/>
          <w:color w:val="000000"/>
          <w:sz w:val="24"/>
          <w:szCs w:val="24"/>
          <w:lang w:val="en-US"/>
        </w:rPr>
        <w:t> 1999; </w:t>
      </w:r>
      <w:r w:rsidRPr="00A96D05">
        <w:rPr>
          <w:rFonts w:ascii="Book Antiqua" w:hAnsi="Book Antiqua" w:cs="Book Antiqua"/>
          <w:b/>
          <w:bCs/>
          <w:color w:val="000000"/>
          <w:sz w:val="24"/>
          <w:szCs w:val="24"/>
          <w:lang w:val="en-US"/>
        </w:rPr>
        <w:t>13</w:t>
      </w:r>
      <w:r w:rsidRPr="00A96D05">
        <w:rPr>
          <w:rFonts w:ascii="Book Antiqua" w:hAnsi="Book Antiqua" w:cs="Book Antiqua"/>
          <w:color w:val="000000"/>
          <w:sz w:val="24"/>
          <w:szCs w:val="24"/>
          <w:lang w:val="en-US"/>
        </w:rPr>
        <w:t>: 1231-1238 [PMID: 10385613]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257 </w:t>
      </w:r>
      <w:r w:rsidRPr="00A96D05">
        <w:rPr>
          <w:rFonts w:ascii="Book Antiqua" w:hAnsi="Book Antiqua" w:cs="Book Antiqua"/>
          <w:b/>
          <w:bCs/>
          <w:color w:val="000000"/>
          <w:sz w:val="24"/>
          <w:szCs w:val="24"/>
          <w:lang w:val="en-US"/>
        </w:rPr>
        <w:t>Hashimoto S</w:t>
      </w:r>
      <w:r w:rsidRPr="00A96D05">
        <w:rPr>
          <w:rFonts w:ascii="Book Antiqua" w:hAnsi="Book Antiqua" w:cs="Book Antiqua"/>
          <w:color w:val="000000"/>
          <w:sz w:val="24"/>
          <w:szCs w:val="24"/>
          <w:lang w:val="en-US"/>
        </w:rPr>
        <w:t>, Gon Y, Matsumoto K, Takeshita I, Horie T. N-acetylcysteine attenuates TNF-alpha-induced p38 MAP kinase activation and p38 MAP kinase-mediated IL-8 production by human pulmonary vascular endothelial cells. </w:t>
      </w:r>
      <w:r w:rsidRPr="00A96D05">
        <w:rPr>
          <w:rFonts w:ascii="Book Antiqua" w:hAnsi="Book Antiqua" w:cs="Book Antiqua"/>
          <w:i/>
          <w:iCs/>
          <w:color w:val="000000"/>
          <w:sz w:val="24"/>
          <w:szCs w:val="24"/>
          <w:lang w:val="en-US"/>
        </w:rPr>
        <w:t>Br J Pharmacol</w:t>
      </w:r>
      <w:r w:rsidRPr="00A96D05">
        <w:rPr>
          <w:rFonts w:ascii="Book Antiqua" w:hAnsi="Book Antiqua" w:cs="Book Antiqua"/>
          <w:color w:val="000000"/>
          <w:sz w:val="24"/>
          <w:szCs w:val="24"/>
          <w:lang w:val="en-US"/>
        </w:rPr>
        <w:t> 2001; </w:t>
      </w:r>
      <w:r w:rsidRPr="00A96D05">
        <w:rPr>
          <w:rFonts w:ascii="Book Antiqua" w:hAnsi="Book Antiqua" w:cs="Book Antiqua"/>
          <w:b/>
          <w:bCs/>
          <w:color w:val="000000"/>
          <w:sz w:val="24"/>
          <w:szCs w:val="24"/>
          <w:lang w:val="en-US"/>
        </w:rPr>
        <w:t>132</w:t>
      </w:r>
      <w:r w:rsidRPr="00A96D05">
        <w:rPr>
          <w:rFonts w:ascii="Book Antiqua" w:hAnsi="Book Antiqua" w:cs="Book Antiqua"/>
          <w:color w:val="000000"/>
          <w:sz w:val="24"/>
          <w:szCs w:val="24"/>
          <w:lang w:val="en-US"/>
        </w:rPr>
        <w:t>: 270-276 [PMID: 11156586 DOI: 10.1038/sj.bjp.0703787]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258 </w:t>
      </w:r>
      <w:r w:rsidRPr="00A96D05">
        <w:rPr>
          <w:rFonts w:ascii="Book Antiqua" w:hAnsi="Book Antiqua" w:cs="Book Antiqua"/>
          <w:b/>
          <w:bCs/>
          <w:color w:val="000000"/>
          <w:sz w:val="24"/>
          <w:szCs w:val="24"/>
          <w:lang w:val="en-US"/>
        </w:rPr>
        <w:t>Zafarullah M</w:t>
      </w:r>
      <w:r w:rsidRPr="00A96D05">
        <w:rPr>
          <w:rFonts w:ascii="Book Antiqua" w:hAnsi="Book Antiqua" w:cs="Book Antiqua"/>
          <w:color w:val="000000"/>
          <w:sz w:val="24"/>
          <w:szCs w:val="24"/>
          <w:lang w:val="en-US"/>
        </w:rPr>
        <w:t>, Li WQ, Sylvester J, Ahmad M. Molecular mechanisms of N-acetylcysteine actions. </w:t>
      </w:r>
      <w:r w:rsidRPr="00A96D05">
        <w:rPr>
          <w:rFonts w:ascii="Book Antiqua" w:hAnsi="Book Antiqua" w:cs="Book Antiqua"/>
          <w:i/>
          <w:iCs/>
          <w:color w:val="000000"/>
          <w:sz w:val="24"/>
          <w:szCs w:val="24"/>
          <w:lang w:val="en-US"/>
        </w:rPr>
        <w:t>Cell Mol Life Sci</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60</w:t>
      </w:r>
      <w:r w:rsidRPr="00A96D05">
        <w:rPr>
          <w:rFonts w:ascii="Book Antiqua" w:hAnsi="Book Antiqua" w:cs="Book Antiqua"/>
          <w:color w:val="000000"/>
          <w:sz w:val="24"/>
          <w:szCs w:val="24"/>
          <w:lang w:val="en-US"/>
        </w:rPr>
        <w:t>: 6-20 [PMID: 12613655]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259 </w:t>
      </w:r>
      <w:r w:rsidRPr="00A96D05">
        <w:rPr>
          <w:rFonts w:ascii="Book Antiqua" w:hAnsi="Book Antiqua" w:cs="Book Antiqua"/>
          <w:b/>
          <w:bCs/>
          <w:color w:val="000000"/>
          <w:sz w:val="24"/>
          <w:szCs w:val="24"/>
          <w:lang w:val="en-US"/>
        </w:rPr>
        <w:t>Kretzmann NA</w:t>
      </w:r>
      <w:r w:rsidRPr="00A96D05">
        <w:rPr>
          <w:rFonts w:ascii="Book Antiqua" w:hAnsi="Book Antiqua" w:cs="Book Antiqua"/>
          <w:color w:val="000000"/>
          <w:sz w:val="24"/>
          <w:szCs w:val="24"/>
          <w:lang w:val="en-US"/>
        </w:rPr>
        <w:t>, Chiela E, Matte U, Marroni N, Marroni CA. N-acetylcysteine improves antitumoural response of Interferon alpha by NF-kB downregulation in liver cancer cells. </w:t>
      </w:r>
      <w:r w:rsidRPr="00A96D05">
        <w:rPr>
          <w:rFonts w:ascii="Book Antiqua" w:hAnsi="Book Antiqua" w:cs="Book Antiqua"/>
          <w:i/>
          <w:iCs/>
          <w:color w:val="000000"/>
          <w:sz w:val="24"/>
          <w:szCs w:val="24"/>
          <w:lang w:val="en-US"/>
        </w:rPr>
        <w:t>Comp Hepatol</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11</w:t>
      </w:r>
      <w:r w:rsidRPr="00A96D05">
        <w:rPr>
          <w:rFonts w:ascii="Book Antiqua" w:hAnsi="Book Antiqua" w:cs="Book Antiqua"/>
          <w:color w:val="000000"/>
          <w:sz w:val="24"/>
          <w:szCs w:val="24"/>
          <w:lang w:val="en-US"/>
        </w:rPr>
        <w:t>: 4 [PMID: 23206959 DOI: 10.1186/1476-5926-11-4]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260 </w:t>
      </w:r>
      <w:r w:rsidRPr="00A96D05">
        <w:rPr>
          <w:rFonts w:ascii="Book Antiqua" w:hAnsi="Book Antiqua" w:cs="Book Antiqua"/>
          <w:b/>
          <w:bCs/>
          <w:color w:val="000000"/>
          <w:sz w:val="24"/>
          <w:szCs w:val="24"/>
          <w:lang w:val="en-US"/>
        </w:rPr>
        <w:t>Li YQ</w:t>
      </w:r>
      <w:r w:rsidRPr="00A96D05">
        <w:rPr>
          <w:rFonts w:ascii="Book Antiqua" w:hAnsi="Book Antiqua" w:cs="Book Antiqua"/>
          <w:color w:val="000000"/>
          <w:sz w:val="24"/>
          <w:szCs w:val="24"/>
          <w:lang w:val="en-US"/>
        </w:rPr>
        <w:t>, Zhang ZX, Xu YJ, Ni W, Chen SX, Yang Z, Ma D. N-Acetyl-L-cysteine and pyrrolidine dithiocarbamate inhibited nuclear factor-kappaB activation in alveolar macrophages by different mechanisms. </w:t>
      </w:r>
      <w:r w:rsidRPr="00A96D05">
        <w:rPr>
          <w:rFonts w:ascii="Book Antiqua" w:hAnsi="Book Antiqua" w:cs="Book Antiqua"/>
          <w:i/>
          <w:iCs/>
          <w:color w:val="000000"/>
          <w:sz w:val="24"/>
          <w:szCs w:val="24"/>
          <w:lang w:val="en-US"/>
        </w:rPr>
        <w:t>Acta Pharmacol Sin</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27</w:t>
      </w:r>
      <w:r w:rsidRPr="00A96D05">
        <w:rPr>
          <w:rFonts w:ascii="Book Antiqua" w:hAnsi="Book Antiqua" w:cs="Book Antiqua"/>
          <w:color w:val="000000"/>
          <w:sz w:val="24"/>
          <w:szCs w:val="24"/>
          <w:lang w:val="en-US"/>
        </w:rPr>
        <w:t>: 339-346 [PMID: 16490171 DOI: 10.1111/j.1745-7254.2006.00264.x]</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261 </w:t>
      </w:r>
      <w:r w:rsidRPr="00A96D05">
        <w:rPr>
          <w:rFonts w:ascii="Book Antiqua" w:hAnsi="Book Antiqua" w:cs="Book Antiqua"/>
          <w:b/>
          <w:bCs/>
          <w:color w:val="000000"/>
          <w:sz w:val="24"/>
          <w:szCs w:val="24"/>
          <w:lang w:val="en-US"/>
        </w:rPr>
        <w:t>Arnold MM</w:t>
      </w:r>
      <w:r w:rsidRPr="00A96D05">
        <w:rPr>
          <w:rFonts w:ascii="Book Antiqua" w:hAnsi="Book Antiqua" w:cs="Book Antiqua"/>
          <w:color w:val="000000"/>
          <w:sz w:val="24"/>
          <w:szCs w:val="24"/>
          <w:lang w:val="en-US"/>
        </w:rPr>
        <w:t>, Barro M, Patton JT. Rotavirus NSP1 mediates degradation of interferon regulatory factors through targeting of the dimerization domain.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87</w:t>
      </w:r>
      <w:r w:rsidRPr="00A96D05">
        <w:rPr>
          <w:rFonts w:ascii="Book Antiqua" w:hAnsi="Book Antiqua" w:cs="Book Antiqua"/>
          <w:color w:val="000000"/>
          <w:sz w:val="24"/>
          <w:szCs w:val="24"/>
          <w:lang w:val="en-US"/>
        </w:rPr>
        <w:t>: 9813-9821 [PMID: 23824805 DOI: 10.1128/jvi.01146-13]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262 </w:t>
      </w:r>
      <w:r w:rsidRPr="00A96D05">
        <w:rPr>
          <w:rFonts w:ascii="Book Antiqua" w:hAnsi="Book Antiqua" w:cs="Book Antiqua"/>
          <w:b/>
          <w:bCs/>
          <w:color w:val="000000"/>
          <w:sz w:val="24"/>
          <w:szCs w:val="24"/>
          <w:lang w:val="en-US"/>
        </w:rPr>
        <w:t>Hu L</w:t>
      </w:r>
      <w:r w:rsidRPr="00A96D05">
        <w:rPr>
          <w:rFonts w:ascii="Book Antiqua" w:hAnsi="Book Antiqua" w:cs="Book Antiqua"/>
          <w:color w:val="000000"/>
          <w:sz w:val="24"/>
          <w:szCs w:val="24"/>
          <w:lang w:val="en-US"/>
        </w:rPr>
        <w:t>, Crawford SE, Hyser JM, Estes MK, Prasad BV. Rotavirus non-structural proteins: structure and function. </w:t>
      </w:r>
      <w:r w:rsidRPr="00A96D05">
        <w:rPr>
          <w:rFonts w:ascii="Book Antiqua" w:hAnsi="Book Antiqua" w:cs="Book Antiqua"/>
          <w:i/>
          <w:iCs/>
          <w:color w:val="000000"/>
          <w:sz w:val="24"/>
          <w:szCs w:val="24"/>
          <w:lang w:val="en-US"/>
        </w:rPr>
        <w:t>Curr Opin Virol</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2</w:t>
      </w:r>
      <w:r w:rsidRPr="00A96D05">
        <w:rPr>
          <w:rFonts w:ascii="Book Antiqua" w:hAnsi="Book Antiqua" w:cs="Book Antiqua"/>
          <w:color w:val="000000"/>
          <w:sz w:val="24"/>
          <w:szCs w:val="24"/>
          <w:lang w:val="en-US"/>
        </w:rPr>
        <w:t>: 380-388 [PMID: 22789743 DOI: 10.1016/j.coviro.2012.06.003]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263 </w:t>
      </w:r>
      <w:r w:rsidRPr="00A96D05">
        <w:rPr>
          <w:rFonts w:ascii="Book Antiqua" w:hAnsi="Book Antiqua" w:cs="Book Antiqua"/>
          <w:b/>
          <w:bCs/>
          <w:color w:val="000000"/>
          <w:sz w:val="24"/>
          <w:szCs w:val="24"/>
          <w:lang w:val="en-US"/>
        </w:rPr>
        <w:t>Barro M</w:t>
      </w:r>
      <w:r w:rsidRPr="00A96D05">
        <w:rPr>
          <w:rFonts w:ascii="Book Antiqua" w:hAnsi="Book Antiqua" w:cs="Book Antiqua"/>
          <w:color w:val="000000"/>
          <w:sz w:val="24"/>
          <w:szCs w:val="24"/>
          <w:lang w:val="en-US"/>
        </w:rPr>
        <w:t>, Patton JT. Rotavirus NSP1 inhibits expression of type I interferon by antagonizing the function of interferon regulatory factors IRF3, IRF5, and IRF7.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81</w:t>
      </w:r>
      <w:r w:rsidRPr="00A96D05">
        <w:rPr>
          <w:rFonts w:ascii="Book Antiqua" w:hAnsi="Book Antiqua" w:cs="Book Antiqua"/>
          <w:color w:val="000000"/>
          <w:sz w:val="24"/>
          <w:szCs w:val="24"/>
          <w:lang w:val="en-US"/>
        </w:rPr>
        <w:t>: 4473-4481 [PMID: 17301153 DOI: 10.1128/jvi.02498-06]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264 </w:t>
      </w:r>
      <w:r w:rsidRPr="00A96D05">
        <w:rPr>
          <w:rFonts w:ascii="Book Antiqua" w:hAnsi="Book Antiqua" w:cs="Book Antiqua"/>
          <w:b/>
          <w:bCs/>
          <w:color w:val="000000"/>
          <w:sz w:val="24"/>
          <w:szCs w:val="24"/>
          <w:lang w:val="en-US"/>
        </w:rPr>
        <w:t>Feng N</w:t>
      </w:r>
      <w:r w:rsidRPr="00A96D05">
        <w:rPr>
          <w:rFonts w:ascii="Book Antiqua" w:hAnsi="Book Antiqua" w:cs="Book Antiqua"/>
          <w:color w:val="000000"/>
          <w:sz w:val="24"/>
          <w:szCs w:val="24"/>
          <w:lang w:val="en-US"/>
        </w:rPr>
        <w:t>, Sen A, Nguyen H, Vo P, Hoshino Y, Deal EM, Greenberg HB. Variation in antagonism of the interferon response to rotavirus NSP1 results in differential infectivity in mouse embryonic fibroblasts.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83</w:t>
      </w:r>
      <w:r w:rsidRPr="00A96D05">
        <w:rPr>
          <w:rFonts w:ascii="Book Antiqua" w:hAnsi="Book Antiqua" w:cs="Book Antiqua"/>
          <w:color w:val="000000"/>
          <w:sz w:val="24"/>
          <w:szCs w:val="24"/>
          <w:lang w:val="en-US"/>
        </w:rPr>
        <w:t>: 6987-6994 [PMID: 19420080 DOI: 10.1128/jvi.00585-09]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265 </w:t>
      </w:r>
      <w:r w:rsidRPr="00A96D05">
        <w:rPr>
          <w:rFonts w:ascii="Book Antiqua" w:hAnsi="Book Antiqua" w:cs="Book Antiqua"/>
          <w:b/>
          <w:bCs/>
          <w:color w:val="000000"/>
          <w:sz w:val="24"/>
          <w:szCs w:val="24"/>
          <w:lang w:val="en-US"/>
        </w:rPr>
        <w:t>Sen A</w:t>
      </w:r>
      <w:r w:rsidRPr="00A96D05">
        <w:rPr>
          <w:rFonts w:ascii="Book Antiqua" w:hAnsi="Book Antiqua" w:cs="Book Antiqua"/>
          <w:color w:val="000000"/>
          <w:sz w:val="24"/>
          <w:szCs w:val="24"/>
          <w:lang w:val="en-US"/>
        </w:rPr>
        <w:t>, Feng N, Ettayebi K, Hardy ME, Greenberg HB. IRF3 inhibition by rotavirus NSP1 is host cell and virus strain dependent but independent of NSP1 proteasomal degradation.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83</w:t>
      </w:r>
      <w:r w:rsidRPr="00A96D05">
        <w:rPr>
          <w:rFonts w:ascii="Book Antiqua" w:hAnsi="Book Antiqua" w:cs="Book Antiqua"/>
          <w:color w:val="000000"/>
          <w:sz w:val="24"/>
          <w:szCs w:val="24"/>
          <w:lang w:val="en-US"/>
        </w:rPr>
        <w:t>: 10322-10335 [PMID: 19656876 DOI: 10.1128/jvi.01186-09]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266 </w:t>
      </w:r>
      <w:r w:rsidRPr="00A96D05">
        <w:rPr>
          <w:rFonts w:ascii="Book Antiqua" w:hAnsi="Book Antiqua" w:cs="Book Antiqua"/>
          <w:b/>
          <w:bCs/>
          <w:color w:val="000000"/>
          <w:sz w:val="24"/>
          <w:szCs w:val="24"/>
          <w:lang w:val="en-US"/>
        </w:rPr>
        <w:t>Graff JW</w:t>
      </w:r>
      <w:r w:rsidRPr="00A96D05">
        <w:rPr>
          <w:rFonts w:ascii="Book Antiqua" w:hAnsi="Book Antiqua" w:cs="Book Antiqua"/>
          <w:color w:val="000000"/>
          <w:sz w:val="24"/>
          <w:szCs w:val="24"/>
          <w:lang w:val="en-US"/>
        </w:rPr>
        <w:t>, Ettayebi K, Hardy ME. Rotavirus NSP1 inhibits NFkappaB activation by inducing proteasome-dependent degradation of beta-TrCP: a novel mechanism of IFN antagonism. </w:t>
      </w:r>
      <w:r w:rsidRPr="00A96D05">
        <w:rPr>
          <w:rFonts w:ascii="Book Antiqua" w:hAnsi="Book Antiqua" w:cs="Book Antiqua"/>
          <w:i/>
          <w:iCs/>
          <w:color w:val="000000"/>
          <w:sz w:val="24"/>
          <w:szCs w:val="24"/>
          <w:lang w:val="en-US"/>
        </w:rPr>
        <w:t>PLoS Pathog</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5</w:t>
      </w:r>
      <w:r w:rsidRPr="00A96D05">
        <w:rPr>
          <w:rFonts w:ascii="Book Antiqua" w:hAnsi="Book Antiqua" w:cs="Book Antiqua"/>
          <w:color w:val="000000"/>
          <w:sz w:val="24"/>
          <w:szCs w:val="24"/>
          <w:lang w:val="en-US"/>
        </w:rPr>
        <w:t>: e1000280 [PMID: 19180189 DOI: 10.1371/journal.ppat.1000280]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267 </w:t>
      </w:r>
      <w:r w:rsidRPr="00A96D05">
        <w:rPr>
          <w:rFonts w:ascii="Book Antiqua" w:hAnsi="Book Antiqua" w:cs="Book Antiqua"/>
          <w:b/>
          <w:bCs/>
          <w:color w:val="000000"/>
          <w:sz w:val="24"/>
          <w:szCs w:val="24"/>
          <w:lang w:val="en-US"/>
        </w:rPr>
        <w:t>Mansur DS</w:t>
      </w:r>
      <w:r w:rsidRPr="00A96D05">
        <w:rPr>
          <w:rFonts w:ascii="Book Antiqua" w:hAnsi="Book Antiqua" w:cs="Book Antiqua"/>
          <w:color w:val="000000"/>
          <w:sz w:val="24"/>
          <w:szCs w:val="24"/>
          <w:lang w:val="en-US"/>
        </w:rPr>
        <w:t xml:space="preserve">, Maluquer de Motes C, Unterholzner L, Sumner RP, Ferguson BJ, Ren H, Strnadova P, Bowie AG, Smith GL. Poxvirus targeting of E3 ligase </w:t>
      </w:r>
      <w:r w:rsidRPr="00A96D05">
        <w:rPr>
          <w:rFonts w:ascii="Book Antiqua" w:hAnsi="Book Antiqua" w:cs="Book Antiqua"/>
          <w:color w:val="000000"/>
          <w:sz w:val="24"/>
          <w:szCs w:val="24"/>
        </w:rPr>
        <w:t>β</w:t>
      </w:r>
      <w:r w:rsidRPr="00A96D05">
        <w:rPr>
          <w:rFonts w:ascii="Book Antiqua" w:hAnsi="Book Antiqua" w:cs="Book Antiqua"/>
          <w:color w:val="000000"/>
          <w:sz w:val="24"/>
          <w:szCs w:val="24"/>
          <w:lang w:val="en-US"/>
        </w:rPr>
        <w:t>-TrCP by molecular mimicry: a mechanism to inhibit NF-</w:t>
      </w:r>
      <w:r w:rsidRPr="00A96D05">
        <w:rPr>
          <w:rFonts w:ascii="Book Antiqua" w:hAnsi="Book Antiqua" w:cs="Book Antiqua"/>
          <w:color w:val="000000"/>
          <w:sz w:val="24"/>
          <w:szCs w:val="24"/>
        </w:rPr>
        <w:t>κ</w:t>
      </w:r>
      <w:r w:rsidRPr="00A96D05">
        <w:rPr>
          <w:rFonts w:ascii="Book Antiqua" w:hAnsi="Book Antiqua" w:cs="Book Antiqua"/>
          <w:color w:val="000000"/>
          <w:sz w:val="24"/>
          <w:szCs w:val="24"/>
          <w:lang w:val="en-US"/>
        </w:rPr>
        <w:t>B activation and promote immune evasion and virulence. </w:t>
      </w:r>
      <w:r w:rsidRPr="00A96D05">
        <w:rPr>
          <w:rFonts w:ascii="Book Antiqua" w:hAnsi="Book Antiqua" w:cs="Book Antiqua"/>
          <w:i/>
          <w:iCs/>
          <w:color w:val="000000"/>
          <w:sz w:val="24"/>
          <w:szCs w:val="24"/>
          <w:lang w:val="en-US"/>
        </w:rPr>
        <w:t>PLoS Pathog</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9</w:t>
      </w:r>
      <w:r w:rsidRPr="00A96D05">
        <w:rPr>
          <w:rFonts w:ascii="Book Antiqua" w:hAnsi="Book Antiqua" w:cs="Book Antiqua"/>
          <w:color w:val="000000"/>
          <w:sz w:val="24"/>
          <w:szCs w:val="24"/>
          <w:lang w:val="en-US"/>
        </w:rPr>
        <w:t>: e1003183 [PMID: 23468625 DOI: 10.1371/journal.ppat.1003183]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268 </w:t>
      </w:r>
      <w:r w:rsidRPr="00A96D05">
        <w:rPr>
          <w:rFonts w:ascii="Book Antiqua" w:hAnsi="Book Antiqua" w:cs="Book Antiqua"/>
          <w:b/>
          <w:bCs/>
          <w:color w:val="000000"/>
          <w:sz w:val="24"/>
          <w:szCs w:val="24"/>
          <w:lang w:val="en-US"/>
        </w:rPr>
        <w:t>Holloway G</w:t>
      </w:r>
      <w:r w:rsidRPr="00A96D05">
        <w:rPr>
          <w:rFonts w:ascii="Book Antiqua" w:hAnsi="Book Antiqua" w:cs="Book Antiqua"/>
          <w:color w:val="000000"/>
          <w:sz w:val="24"/>
          <w:szCs w:val="24"/>
          <w:lang w:val="en-US"/>
        </w:rPr>
        <w:t>, Truong TT, Coulson BS. Rotavirus antagonizes cellular antiviral responses by inhibiting the nuclear accumulation of STAT1, STAT2, and NF-kappaB.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83</w:t>
      </w:r>
      <w:r w:rsidRPr="00A96D05">
        <w:rPr>
          <w:rFonts w:ascii="Book Antiqua" w:hAnsi="Book Antiqua" w:cs="Book Antiqua"/>
          <w:color w:val="000000"/>
          <w:sz w:val="24"/>
          <w:szCs w:val="24"/>
          <w:lang w:val="en-US"/>
        </w:rPr>
        <w:t>: 4942-4951 [PMID: 19244315 DOI: 10.1128/jvi.01450-08]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269 </w:t>
      </w:r>
      <w:r w:rsidRPr="00A96D05">
        <w:rPr>
          <w:rFonts w:ascii="Book Antiqua" w:hAnsi="Book Antiqua" w:cs="Book Antiqua"/>
          <w:b/>
          <w:bCs/>
          <w:color w:val="000000"/>
          <w:sz w:val="24"/>
          <w:szCs w:val="24"/>
          <w:lang w:val="en-US"/>
        </w:rPr>
        <w:t>Bagchi P</w:t>
      </w:r>
      <w:r w:rsidRPr="00A96D05">
        <w:rPr>
          <w:rFonts w:ascii="Book Antiqua" w:hAnsi="Book Antiqua" w:cs="Book Antiqua"/>
          <w:color w:val="000000"/>
          <w:sz w:val="24"/>
          <w:szCs w:val="24"/>
          <w:lang w:val="en-US"/>
        </w:rPr>
        <w:t>, Dutta D, Chattopadhyay S, Mukherjee A, Halder UC, Sarkar S, Kobayashi N, Komoto S, Taniguchi K, Chawla-Sarkar M. Rotavirus nonstructural protein 1 suppresses virus-induced cellular apoptosis to facilitate viral growth by activating the cell survival pathways during early stages of infection.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84</w:t>
      </w:r>
      <w:r w:rsidRPr="00A96D05">
        <w:rPr>
          <w:rFonts w:ascii="Book Antiqua" w:hAnsi="Book Antiqua" w:cs="Book Antiqua"/>
          <w:color w:val="000000"/>
          <w:sz w:val="24"/>
          <w:szCs w:val="24"/>
          <w:lang w:val="en-US"/>
        </w:rPr>
        <w:t>: 6834-6845 [PMID: 20392855 DOI: 10.1128/jvi.00225-10]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270 </w:t>
      </w:r>
      <w:r w:rsidRPr="00A96D05">
        <w:rPr>
          <w:rFonts w:ascii="Book Antiqua" w:hAnsi="Book Antiqua" w:cs="Book Antiqua"/>
          <w:b/>
          <w:bCs/>
          <w:color w:val="000000"/>
          <w:sz w:val="24"/>
          <w:szCs w:val="24"/>
          <w:lang w:val="en-US"/>
        </w:rPr>
        <w:t>Zijlstra RT</w:t>
      </w:r>
      <w:r w:rsidRPr="00A96D05">
        <w:rPr>
          <w:rFonts w:ascii="Book Antiqua" w:hAnsi="Book Antiqua" w:cs="Book Antiqua"/>
          <w:color w:val="000000"/>
          <w:sz w:val="24"/>
          <w:szCs w:val="24"/>
          <w:lang w:val="en-US"/>
        </w:rPr>
        <w:t>, McCracken BA, Odle J, Donovan SM, Gelberg HB, Petschow BW, Zuckermann FA, Gaskins HR. Malnutrition modifies pig small intestinal inflammatory responses to rotavirus. </w:t>
      </w:r>
      <w:r w:rsidRPr="00A96D05">
        <w:rPr>
          <w:rFonts w:ascii="Book Antiqua" w:hAnsi="Book Antiqua" w:cs="Book Antiqua"/>
          <w:i/>
          <w:iCs/>
          <w:color w:val="000000"/>
          <w:sz w:val="24"/>
          <w:szCs w:val="24"/>
          <w:lang w:val="en-US"/>
        </w:rPr>
        <w:t>J Nutr</w:t>
      </w:r>
      <w:r w:rsidRPr="00A96D05">
        <w:rPr>
          <w:rFonts w:ascii="Book Antiqua" w:hAnsi="Book Antiqua" w:cs="Book Antiqua"/>
          <w:color w:val="000000"/>
          <w:sz w:val="24"/>
          <w:szCs w:val="24"/>
          <w:lang w:val="en-US"/>
        </w:rPr>
        <w:t> 1999; </w:t>
      </w:r>
      <w:r w:rsidRPr="00A96D05">
        <w:rPr>
          <w:rFonts w:ascii="Book Antiqua" w:hAnsi="Book Antiqua" w:cs="Book Antiqua"/>
          <w:b/>
          <w:bCs/>
          <w:color w:val="000000"/>
          <w:sz w:val="24"/>
          <w:szCs w:val="24"/>
          <w:lang w:val="en-US"/>
        </w:rPr>
        <w:t>129</w:t>
      </w:r>
      <w:r w:rsidRPr="00A96D05">
        <w:rPr>
          <w:rFonts w:ascii="Book Antiqua" w:hAnsi="Book Antiqua" w:cs="Book Antiqua"/>
          <w:color w:val="000000"/>
          <w:sz w:val="24"/>
          <w:szCs w:val="24"/>
          <w:lang w:val="en-US"/>
        </w:rPr>
        <w:t>: 838-843 [PMID: 10203558]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271 </w:t>
      </w:r>
      <w:r w:rsidRPr="00A96D05">
        <w:rPr>
          <w:rFonts w:ascii="Book Antiqua" w:hAnsi="Book Antiqua" w:cs="Book Antiqua"/>
          <w:b/>
          <w:bCs/>
          <w:color w:val="000000"/>
          <w:sz w:val="24"/>
          <w:szCs w:val="24"/>
          <w:lang w:val="en-US"/>
        </w:rPr>
        <w:t>Rossen JW</w:t>
      </w:r>
      <w:r w:rsidRPr="00A96D05">
        <w:rPr>
          <w:rFonts w:ascii="Book Antiqua" w:hAnsi="Book Antiqua" w:cs="Book Antiqua"/>
          <w:color w:val="000000"/>
          <w:sz w:val="24"/>
          <w:szCs w:val="24"/>
          <w:lang w:val="en-US"/>
        </w:rPr>
        <w:t>, Bouma J, Raatgeep RH, Büller HA, Einerhand AW. Inhibition of cyclooxygenase activity reduces rotavirus infection at a postbinding step.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2004; </w:t>
      </w:r>
      <w:r w:rsidRPr="00A96D05">
        <w:rPr>
          <w:rFonts w:ascii="Book Antiqua" w:hAnsi="Book Antiqua" w:cs="Book Antiqua"/>
          <w:b/>
          <w:bCs/>
          <w:color w:val="000000"/>
          <w:sz w:val="24"/>
          <w:szCs w:val="24"/>
          <w:lang w:val="en-US"/>
        </w:rPr>
        <w:t>78</w:t>
      </w:r>
      <w:r w:rsidRPr="00A96D05">
        <w:rPr>
          <w:rFonts w:ascii="Book Antiqua" w:hAnsi="Book Antiqua" w:cs="Book Antiqua"/>
          <w:color w:val="000000"/>
          <w:sz w:val="24"/>
          <w:szCs w:val="24"/>
          <w:lang w:val="en-US"/>
        </w:rPr>
        <w:t>: 9721-9730 [PMID: 15331705 DOI: 10.1128/jvi.78.18.9721-9730.2004]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272 </w:t>
      </w:r>
      <w:r w:rsidRPr="00A96D05">
        <w:rPr>
          <w:rFonts w:ascii="Book Antiqua" w:hAnsi="Book Antiqua" w:cs="Book Antiqua"/>
          <w:b/>
          <w:bCs/>
          <w:color w:val="000000"/>
          <w:sz w:val="24"/>
          <w:szCs w:val="24"/>
          <w:lang w:val="en-US"/>
        </w:rPr>
        <w:t>Marnett LJ</w:t>
      </w:r>
      <w:r w:rsidRPr="00A96D05">
        <w:rPr>
          <w:rFonts w:ascii="Book Antiqua" w:hAnsi="Book Antiqua" w:cs="Book Antiqua"/>
          <w:color w:val="000000"/>
          <w:sz w:val="24"/>
          <w:szCs w:val="24"/>
          <w:lang w:val="en-US"/>
        </w:rPr>
        <w:t>, Kalgutkar AS. Cyclooxygenase 2 inhibitors: discovery, selectivity and the future. </w:t>
      </w:r>
      <w:r w:rsidRPr="00A96D05">
        <w:rPr>
          <w:rFonts w:ascii="Book Antiqua" w:hAnsi="Book Antiqua" w:cs="Book Antiqua"/>
          <w:i/>
          <w:iCs/>
          <w:color w:val="000000"/>
          <w:sz w:val="24"/>
          <w:szCs w:val="24"/>
          <w:lang w:val="en-US"/>
        </w:rPr>
        <w:t>Trends Pharmacol Sci</w:t>
      </w:r>
      <w:r w:rsidRPr="00A96D05">
        <w:rPr>
          <w:rFonts w:ascii="Book Antiqua" w:hAnsi="Book Antiqua" w:cs="Book Antiqua"/>
          <w:color w:val="000000"/>
          <w:sz w:val="24"/>
          <w:szCs w:val="24"/>
          <w:lang w:val="en-US"/>
        </w:rPr>
        <w:t> 1999; </w:t>
      </w:r>
      <w:r w:rsidRPr="00A96D05">
        <w:rPr>
          <w:rFonts w:ascii="Book Antiqua" w:hAnsi="Book Antiqua" w:cs="Book Antiqua"/>
          <w:b/>
          <w:bCs/>
          <w:color w:val="000000"/>
          <w:sz w:val="24"/>
          <w:szCs w:val="24"/>
          <w:lang w:val="en-US"/>
        </w:rPr>
        <w:t>20</w:t>
      </w:r>
      <w:r w:rsidRPr="00A96D05">
        <w:rPr>
          <w:rFonts w:ascii="Book Antiqua" w:hAnsi="Book Antiqua" w:cs="Book Antiqua"/>
          <w:color w:val="000000"/>
          <w:sz w:val="24"/>
          <w:szCs w:val="24"/>
          <w:lang w:val="en-US"/>
        </w:rPr>
        <w:t>: 465-469 [PMID: 10542447]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273 </w:t>
      </w:r>
      <w:r w:rsidRPr="00A96D05">
        <w:rPr>
          <w:rFonts w:ascii="Book Antiqua" w:hAnsi="Book Antiqua" w:cs="Book Antiqua"/>
          <w:b/>
          <w:bCs/>
          <w:color w:val="000000"/>
          <w:sz w:val="24"/>
          <w:szCs w:val="24"/>
          <w:lang w:val="en-US"/>
        </w:rPr>
        <w:t>Bartlett SR</w:t>
      </w:r>
      <w:r w:rsidRPr="00A96D05">
        <w:rPr>
          <w:rFonts w:ascii="Book Antiqua" w:hAnsi="Book Antiqua" w:cs="Book Antiqua"/>
          <w:color w:val="000000"/>
          <w:sz w:val="24"/>
          <w:szCs w:val="24"/>
          <w:lang w:val="en-US"/>
        </w:rPr>
        <w:t>, Sawdy R, Mann GE. Induction of cyclooxygenase-2 expression in human myometrial smooth muscle cells by interleukin-1beta: involvement of p38 mitogen-activated protein kinase. </w:t>
      </w:r>
      <w:r w:rsidRPr="00A96D05">
        <w:rPr>
          <w:rFonts w:ascii="Book Antiqua" w:hAnsi="Book Antiqua" w:cs="Book Antiqua"/>
          <w:i/>
          <w:iCs/>
          <w:color w:val="000000"/>
          <w:sz w:val="24"/>
          <w:szCs w:val="24"/>
          <w:lang w:val="en-US"/>
        </w:rPr>
        <w:t>J Physiol</w:t>
      </w:r>
      <w:r w:rsidRPr="00A96D05">
        <w:rPr>
          <w:rFonts w:ascii="Book Antiqua" w:hAnsi="Book Antiqua" w:cs="Book Antiqua"/>
          <w:color w:val="000000"/>
          <w:sz w:val="24"/>
          <w:szCs w:val="24"/>
          <w:lang w:val="en-US"/>
        </w:rPr>
        <w:t> 1999; </w:t>
      </w:r>
      <w:r w:rsidRPr="00A96D05">
        <w:rPr>
          <w:rFonts w:ascii="Book Antiqua" w:hAnsi="Book Antiqua" w:cs="Book Antiqua"/>
          <w:b/>
          <w:bCs/>
          <w:color w:val="000000"/>
          <w:sz w:val="24"/>
          <w:szCs w:val="24"/>
          <w:lang w:val="en-US"/>
        </w:rPr>
        <w:t xml:space="preserve">520 </w:t>
      </w:r>
      <w:r w:rsidRPr="00A96D05">
        <w:rPr>
          <w:rFonts w:ascii="Book Antiqua" w:hAnsi="Book Antiqua" w:cs="Book Antiqua"/>
          <w:color w:val="000000"/>
          <w:sz w:val="24"/>
          <w:szCs w:val="24"/>
          <w:lang w:val="en-US"/>
        </w:rPr>
        <w:t>Pt 2: 399-406 [PMID: 10523409 DOI: 10.1111/j.1469-7793.1999.00399.x]</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274 </w:t>
      </w:r>
      <w:r w:rsidRPr="00A96D05">
        <w:rPr>
          <w:rFonts w:ascii="Book Antiqua" w:hAnsi="Book Antiqua" w:cs="Book Antiqua"/>
          <w:b/>
          <w:bCs/>
          <w:color w:val="000000"/>
          <w:sz w:val="24"/>
          <w:szCs w:val="24"/>
          <w:lang w:val="en-US"/>
        </w:rPr>
        <w:t>Subbaramaiah K</w:t>
      </w:r>
      <w:r w:rsidRPr="00A96D05">
        <w:rPr>
          <w:rFonts w:ascii="Book Antiqua" w:hAnsi="Book Antiqua" w:cs="Book Antiqua"/>
          <w:color w:val="000000"/>
          <w:sz w:val="24"/>
          <w:szCs w:val="24"/>
          <w:lang w:val="en-US"/>
        </w:rPr>
        <w:t>, Hart JC, Norton L, Dannenberg AJ. Microtubule-interfering agents stimulate the transcription of cyclooxygenase-2. Evidence for involvement of ERK1/2 AND p38 mitogen-activated protein kinase pathways. </w:t>
      </w:r>
      <w:r w:rsidRPr="00A96D05">
        <w:rPr>
          <w:rFonts w:ascii="Book Antiqua" w:hAnsi="Book Antiqua" w:cs="Book Antiqua"/>
          <w:i/>
          <w:iCs/>
          <w:color w:val="000000"/>
          <w:sz w:val="24"/>
          <w:szCs w:val="24"/>
          <w:lang w:val="en-US"/>
        </w:rPr>
        <w:t>J Biol Chem</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275</w:t>
      </w:r>
      <w:r w:rsidRPr="00A96D05">
        <w:rPr>
          <w:rFonts w:ascii="Book Antiqua" w:hAnsi="Book Antiqua" w:cs="Book Antiqua"/>
          <w:color w:val="000000"/>
          <w:sz w:val="24"/>
          <w:szCs w:val="24"/>
          <w:lang w:val="en-US"/>
        </w:rPr>
        <w:t>: 14838-14845 [PMID: 10809726]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275 </w:t>
      </w:r>
      <w:r w:rsidRPr="00A96D05">
        <w:rPr>
          <w:rFonts w:ascii="Book Antiqua" w:hAnsi="Book Antiqua" w:cs="Book Antiqua"/>
          <w:b/>
          <w:bCs/>
          <w:color w:val="000000"/>
          <w:sz w:val="24"/>
          <w:szCs w:val="24"/>
          <w:lang w:val="en-US"/>
        </w:rPr>
        <w:t>Lee SM</w:t>
      </w:r>
      <w:r w:rsidRPr="00A96D05">
        <w:rPr>
          <w:rFonts w:ascii="Book Antiqua" w:hAnsi="Book Antiqua" w:cs="Book Antiqua"/>
          <w:color w:val="000000"/>
          <w:sz w:val="24"/>
          <w:szCs w:val="24"/>
          <w:lang w:val="en-US"/>
        </w:rPr>
        <w:t>, Gai WW, Cheung TK, Peiris JS. Antiviral effect of a selective COX-2 inhibitor on H5N1 infection in vitro. </w:t>
      </w:r>
      <w:r w:rsidRPr="00A96D05">
        <w:rPr>
          <w:rFonts w:ascii="Book Antiqua" w:hAnsi="Book Antiqua" w:cs="Book Antiqua"/>
          <w:i/>
          <w:iCs/>
          <w:color w:val="000000"/>
          <w:sz w:val="24"/>
          <w:szCs w:val="24"/>
          <w:lang w:val="en-US"/>
        </w:rPr>
        <w:t>Antiviral Res</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91</w:t>
      </w:r>
      <w:r w:rsidRPr="00A96D05">
        <w:rPr>
          <w:rFonts w:ascii="Book Antiqua" w:hAnsi="Book Antiqua" w:cs="Book Antiqua"/>
          <w:color w:val="000000"/>
          <w:sz w:val="24"/>
          <w:szCs w:val="24"/>
          <w:lang w:val="en-US"/>
        </w:rPr>
        <w:t>: 330-334 [PMID: 21798291 DOI: 10.1016/j.antiviral.2011.07.011]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276 </w:t>
      </w:r>
      <w:r w:rsidRPr="00A96D05">
        <w:rPr>
          <w:rFonts w:ascii="Book Antiqua" w:hAnsi="Book Antiqua" w:cs="Book Antiqua"/>
          <w:b/>
          <w:bCs/>
          <w:color w:val="000000"/>
          <w:sz w:val="24"/>
          <w:szCs w:val="24"/>
          <w:lang w:val="en-US"/>
        </w:rPr>
        <w:t>Carey MA</w:t>
      </w:r>
      <w:r w:rsidRPr="00A96D05">
        <w:rPr>
          <w:rFonts w:ascii="Book Antiqua" w:hAnsi="Book Antiqua" w:cs="Book Antiqua"/>
          <w:color w:val="000000"/>
          <w:sz w:val="24"/>
          <w:szCs w:val="24"/>
          <w:lang w:val="en-US"/>
        </w:rPr>
        <w:t>, Bradbury JA, Rebolloso YD, Graves JP, Zeldin DC, Germolec DR. Pharmacologic inhibition of COX-1 and COX-2 in influenza A viral infection in mice. </w:t>
      </w:r>
      <w:r w:rsidRPr="00A96D05">
        <w:rPr>
          <w:rFonts w:ascii="Book Antiqua" w:hAnsi="Book Antiqua" w:cs="Book Antiqua"/>
          <w:i/>
          <w:iCs/>
          <w:color w:val="000000"/>
          <w:sz w:val="24"/>
          <w:szCs w:val="24"/>
          <w:lang w:val="en-US"/>
        </w:rPr>
        <w:t>PLoS One</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5</w:t>
      </w:r>
      <w:r w:rsidRPr="00A96D05">
        <w:rPr>
          <w:rFonts w:ascii="Book Antiqua" w:hAnsi="Book Antiqua" w:cs="Book Antiqua"/>
          <w:color w:val="000000"/>
          <w:sz w:val="24"/>
          <w:szCs w:val="24"/>
          <w:lang w:val="en-US"/>
        </w:rPr>
        <w:t>: e11610 [PMID: 20657653 DOI: 10.1371/journal.pone.0011610]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277 </w:t>
      </w:r>
      <w:r w:rsidRPr="00A96D05">
        <w:rPr>
          <w:rFonts w:ascii="Book Antiqua" w:hAnsi="Book Antiqua" w:cs="Book Antiqua"/>
          <w:b/>
          <w:bCs/>
          <w:color w:val="000000"/>
          <w:sz w:val="24"/>
          <w:szCs w:val="24"/>
          <w:lang w:val="en-US"/>
        </w:rPr>
        <w:t>Subbaramaiah K</w:t>
      </w:r>
      <w:r w:rsidRPr="00A96D05">
        <w:rPr>
          <w:rFonts w:ascii="Book Antiqua" w:hAnsi="Book Antiqua" w:cs="Book Antiqua"/>
          <w:color w:val="000000"/>
          <w:sz w:val="24"/>
          <w:szCs w:val="24"/>
          <w:lang w:val="en-US"/>
        </w:rPr>
        <w:t>, Lin DT, Hart JC, Dannenberg AJ. Peroxisome proliferator-activated receptor gamma ligands suppress the transcriptional activation of cyclooxygenase-2. Evidence for involvement of activator protein-1 and CREB-binding protein/p300. </w:t>
      </w:r>
      <w:r w:rsidRPr="00A96D05">
        <w:rPr>
          <w:rFonts w:ascii="Book Antiqua" w:hAnsi="Book Antiqua" w:cs="Book Antiqua"/>
          <w:i/>
          <w:iCs/>
          <w:color w:val="000000"/>
          <w:sz w:val="24"/>
          <w:szCs w:val="24"/>
          <w:lang w:val="en-US"/>
        </w:rPr>
        <w:t>J Biol Chem</w:t>
      </w:r>
      <w:r w:rsidRPr="00A96D05">
        <w:rPr>
          <w:rFonts w:ascii="Book Antiqua" w:hAnsi="Book Antiqua" w:cs="Book Antiqua"/>
          <w:color w:val="000000"/>
          <w:sz w:val="24"/>
          <w:szCs w:val="24"/>
          <w:lang w:val="en-US"/>
        </w:rPr>
        <w:t> 2001; </w:t>
      </w:r>
      <w:r w:rsidRPr="00A96D05">
        <w:rPr>
          <w:rFonts w:ascii="Book Antiqua" w:hAnsi="Book Antiqua" w:cs="Book Antiqua"/>
          <w:b/>
          <w:bCs/>
          <w:color w:val="000000"/>
          <w:sz w:val="24"/>
          <w:szCs w:val="24"/>
          <w:lang w:val="en-US"/>
        </w:rPr>
        <w:t>276</w:t>
      </w:r>
      <w:r w:rsidRPr="00A96D05">
        <w:rPr>
          <w:rFonts w:ascii="Book Antiqua" w:hAnsi="Book Antiqua" w:cs="Book Antiqua"/>
          <w:color w:val="000000"/>
          <w:sz w:val="24"/>
          <w:szCs w:val="24"/>
          <w:lang w:val="en-US"/>
        </w:rPr>
        <w:t>: 12440-12448 [PMID: 11278336 DOI: 10.1074/jbc.M007237200]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278 </w:t>
      </w:r>
      <w:r w:rsidRPr="00A96D05">
        <w:rPr>
          <w:rFonts w:ascii="Book Antiqua" w:hAnsi="Book Antiqua" w:cs="Book Antiqua"/>
          <w:b/>
          <w:bCs/>
          <w:color w:val="000000"/>
          <w:sz w:val="24"/>
          <w:szCs w:val="24"/>
          <w:lang w:val="en-US"/>
        </w:rPr>
        <w:t>Straus DS</w:t>
      </w:r>
      <w:r w:rsidRPr="00A96D05">
        <w:rPr>
          <w:rFonts w:ascii="Book Antiqua" w:hAnsi="Book Antiqua" w:cs="Book Antiqua"/>
          <w:color w:val="000000"/>
          <w:sz w:val="24"/>
          <w:szCs w:val="24"/>
          <w:lang w:val="en-US"/>
        </w:rPr>
        <w:t>, Pascual G, Li M, Welch JS, Ricote M, Hsiang CH, Sengchanthalangsy LL, Ghosh G, Glass CK. 15-deoxy-delta 12,14-prostaglandin J2 inhibits multiple steps in the NF-kappa B signaling pathway. </w:t>
      </w:r>
      <w:r w:rsidRPr="00A96D05">
        <w:rPr>
          <w:rFonts w:ascii="Book Antiqua" w:hAnsi="Book Antiqua" w:cs="Book Antiqua"/>
          <w:i/>
          <w:iCs/>
          <w:color w:val="000000"/>
          <w:sz w:val="24"/>
          <w:szCs w:val="24"/>
          <w:lang w:val="en-US"/>
        </w:rPr>
        <w:t>Proc Natl Acad Sci USA</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97</w:t>
      </w:r>
      <w:r w:rsidRPr="00A96D05">
        <w:rPr>
          <w:rFonts w:ascii="Book Antiqua" w:hAnsi="Book Antiqua" w:cs="Book Antiqua"/>
          <w:color w:val="000000"/>
          <w:sz w:val="24"/>
          <w:szCs w:val="24"/>
          <w:lang w:val="en-US"/>
        </w:rPr>
        <w:t>: 4844-4849 [PMID: 10781090]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279 </w:t>
      </w:r>
      <w:r w:rsidRPr="00A96D05">
        <w:rPr>
          <w:rFonts w:ascii="Book Antiqua" w:hAnsi="Book Antiqua" w:cs="Book Antiqua"/>
          <w:b/>
          <w:bCs/>
          <w:color w:val="000000"/>
          <w:sz w:val="24"/>
          <w:szCs w:val="24"/>
          <w:lang w:val="en-US"/>
        </w:rPr>
        <w:t>Bassaganya-Riera J</w:t>
      </w:r>
      <w:r w:rsidRPr="00A96D05">
        <w:rPr>
          <w:rFonts w:ascii="Book Antiqua" w:hAnsi="Book Antiqua" w:cs="Book Antiqua"/>
          <w:color w:val="000000"/>
          <w:sz w:val="24"/>
          <w:szCs w:val="24"/>
          <w:lang w:val="en-US"/>
        </w:rPr>
        <w:t>, Song R, Roberts PC, Hontecillas R. PPAR-gamma activation as an anti-inflammatory therapy for respiratory virus infections. </w:t>
      </w:r>
      <w:r w:rsidRPr="00A96D05">
        <w:rPr>
          <w:rFonts w:ascii="Book Antiqua" w:hAnsi="Book Antiqua" w:cs="Book Antiqua"/>
          <w:i/>
          <w:iCs/>
          <w:color w:val="000000"/>
          <w:sz w:val="24"/>
          <w:szCs w:val="24"/>
          <w:lang w:val="en-US"/>
        </w:rPr>
        <w:t>Viral Immunol</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23</w:t>
      </w:r>
      <w:r w:rsidRPr="00A96D05">
        <w:rPr>
          <w:rFonts w:ascii="Book Antiqua" w:hAnsi="Book Antiqua" w:cs="Book Antiqua"/>
          <w:color w:val="000000"/>
          <w:sz w:val="24"/>
          <w:szCs w:val="24"/>
          <w:lang w:val="en-US"/>
        </w:rPr>
        <w:t>: 343-352 [PMID: 20712478 DOI: 10.1089/vim.2010.0016]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280 </w:t>
      </w:r>
      <w:r w:rsidRPr="00A96D05">
        <w:rPr>
          <w:rFonts w:ascii="Book Antiqua" w:hAnsi="Book Antiqua" w:cs="Book Antiqua"/>
          <w:b/>
          <w:bCs/>
          <w:color w:val="000000"/>
          <w:sz w:val="24"/>
          <w:szCs w:val="24"/>
          <w:lang w:val="en-US"/>
        </w:rPr>
        <w:t>Liu J</w:t>
      </w:r>
      <w:r w:rsidRPr="00A96D05">
        <w:rPr>
          <w:rFonts w:ascii="Book Antiqua" w:hAnsi="Book Antiqua" w:cs="Book Antiqua"/>
          <w:color w:val="000000"/>
          <w:sz w:val="24"/>
          <w:szCs w:val="24"/>
          <w:lang w:val="en-US"/>
        </w:rPr>
        <w:t>, Xia Q, Zhang Q, Li H, Zhang J, Li A, Xiu R. Peroxisome proliferator-activated receptor-gamma ligands 15-deoxy-delta(12,14)-prostaglandin J2 and pioglitazone inhibit hydroxyl peroxide-induced TNF-alpha and lipopolysaccharide-induced CXC chemokine expression in neonatal rat cardiac myocytes. </w:t>
      </w:r>
      <w:r w:rsidRPr="00A96D05">
        <w:rPr>
          <w:rFonts w:ascii="Book Antiqua" w:hAnsi="Book Antiqua" w:cs="Book Antiqua"/>
          <w:i/>
          <w:iCs/>
          <w:color w:val="000000"/>
          <w:sz w:val="24"/>
          <w:szCs w:val="24"/>
          <w:lang w:val="en-US"/>
        </w:rPr>
        <w:t>Shock</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32</w:t>
      </w:r>
      <w:r w:rsidRPr="00A96D05">
        <w:rPr>
          <w:rFonts w:ascii="Book Antiqua" w:hAnsi="Book Antiqua" w:cs="Book Antiqua"/>
          <w:color w:val="000000"/>
          <w:sz w:val="24"/>
          <w:szCs w:val="24"/>
          <w:lang w:val="en-US"/>
        </w:rPr>
        <w:t>: 317-324 [PMID: 19174742 DOI: 10.1097/SHK.0b013e31819c374c]</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281 </w:t>
      </w:r>
      <w:r w:rsidRPr="00A96D05">
        <w:rPr>
          <w:rFonts w:ascii="Book Antiqua" w:hAnsi="Book Antiqua" w:cs="Book Antiqua"/>
          <w:b/>
          <w:bCs/>
          <w:color w:val="000000"/>
          <w:sz w:val="24"/>
          <w:szCs w:val="24"/>
          <w:lang w:val="en-US"/>
        </w:rPr>
        <w:t>Li M</w:t>
      </w:r>
      <w:r w:rsidRPr="00A96D05">
        <w:rPr>
          <w:rFonts w:ascii="Book Antiqua" w:hAnsi="Book Antiqua" w:cs="Book Antiqua"/>
          <w:color w:val="000000"/>
          <w:sz w:val="24"/>
          <w:szCs w:val="24"/>
          <w:lang w:val="en-US"/>
        </w:rPr>
        <w:t>, Pascual G, Glass CK. Peroxisome proliferator-activated receptor gamma-dependent repression of the inducible nitric oxide synthase gene. </w:t>
      </w:r>
      <w:r w:rsidRPr="00A96D05">
        <w:rPr>
          <w:rFonts w:ascii="Book Antiqua" w:hAnsi="Book Antiqua" w:cs="Book Antiqua"/>
          <w:i/>
          <w:iCs/>
          <w:color w:val="000000"/>
          <w:sz w:val="24"/>
          <w:szCs w:val="24"/>
          <w:lang w:val="en-US"/>
        </w:rPr>
        <w:t>Mol Cell Biol</w:t>
      </w:r>
      <w:r w:rsidRPr="00A96D05">
        <w:rPr>
          <w:rFonts w:ascii="Book Antiqua" w:hAnsi="Book Antiqua" w:cs="Book Antiqua"/>
          <w:color w:val="000000"/>
          <w:sz w:val="24"/>
          <w:szCs w:val="24"/>
          <w:lang w:val="en-US"/>
        </w:rPr>
        <w:t> 2000; </w:t>
      </w:r>
      <w:r w:rsidRPr="00A96D05">
        <w:rPr>
          <w:rFonts w:ascii="Book Antiqua" w:hAnsi="Book Antiqua" w:cs="Book Antiqua"/>
          <w:b/>
          <w:bCs/>
          <w:color w:val="000000"/>
          <w:sz w:val="24"/>
          <w:szCs w:val="24"/>
          <w:lang w:val="en-US"/>
        </w:rPr>
        <w:t>20</w:t>
      </w:r>
      <w:r w:rsidRPr="00A96D05">
        <w:rPr>
          <w:rFonts w:ascii="Book Antiqua" w:hAnsi="Book Antiqua" w:cs="Book Antiqua"/>
          <w:color w:val="000000"/>
          <w:sz w:val="24"/>
          <w:szCs w:val="24"/>
          <w:lang w:val="en-US"/>
        </w:rPr>
        <w:t>: 4699-4707 [PMID: 10848596]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282 </w:t>
      </w:r>
      <w:r w:rsidRPr="00A96D05">
        <w:rPr>
          <w:rFonts w:ascii="Book Antiqua" w:hAnsi="Book Antiqua" w:cs="Book Antiqua"/>
          <w:b/>
          <w:bCs/>
          <w:color w:val="000000"/>
          <w:sz w:val="24"/>
          <w:szCs w:val="24"/>
          <w:lang w:val="en-US"/>
        </w:rPr>
        <w:t>Jiang C</w:t>
      </w:r>
      <w:r w:rsidRPr="00A96D05">
        <w:rPr>
          <w:rFonts w:ascii="Book Antiqua" w:hAnsi="Book Antiqua" w:cs="Book Antiqua"/>
          <w:color w:val="000000"/>
          <w:sz w:val="24"/>
          <w:szCs w:val="24"/>
          <w:lang w:val="en-US"/>
        </w:rPr>
        <w:t>, Ting AT, Seed B. PPAR-gamma agonists inhibit production of monocyte inflammatory cytokines. </w:t>
      </w:r>
      <w:r w:rsidRPr="00A96D05">
        <w:rPr>
          <w:rFonts w:ascii="Book Antiqua" w:hAnsi="Book Antiqua" w:cs="Book Antiqua"/>
          <w:i/>
          <w:iCs/>
          <w:color w:val="000000"/>
          <w:sz w:val="24"/>
          <w:szCs w:val="24"/>
          <w:lang w:val="en-US"/>
        </w:rPr>
        <w:t>Nature</w:t>
      </w:r>
      <w:r w:rsidRPr="00A96D05">
        <w:rPr>
          <w:rFonts w:ascii="Book Antiqua" w:hAnsi="Book Antiqua" w:cs="Book Antiqua"/>
          <w:color w:val="000000"/>
          <w:sz w:val="24"/>
          <w:szCs w:val="24"/>
          <w:lang w:val="en-US"/>
        </w:rPr>
        <w:t> 1998; </w:t>
      </w:r>
      <w:r w:rsidRPr="00A96D05">
        <w:rPr>
          <w:rFonts w:ascii="Book Antiqua" w:hAnsi="Book Antiqua" w:cs="Book Antiqua"/>
          <w:b/>
          <w:bCs/>
          <w:color w:val="000000"/>
          <w:sz w:val="24"/>
          <w:szCs w:val="24"/>
          <w:lang w:val="en-US"/>
        </w:rPr>
        <w:t>391</w:t>
      </w:r>
      <w:r w:rsidRPr="00A96D05">
        <w:rPr>
          <w:rFonts w:ascii="Book Antiqua" w:hAnsi="Book Antiqua" w:cs="Book Antiqua"/>
          <w:color w:val="000000"/>
          <w:sz w:val="24"/>
          <w:szCs w:val="24"/>
          <w:lang w:val="en-US"/>
        </w:rPr>
        <w:t>: 82-86 [PMID: 9422509 DOI: 10.1038/34184]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283 </w:t>
      </w:r>
      <w:r w:rsidRPr="00A96D05">
        <w:rPr>
          <w:rFonts w:ascii="Book Antiqua" w:hAnsi="Book Antiqua" w:cs="Book Antiqua"/>
          <w:b/>
          <w:bCs/>
          <w:color w:val="000000"/>
          <w:sz w:val="24"/>
          <w:szCs w:val="24"/>
          <w:lang w:val="en-US"/>
        </w:rPr>
        <w:t>Polvani S</w:t>
      </w:r>
      <w:r w:rsidRPr="00A96D05">
        <w:rPr>
          <w:rFonts w:ascii="Book Antiqua" w:hAnsi="Book Antiqua" w:cs="Book Antiqua"/>
          <w:color w:val="000000"/>
          <w:sz w:val="24"/>
          <w:szCs w:val="24"/>
          <w:lang w:val="en-US"/>
        </w:rPr>
        <w:t>, Tarocchi M, Galli A. PPAR</w:t>
      </w:r>
      <w:r w:rsidRPr="00A96D05">
        <w:rPr>
          <w:rFonts w:ascii="Book Antiqua" w:hAnsi="Book Antiqua" w:cs="Book Antiqua"/>
          <w:color w:val="000000"/>
          <w:sz w:val="24"/>
          <w:szCs w:val="24"/>
        </w:rPr>
        <w:t>γ</w:t>
      </w:r>
      <w:r w:rsidRPr="00A96D05">
        <w:rPr>
          <w:rFonts w:ascii="Book Antiqua" w:hAnsi="Book Antiqua" w:cs="Book Antiqua"/>
          <w:color w:val="000000"/>
          <w:sz w:val="24"/>
          <w:szCs w:val="24"/>
          <w:lang w:val="en-US"/>
        </w:rPr>
        <w:t xml:space="preserve"> and Oxidative Stress: Con(</w:t>
      </w:r>
      <w:r w:rsidRPr="00A96D05">
        <w:rPr>
          <w:rFonts w:ascii="Book Antiqua" w:hAnsi="Book Antiqua" w:cs="Book Antiqua"/>
          <w:color w:val="000000"/>
          <w:sz w:val="24"/>
          <w:szCs w:val="24"/>
        </w:rPr>
        <w:t>β</w:t>
      </w:r>
      <w:r w:rsidRPr="00A96D05">
        <w:rPr>
          <w:rFonts w:ascii="Book Antiqua" w:hAnsi="Book Antiqua" w:cs="Book Antiqua"/>
          <w:color w:val="000000"/>
          <w:sz w:val="24"/>
          <w:szCs w:val="24"/>
          <w:lang w:val="en-US"/>
        </w:rPr>
        <w:t>) Catenating NRF2 and FOXO. </w:t>
      </w:r>
      <w:r w:rsidRPr="00A96D05">
        <w:rPr>
          <w:rFonts w:ascii="Book Antiqua" w:hAnsi="Book Antiqua" w:cs="Book Antiqua"/>
          <w:i/>
          <w:iCs/>
          <w:color w:val="000000"/>
          <w:sz w:val="24"/>
          <w:szCs w:val="24"/>
          <w:lang w:val="en-US"/>
        </w:rPr>
        <w:t>PPAR Res</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2012</w:t>
      </w:r>
      <w:r w:rsidRPr="00A96D05">
        <w:rPr>
          <w:rFonts w:ascii="Book Antiqua" w:hAnsi="Book Antiqua" w:cs="Book Antiqua"/>
          <w:color w:val="000000"/>
          <w:sz w:val="24"/>
          <w:szCs w:val="24"/>
          <w:lang w:val="en-US"/>
        </w:rPr>
        <w:t>: 641087 [PMID: 22481913 DOI: 10.1155/2012/641087]</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284 </w:t>
      </w:r>
      <w:r w:rsidRPr="00A96D05">
        <w:rPr>
          <w:rFonts w:ascii="Book Antiqua" w:hAnsi="Book Antiqua" w:cs="Book Antiqua"/>
          <w:b/>
          <w:bCs/>
          <w:color w:val="000000"/>
          <w:sz w:val="24"/>
          <w:szCs w:val="24"/>
          <w:lang w:val="en-US"/>
        </w:rPr>
        <w:t>Okuno Y</w:t>
      </w:r>
      <w:r w:rsidRPr="00A96D05">
        <w:rPr>
          <w:rFonts w:ascii="Book Antiqua" w:hAnsi="Book Antiqua" w:cs="Book Antiqua"/>
          <w:color w:val="000000"/>
          <w:sz w:val="24"/>
          <w:szCs w:val="24"/>
          <w:lang w:val="en-US"/>
        </w:rPr>
        <w:t>, Matsuda M, Miyata Y, Fukuhara A, Komuro R, Shimabukuro M, Shimomura I. Human catalase gene is regulated by peroxisome proliferator activated receptor-gamma through a response element distinct from that of mouse. </w:t>
      </w:r>
      <w:r w:rsidRPr="00A96D05">
        <w:rPr>
          <w:rFonts w:ascii="Book Antiqua" w:hAnsi="Book Antiqua" w:cs="Book Antiqua"/>
          <w:i/>
          <w:iCs/>
          <w:color w:val="000000"/>
          <w:sz w:val="24"/>
          <w:szCs w:val="24"/>
          <w:lang w:val="en-US"/>
        </w:rPr>
        <w:t>Endocr J</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57</w:t>
      </w:r>
      <w:r w:rsidRPr="00A96D05">
        <w:rPr>
          <w:rFonts w:ascii="Book Antiqua" w:hAnsi="Book Antiqua" w:cs="Book Antiqua"/>
          <w:color w:val="000000"/>
          <w:sz w:val="24"/>
          <w:szCs w:val="24"/>
          <w:lang w:val="en-US"/>
        </w:rPr>
        <w:t>: 303-309 [PMID: 20075562]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285 </w:t>
      </w:r>
      <w:r w:rsidRPr="00A96D05">
        <w:rPr>
          <w:rFonts w:ascii="Book Antiqua" w:hAnsi="Book Antiqua" w:cs="Book Antiqua"/>
          <w:b/>
          <w:bCs/>
          <w:color w:val="000000"/>
          <w:sz w:val="24"/>
          <w:szCs w:val="24"/>
          <w:lang w:val="en-US"/>
        </w:rPr>
        <w:t>Ren Y</w:t>
      </w:r>
      <w:r w:rsidRPr="00A96D05">
        <w:rPr>
          <w:rFonts w:ascii="Book Antiqua" w:hAnsi="Book Antiqua" w:cs="Book Antiqua"/>
          <w:color w:val="000000"/>
          <w:sz w:val="24"/>
          <w:szCs w:val="24"/>
          <w:lang w:val="en-US"/>
        </w:rPr>
        <w:t>, Sun C, Sun Y, Tan H, Wu Y, Cui B, Wu Z. PPAR gamma protects cardiomyocytes against oxidative stress and apoptosis via Bcl-2 upregulation. </w:t>
      </w:r>
      <w:r w:rsidRPr="00A96D05">
        <w:rPr>
          <w:rFonts w:ascii="Book Antiqua" w:hAnsi="Book Antiqua" w:cs="Book Antiqua"/>
          <w:i/>
          <w:iCs/>
          <w:color w:val="000000"/>
          <w:sz w:val="24"/>
          <w:szCs w:val="24"/>
          <w:lang w:val="en-US"/>
        </w:rPr>
        <w:t>Vascul Pharmacol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51</w:t>
      </w:r>
      <w:r w:rsidRPr="00A96D05">
        <w:rPr>
          <w:rFonts w:ascii="Book Antiqua" w:hAnsi="Book Antiqua" w:cs="Book Antiqua"/>
          <w:color w:val="000000"/>
          <w:sz w:val="24"/>
          <w:szCs w:val="24"/>
          <w:lang w:val="en-US"/>
        </w:rPr>
        <w:t>: 169-174 [PMID: 19540934 DOI: 10.1016/j.vph.2009.06.004]</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286 </w:t>
      </w:r>
      <w:r w:rsidRPr="00A96D05">
        <w:rPr>
          <w:rFonts w:ascii="Book Antiqua" w:hAnsi="Book Antiqua" w:cs="Book Antiqua"/>
          <w:b/>
          <w:bCs/>
          <w:color w:val="000000"/>
          <w:sz w:val="24"/>
          <w:szCs w:val="24"/>
          <w:lang w:val="en-US"/>
        </w:rPr>
        <w:t>Morgan MJ</w:t>
      </w:r>
      <w:r w:rsidRPr="00A96D05">
        <w:rPr>
          <w:rFonts w:ascii="Book Antiqua" w:hAnsi="Book Antiqua" w:cs="Book Antiqua"/>
          <w:color w:val="000000"/>
          <w:sz w:val="24"/>
          <w:szCs w:val="24"/>
          <w:lang w:val="en-US"/>
        </w:rPr>
        <w:t>, Liu ZG. Crosstalk of reactive oxygen species and NF-</w:t>
      </w:r>
      <w:r w:rsidRPr="00A96D05">
        <w:rPr>
          <w:rFonts w:ascii="Book Antiqua" w:hAnsi="Book Antiqua" w:cs="Book Antiqua"/>
          <w:color w:val="000000"/>
          <w:sz w:val="24"/>
          <w:szCs w:val="24"/>
        </w:rPr>
        <w:t>κ</w:t>
      </w:r>
      <w:r w:rsidRPr="00A96D05">
        <w:rPr>
          <w:rFonts w:ascii="Book Antiqua" w:hAnsi="Book Antiqua" w:cs="Book Antiqua"/>
          <w:color w:val="000000"/>
          <w:sz w:val="24"/>
          <w:szCs w:val="24"/>
          <w:lang w:val="en-US"/>
        </w:rPr>
        <w:t>B signaling. </w:t>
      </w:r>
      <w:r w:rsidRPr="00A96D05">
        <w:rPr>
          <w:rFonts w:ascii="Book Antiqua" w:hAnsi="Book Antiqua" w:cs="Book Antiqua"/>
          <w:i/>
          <w:iCs/>
          <w:color w:val="000000"/>
          <w:sz w:val="24"/>
          <w:szCs w:val="24"/>
          <w:lang w:val="en-US"/>
        </w:rPr>
        <w:t>Cell Res</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21</w:t>
      </w:r>
      <w:r w:rsidRPr="00A96D05">
        <w:rPr>
          <w:rFonts w:ascii="Book Antiqua" w:hAnsi="Book Antiqua" w:cs="Book Antiqua"/>
          <w:color w:val="000000"/>
          <w:sz w:val="24"/>
          <w:szCs w:val="24"/>
          <w:lang w:val="en-US"/>
        </w:rPr>
        <w:t>: 103-115 [PMID: 21187859 DOI: 10.1038/cr.2010.178]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287 </w:t>
      </w:r>
      <w:r w:rsidRPr="00A96D05">
        <w:rPr>
          <w:rFonts w:ascii="Book Antiqua" w:hAnsi="Book Antiqua" w:cs="Book Antiqua"/>
          <w:b/>
          <w:bCs/>
          <w:color w:val="000000"/>
          <w:sz w:val="24"/>
          <w:szCs w:val="24"/>
          <w:lang w:val="en-US"/>
        </w:rPr>
        <w:t>Walsh D</w:t>
      </w:r>
      <w:r w:rsidRPr="00A96D05">
        <w:rPr>
          <w:rFonts w:ascii="Book Antiqua" w:hAnsi="Book Antiqua" w:cs="Book Antiqua"/>
          <w:color w:val="000000"/>
          <w:sz w:val="24"/>
          <w:szCs w:val="24"/>
          <w:lang w:val="en-US"/>
        </w:rPr>
        <w:t>, Mohr I. Viral subversion of the host protein synthesis machinery. </w:t>
      </w:r>
      <w:r w:rsidRPr="00A96D05">
        <w:rPr>
          <w:rFonts w:ascii="Book Antiqua" w:hAnsi="Book Antiqua" w:cs="Book Antiqua"/>
          <w:i/>
          <w:iCs/>
          <w:color w:val="000000"/>
          <w:sz w:val="24"/>
          <w:szCs w:val="24"/>
          <w:lang w:val="en-US"/>
        </w:rPr>
        <w:t>Nat Rev Microbiol</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9</w:t>
      </w:r>
      <w:r w:rsidRPr="00A96D05">
        <w:rPr>
          <w:rFonts w:ascii="Book Antiqua" w:hAnsi="Book Antiqua" w:cs="Book Antiqua"/>
          <w:color w:val="000000"/>
          <w:sz w:val="24"/>
          <w:szCs w:val="24"/>
          <w:lang w:val="en-US"/>
        </w:rPr>
        <w:t>: 860-875 [PMID: 22002165 DOI: 10.1038/nrmicro2655]</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288 </w:t>
      </w:r>
      <w:r w:rsidRPr="00A96D05">
        <w:rPr>
          <w:rFonts w:ascii="Book Antiqua" w:hAnsi="Book Antiqua" w:cs="Book Antiqua"/>
          <w:b/>
          <w:bCs/>
          <w:color w:val="000000"/>
          <w:sz w:val="24"/>
          <w:szCs w:val="24"/>
          <w:lang w:val="en-US"/>
        </w:rPr>
        <w:t>Holcik M</w:t>
      </w:r>
      <w:r w:rsidRPr="00A96D05">
        <w:rPr>
          <w:rFonts w:ascii="Book Antiqua" w:hAnsi="Book Antiqua" w:cs="Book Antiqua"/>
          <w:color w:val="000000"/>
          <w:sz w:val="24"/>
          <w:szCs w:val="24"/>
          <w:lang w:val="en-US"/>
        </w:rPr>
        <w:t>, Sonenberg N. Translational control in stress and apoptosis. </w:t>
      </w:r>
      <w:r w:rsidRPr="00A96D05">
        <w:rPr>
          <w:rFonts w:ascii="Book Antiqua" w:hAnsi="Book Antiqua" w:cs="Book Antiqua"/>
          <w:i/>
          <w:iCs/>
          <w:color w:val="000000"/>
          <w:sz w:val="24"/>
          <w:szCs w:val="24"/>
          <w:lang w:val="en-US"/>
        </w:rPr>
        <w:t>Nat Rev Mol Cell Biol</w:t>
      </w:r>
      <w:r w:rsidRPr="00A96D05">
        <w:rPr>
          <w:rFonts w:ascii="Book Antiqua" w:hAnsi="Book Antiqua" w:cs="Book Antiqua"/>
          <w:color w:val="000000"/>
          <w:sz w:val="24"/>
          <w:szCs w:val="24"/>
          <w:lang w:val="en-US"/>
        </w:rPr>
        <w:t> 2005; </w:t>
      </w:r>
      <w:r w:rsidRPr="00A96D05">
        <w:rPr>
          <w:rFonts w:ascii="Book Antiqua" w:hAnsi="Book Antiqua" w:cs="Book Antiqua"/>
          <w:b/>
          <w:bCs/>
          <w:color w:val="000000"/>
          <w:sz w:val="24"/>
          <w:szCs w:val="24"/>
          <w:lang w:val="en-US"/>
        </w:rPr>
        <w:t>6</w:t>
      </w:r>
      <w:r w:rsidRPr="00A96D05">
        <w:rPr>
          <w:rFonts w:ascii="Book Antiqua" w:hAnsi="Book Antiqua" w:cs="Book Antiqua"/>
          <w:color w:val="000000"/>
          <w:sz w:val="24"/>
          <w:szCs w:val="24"/>
          <w:lang w:val="en-US"/>
        </w:rPr>
        <w:t>: 318-327 [PMID: 15803138 DOI: 10.1038/nrm1618]</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289 </w:t>
      </w:r>
      <w:r w:rsidRPr="00A96D05">
        <w:rPr>
          <w:rFonts w:ascii="Book Antiqua" w:hAnsi="Book Antiqua" w:cs="Book Antiqua"/>
          <w:b/>
          <w:bCs/>
          <w:color w:val="000000"/>
          <w:sz w:val="24"/>
          <w:szCs w:val="24"/>
          <w:lang w:val="en-US"/>
        </w:rPr>
        <w:t>Walsh D</w:t>
      </w:r>
      <w:r w:rsidRPr="00A96D05">
        <w:rPr>
          <w:rFonts w:ascii="Book Antiqua" w:hAnsi="Book Antiqua" w:cs="Book Antiqua"/>
          <w:color w:val="000000"/>
          <w:sz w:val="24"/>
          <w:szCs w:val="24"/>
          <w:lang w:val="en-US"/>
        </w:rPr>
        <w:t>, Mathews MB, Mohr I. Tinkering with translation: protein synthesis in virus-infected cells. </w:t>
      </w:r>
      <w:r w:rsidRPr="00A96D05">
        <w:rPr>
          <w:rFonts w:ascii="Book Antiqua" w:hAnsi="Book Antiqua" w:cs="Book Antiqua"/>
          <w:i/>
          <w:iCs/>
          <w:color w:val="000000"/>
          <w:sz w:val="24"/>
          <w:szCs w:val="24"/>
          <w:lang w:val="en-US"/>
        </w:rPr>
        <w:t>Cold Spring Harb Perspect Biol</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5</w:t>
      </w:r>
      <w:r w:rsidRPr="00A96D05">
        <w:rPr>
          <w:rFonts w:ascii="Book Antiqua" w:hAnsi="Book Antiqua" w:cs="Book Antiqua"/>
          <w:color w:val="000000"/>
          <w:sz w:val="24"/>
          <w:szCs w:val="24"/>
          <w:lang w:val="en-US"/>
        </w:rPr>
        <w:t>: a012351 [PMID: 23209131 DOI: 10.1101/cshperspect.a012351]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290 </w:t>
      </w:r>
      <w:r w:rsidRPr="00A96D05">
        <w:rPr>
          <w:rFonts w:ascii="Book Antiqua" w:hAnsi="Book Antiqua" w:cs="Book Antiqua"/>
          <w:b/>
          <w:bCs/>
          <w:color w:val="000000"/>
          <w:sz w:val="24"/>
          <w:szCs w:val="24"/>
          <w:lang w:val="en-US"/>
        </w:rPr>
        <w:t>Firth AE</w:t>
      </w:r>
      <w:r w:rsidRPr="00A96D05">
        <w:rPr>
          <w:rFonts w:ascii="Book Antiqua" w:hAnsi="Book Antiqua" w:cs="Book Antiqua"/>
          <w:color w:val="000000"/>
          <w:sz w:val="24"/>
          <w:szCs w:val="24"/>
          <w:lang w:val="en-US"/>
        </w:rPr>
        <w:t>, Brierley I. Non-canonical translation in RNA viruses. </w:t>
      </w:r>
      <w:r w:rsidRPr="00A96D05">
        <w:rPr>
          <w:rFonts w:ascii="Book Antiqua" w:hAnsi="Book Antiqua" w:cs="Book Antiqua"/>
          <w:i/>
          <w:iCs/>
          <w:color w:val="000000"/>
          <w:sz w:val="24"/>
          <w:szCs w:val="24"/>
          <w:lang w:val="en-US"/>
        </w:rPr>
        <w:t>J Gen Virol</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93</w:t>
      </w:r>
      <w:r w:rsidRPr="00A96D05">
        <w:rPr>
          <w:rFonts w:ascii="Book Antiqua" w:hAnsi="Book Antiqua" w:cs="Book Antiqua"/>
          <w:color w:val="000000"/>
          <w:sz w:val="24"/>
          <w:szCs w:val="24"/>
          <w:lang w:val="en-US"/>
        </w:rPr>
        <w:t>: 1385-1409 [PMID: 22535777 DOI: 10.1099/vir.0.042499-0]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291 </w:t>
      </w:r>
      <w:r w:rsidRPr="00A96D05">
        <w:rPr>
          <w:rFonts w:ascii="Book Antiqua" w:hAnsi="Book Antiqua" w:cs="Book Antiqua"/>
          <w:b/>
          <w:bCs/>
          <w:color w:val="000000"/>
          <w:sz w:val="24"/>
          <w:szCs w:val="24"/>
          <w:lang w:val="en-US"/>
        </w:rPr>
        <w:t>Piron M</w:t>
      </w:r>
      <w:r w:rsidRPr="00A96D05">
        <w:rPr>
          <w:rFonts w:ascii="Book Antiqua" w:hAnsi="Book Antiqua" w:cs="Book Antiqua"/>
          <w:color w:val="000000"/>
          <w:sz w:val="24"/>
          <w:szCs w:val="24"/>
          <w:lang w:val="en-US"/>
        </w:rPr>
        <w:t>, Vende P, Cohen J, Poncet D. Rotavirus RNA-binding protein NSP3 interacts with eIF4GI and evicts the poly(A) binding protein from eIF4F. </w:t>
      </w:r>
      <w:r w:rsidRPr="00A96D05">
        <w:rPr>
          <w:rFonts w:ascii="Book Antiqua" w:hAnsi="Book Antiqua" w:cs="Book Antiqua"/>
          <w:i/>
          <w:iCs/>
          <w:color w:val="000000"/>
          <w:sz w:val="24"/>
          <w:szCs w:val="24"/>
          <w:lang w:val="en-US"/>
        </w:rPr>
        <w:t>EMBO J</w:t>
      </w:r>
      <w:r w:rsidRPr="00A96D05">
        <w:rPr>
          <w:rFonts w:ascii="Book Antiqua" w:hAnsi="Book Antiqua" w:cs="Book Antiqua"/>
          <w:color w:val="000000"/>
          <w:sz w:val="24"/>
          <w:szCs w:val="24"/>
          <w:lang w:val="en-US"/>
        </w:rPr>
        <w:t> 1998; </w:t>
      </w:r>
      <w:r w:rsidRPr="00A96D05">
        <w:rPr>
          <w:rFonts w:ascii="Book Antiqua" w:hAnsi="Book Antiqua" w:cs="Book Antiqua"/>
          <w:b/>
          <w:bCs/>
          <w:color w:val="000000"/>
          <w:sz w:val="24"/>
          <w:szCs w:val="24"/>
          <w:lang w:val="en-US"/>
        </w:rPr>
        <w:t>17</w:t>
      </w:r>
      <w:r w:rsidRPr="00A96D05">
        <w:rPr>
          <w:rFonts w:ascii="Book Antiqua" w:hAnsi="Book Antiqua" w:cs="Book Antiqua"/>
          <w:color w:val="000000"/>
          <w:sz w:val="24"/>
          <w:szCs w:val="24"/>
          <w:lang w:val="en-US"/>
        </w:rPr>
        <w:t>: 5811-5821 [PMID: 9755181 DOI: 10.1093/emboj/17.19.5811]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292 </w:t>
      </w:r>
      <w:r w:rsidRPr="00A96D05">
        <w:rPr>
          <w:rFonts w:ascii="Book Antiqua" w:hAnsi="Book Antiqua" w:cs="Book Antiqua"/>
          <w:b/>
          <w:bCs/>
          <w:color w:val="000000"/>
          <w:sz w:val="24"/>
          <w:szCs w:val="24"/>
          <w:lang w:val="en-US"/>
        </w:rPr>
        <w:t>Deo RC</w:t>
      </w:r>
      <w:r w:rsidRPr="00A96D05">
        <w:rPr>
          <w:rFonts w:ascii="Book Antiqua" w:hAnsi="Book Antiqua" w:cs="Book Antiqua"/>
          <w:color w:val="000000"/>
          <w:sz w:val="24"/>
          <w:szCs w:val="24"/>
          <w:lang w:val="en-US"/>
        </w:rPr>
        <w:t>, Groft CM, Rajashankar KR, Burley SK. Recognition of the rotavirus mRNA 3' consensus by an asymmetric NSP3 homodimer. </w:t>
      </w:r>
      <w:r w:rsidRPr="00A96D05">
        <w:rPr>
          <w:rFonts w:ascii="Book Antiqua" w:hAnsi="Book Antiqua" w:cs="Book Antiqua"/>
          <w:i/>
          <w:iCs/>
          <w:color w:val="000000"/>
          <w:sz w:val="24"/>
          <w:szCs w:val="24"/>
          <w:lang w:val="en-US"/>
        </w:rPr>
        <w:t>Cell</w:t>
      </w:r>
      <w:r w:rsidRPr="00A96D05">
        <w:rPr>
          <w:rFonts w:ascii="Book Antiqua" w:hAnsi="Book Antiqua" w:cs="Book Antiqua"/>
          <w:color w:val="000000"/>
          <w:sz w:val="24"/>
          <w:szCs w:val="24"/>
          <w:lang w:val="en-US"/>
        </w:rPr>
        <w:t> 2002; </w:t>
      </w:r>
      <w:r w:rsidRPr="00A96D05">
        <w:rPr>
          <w:rFonts w:ascii="Book Antiqua" w:hAnsi="Book Antiqua" w:cs="Book Antiqua"/>
          <w:b/>
          <w:bCs/>
          <w:color w:val="000000"/>
          <w:sz w:val="24"/>
          <w:szCs w:val="24"/>
          <w:lang w:val="en-US"/>
        </w:rPr>
        <w:t>108</w:t>
      </w:r>
      <w:r w:rsidRPr="00A96D05">
        <w:rPr>
          <w:rFonts w:ascii="Book Antiqua" w:hAnsi="Book Antiqua" w:cs="Book Antiqua"/>
          <w:color w:val="000000"/>
          <w:sz w:val="24"/>
          <w:szCs w:val="24"/>
          <w:lang w:val="en-US"/>
        </w:rPr>
        <w:t>: 71-81 [PMID: 11792322]</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293 </w:t>
      </w:r>
      <w:r w:rsidRPr="00A96D05">
        <w:rPr>
          <w:rFonts w:ascii="Book Antiqua" w:hAnsi="Book Antiqua" w:cs="Book Antiqua"/>
          <w:b/>
          <w:bCs/>
          <w:color w:val="000000"/>
          <w:sz w:val="24"/>
          <w:szCs w:val="24"/>
          <w:lang w:val="en-US"/>
        </w:rPr>
        <w:t>Montero H</w:t>
      </w:r>
      <w:r w:rsidRPr="00A96D05">
        <w:rPr>
          <w:rFonts w:ascii="Book Antiqua" w:hAnsi="Book Antiqua" w:cs="Book Antiqua"/>
          <w:color w:val="000000"/>
          <w:sz w:val="24"/>
          <w:szCs w:val="24"/>
          <w:lang w:val="en-US"/>
        </w:rPr>
        <w:t>, Arias CF, Lopez S. Rotavirus Nonstructural Protein NSP3 is not required for viral protein synthesis.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2006; </w:t>
      </w:r>
      <w:r w:rsidRPr="00A96D05">
        <w:rPr>
          <w:rFonts w:ascii="Book Antiqua" w:hAnsi="Book Antiqua" w:cs="Book Antiqua"/>
          <w:b/>
          <w:bCs/>
          <w:color w:val="000000"/>
          <w:sz w:val="24"/>
          <w:szCs w:val="24"/>
          <w:lang w:val="en-US"/>
        </w:rPr>
        <w:t>80</w:t>
      </w:r>
      <w:r w:rsidRPr="00A96D05">
        <w:rPr>
          <w:rFonts w:ascii="Book Antiqua" w:hAnsi="Book Antiqua" w:cs="Book Antiqua"/>
          <w:color w:val="000000"/>
          <w:sz w:val="24"/>
          <w:szCs w:val="24"/>
          <w:lang w:val="en-US"/>
        </w:rPr>
        <w:t>: 9031-9038 [PMID: 16940515 DOI: 10.1128/jvi.00437-06]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294 </w:t>
      </w:r>
      <w:r w:rsidRPr="00A96D05">
        <w:rPr>
          <w:rFonts w:ascii="Book Antiqua" w:hAnsi="Book Antiqua" w:cs="Book Antiqua"/>
          <w:b/>
          <w:bCs/>
          <w:color w:val="000000"/>
          <w:sz w:val="24"/>
          <w:szCs w:val="24"/>
          <w:lang w:val="en-US"/>
        </w:rPr>
        <w:t>Arnold MM</w:t>
      </w:r>
      <w:r w:rsidRPr="00A96D05">
        <w:rPr>
          <w:rFonts w:ascii="Book Antiqua" w:hAnsi="Book Antiqua" w:cs="Book Antiqua"/>
          <w:color w:val="000000"/>
          <w:sz w:val="24"/>
          <w:szCs w:val="24"/>
          <w:lang w:val="en-US"/>
        </w:rPr>
        <w:t>, Brownback CS, Taraporewala ZF, Patton JT. Rotavirus variant replicates efficiently although encoding an aberrant NSP3 that fails to induce nuclear localization of poly(A)-binding protein. </w:t>
      </w:r>
      <w:r w:rsidRPr="00A96D05">
        <w:rPr>
          <w:rFonts w:ascii="Book Antiqua" w:hAnsi="Book Antiqua" w:cs="Book Antiqua"/>
          <w:i/>
          <w:iCs/>
          <w:color w:val="000000"/>
          <w:sz w:val="24"/>
          <w:szCs w:val="24"/>
          <w:lang w:val="en-US"/>
        </w:rPr>
        <w:t>J Gen Virol</w:t>
      </w:r>
      <w:r w:rsidRPr="00A96D05">
        <w:rPr>
          <w:rFonts w:ascii="Book Antiqua" w:hAnsi="Book Antiqua" w:cs="Book Antiqua"/>
          <w:color w:val="000000"/>
          <w:sz w:val="24"/>
          <w:szCs w:val="24"/>
          <w:lang w:val="en-US"/>
        </w:rPr>
        <w:t> 2012; </w:t>
      </w:r>
      <w:r w:rsidRPr="00A96D05">
        <w:rPr>
          <w:rFonts w:ascii="Book Antiqua" w:hAnsi="Book Antiqua" w:cs="Book Antiqua"/>
          <w:b/>
          <w:bCs/>
          <w:color w:val="000000"/>
          <w:sz w:val="24"/>
          <w:szCs w:val="24"/>
          <w:lang w:val="en-US"/>
        </w:rPr>
        <w:t>93</w:t>
      </w:r>
      <w:r w:rsidRPr="00A96D05">
        <w:rPr>
          <w:rFonts w:ascii="Book Antiqua" w:hAnsi="Book Antiqua" w:cs="Book Antiqua"/>
          <w:color w:val="000000"/>
          <w:sz w:val="24"/>
          <w:szCs w:val="24"/>
          <w:lang w:val="en-US"/>
        </w:rPr>
        <w:t>: 1483-1494 [PMID: 22442114 DOI: 10.1099/vir.0.041830-0]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295 </w:t>
      </w:r>
      <w:r w:rsidRPr="00A96D05">
        <w:rPr>
          <w:rFonts w:ascii="Book Antiqua" w:hAnsi="Book Antiqua" w:cs="Book Antiqua"/>
          <w:b/>
          <w:bCs/>
          <w:color w:val="000000"/>
          <w:sz w:val="24"/>
          <w:szCs w:val="24"/>
          <w:lang w:val="en-US"/>
        </w:rPr>
        <w:t>Rojas M</w:t>
      </w:r>
      <w:r w:rsidRPr="00A96D05">
        <w:rPr>
          <w:rFonts w:ascii="Book Antiqua" w:hAnsi="Book Antiqua" w:cs="Book Antiqua"/>
          <w:color w:val="000000"/>
          <w:sz w:val="24"/>
          <w:szCs w:val="24"/>
          <w:lang w:val="en-US"/>
        </w:rPr>
        <w:t>, Arias CF, López S. Protein kinase R is responsible for the phosphorylation of eIF2alpha in rotavirus infection.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2010; </w:t>
      </w:r>
      <w:r w:rsidRPr="00A96D05">
        <w:rPr>
          <w:rFonts w:ascii="Book Antiqua" w:hAnsi="Book Antiqua" w:cs="Book Antiqua"/>
          <w:b/>
          <w:bCs/>
          <w:color w:val="000000"/>
          <w:sz w:val="24"/>
          <w:szCs w:val="24"/>
          <w:lang w:val="en-US"/>
        </w:rPr>
        <w:t>84</w:t>
      </w:r>
      <w:r w:rsidRPr="00A96D05">
        <w:rPr>
          <w:rFonts w:ascii="Book Antiqua" w:hAnsi="Book Antiqua" w:cs="Book Antiqua"/>
          <w:color w:val="000000"/>
          <w:sz w:val="24"/>
          <w:szCs w:val="24"/>
          <w:lang w:val="en-US"/>
        </w:rPr>
        <w:t>: 10457-10466 [PMID: 20631127 DOI: 10.1128/JVI.00625-10]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296 </w:t>
      </w:r>
      <w:r w:rsidRPr="00A96D05">
        <w:rPr>
          <w:rFonts w:ascii="Book Antiqua" w:hAnsi="Book Antiqua" w:cs="Book Antiqua"/>
          <w:b/>
          <w:bCs/>
          <w:color w:val="000000"/>
          <w:sz w:val="24"/>
          <w:szCs w:val="24"/>
          <w:lang w:val="en-US"/>
        </w:rPr>
        <w:t>Corl BA</w:t>
      </w:r>
      <w:r w:rsidRPr="00A96D05">
        <w:rPr>
          <w:rFonts w:ascii="Book Antiqua" w:hAnsi="Book Antiqua" w:cs="Book Antiqua"/>
          <w:color w:val="000000"/>
          <w:sz w:val="24"/>
          <w:szCs w:val="24"/>
          <w:lang w:val="en-US"/>
        </w:rPr>
        <w:t>, Odle J, Niu X, Moeser AJ, Gatlin LA, Phillips OT, Blikslager AT, Rhoads JM. Arginine activates intestinal p70(S6k) and protein synthesis in piglet rotavirus enteritis. </w:t>
      </w:r>
      <w:r w:rsidRPr="00A96D05">
        <w:rPr>
          <w:rFonts w:ascii="Book Antiqua" w:hAnsi="Book Antiqua" w:cs="Book Antiqua"/>
          <w:i/>
          <w:iCs/>
          <w:color w:val="000000"/>
          <w:sz w:val="24"/>
          <w:szCs w:val="24"/>
          <w:lang w:val="en-US"/>
        </w:rPr>
        <w:t>J Nutr</w:t>
      </w:r>
      <w:r w:rsidRPr="00A96D05">
        <w:rPr>
          <w:rFonts w:ascii="Book Antiqua" w:hAnsi="Book Antiqua" w:cs="Book Antiqua"/>
          <w:color w:val="000000"/>
          <w:sz w:val="24"/>
          <w:szCs w:val="24"/>
          <w:lang w:val="en-US"/>
        </w:rPr>
        <w:t> 2008; </w:t>
      </w:r>
      <w:r w:rsidRPr="00A96D05">
        <w:rPr>
          <w:rFonts w:ascii="Book Antiqua" w:hAnsi="Book Antiqua" w:cs="Book Antiqua"/>
          <w:b/>
          <w:bCs/>
          <w:color w:val="000000"/>
          <w:sz w:val="24"/>
          <w:szCs w:val="24"/>
          <w:lang w:val="en-US"/>
        </w:rPr>
        <w:t>138</w:t>
      </w:r>
      <w:r w:rsidRPr="00A96D05">
        <w:rPr>
          <w:rFonts w:ascii="Book Antiqua" w:hAnsi="Book Antiqua" w:cs="Book Antiqua"/>
          <w:color w:val="000000"/>
          <w:sz w:val="24"/>
          <w:szCs w:val="24"/>
          <w:lang w:val="en-US"/>
        </w:rPr>
        <w:t>: 24-29 [PMID: 18156399]</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297 </w:t>
      </w:r>
      <w:r w:rsidRPr="00A96D05">
        <w:rPr>
          <w:rFonts w:ascii="Book Antiqua" w:hAnsi="Book Antiqua" w:cs="Book Antiqua"/>
          <w:b/>
          <w:bCs/>
          <w:color w:val="000000"/>
          <w:sz w:val="24"/>
          <w:szCs w:val="24"/>
          <w:lang w:val="en-US"/>
        </w:rPr>
        <w:t>Rhoads JM</w:t>
      </w:r>
      <w:r w:rsidRPr="00A96D05">
        <w:rPr>
          <w:rFonts w:ascii="Book Antiqua" w:hAnsi="Book Antiqua" w:cs="Book Antiqua"/>
          <w:color w:val="000000"/>
          <w:sz w:val="24"/>
          <w:szCs w:val="24"/>
          <w:lang w:val="en-US"/>
        </w:rPr>
        <w:t>, Corl BA, Harrell R, Niu X, Gatlin L, Phillips O, Blikslager A, Moeser A, Wu G, Odle J. Intestinal ribosomal p70(S6K) signaling is increased in piglet rotavirus enteritis. </w:t>
      </w:r>
      <w:r w:rsidRPr="00A96D05">
        <w:rPr>
          <w:rFonts w:ascii="Book Antiqua" w:hAnsi="Book Antiqua" w:cs="Book Antiqua"/>
          <w:i/>
          <w:iCs/>
          <w:color w:val="000000"/>
          <w:sz w:val="24"/>
          <w:szCs w:val="24"/>
          <w:lang w:val="en-US"/>
        </w:rPr>
        <w:t>Am J Physiol Gastrointest Liver Physiol</w:t>
      </w:r>
      <w:r w:rsidRPr="00A96D05">
        <w:rPr>
          <w:rFonts w:ascii="Book Antiqua" w:hAnsi="Book Antiqua" w:cs="Book Antiqua"/>
          <w:color w:val="000000"/>
          <w:sz w:val="24"/>
          <w:szCs w:val="24"/>
          <w:lang w:val="en-US"/>
        </w:rPr>
        <w:t> 2007; </w:t>
      </w:r>
      <w:r w:rsidRPr="00A96D05">
        <w:rPr>
          <w:rFonts w:ascii="Book Antiqua" w:hAnsi="Book Antiqua" w:cs="Book Antiqua"/>
          <w:b/>
          <w:bCs/>
          <w:color w:val="000000"/>
          <w:sz w:val="24"/>
          <w:szCs w:val="24"/>
          <w:lang w:val="en-US"/>
        </w:rPr>
        <w:t>292</w:t>
      </w:r>
      <w:r w:rsidRPr="00A96D05">
        <w:rPr>
          <w:rFonts w:ascii="Book Antiqua" w:hAnsi="Book Antiqua" w:cs="Book Antiqua"/>
          <w:color w:val="000000"/>
          <w:sz w:val="24"/>
          <w:szCs w:val="24"/>
          <w:lang w:val="en-US"/>
        </w:rPr>
        <w:t>: G913-G922 [PMID: 17138969 DOI: 10.1152/ajpgi.00468.2006]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298 </w:t>
      </w:r>
      <w:r w:rsidRPr="00A96D05">
        <w:rPr>
          <w:rFonts w:ascii="Book Antiqua" w:hAnsi="Book Antiqua" w:cs="Book Antiqua"/>
          <w:b/>
          <w:bCs/>
          <w:color w:val="000000"/>
          <w:sz w:val="24"/>
          <w:szCs w:val="24"/>
          <w:lang w:val="en-US"/>
        </w:rPr>
        <w:t>Graves LM</w:t>
      </w:r>
      <w:r w:rsidRPr="00A96D05">
        <w:rPr>
          <w:rFonts w:ascii="Book Antiqua" w:hAnsi="Book Antiqua" w:cs="Book Antiqua"/>
          <w:color w:val="000000"/>
          <w:sz w:val="24"/>
          <w:szCs w:val="24"/>
          <w:lang w:val="en-US"/>
        </w:rPr>
        <w:t>, He Y, Lambert J, Hunter D, Li X, Earp HS. An intracellular calcium signal activates p70 but not p90 ribosomal S6 kinase in liver epithelial cells. </w:t>
      </w:r>
      <w:r w:rsidRPr="00A96D05">
        <w:rPr>
          <w:rFonts w:ascii="Book Antiqua" w:hAnsi="Book Antiqua" w:cs="Book Antiqua"/>
          <w:i/>
          <w:iCs/>
          <w:color w:val="000000"/>
          <w:sz w:val="24"/>
          <w:szCs w:val="24"/>
          <w:lang w:val="en-US"/>
        </w:rPr>
        <w:t>J Biol Chem</w:t>
      </w:r>
      <w:r w:rsidRPr="00A96D05">
        <w:rPr>
          <w:rFonts w:ascii="Book Antiqua" w:hAnsi="Book Antiqua" w:cs="Book Antiqua"/>
          <w:color w:val="000000"/>
          <w:sz w:val="24"/>
          <w:szCs w:val="24"/>
          <w:lang w:val="en-US"/>
        </w:rPr>
        <w:t> 1997; </w:t>
      </w:r>
      <w:r w:rsidRPr="00A96D05">
        <w:rPr>
          <w:rFonts w:ascii="Book Antiqua" w:hAnsi="Book Antiqua" w:cs="Book Antiqua"/>
          <w:b/>
          <w:bCs/>
          <w:color w:val="000000"/>
          <w:sz w:val="24"/>
          <w:szCs w:val="24"/>
          <w:lang w:val="en-US"/>
        </w:rPr>
        <w:t>272</w:t>
      </w:r>
      <w:r w:rsidRPr="00A96D05">
        <w:rPr>
          <w:rFonts w:ascii="Book Antiqua" w:hAnsi="Book Antiqua" w:cs="Book Antiqua"/>
          <w:color w:val="000000"/>
          <w:sz w:val="24"/>
          <w:szCs w:val="24"/>
          <w:lang w:val="en-US"/>
        </w:rPr>
        <w:t>: 1920-1928 [PMID: 8999881]</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299 </w:t>
      </w:r>
      <w:r w:rsidRPr="00A96D05">
        <w:rPr>
          <w:rFonts w:ascii="Book Antiqua" w:hAnsi="Book Antiqua" w:cs="Book Antiqua"/>
          <w:b/>
          <w:bCs/>
          <w:color w:val="000000"/>
          <w:sz w:val="24"/>
          <w:szCs w:val="24"/>
          <w:lang w:val="en-US"/>
        </w:rPr>
        <w:t>Kirkby NS</w:t>
      </w:r>
      <w:r w:rsidRPr="00A96D05">
        <w:rPr>
          <w:rFonts w:ascii="Book Antiqua" w:hAnsi="Book Antiqua" w:cs="Book Antiqua"/>
          <w:color w:val="000000"/>
          <w:sz w:val="24"/>
          <w:szCs w:val="24"/>
          <w:lang w:val="en-US"/>
        </w:rPr>
        <w:t>, Zaiss AK, Wright WR, Jiao J, Chan MV, Warner TD, Herschman HR, Mitchell JA. Differential COX-2 induction by viral and bacterial PAMPs: Consequences for cytokine and interferon responses and implications for anti-viral COX-2 directed therapies. </w:t>
      </w:r>
      <w:r w:rsidRPr="00A96D05">
        <w:rPr>
          <w:rFonts w:ascii="Book Antiqua" w:hAnsi="Book Antiqua" w:cs="Book Antiqua"/>
          <w:i/>
          <w:iCs/>
          <w:color w:val="000000"/>
          <w:sz w:val="24"/>
          <w:szCs w:val="24"/>
          <w:lang w:val="en-US"/>
        </w:rPr>
        <w:t>Biochem Biophys Res Commun</w:t>
      </w:r>
      <w:r w:rsidRPr="00A96D05">
        <w:rPr>
          <w:rFonts w:ascii="Book Antiqua" w:hAnsi="Book Antiqua" w:cs="Book Antiqua"/>
          <w:color w:val="000000"/>
          <w:sz w:val="24"/>
          <w:szCs w:val="24"/>
          <w:lang w:val="en-US"/>
        </w:rPr>
        <w:t> 2013; </w:t>
      </w:r>
      <w:r w:rsidRPr="00A96D05">
        <w:rPr>
          <w:rFonts w:ascii="Book Antiqua" w:hAnsi="Book Antiqua" w:cs="Book Antiqua"/>
          <w:b/>
          <w:bCs/>
          <w:color w:val="000000"/>
          <w:sz w:val="24"/>
          <w:szCs w:val="24"/>
          <w:lang w:val="en-US"/>
        </w:rPr>
        <w:t>438</w:t>
      </w:r>
      <w:r w:rsidRPr="00A96D05">
        <w:rPr>
          <w:rFonts w:ascii="Book Antiqua" w:hAnsi="Book Antiqua" w:cs="Book Antiqua"/>
          <w:color w:val="000000"/>
          <w:sz w:val="24"/>
          <w:szCs w:val="24"/>
          <w:lang w:val="en-US"/>
        </w:rPr>
        <w:t>: 249-256 [PMID: 23850620 DOI: 10.1016/j.bbrc.2013.07.006]</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300 </w:t>
      </w:r>
      <w:r w:rsidRPr="00A96D05">
        <w:rPr>
          <w:rFonts w:ascii="Book Antiqua" w:hAnsi="Book Antiqua" w:cs="Book Antiqua"/>
          <w:b/>
          <w:bCs/>
          <w:color w:val="000000"/>
          <w:sz w:val="24"/>
          <w:szCs w:val="24"/>
          <w:lang w:val="en-US"/>
        </w:rPr>
        <w:t>Steer SA</w:t>
      </w:r>
      <w:r w:rsidRPr="00A96D05">
        <w:rPr>
          <w:rFonts w:ascii="Book Antiqua" w:hAnsi="Book Antiqua" w:cs="Book Antiqua"/>
          <w:color w:val="000000"/>
          <w:sz w:val="24"/>
          <w:szCs w:val="24"/>
          <w:lang w:val="en-US"/>
        </w:rPr>
        <w:t>, Corbett JA. The role and regulation of COX-2 during viral infection. </w:t>
      </w:r>
      <w:r w:rsidRPr="00A96D05">
        <w:rPr>
          <w:rFonts w:ascii="Book Antiqua" w:hAnsi="Book Antiqua" w:cs="Book Antiqua"/>
          <w:i/>
          <w:iCs/>
          <w:color w:val="000000"/>
          <w:sz w:val="24"/>
          <w:szCs w:val="24"/>
          <w:lang w:val="en-US"/>
        </w:rPr>
        <w:t>Viral Immunol</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16</w:t>
      </w:r>
      <w:r w:rsidRPr="00A96D05">
        <w:rPr>
          <w:rFonts w:ascii="Book Antiqua" w:hAnsi="Book Antiqua" w:cs="Book Antiqua"/>
          <w:color w:val="000000"/>
          <w:sz w:val="24"/>
          <w:szCs w:val="24"/>
          <w:lang w:val="en-US"/>
        </w:rPr>
        <w:t>: 447-460 [PMID: 14733733 DOI: 10.1089/088282403771926283]</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301 </w:t>
      </w:r>
      <w:r w:rsidRPr="00A96D05">
        <w:rPr>
          <w:rFonts w:ascii="Book Antiqua" w:hAnsi="Book Antiqua" w:cs="Book Antiqua"/>
          <w:b/>
          <w:bCs/>
          <w:color w:val="000000"/>
          <w:sz w:val="24"/>
          <w:szCs w:val="24"/>
          <w:lang w:val="en-US"/>
        </w:rPr>
        <w:t>Richardson JY</w:t>
      </w:r>
      <w:r w:rsidRPr="00A96D05">
        <w:rPr>
          <w:rFonts w:ascii="Book Antiqua" w:hAnsi="Book Antiqua" w:cs="Book Antiqua"/>
          <w:color w:val="000000"/>
          <w:sz w:val="24"/>
          <w:szCs w:val="24"/>
          <w:lang w:val="en-US"/>
        </w:rPr>
        <w:t>, Ottolini MG, Pletneva L, Boukhvalova M, Zhang S, Vogel SN, Prince GA, Blanco JC. Respiratory syncytial virus (RSV) infection induces cyclooxygenase 2: a potential target for RSV therapy. </w:t>
      </w:r>
      <w:r w:rsidRPr="00A96D05">
        <w:rPr>
          <w:rFonts w:ascii="Book Antiqua" w:hAnsi="Book Antiqua" w:cs="Book Antiqua"/>
          <w:i/>
          <w:iCs/>
          <w:color w:val="000000"/>
          <w:sz w:val="24"/>
          <w:szCs w:val="24"/>
          <w:lang w:val="en-US"/>
        </w:rPr>
        <w:t>J Immunol</w:t>
      </w:r>
      <w:r w:rsidRPr="00A96D05">
        <w:rPr>
          <w:rFonts w:ascii="Book Antiqua" w:hAnsi="Book Antiqua" w:cs="Book Antiqua"/>
          <w:color w:val="000000"/>
          <w:sz w:val="24"/>
          <w:szCs w:val="24"/>
          <w:lang w:val="en-US"/>
        </w:rPr>
        <w:t> 2005; </w:t>
      </w:r>
      <w:r w:rsidRPr="00A96D05">
        <w:rPr>
          <w:rFonts w:ascii="Book Antiqua" w:hAnsi="Book Antiqua" w:cs="Book Antiqua"/>
          <w:b/>
          <w:bCs/>
          <w:color w:val="000000"/>
          <w:sz w:val="24"/>
          <w:szCs w:val="24"/>
          <w:lang w:val="en-US"/>
        </w:rPr>
        <w:t>174</w:t>
      </w:r>
      <w:r w:rsidRPr="00A96D05">
        <w:rPr>
          <w:rFonts w:ascii="Book Antiqua" w:hAnsi="Book Antiqua" w:cs="Book Antiqua"/>
          <w:color w:val="000000"/>
          <w:sz w:val="24"/>
          <w:szCs w:val="24"/>
          <w:lang w:val="en-US"/>
        </w:rPr>
        <w:t xml:space="preserve">: 4356-4364 [PMID: 15778400 DOI: </w:t>
      </w:r>
      <w:hyperlink r:id="rId26" w:tgtFrame="_blank" w:history="1">
        <w:r w:rsidRPr="00A96D05">
          <w:rPr>
            <w:rStyle w:val="Hyperlink"/>
            <w:rFonts w:ascii="Book Antiqua" w:hAnsi="Book Antiqua" w:cs="Book Antiqua"/>
            <w:color w:val="000000"/>
            <w:sz w:val="24"/>
            <w:szCs w:val="24"/>
            <w:u w:val="none"/>
            <w:shd w:val="clear" w:color="auto" w:fill="FFFFFF"/>
            <w:lang w:val="en-US"/>
          </w:rPr>
          <w:t>10.4049/jimmunol.174.7.4356</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302 </w:t>
      </w:r>
      <w:r w:rsidRPr="00A96D05">
        <w:rPr>
          <w:rFonts w:ascii="Book Antiqua" w:hAnsi="Book Antiqua" w:cs="Book Antiqua"/>
          <w:b/>
          <w:bCs/>
          <w:color w:val="000000"/>
          <w:sz w:val="24"/>
          <w:szCs w:val="24"/>
          <w:lang w:val="en-US"/>
        </w:rPr>
        <w:t>Symensma TL</w:t>
      </w:r>
      <w:r w:rsidRPr="00A96D05">
        <w:rPr>
          <w:rFonts w:ascii="Book Antiqua" w:hAnsi="Book Antiqua" w:cs="Book Antiqua"/>
          <w:color w:val="000000"/>
          <w:sz w:val="24"/>
          <w:szCs w:val="24"/>
          <w:lang w:val="en-US"/>
        </w:rPr>
        <w:t>, Martinez-Guzman D, Jia Q, Bortz E, Wu TT, Rudra-Ganguly N, Cole S, Herschman H, Sun R. COX-2 induction during murine gammaherpesvirus 68 infection leads to enhancement of viral gene expression. </w:t>
      </w:r>
      <w:r w:rsidRPr="00A96D05">
        <w:rPr>
          <w:rFonts w:ascii="Book Antiqua" w:hAnsi="Book Antiqua" w:cs="Book Antiqua"/>
          <w:i/>
          <w:iCs/>
          <w:color w:val="000000"/>
          <w:sz w:val="24"/>
          <w:szCs w:val="24"/>
          <w:lang w:val="en-US"/>
        </w:rPr>
        <w:t>J Virol</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77</w:t>
      </w:r>
      <w:r w:rsidRPr="00A96D05">
        <w:rPr>
          <w:rFonts w:ascii="Book Antiqua" w:hAnsi="Book Antiqua" w:cs="Book Antiqua"/>
          <w:color w:val="000000"/>
          <w:sz w:val="24"/>
          <w:szCs w:val="24"/>
          <w:lang w:val="en-US"/>
        </w:rPr>
        <w:t xml:space="preserve">: 12753-12763 [PMID: 14610197 DOI: </w:t>
      </w:r>
      <w:hyperlink r:id="rId27" w:tgtFrame="_blank" w:history="1">
        <w:r w:rsidRPr="00A96D05">
          <w:rPr>
            <w:rStyle w:val="Hyperlink"/>
            <w:rFonts w:ascii="Book Antiqua" w:hAnsi="Book Antiqua" w:cs="Book Antiqua"/>
            <w:color w:val="000000"/>
            <w:sz w:val="24"/>
            <w:szCs w:val="24"/>
            <w:u w:val="none"/>
            <w:shd w:val="clear" w:color="auto" w:fill="FFFFFF"/>
            <w:lang w:val="en-US"/>
          </w:rPr>
          <w:t>10.1128/JVI.77.23.12753-12763.2003</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303 </w:t>
      </w:r>
      <w:r w:rsidRPr="00A96D05">
        <w:rPr>
          <w:rFonts w:ascii="Book Antiqua" w:hAnsi="Book Antiqua" w:cs="Book Antiqua"/>
          <w:b/>
          <w:bCs/>
          <w:color w:val="000000"/>
          <w:sz w:val="24"/>
          <w:szCs w:val="24"/>
          <w:lang w:val="en-US"/>
        </w:rPr>
        <w:t>Steer SA</w:t>
      </w:r>
      <w:r w:rsidRPr="00A96D05">
        <w:rPr>
          <w:rFonts w:ascii="Book Antiqua" w:hAnsi="Book Antiqua" w:cs="Book Antiqua"/>
          <w:color w:val="000000"/>
          <w:sz w:val="24"/>
          <w:szCs w:val="24"/>
          <w:lang w:val="en-US"/>
        </w:rPr>
        <w:t>, Moran JM, Maggi LB, Buller RM, Perlman H, Corbett JA. Regulation of cyclooxygenase-2 expression by macrophages in response to double-stranded RNA and viral infection. </w:t>
      </w:r>
      <w:r w:rsidRPr="00A96D05">
        <w:rPr>
          <w:rFonts w:ascii="Book Antiqua" w:hAnsi="Book Antiqua" w:cs="Book Antiqua"/>
          <w:i/>
          <w:iCs/>
          <w:color w:val="000000"/>
          <w:sz w:val="24"/>
          <w:szCs w:val="24"/>
          <w:lang w:val="en-US"/>
        </w:rPr>
        <w:t>J Immunol</w:t>
      </w:r>
      <w:r w:rsidRPr="00A96D05">
        <w:rPr>
          <w:rFonts w:ascii="Book Antiqua" w:hAnsi="Book Antiqua" w:cs="Book Antiqua"/>
          <w:color w:val="000000"/>
          <w:sz w:val="24"/>
          <w:szCs w:val="24"/>
          <w:lang w:val="en-US"/>
        </w:rPr>
        <w:t> 2003; </w:t>
      </w:r>
      <w:r w:rsidRPr="00A96D05">
        <w:rPr>
          <w:rFonts w:ascii="Book Antiqua" w:hAnsi="Book Antiqua" w:cs="Book Antiqua"/>
          <w:b/>
          <w:bCs/>
          <w:color w:val="000000"/>
          <w:sz w:val="24"/>
          <w:szCs w:val="24"/>
          <w:lang w:val="en-US"/>
        </w:rPr>
        <w:t>170</w:t>
      </w:r>
      <w:r w:rsidRPr="00A96D05">
        <w:rPr>
          <w:rFonts w:ascii="Book Antiqua" w:hAnsi="Book Antiqua" w:cs="Book Antiqua"/>
          <w:color w:val="000000"/>
          <w:sz w:val="24"/>
          <w:szCs w:val="24"/>
          <w:lang w:val="en-US"/>
        </w:rPr>
        <w:t xml:space="preserve">: 1070-1076 [PMID: 12517975 DOI: </w:t>
      </w:r>
      <w:hyperlink r:id="rId28" w:tgtFrame="_blank" w:history="1">
        <w:r w:rsidRPr="00A96D05">
          <w:rPr>
            <w:rStyle w:val="Hyperlink"/>
            <w:rFonts w:ascii="Book Antiqua" w:hAnsi="Book Antiqua" w:cs="Book Antiqua"/>
            <w:color w:val="000000"/>
            <w:sz w:val="24"/>
            <w:szCs w:val="24"/>
            <w:u w:val="none"/>
            <w:shd w:val="clear" w:color="auto" w:fill="FFFFFF"/>
            <w:lang w:val="en-US"/>
          </w:rPr>
          <w:t>10.4049/jimmunol.170.2.1070</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304 </w:t>
      </w:r>
      <w:r w:rsidRPr="00A96D05">
        <w:rPr>
          <w:rFonts w:ascii="Book Antiqua" w:hAnsi="Book Antiqua" w:cs="Book Antiqua"/>
          <w:b/>
          <w:bCs/>
          <w:color w:val="000000"/>
          <w:sz w:val="24"/>
          <w:szCs w:val="24"/>
          <w:lang w:val="en-US"/>
        </w:rPr>
        <w:t>Sainis I</w:t>
      </w:r>
      <w:r w:rsidRPr="00A96D05">
        <w:rPr>
          <w:rFonts w:ascii="Book Antiqua" w:hAnsi="Book Antiqua" w:cs="Book Antiqua"/>
          <w:color w:val="000000"/>
          <w:sz w:val="24"/>
          <w:szCs w:val="24"/>
          <w:lang w:val="en-US"/>
        </w:rPr>
        <w:t>, Angelidis C, Pagoulatos G, Lazaridis I. The hsc70 gene which is slightly induced by heat is the main virus inducible member of the hsp70 gene family. </w:t>
      </w:r>
      <w:r w:rsidRPr="00A96D05">
        <w:rPr>
          <w:rFonts w:ascii="Book Antiqua" w:hAnsi="Book Antiqua" w:cs="Book Antiqua"/>
          <w:i/>
          <w:iCs/>
          <w:color w:val="000000"/>
          <w:sz w:val="24"/>
          <w:szCs w:val="24"/>
          <w:lang w:val="en-US"/>
        </w:rPr>
        <w:t>FEBS Lett</w:t>
      </w:r>
      <w:r w:rsidRPr="00A96D05">
        <w:rPr>
          <w:rFonts w:ascii="Book Antiqua" w:hAnsi="Book Antiqua" w:cs="Book Antiqua"/>
          <w:color w:val="000000"/>
          <w:sz w:val="24"/>
          <w:szCs w:val="24"/>
          <w:lang w:val="en-US"/>
        </w:rPr>
        <w:t> 1994; </w:t>
      </w:r>
      <w:r w:rsidRPr="00A96D05">
        <w:rPr>
          <w:rFonts w:ascii="Book Antiqua" w:hAnsi="Book Antiqua" w:cs="Book Antiqua"/>
          <w:b/>
          <w:bCs/>
          <w:color w:val="000000"/>
          <w:sz w:val="24"/>
          <w:szCs w:val="24"/>
          <w:lang w:val="en-US"/>
        </w:rPr>
        <w:t>355</w:t>
      </w:r>
      <w:r w:rsidRPr="00A96D05">
        <w:rPr>
          <w:rFonts w:ascii="Book Antiqua" w:hAnsi="Book Antiqua" w:cs="Book Antiqua"/>
          <w:color w:val="000000"/>
          <w:sz w:val="24"/>
          <w:szCs w:val="24"/>
          <w:lang w:val="en-US"/>
        </w:rPr>
        <w:t xml:space="preserve">: 282-286 [PMID: 7988690 DOI: </w:t>
      </w:r>
      <w:hyperlink r:id="rId29" w:tgtFrame="_blank" w:history="1">
        <w:r w:rsidRPr="00A96D05">
          <w:rPr>
            <w:rStyle w:val="Hyperlink"/>
            <w:rFonts w:ascii="Book Antiqua" w:hAnsi="Book Antiqua" w:cs="Book Antiqua"/>
            <w:color w:val="000000"/>
            <w:sz w:val="24"/>
            <w:szCs w:val="24"/>
            <w:u w:val="none"/>
            <w:shd w:val="clear" w:color="auto" w:fill="FFFFFF"/>
            <w:lang w:val="en-US"/>
          </w:rPr>
          <w:t>10.1016/0014-5793(94)01210-5</w:t>
        </w:r>
      </w:hyperlink>
      <w:r w:rsidRPr="00A96D05">
        <w:rPr>
          <w:rFonts w:ascii="Book Antiqua" w:hAnsi="Book Antiqua" w:cs="Book Antiqua"/>
          <w:color w:val="000000"/>
          <w:sz w:val="24"/>
          <w:szCs w:val="24"/>
          <w:lang w:val="en-US"/>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305 </w:t>
      </w:r>
      <w:r w:rsidRPr="00A96D05">
        <w:rPr>
          <w:rFonts w:ascii="Book Antiqua" w:hAnsi="Book Antiqua" w:cs="Book Antiqua"/>
          <w:b/>
          <w:bCs/>
          <w:color w:val="000000"/>
          <w:sz w:val="24"/>
          <w:szCs w:val="24"/>
          <w:lang w:val="en-US"/>
        </w:rPr>
        <w:t>Lyupina YV</w:t>
      </w:r>
      <w:r w:rsidRPr="00A96D05">
        <w:rPr>
          <w:rFonts w:ascii="Book Antiqua" w:hAnsi="Book Antiqua" w:cs="Book Antiqua"/>
          <w:color w:val="000000"/>
          <w:sz w:val="24"/>
          <w:szCs w:val="24"/>
          <w:lang w:val="en-US"/>
        </w:rPr>
        <w:t>, Zatsepina OG, Timokhova AV, Orlova OV, Kostyuchenko MV, Beljelarskaya SN, Evgen'ev MB, Mikhailov VS. New insights into the induction of the heat shock proteins in baculovirus infected insect cells. </w:t>
      </w:r>
      <w:r w:rsidRPr="00A96D05">
        <w:rPr>
          <w:rFonts w:ascii="Book Antiqua" w:hAnsi="Book Antiqua" w:cs="Book Antiqua"/>
          <w:i/>
          <w:iCs/>
          <w:color w:val="000000"/>
          <w:sz w:val="24"/>
          <w:szCs w:val="24"/>
          <w:lang w:val="en-US"/>
        </w:rPr>
        <w:t>Virology</w:t>
      </w:r>
      <w:r w:rsidRPr="00A96D05">
        <w:rPr>
          <w:rFonts w:ascii="Book Antiqua" w:hAnsi="Book Antiqua" w:cs="Book Antiqua"/>
          <w:color w:val="000000"/>
          <w:sz w:val="24"/>
          <w:szCs w:val="24"/>
          <w:lang w:val="en-US"/>
        </w:rPr>
        <w:t> 2011; </w:t>
      </w:r>
      <w:r w:rsidRPr="00A96D05">
        <w:rPr>
          <w:rFonts w:ascii="Book Antiqua" w:hAnsi="Book Antiqua" w:cs="Book Antiqua"/>
          <w:b/>
          <w:bCs/>
          <w:color w:val="000000"/>
          <w:sz w:val="24"/>
          <w:szCs w:val="24"/>
          <w:lang w:val="en-US"/>
        </w:rPr>
        <w:t>421</w:t>
      </w:r>
      <w:r w:rsidRPr="00A96D05">
        <w:rPr>
          <w:rFonts w:ascii="Book Antiqua" w:hAnsi="Book Antiqua" w:cs="Book Antiqua"/>
          <w:color w:val="000000"/>
          <w:sz w:val="24"/>
          <w:szCs w:val="24"/>
          <w:lang w:val="en-US"/>
        </w:rPr>
        <w:t>: 34-41 [PMID: 21982219 DOI: 10.1016/j.virol.2011.09.010]</w:t>
      </w:r>
    </w:p>
    <w:p w:rsidR="005C6065" w:rsidRPr="00A96D05" w:rsidRDefault="005C6065" w:rsidP="00A96D05">
      <w:pPr>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t>306 </w:t>
      </w:r>
      <w:r w:rsidRPr="00A96D05">
        <w:rPr>
          <w:rFonts w:ascii="Book Antiqua" w:hAnsi="Book Antiqua" w:cs="Book Antiqua"/>
          <w:b/>
          <w:bCs/>
          <w:color w:val="000000"/>
          <w:sz w:val="24"/>
          <w:szCs w:val="24"/>
          <w:lang w:val="en-US"/>
        </w:rPr>
        <w:t>Xu H</w:t>
      </w:r>
      <w:r w:rsidRPr="00A96D05">
        <w:rPr>
          <w:rFonts w:ascii="Book Antiqua" w:hAnsi="Book Antiqua" w:cs="Book Antiqua"/>
          <w:color w:val="000000"/>
          <w:sz w:val="24"/>
          <w:szCs w:val="24"/>
          <w:lang w:val="en-US"/>
        </w:rPr>
        <w:t>, Yan F, Deng X, Wang J, Zou T, Ma X, Zhang X, Qi Y. The interaction of white spot syndrome virus envelope protein VP28 with shrimp Hsc70 is specific and ATP-dependent. </w:t>
      </w:r>
      <w:r w:rsidRPr="00A96D05">
        <w:rPr>
          <w:rFonts w:ascii="Book Antiqua" w:hAnsi="Book Antiqua" w:cs="Book Antiqua"/>
          <w:i/>
          <w:iCs/>
          <w:color w:val="000000"/>
          <w:sz w:val="24"/>
          <w:szCs w:val="24"/>
          <w:lang w:val="en-US"/>
        </w:rPr>
        <w:t>Fish Shellfish Immunol</w:t>
      </w:r>
      <w:r w:rsidRPr="00A96D05">
        <w:rPr>
          <w:rFonts w:ascii="Book Antiqua" w:hAnsi="Book Antiqua" w:cs="Book Antiqua"/>
          <w:color w:val="000000"/>
          <w:sz w:val="24"/>
          <w:szCs w:val="24"/>
          <w:lang w:val="en-US"/>
        </w:rPr>
        <w:t> 2009; </w:t>
      </w:r>
      <w:r w:rsidRPr="00A96D05">
        <w:rPr>
          <w:rFonts w:ascii="Book Antiqua" w:hAnsi="Book Antiqua" w:cs="Book Antiqua"/>
          <w:b/>
          <w:bCs/>
          <w:color w:val="000000"/>
          <w:sz w:val="24"/>
          <w:szCs w:val="24"/>
          <w:lang w:val="en-US"/>
        </w:rPr>
        <w:t>26</w:t>
      </w:r>
      <w:r w:rsidRPr="00A96D05">
        <w:rPr>
          <w:rFonts w:ascii="Book Antiqua" w:hAnsi="Book Antiqua" w:cs="Book Antiqua"/>
          <w:color w:val="000000"/>
          <w:sz w:val="24"/>
          <w:szCs w:val="24"/>
          <w:lang w:val="en-US"/>
        </w:rPr>
        <w:t>: 414-421 [PMID: 19138748 DOI: 10.1016/j.fsi.2009.01.001]</w:t>
      </w:r>
    </w:p>
    <w:p w:rsidR="005C6065" w:rsidRPr="00A96D05" w:rsidRDefault="005C6065" w:rsidP="00A96D05">
      <w:pPr>
        <w:spacing w:after="0" w:line="360" w:lineRule="auto"/>
        <w:jc w:val="both"/>
        <w:rPr>
          <w:rFonts w:ascii="Book Antiqua" w:hAnsi="Book Antiqua" w:cs="Book Antiqua"/>
          <w:color w:val="000000"/>
          <w:sz w:val="24"/>
          <w:szCs w:val="24"/>
          <w:lang w:val="en-US"/>
        </w:rPr>
      </w:pPr>
    </w:p>
    <w:p w:rsidR="005C6065" w:rsidRPr="00A96D05" w:rsidRDefault="005C6065" w:rsidP="00E33B56">
      <w:pPr>
        <w:spacing w:after="0" w:line="360" w:lineRule="auto"/>
        <w:ind w:left="31680" w:hangingChars="200" w:firstLine="31680"/>
        <w:jc w:val="right"/>
        <w:rPr>
          <w:rFonts w:ascii="Book Antiqua" w:hAnsi="Book Antiqua"/>
          <w:color w:val="000000"/>
          <w:sz w:val="24"/>
          <w:szCs w:val="24"/>
          <w:lang w:val="en-US"/>
        </w:rPr>
      </w:pPr>
      <w:bookmarkStart w:id="5" w:name="OLE_LINK22"/>
      <w:bookmarkStart w:id="6" w:name="OLE_LINK23"/>
      <w:r w:rsidRPr="00A96D05">
        <w:rPr>
          <w:rFonts w:ascii="Book Antiqua" w:hAnsi="Book Antiqua"/>
          <w:b/>
          <w:color w:val="000000"/>
          <w:sz w:val="24"/>
          <w:szCs w:val="24"/>
          <w:lang w:val="en-US"/>
        </w:rPr>
        <w:t>P- Reviewer:</w:t>
      </w:r>
      <w:r w:rsidRPr="00A96D05">
        <w:rPr>
          <w:rFonts w:ascii="Book Antiqua" w:hAnsi="Book Antiqua"/>
          <w:color w:val="000000"/>
          <w:sz w:val="24"/>
          <w:szCs w:val="24"/>
          <w:lang w:val="en-US"/>
        </w:rPr>
        <w:t xml:space="preserve"> </w:t>
      </w:r>
      <w:r w:rsidRPr="00A96D05">
        <w:rPr>
          <w:rFonts w:ascii="Book Antiqua" w:hAnsi="Book Antiqua" w:cs="Book Antiqua"/>
          <w:color w:val="000000"/>
          <w:sz w:val="24"/>
          <w:szCs w:val="24"/>
          <w:lang w:val="en-US"/>
        </w:rPr>
        <w:t>Davis DA, Roohvand F, Tugizov SM</w:t>
      </w:r>
      <w:r w:rsidRPr="00A96D05">
        <w:rPr>
          <w:rFonts w:ascii="Book Antiqua" w:hAnsi="Book Antiqua"/>
          <w:color w:val="000000"/>
          <w:sz w:val="24"/>
          <w:szCs w:val="24"/>
          <w:lang w:val="en-US"/>
        </w:rPr>
        <w:t xml:space="preserve">    </w:t>
      </w:r>
      <w:r w:rsidRPr="00A96D05">
        <w:rPr>
          <w:rFonts w:ascii="Book Antiqua" w:hAnsi="Book Antiqua"/>
          <w:b/>
          <w:color w:val="000000"/>
          <w:sz w:val="24"/>
          <w:szCs w:val="24"/>
          <w:lang w:val="en-US"/>
        </w:rPr>
        <w:t>S- Editor:</w:t>
      </w:r>
      <w:r w:rsidRPr="00A96D05">
        <w:rPr>
          <w:rFonts w:ascii="Book Antiqua" w:hAnsi="Book Antiqua"/>
          <w:color w:val="000000"/>
          <w:sz w:val="24"/>
          <w:szCs w:val="24"/>
          <w:lang w:val="en-US"/>
        </w:rPr>
        <w:t xml:space="preserve"> Gong XM</w:t>
      </w:r>
    </w:p>
    <w:p w:rsidR="005C6065" w:rsidRPr="00A96D05" w:rsidRDefault="005C6065" w:rsidP="00E33B56">
      <w:pPr>
        <w:spacing w:after="0" w:line="360" w:lineRule="auto"/>
        <w:ind w:left="31680" w:hangingChars="200" w:firstLine="31680"/>
        <w:jc w:val="right"/>
        <w:rPr>
          <w:rFonts w:ascii="Book Antiqua" w:hAnsi="Book Antiqua"/>
          <w:b/>
          <w:color w:val="000000"/>
          <w:sz w:val="24"/>
          <w:szCs w:val="24"/>
        </w:rPr>
      </w:pPr>
      <w:r w:rsidRPr="00A96D05">
        <w:rPr>
          <w:rFonts w:ascii="Book Antiqua" w:hAnsi="Book Antiqua"/>
          <w:b/>
          <w:color w:val="000000"/>
          <w:sz w:val="24"/>
          <w:szCs w:val="24"/>
          <w:lang w:val="en-US"/>
        </w:rPr>
        <w:t xml:space="preserve"> </w:t>
      </w:r>
      <w:r w:rsidRPr="00A96D05">
        <w:rPr>
          <w:rFonts w:ascii="Book Antiqua" w:hAnsi="Book Antiqua"/>
          <w:b/>
          <w:color w:val="000000"/>
          <w:sz w:val="24"/>
          <w:szCs w:val="24"/>
        </w:rPr>
        <w:t>L- Editor:</w:t>
      </w:r>
      <w:r w:rsidRPr="00A96D05">
        <w:rPr>
          <w:rFonts w:ascii="Book Antiqua" w:hAnsi="Book Antiqua"/>
          <w:color w:val="000000"/>
          <w:sz w:val="24"/>
          <w:szCs w:val="24"/>
        </w:rPr>
        <w:t xml:space="preserve"> </w:t>
      </w:r>
      <w:r w:rsidRPr="00A96D05">
        <w:rPr>
          <w:rFonts w:ascii="Book Antiqua" w:hAnsi="Book Antiqua"/>
          <w:b/>
          <w:color w:val="000000"/>
          <w:sz w:val="24"/>
          <w:szCs w:val="24"/>
        </w:rPr>
        <w:t>E- Editor:</w:t>
      </w:r>
    </w:p>
    <w:bookmarkEnd w:id="5"/>
    <w:bookmarkEnd w:id="6"/>
    <w:p w:rsidR="005C6065" w:rsidRPr="00A96D05" w:rsidRDefault="005C6065" w:rsidP="00A96D05">
      <w:pPr>
        <w:spacing w:after="0" w:line="360" w:lineRule="auto"/>
        <w:jc w:val="both"/>
        <w:rPr>
          <w:rFonts w:ascii="Book Antiqua" w:hAnsi="Book Antiqua" w:cs="Book Antiqua"/>
          <w:color w:val="000000"/>
          <w:sz w:val="24"/>
          <w:szCs w:val="24"/>
        </w:rPr>
      </w:pPr>
    </w:p>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lang w:val="en-US"/>
        </w:rPr>
      </w:pPr>
    </w:p>
    <w:p w:rsidR="005C6065" w:rsidRPr="00A96D05" w:rsidRDefault="005C6065" w:rsidP="00A96D05">
      <w:pPr>
        <w:pStyle w:val="EndNoteBibliography"/>
        <w:spacing w:after="0" w:line="360" w:lineRule="auto"/>
        <w:rPr>
          <w:rFonts w:ascii="Book Antiqua" w:hAnsi="Book Antiqua" w:cs="Book Antiqua"/>
          <w:color w:val="000000"/>
          <w:lang w:eastAsia="zh-CN"/>
        </w:rPr>
      </w:pPr>
      <w:r w:rsidRPr="00A96D05">
        <w:rPr>
          <w:rFonts w:ascii="Book Antiqua" w:hAnsi="Book Antiqua" w:cs="Book Antiqua"/>
          <w:color w:val="000000"/>
          <w:lang w:eastAsia="zh-CN"/>
        </w:rPr>
        <w:br w:type="page"/>
      </w:r>
    </w:p>
    <w:p w:rsidR="005C6065" w:rsidRPr="00A96D05" w:rsidRDefault="005C6065" w:rsidP="00A96D05">
      <w:pPr>
        <w:autoSpaceDE w:val="0"/>
        <w:autoSpaceDN w:val="0"/>
        <w:adjustRightInd w:val="0"/>
        <w:spacing w:after="0" w:line="360" w:lineRule="auto"/>
        <w:jc w:val="both"/>
        <w:rPr>
          <w:rFonts w:ascii="Book Antiqua" w:hAnsi="Book Antiqua" w:cs="Book Antiqua"/>
          <w:b/>
          <w:bCs/>
          <w:color w:val="000000"/>
          <w:sz w:val="24"/>
          <w:szCs w:val="24"/>
          <w:lang w:val="en-US"/>
        </w:rPr>
      </w:pPr>
      <w:r w:rsidRPr="00EF02BA">
        <w:rPr>
          <w:rFonts w:ascii="Book Antiqua" w:hAnsi="Book Antiqua" w:cs="Book Antiqua"/>
          <w:b/>
          <w:noProof/>
          <w:color w:val="000000"/>
          <w:sz w:val="24"/>
          <w:szCs w:val="24"/>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41.75pt;height:314.25pt;visibility:visible">
            <v:imagedata r:id="rId30" o:title=""/>
          </v:shape>
        </w:pict>
      </w:r>
    </w:p>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lang w:val="en-US" w:eastAsia="zh-CN"/>
        </w:rPr>
      </w:pPr>
      <w:r w:rsidRPr="00A96D05">
        <w:rPr>
          <w:rFonts w:ascii="Book Antiqua" w:hAnsi="Book Antiqua" w:cs="Book Antiqua"/>
          <w:b/>
          <w:bCs/>
          <w:color w:val="000000"/>
          <w:sz w:val="24"/>
          <w:szCs w:val="24"/>
          <w:lang w:val="en-US"/>
        </w:rPr>
        <w:t>Fig</w:t>
      </w:r>
      <w:r w:rsidRPr="00A96D05">
        <w:rPr>
          <w:rFonts w:ascii="Book Antiqua" w:hAnsi="Book Antiqua" w:cs="Book Antiqua"/>
          <w:b/>
          <w:bCs/>
          <w:color w:val="000000"/>
          <w:sz w:val="24"/>
          <w:szCs w:val="24"/>
          <w:lang w:val="en-US" w:eastAsia="zh-CN"/>
        </w:rPr>
        <w:t>ure</w:t>
      </w:r>
      <w:r w:rsidRPr="00A96D05">
        <w:rPr>
          <w:rFonts w:ascii="Book Antiqua" w:hAnsi="Book Antiqua" w:cs="Book Antiqua"/>
          <w:b/>
          <w:bCs/>
          <w:color w:val="000000"/>
          <w:sz w:val="24"/>
          <w:szCs w:val="24"/>
          <w:lang w:val="en-US"/>
        </w:rPr>
        <w:t xml:space="preserve"> 1 Rotavirus-cell surface interactions during entry</w:t>
      </w:r>
      <w:r w:rsidRPr="00A96D05">
        <w:rPr>
          <w:rFonts w:ascii="Book Antiqua" w:hAnsi="Book Antiqua" w:cs="Book Antiqua"/>
          <w:color w:val="000000"/>
          <w:sz w:val="24"/>
          <w:szCs w:val="24"/>
          <w:lang w:val="en-US"/>
        </w:rPr>
        <w:t>. A</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The rotavirus particle-associated proteins (VP1/2/3/4/5/6/7) that enclose the viral genome are represented. Cell surface molecules including sialic acid (SA), Hsc70, PDI, Erp57, thioredoxin (TRX), and integrins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 xml:space="preserve">4β1,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 xml:space="preserve">xβ2, and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 xml:space="preserve">vβ3 are also represented. Infection is initiated by the VP8*-mediated binding (attachment) of virion to terminal or non-terminal (neuraminidase -resistant) SAs located on cell surface glycolipids including gangliosides or to SAs located on cell surface glycoproteins. The N- and O-substituted derivatives of neuraminic acid (SAs) are indicated. Neuraminidase-resistant rotavirus strains can bind directly to integrin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 xml:space="preserve">2β1 through VP5* DGE sequence. SA-dependent strains bind first through VP8* to SA before interacting with integrin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 xml:space="preserve">2β1 through VP5*. A putative caveolae containing raft-associated cell surface receptors is depicted. The sequence of virion-cell interactions taking place after binding to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 xml:space="preserve">2β1 has not yet been established. However, several interactions involving rotavirus structural protein (VP5*, VP7 and VP6) and raft-associated cell surface receptors (Hsc70, PDI and integrins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 xml:space="preserve">4β1,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 xml:space="preserve">xβ2 and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vβ3) have been documented. Interactions between rotavirus structural proteins and cell surface molecules are illustrated</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B</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Disruption of rotavirus proteins (VP5*, VP7 and VP6) caused by cell surface-associated chaperone (Hsc70, PDI) and oxido-reductase activities (PDI, integrin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vβ3) is depicted.</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Hsc70</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Heat shock cognate protein 70</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PDI</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Protein disulfide isomerase</w:t>
      </w:r>
      <w:r w:rsidRPr="00A96D05">
        <w:rPr>
          <w:rFonts w:ascii="Book Antiqua" w:hAnsi="Book Antiqua" w:cs="Book Antiqua"/>
          <w:color w:val="000000"/>
          <w:sz w:val="24"/>
          <w:szCs w:val="24"/>
          <w:lang w:val="en-US" w:eastAsia="zh-CN"/>
        </w:rPr>
        <w:t>.</w:t>
      </w:r>
    </w:p>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br w:type="page"/>
      </w:r>
      <w:r w:rsidRPr="00EF02BA">
        <w:rPr>
          <w:rFonts w:ascii="Book Antiqua" w:hAnsi="Book Antiqua" w:cs="Book Antiqua"/>
          <w:noProof/>
          <w:color w:val="000000"/>
          <w:sz w:val="24"/>
          <w:szCs w:val="24"/>
          <w:lang w:val="en-US" w:eastAsia="zh-CN"/>
        </w:rPr>
        <w:pict>
          <v:shape id="Imagen 2" o:spid="_x0000_i1026" type="#_x0000_t75" style="width:429.75pt;height:250.5pt;visibility:visible">
            <v:imagedata r:id="rId31" o:title=""/>
          </v:shape>
        </w:pict>
      </w:r>
    </w:p>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lang w:val="en-US" w:eastAsia="zh-CN"/>
        </w:rPr>
      </w:pPr>
      <w:r w:rsidRPr="00A96D05">
        <w:rPr>
          <w:rFonts w:ascii="Book Antiqua" w:hAnsi="Book Antiqua" w:cs="Book Antiqua"/>
          <w:b/>
          <w:bCs/>
          <w:color w:val="000000"/>
          <w:sz w:val="24"/>
          <w:szCs w:val="24"/>
          <w:lang w:val="en-US"/>
        </w:rPr>
        <w:t>Fig</w:t>
      </w:r>
      <w:r w:rsidRPr="00A96D05">
        <w:rPr>
          <w:rFonts w:ascii="Book Antiqua" w:hAnsi="Book Antiqua" w:cs="Book Antiqua"/>
          <w:b/>
          <w:bCs/>
          <w:color w:val="000000"/>
          <w:sz w:val="24"/>
          <w:szCs w:val="24"/>
          <w:lang w:val="en-US" w:eastAsia="zh-CN"/>
        </w:rPr>
        <w:t xml:space="preserve">ure </w:t>
      </w:r>
      <w:r w:rsidRPr="00A96D05">
        <w:rPr>
          <w:rFonts w:ascii="Book Antiqua" w:hAnsi="Book Antiqua" w:cs="Book Antiqua"/>
          <w:b/>
          <w:bCs/>
          <w:color w:val="000000"/>
          <w:sz w:val="24"/>
          <w:szCs w:val="24"/>
          <w:lang w:val="en-US"/>
        </w:rPr>
        <w:t>2 Schematic representation of chaperone and oxidoreduction activities during rotavirus entry</w:t>
      </w:r>
      <w:r w:rsidRPr="00A96D05">
        <w:rPr>
          <w:rFonts w:ascii="Book Antiqua" w:hAnsi="Book Antiqua" w:cs="Book Antiqua"/>
          <w:color w:val="000000"/>
          <w:sz w:val="24"/>
          <w:szCs w:val="24"/>
          <w:lang w:val="en-US"/>
        </w:rPr>
        <w:t>. A</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Cell surface reducing PDI has been shown to form complexes with integrins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 xml:space="preserve">2β1 and </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rPr>
        <w:t>vβ3 to generate free thiols in these integrins. Reducing integrin β3 can reduce thiol-disulfide bonds present in VP7</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B</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Chaperone activity of Hsc70 can induce conformational changes in VP5* and VP7 priming them for further interactions</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C</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Cell surface reducing PDI can reduce thiol-disulfide-containing VP5* and VP7 generating in them conformational changes needed for further interactions and entry. Hsc70</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Heat shock cognate protein 70</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PDI</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Protein disulfide isomerase</w:t>
      </w:r>
      <w:r w:rsidRPr="00A96D05">
        <w:rPr>
          <w:rFonts w:ascii="Book Antiqua" w:hAnsi="Book Antiqua" w:cs="Book Antiqua"/>
          <w:color w:val="000000"/>
          <w:sz w:val="24"/>
          <w:szCs w:val="24"/>
          <w:lang w:val="en-US" w:eastAsia="zh-CN"/>
        </w:rPr>
        <w:t>.</w:t>
      </w:r>
    </w:p>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lang w:val="en-US"/>
        </w:rPr>
      </w:pPr>
      <w:r w:rsidRPr="00A96D05">
        <w:rPr>
          <w:rFonts w:ascii="Book Antiqua" w:hAnsi="Book Antiqua" w:cs="Book Antiqua"/>
          <w:color w:val="000000"/>
          <w:sz w:val="24"/>
          <w:szCs w:val="24"/>
          <w:lang w:val="en-US"/>
        </w:rPr>
        <w:br w:type="page"/>
      </w:r>
      <w:r w:rsidRPr="00EF02BA">
        <w:rPr>
          <w:rFonts w:ascii="Book Antiqua" w:hAnsi="Book Antiqua" w:cs="Book Antiqua"/>
          <w:noProof/>
          <w:color w:val="000000"/>
          <w:sz w:val="24"/>
          <w:szCs w:val="24"/>
          <w:lang w:val="en-US" w:eastAsia="zh-CN"/>
        </w:rPr>
        <w:pict>
          <v:shape id="Imagen 3" o:spid="_x0000_i1027" type="#_x0000_t75" style="width:438.75pt;height:322.5pt;visibility:visible">
            <v:imagedata r:id="rId32" o:title=""/>
          </v:shape>
        </w:pict>
      </w: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zh-CN"/>
        </w:rPr>
      </w:pPr>
      <w:r w:rsidRPr="00A96D05">
        <w:rPr>
          <w:rFonts w:ascii="Book Antiqua" w:hAnsi="Book Antiqua" w:cs="Book Antiqua"/>
          <w:b/>
          <w:bCs/>
          <w:color w:val="000000"/>
          <w:sz w:val="24"/>
          <w:szCs w:val="24"/>
          <w:lang w:val="en-US" w:eastAsia="es-US"/>
        </w:rPr>
        <w:t>Fig</w:t>
      </w:r>
      <w:r w:rsidRPr="00A96D05">
        <w:rPr>
          <w:rFonts w:ascii="Book Antiqua" w:hAnsi="Book Antiqua" w:cs="Book Antiqua"/>
          <w:b/>
          <w:bCs/>
          <w:color w:val="000000"/>
          <w:sz w:val="24"/>
          <w:szCs w:val="24"/>
          <w:lang w:val="en-US" w:eastAsia="zh-CN"/>
        </w:rPr>
        <w:t>ure</w:t>
      </w:r>
      <w:r w:rsidRPr="00A96D05">
        <w:rPr>
          <w:rFonts w:ascii="Book Antiqua" w:hAnsi="Book Antiqua" w:cs="Book Antiqua"/>
          <w:b/>
          <w:bCs/>
          <w:color w:val="000000"/>
          <w:sz w:val="24"/>
          <w:szCs w:val="24"/>
          <w:lang w:val="en-US" w:eastAsia="es-US"/>
        </w:rPr>
        <w:t xml:space="preserve"> 3 Cellular innate response to rotavirus infection</w:t>
      </w:r>
      <w:r w:rsidRPr="00A96D05">
        <w:rPr>
          <w:rFonts w:ascii="Book Antiqua" w:hAnsi="Book Antiqua" w:cs="Book Antiqua"/>
          <w:color w:val="000000"/>
          <w:sz w:val="24"/>
          <w:szCs w:val="24"/>
          <w:lang w:val="en-US" w:eastAsia="es-US"/>
        </w:rPr>
        <w:t xml:space="preserve">. During rotavirus internalization viral nucleic acid may be exposed and recognized by either Toll-like receptors (TLR3) or intracellular RIG-I-like receptors (RLRs). Activated RLRs can bind and activate mitochondrial antiviral-signaling protein (MAVS), which recruits a signaling complex needed to activate cytoplasmic transcription factors including interferon regulatory factor 3 (IRF3) and </w:t>
      </w:r>
      <w:r w:rsidRPr="00A96D05">
        <w:rPr>
          <w:rFonts w:ascii="Book Antiqua" w:hAnsi="Book Antiqua" w:cs="Book Antiqua"/>
          <w:color w:val="000000"/>
          <w:sz w:val="24"/>
          <w:szCs w:val="24"/>
          <w:lang w:val="en-US"/>
        </w:rPr>
        <w:t>nuclear factor-κB</w:t>
      </w:r>
      <w:r w:rsidRPr="00A96D05">
        <w:rPr>
          <w:rFonts w:ascii="Book Antiqua" w:hAnsi="Book Antiqua" w:cs="Book Antiqua"/>
          <w:color w:val="000000"/>
          <w:sz w:val="24"/>
          <w:szCs w:val="24"/>
          <w:lang w:val="en-US" w:eastAsia="es-US"/>
        </w:rPr>
        <w:t xml:space="preserve"> </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eastAsia="es-US"/>
        </w:rPr>
        <w:t>NF-κB</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eastAsia="es-US"/>
        </w:rPr>
        <w:t xml:space="preserve">. On the other hand, activation of endosomal TLR3 facilitates the adaptor TRIF recruitment, which allows the recruitment of signaling molecules such as IKKs that phosphorylate IRF3 or NF-κB. Phosphorylated IRF3 is dimerized and then translocated to the nucleus. Signaling pathways induced by rotavirus infection produce phosphorylation of IκB (inhibitor of NF-κB) and its subsequent ubiquitination and proteasomal degradation mediated by SCFβ-TrCP E3 ligase. This signaling pathway leads to NF-κB translocation to the nucleus where, jointly with IRF3 and IRF7, binds to the </w:t>
      </w:r>
      <w:r w:rsidRPr="00A96D05">
        <w:rPr>
          <w:rFonts w:ascii="Book Antiqua" w:hAnsi="Book Antiqua" w:cs="Book Antiqua"/>
          <w:color w:val="000000"/>
          <w:sz w:val="24"/>
          <w:szCs w:val="24"/>
          <w:lang w:val="en-US"/>
        </w:rPr>
        <w:t>interferon</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IFN</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eastAsia="es-US"/>
        </w:rPr>
        <w:t>-β promoter for transcription of IFN-β mRNA. Rotavirus can early counteract signaling pathways of innate response by NSP1-mediated degradation of IRF3 and IRF7. NSP1 encoded by some rotavirus strains can target SCFβ-TrCP for proteasomal degradation, whereas NSP1 from other strains has been implicated in the direct inhibition of the IFN-mediated STAT1 activation. NSP3 can interfere with the translation of cellular-encoded proteins including those induced by the IFN signaling. The viroplasm, which includes some viral non-structural proteins (NSP2/5/6), can protect viral RNAs from being recognized by some pattern-recognition receptors (RIG-I, MDA-5, among others) involved in antiviral response.</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MIT, ER, and PROT are indicated.</w:t>
      </w:r>
      <w:r w:rsidRPr="00A96D05">
        <w:rPr>
          <w:rFonts w:ascii="Book Antiqua" w:hAnsi="Book Antiqua" w:cs="Book Antiqua"/>
          <w:color w:val="000000"/>
          <w:sz w:val="24"/>
          <w:szCs w:val="24"/>
          <w:lang w:val="en-US" w:eastAsia="zh-CN"/>
        </w:rPr>
        <w:t xml:space="preserve"> IKK: </w:t>
      </w:r>
      <w:r w:rsidRPr="00A96D05">
        <w:rPr>
          <w:rFonts w:ascii="Book Antiqua" w:hAnsi="Book Antiqua" w:cs="Book Antiqua"/>
          <w:color w:val="000000"/>
          <w:sz w:val="24"/>
          <w:szCs w:val="24"/>
          <w:lang w:val="en-US"/>
        </w:rPr>
        <w:t>IκB kinase</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MIT</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Mitochondria</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ER</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Endoplasmic reticulum</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PROT</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Proteasome</w:t>
      </w:r>
      <w:r w:rsidRPr="00A96D05">
        <w:rPr>
          <w:rFonts w:ascii="Book Antiqua" w:hAnsi="Book Antiqua" w:cs="Book Antiqua"/>
          <w:color w:val="000000"/>
          <w:sz w:val="24"/>
          <w:szCs w:val="24"/>
          <w:lang w:val="en-US" w:eastAsia="zh-CN"/>
        </w:rPr>
        <w:t>; TNF-</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Tumor necrosis factor</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sym w:font="Symbol" w:char="F061"/>
      </w:r>
      <w:r w:rsidRPr="00A96D05">
        <w:rPr>
          <w:rFonts w:ascii="Book Antiqua" w:hAnsi="Book Antiqua" w:cs="Book Antiqua"/>
          <w:color w:val="000000"/>
          <w:sz w:val="24"/>
          <w:szCs w:val="24"/>
          <w:lang w:val="en-US" w:eastAsia="zh-CN"/>
        </w:rPr>
        <w:t>.</w:t>
      </w: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es-US"/>
        </w:rPr>
      </w:pPr>
      <w:r w:rsidRPr="00A96D05">
        <w:rPr>
          <w:rFonts w:ascii="Book Antiqua" w:hAnsi="Book Antiqua" w:cs="Book Antiqua"/>
          <w:color w:val="000000"/>
          <w:sz w:val="24"/>
          <w:szCs w:val="24"/>
          <w:lang w:val="en-US" w:eastAsia="es-US"/>
        </w:rPr>
        <w:t> </w:t>
      </w: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es-US"/>
        </w:rPr>
      </w:pPr>
      <w:r w:rsidRPr="00A96D05">
        <w:rPr>
          <w:rFonts w:ascii="Book Antiqua" w:hAnsi="Book Antiqua" w:cs="Book Antiqua"/>
          <w:color w:val="000000"/>
          <w:sz w:val="24"/>
          <w:szCs w:val="24"/>
          <w:lang w:val="en-US" w:eastAsia="es-US"/>
        </w:rPr>
        <w:br w:type="page"/>
      </w:r>
      <w:r w:rsidRPr="00EF02BA">
        <w:rPr>
          <w:rFonts w:ascii="Book Antiqua" w:hAnsi="Book Antiqua" w:cs="Book Antiqua"/>
          <w:noProof/>
          <w:color w:val="000000"/>
          <w:sz w:val="24"/>
          <w:szCs w:val="24"/>
          <w:lang w:val="en-US" w:eastAsia="zh-CN"/>
        </w:rPr>
        <w:pict>
          <v:shape id="Imagen 4" o:spid="_x0000_i1028" type="#_x0000_t75" style="width:435pt;height:298.5pt;visibility:visible">
            <v:imagedata r:id="rId33" o:title=""/>
          </v:shape>
        </w:pict>
      </w: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zh-CN"/>
        </w:rPr>
      </w:pPr>
      <w:r w:rsidRPr="00A96D05">
        <w:rPr>
          <w:rFonts w:ascii="Book Antiqua" w:hAnsi="Book Antiqua" w:cs="Book Antiqua"/>
          <w:b/>
          <w:bCs/>
          <w:color w:val="000000"/>
          <w:sz w:val="24"/>
          <w:szCs w:val="24"/>
          <w:lang w:val="en-US" w:eastAsia="es-US"/>
        </w:rPr>
        <w:t>Fig</w:t>
      </w:r>
      <w:r w:rsidRPr="00A96D05">
        <w:rPr>
          <w:rFonts w:ascii="Book Antiqua" w:hAnsi="Book Antiqua" w:cs="Book Antiqua"/>
          <w:b/>
          <w:bCs/>
          <w:color w:val="000000"/>
          <w:sz w:val="24"/>
          <w:szCs w:val="24"/>
          <w:lang w:val="en-US" w:eastAsia="zh-CN"/>
        </w:rPr>
        <w:t>ure</w:t>
      </w:r>
      <w:r w:rsidRPr="00A96D05">
        <w:rPr>
          <w:rFonts w:ascii="Book Antiqua" w:hAnsi="Book Antiqua" w:cs="Book Antiqua"/>
          <w:b/>
          <w:bCs/>
          <w:color w:val="000000"/>
          <w:sz w:val="24"/>
          <w:szCs w:val="24"/>
          <w:lang w:val="en-US" w:eastAsia="es-US"/>
        </w:rPr>
        <w:t xml:space="preserve"> 4 Inhibition of rotavirus infection by treatment with antioxidants, </w:t>
      </w:r>
      <w:r w:rsidRPr="00A96D05">
        <w:rPr>
          <w:rFonts w:ascii="Book Antiqua" w:hAnsi="Book Antiqua" w:cs="Book Antiqua"/>
          <w:color w:val="000000"/>
          <w:sz w:val="24"/>
          <w:szCs w:val="24"/>
          <w:lang w:val="en-US"/>
        </w:rPr>
        <w:t> </w:t>
      </w:r>
      <w:r w:rsidRPr="00A96D05">
        <w:rPr>
          <w:rFonts w:ascii="Book Antiqua" w:hAnsi="Book Antiqua" w:cs="Book Antiqua"/>
          <w:b/>
          <w:bCs/>
          <w:color w:val="000000"/>
          <w:sz w:val="24"/>
          <w:szCs w:val="24"/>
          <w:lang w:val="en-US" w:eastAsia="es-US"/>
        </w:rPr>
        <w:t>nonsteroidal antiinflammatory drugs and peroxisome proliferator-activated receptor gamma agonists</w:t>
      </w:r>
      <w:r w:rsidRPr="00A96D05">
        <w:rPr>
          <w:rFonts w:ascii="Book Antiqua" w:hAnsi="Book Antiqua" w:cs="Book Antiqua"/>
          <w:color w:val="000000"/>
          <w:sz w:val="24"/>
          <w:szCs w:val="24"/>
          <w:lang w:val="en-US" w:eastAsia="es-US"/>
        </w:rPr>
        <w:t>. NAC and AA can inhibit the production of ROS, whereas NAC can also affect I</w:t>
      </w:r>
      <w:r w:rsidRPr="00A96D05">
        <w:rPr>
          <w:rFonts w:ascii="Book Antiqua" w:hAnsi="Book Antiqua" w:cs="Book Antiqua"/>
          <w:color w:val="000000"/>
          <w:sz w:val="24"/>
          <w:szCs w:val="24"/>
          <w:lang w:val="es-US" w:eastAsia="es-US"/>
        </w:rPr>
        <w:t>κ</w:t>
      </w:r>
      <w:r w:rsidRPr="00A96D05">
        <w:rPr>
          <w:rFonts w:ascii="Book Antiqua" w:hAnsi="Book Antiqua" w:cs="Book Antiqua"/>
          <w:color w:val="000000"/>
          <w:sz w:val="24"/>
          <w:szCs w:val="24"/>
          <w:lang w:val="en-US" w:eastAsia="es-US"/>
        </w:rPr>
        <w:t>B preventing the cytoplasmic activation of NF-</w:t>
      </w:r>
      <w:r w:rsidRPr="00A96D05">
        <w:rPr>
          <w:rFonts w:ascii="Book Antiqua" w:hAnsi="Book Antiqua" w:cs="Book Antiqua"/>
          <w:color w:val="000000"/>
          <w:sz w:val="24"/>
          <w:szCs w:val="24"/>
          <w:lang w:val="es-US" w:eastAsia="es-US"/>
        </w:rPr>
        <w:t>κ</w:t>
      </w:r>
      <w:r w:rsidRPr="00A96D05">
        <w:rPr>
          <w:rFonts w:ascii="Book Antiqua" w:hAnsi="Book Antiqua" w:cs="Book Antiqua"/>
          <w:color w:val="000000"/>
          <w:sz w:val="24"/>
          <w:szCs w:val="24"/>
          <w:lang w:val="en-US" w:eastAsia="es-US"/>
        </w:rPr>
        <w:t>B. NAC can further inhibit nuclear phosphorylated NF-</w:t>
      </w:r>
      <w:r w:rsidRPr="00A96D05">
        <w:rPr>
          <w:rFonts w:ascii="Book Antiqua" w:hAnsi="Book Antiqua" w:cs="Book Antiqua"/>
          <w:color w:val="000000"/>
          <w:sz w:val="24"/>
          <w:szCs w:val="24"/>
          <w:lang w:val="es-US" w:eastAsia="es-US"/>
        </w:rPr>
        <w:t>κ</w:t>
      </w:r>
      <w:r w:rsidRPr="00A96D05">
        <w:rPr>
          <w:rFonts w:ascii="Book Antiqua" w:hAnsi="Book Antiqua" w:cs="Book Antiqua"/>
          <w:color w:val="000000"/>
          <w:sz w:val="24"/>
          <w:szCs w:val="24"/>
          <w:lang w:val="en-US" w:eastAsia="es-US"/>
        </w:rPr>
        <w:t>B preventing the transcription of pro-inflammatory genes. NSAIDs such as KTP, IND and DCF</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inhibit COX-2 leading to a significant inhibition of prostaglandin accumulation. On the other hand, ASA and IBF inhibit activation of NF-</w:t>
      </w:r>
      <w:r w:rsidRPr="00A96D05">
        <w:rPr>
          <w:rFonts w:ascii="Book Antiqua" w:hAnsi="Book Antiqua" w:cs="Book Antiqua"/>
          <w:color w:val="000000"/>
          <w:sz w:val="24"/>
          <w:szCs w:val="24"/>
          <w:lang w:val="el-GR" w:eastAsia="es-US"/>
        </w:rPr>
        <w:t>κ</w:t>
      </w:r>
      <w:r w:rsidRPr="00A96D05">
        <w:rPr>
          <w:rFonts w:ascii="Book Antiqua" w:hAnsi="Book Antiqua" w:cs="Book Antiqua"/>
          <w:color w:val="000000"/>
          <w:sz w:val="24"/>
          <w:szCs w:val="24"/>
          <w:lang w:val="en-US" w:eastAsia="es-US"/>
        </w:rPr>
        <w:t>B suppressing the transcription of IFN-</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eastAsia="es-US"/>
        </w:rPr>
        <w:t>, IFN-β and IFN-γ, cytokines and interleukins. These NSAID treatments significantly inhibit rotavirus infections in cultured cells and mice. PPARγ agonists such as 13(S)-hydroxyoctadecadienoic acid (HODE), ALA and DHA, and thiazolidinediones such as PGZ, RGZ, and 2,</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4-thiazolidinedione (TZD) activate PPARγ leading to inhibition of cytoplasmic NF-</w:t>
      </w:r>
      <w:r w:rsidRPr="00A96D05">
        <w:rPr>
          <w:rFonts w:ascii="Book Antiqua" w:hAnsi="Book Antiqua" w:cs="Book Antiqua"/>
          <w:color w:val="000000"/>
          <w:sz w:val="24"/>
          <w:szCs w:val="24"/>
          <w:lang w:val="es-US" w:eastAsia="es-US"/>
        </w:rPr>
        <w:t>κ</w:t>
      </w:r>
      <w:r w:rsidRPr="00A96D05">
        <w:rPr>
          <w:rFonts w:ascii="Book Antiqua" w:hAnsi="Book Antiqua" w:cs="Book Antiqua"/>
          <w:color w:val="000000"/>
          <w:sz w:val="24"/>
          <w:szCs w:val="24"/>
          <w:lang w:val="en-US" w:eastAsia="es-US"/>
        </w:rPr>
        <w:t>B. PPARγ can hetrodimerize with the RA-activated RXR for promoting transcription of anti-inflammatory genes. This complex can also cause inhibition of phosphorylated NF-</w:t>
      </w:r>
      <w:r w:rsidRPr="00A96D05">
        <w:rPr>
          <w:rFonts w:ascii="Book Antiqua" w:hAnsi="Book Antiqua" w:cs="Book Antiqua"/>
          <w:color w:val="000000"/>
          <w:sz w:val="24"/>
          <w:szCs w:val="24"/>
          <w:lang w:val="es-US" w:eastAsia="es-US"/>
        </w:rPr>
        <w:t>κ</w:t>
      </w:r>
      <w:r w:rsidRPr="00A96D05">
        <w:rPr>
          <w:rFonts w:ascii="Book Antiqua" w:hAnsi="Book Antiqua" w:cs="Book Antiqua"/>
          <w:color w:val="000000"/>
          <w:sz w:val="24"/>
          <w:szCs w:val="24"/>
          <w:lang w:val="en-US" w:eastAsia="es-US"/>
        </w:rPr>
        <w:t>B which in turn leads to decreased transcription of pro-inflammatory genes.  MIT, ER, and PROT are indicated.</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NAC</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eastAsia="es-US"/>
        </w:rPr>
        <w:t xml:space="preserve"> </w:t>
      </w:r>
      <w:r w:rsidRPr="00A96D05">
        <w:rPr>
          <w:rFonts w:ascii="Book Antiqua" w:hAnsi="Book Antiqua" w:cs="Book Antiqua"/>
          <w:color w:val="000000"/>
          <w:sz w:val="24"/>
          <w:szCs w:val="24"/>
          <w:shd w:val="clear" w:color="auto" w:fill="FFFFFF"/>
          <w:lang w:val="en-US"/>
        </w:rPr>
        <w:t>N-acetylcysteine</w:t>
      </w:r>
      <w:r w:rsidRPr="00A96D05">
        <w:rPr>
          <w:rFonts w:ascii="Book Antiqua" w:hAnsi="Book Antiqua" w:cs="Book Antiqua"/>
          <w:color w:val="000000"/>
          <w:sz w:val="24"/>
          <w:szCs w:val="24"/>
          <w:shd w:val="clear" w:color="auto" w:fill="FFFFFF"/>
          <w:lang w:val="en-US" w:eastAsia="zh-CN"/>
        </w:rPr>
        <w:t>;</w:t>
      </w:r>
      <w:r w:rsidRPr="00A96D05">
        <w:rPr>
          <w:rFonts w:ascii="Book Antiqua" w:hAnsi="Book Antiqua" w:cs="Book Antiqua"/>
          <w:color w:val="000000"/>
          <w:sz w:val="24"/>
          <w:szCs w:val="24"/>
          <w:lang w:val="en-US" w:eastAsia="es-US"/>
        </w:rPr>
        <w:t xml:space="preserve"> NSAIDs: Nonsteroidal antiinflammatory drugs</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PPARγ</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shd w:val="clear" w:color="auto" w:fill="FFFFFF"/>
          <w:lang w:val="en-US"/>
        </w:rPr>
        <w:t>Peroxisome proliferator-activated receptor gamma</w:t>
      </w:r>
      <w:r w:rsidRPr="00A96D05">
        <w:rPr>
          <w:rFonts w:ascii="Book Antiqua" w:hAnsi="Book Antiqua" w:cs="Book Antiqua"/>
          <w:color w:val="000000"/>
          <w:sz w:val="24"/>
          <w:szCs w:val="24"/>
          <w:lang w:val="en-US" w:eastAsia="zh-CN"/>
        </w:rPr>
        <w:t xml:space="preserve">; AA: </w:t>
      </w:r>
      <w:r w:rsidRPr="00A96D05">
        <w:rPr>
          <w:rFonts w:ascii="Book Antiqua" w:hAnsi="Book Antiqua" w:cs="Book Antiqua"/>
          <w:color w:val="000000"/>
          <w:sz w:val="24"/>
          <w:szCs w:val="24"/>
          <w:lang w:val="en-US" w:eastAsia="es-US"/>
        </w:rPr>
        <w:t>Ascorbic acid</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ROS</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Reactive oxygen species</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NF-κB</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Nuclear factor-κB</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KTP</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Ketoprofen</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IND</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Indomethacin</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DCF</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Diclofenac</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COX-2</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Cyclooxygenase-2</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ASA</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Acetylsalicylic acid</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IBF</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Ibuprofen</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IFN-</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Interferon</w:t>
      </w:r>
      <w:r w:rsidRPr="00A96D05">
        <w:rPr>
          <w:rFonts w:ascii="Book Antiqua" w:hAnsi="Book Antiqua" w:cs="Book Antiqua"/>
          <w:color w:val="000000"/>
          <w:sz w:val="24"/>
          <w:szCs w:val="24"/>
          <w:lang w:val="en-US" w:eastAsia="zh-CN"/>
        </w:rPr>
        <w:t>-</w:t>
      </w:r>
      <w:r w:rsidRPr="00A96D05">
        <w:rPr>
          <w:rFonts w:ascii="Book Antiqua" w:hAnsi="Book Antiqua"/>
          <w:bCs/>
          <w:color w:val="000000"/>
          <w:kern w:val="24"/>
          <w:sz w:val="24"/>
          <w:szCs w:val="24"/>
        </w:rPr>
        <w:sym w:font="Symbol" w:char="F061"/>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ALA</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Alpha-linolenic acid</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DHA</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Docosahexaenoic acid</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PGZ</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Pioglitazone</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RGZ</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Rosiglitazone</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RA</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Retinoic acid</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RXR</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Retinoid X receptor</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MIT</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Mitochondria</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ER</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Endoplasmic reticulum</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PROT</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eastAsia="es-US"/>
        </w:rPr>
        <w:t>Proteasome</w:t>
      </w:r>
      <w:r w:rsidRPr="00A96D05">
        <w:rPr>
          <w:rFonts w:ascii="Book Antiqua" w:hAnsi="Book Antiqua" w:cs="Book Antiqua"/>
          <w:color w:val="000000"/>
          <w:sz w:val="24"/>
          <w:szCs w:val="24"/>
          <w:lang w:val="en-US" w:eastAsia="zh-CN"/>
        </w:rPr>
        <w:t>.</w:t>
      </w: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es-US"/>
        </w:rPr>
      </w:pP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es-US"/>
        </w:rPr>
      </w:pP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es-US"/>
        </w:rPr>
      </w:pP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es-US"/>
        </w:rPr>
      </w:pP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es-US"/>
        </w:rPr>
      </w:pP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es-US"/>
        </w:rPr>
      </w:pP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es-US"/>
        </w:rPr>
      </w:pPr>
    </w:p>
    <w:p w:rsidR="005C6065" w:rsidRPr="00A96D05" w:rsidRDefault="005C6065" w:rsidP="00A96D05">
      <w:pPr>
        <w:shd w:val="clear" w:color="auto" w:fill="FFFFFF"/>
        <w:spacing w:after="0" w:line="360" w:lineRule="auto"/>
        <w:jc w:val="both"/>
        <w:rPr>
          <w:rFonts w:ascii="Book Antiqua" w:hAnsi="Book Antiqua" w:cs="Book Antiqua"/>
          <w:color w:val="000000"/>
          <w:sz w:val="24"/>
          <w:szCs w:val="24"/>
          <w:lang w:val="en-US" w:eastAsia="es-US"/>
        </w:rPr>
      </w:pPr>
    </w:p>
    <w:p w:rsidR="005C6065" w:rsidRPr="00A96D05" w:rsidRDefault="005C6065" w:rsidP="00A96D05">
      <w:pPr>
        <w:shd w:val="clear" w:color="auto" w:fill="FFFFFF"/>
        <w:spacing w:after="0" w:line="360" w:lineRule="auto"/>
        <w:jc w:val="both"/>
        <w:rPr>
          <w:rFonts w:ascii="Book Antiqua" w:hAnsi="Book Antiqua" w:cs="Book Antiqua"/>
          <w:b/>
          <w:bCs/>
          <w:color w:val="000000"/>
          <w:sz w:val="24"/>
          <w:szCs w:val="24"/>
          <w:lang w:val="en-US" w:eastAsia="es-US"/>
        </w:rPr>
      </w:pPr>
      <w:r w:rsidRPr="00A96D05">
        <w:rPr>
          <w:rFonts w:ascii="Book Antiqua" w:hAnsi="Book Antiqua" w:cs="Book Antiqua"/>
          <w:color w:val="000000"/>
          <w:sz w:val="24"/>
          <w:szCs w:val="24"/>
          <w:lang w:val="en-US" w:eastAsia="es-US"/>
        </w:rPr>
        <w:br w:type="page"/>
      </w:r>
      <w:r w:rsidRPr="00A96D05">
        <w:rPr>
          <w:rFonts w:ascii="Book Antiqua" w:hAnsi="Book Antiqua" w:cs="Book Antiqua"/>
          <w:b/>
          <w:bCs/>
          <w:color w:val="000000"/>
          <w:sz w:val="24"/>
          <w:szCs w:val="24"/>
          <w:shd w:val="clear" w:color="auto" w:fill="FFFFFF"/>
          <w:lang w:val="en-US"/>
        </w:rPr>
        <w:t>Table 1</w:t>
      </w:r>
      <w:r w:rsidRPr="00A96D05">
        <w:rPr>
          <w:rFonts w:ascii="Book Antiqua" w:hAnsi="Book Antiqua" w:cs="Book Antiqua"/>
          <w:color w:val="000000"/>
          <w:sz w:val="24"/>
          <w:szCs w:val="24"/>
          <w:shd w:val="clear" w:color="auto" w:fill="FFFFFF"/>
          <w:lang w:val="en-US"/>
        </w:rPr>
        <w:t xml:space="preserve"> </w:t>
      </w:r>
      <w:r w:rsidRPr="00A96D05">
        <w:rPr>
          <w:rFonts w:ascii="Book Antiqua" w:hAnsi="Book Antiqua" w:cs="Book Antiqua"/>
          <w:b/>
          <w:bCs/>
          <w:color w:val="000000"/>
          <w:sz w:val="24"/>
          <w:szCs w:val="24"/>
          <w:shd w:val="clear" w:color="auto" w:fill="FFFFFF"/>
          <w:lang w:val="en-US"/>
        </w:rPr>
        <w:t>Cell surface molecules interacting with rotavirus structural proteins during entry</w:t>
      </w:r>
    </w:p>
    <w:tbl>
      <w:tblPr>
        <w:tblW w:w="0" w:type="auto"/>
        <w:jc w:val="center"/>
        <w:tblLook w:val="00A0"/>
      </w:tblPr>
      <w:tblGrid>
        <w:gridCol w:w="1482"/>
        <w:gridCol w:w="1505"/>
        <w:gridCol w:w="1903"/>
        <w:gridCol w:w="2596"/>
        <w:gridCol w:w="1568"/>
      </w:tblGrid>
      <w:tr w:rsidR="005C6065" w:rsidRPr="00EF02BA">
        <w:trPr>
          <w:jc w:val="center"/>
        </w:trPr>
        <w:tc>
          <w:tcPr>
            <w:tcW w:w="1482" w:type="dxa"/>
            <w:tcBorders>
              <w:top w:val="single" w:sz="4" w:space="0" w:color="auto"/>
              <w:bottom w:val="single" w:sz="4" w:space="0" w:color="auto"/>
            </w:tcBorders>
          </w:tcPr>
          <w:p w:rsidR="005C6065" w:rsidRPr="00EF02BA" w:rsidRDefault="005C6065" w:rsidP="00A96D05">
            <w:pPr>
              <w:spacing w:after="0" w:line="360" w:lineRule="auto"/>
              <w:jc w:val="both"/>
              <w:rPr>
                <w:rFonts w:ascii="Book Antiqua" w:hAnsi="Book Antiqua" w:cs="Book Antiqua"/>
                <w:b/>
                <w:bCs/>
                <w:color w:val="000000"/>
                <w:sz w:val="24"/>
                <w:szCs w:val="24"/>
                <w:lang w:val="en-US"/>
              </w:rPr>
            </w:pPr>
            <w:r w:rsidRPr="00EF02BA">
              <w:rPr>
                <w:rFonts w:ascii="Book Antiqua" w:hAnsi="Book Antiqua" w:cs="Book Antiqua"/>
                <w:b/>
                <w:bCs/>
                <w:color w:val="000000"/>
                <w:sz w:val="24"/>
                <w:szCs w:val="24"/>
                <w:lang w:val="en-US"/>
              </w:rPr>
              <w:t>Cellular molecule</w:t>
            </w:r>
          </w:p>
        </w:tc>
        <w:tc>
          <w:tcPr>
            <w:tcW w:w="1505" w:type="dxa"/>
            <w:tcBorders>
              <w:top w:val="single" w:sz="4" w:space="0" w:color="auto"/>
              <w:bottom w:val="single" w:sz="4" w:space="0" w:color="auto"/>
            </w:tcBorders>
          </w:tcPr>
          <w:p w:rsidR="005C6065" w:rsidRPr="00EF02BA" w:rsidRDefault="005C6065" w:rsidP="00A96D05">
            <w:pPr>
              <w:spacing w:after="0" w:line="360" w:lineRule="auto"/>
              <w:jc w:val="both"/>
              <w:rPr>
                <w:rFonts w:ascii="Book Antiqua" w:hAnsi="Book Antiqua" w:cs="Book Antiqua"/>
                <w:b/>
                <w:bCs/>
                <w:color w:val="000000"/>
                <w:sz w:val="24"/>
                <w:szCs w:val="24"/>
                <w:lang w:val="en-US"/>
              </w:rPr>
            </w:pPr>
            <w:r w:rsidRPr="00EF02BA">
              <w:rPr>
                <w:rFonts w:ascii="Book Antiqua" w:hAnsi="Book Antiqua" w:cs="Book Antiqua"/>
                <w:b/>
                <w:bCs/>
                <w:color w:val="000000"/>
                <w:sz w:val="24"/>
                <w:szCs w:val="24"/>
                <w:lang w:val="en-US"/>
              </w:rPr>
              <w:t>Rotavirus protein</w:t>
            </w:r>
          </w:p>
        </w:tc>
        <w:tc>
          <w:tcPr>
            <w:tcW w:w="1903" w:type="dxa"/>
            <w:tcBorders>
              <w:top w:val="single" w:sz="4" w:space="0" w:color="auto"/>
              <w:bottom w:val="single" w:sz="4" w:space="0" w:color="auto"/>
            </w:tcBorders>
          </w:tcPr>
          <w:p w:rsidR="005C6065" w:rsidRPr="00EF02BA" w:rsidRDefault="005C6065" w:rsidP="00A96D05">
            <w:pPr>
              <w:spacing w:after="0" w:line="360" w:lineRule="auto"/>
              <w:jc w:val="both"/>
              <w:rPr>
                <w:rFonts w:ascii="Book Antiqua" w:hAnsi="Book Antiqua" w:cs="Book Antiqua"/>
                <w:b/>
                <w:bCs/>
                <w:color w:val="000000"/>
                <w:sz w:val="24"/>
                <w:szCs w:val="24"/>
                <w:lang w:val="en-US"/>
              </w:rPr>
            </w:pPr>
            <w:r w:rsidRPr="00EF02BA">
              <w:rPr>
                <w:rFonts w:ascii="Book Antiqua" w:hAnsi="Book Antiqua" w:cs="Book Antiqua"/>
                <w:b/>
                <w:bCs/>
                <w:color w:val="000000"/>
                <w:sz w:val="24"/>
                <w:szCs w:val="24"/>
                <w:lang w:val="en-US"/>
              </w:rPr>
              <w:t>Activity</w:t>
            </w:r>
          </w:p>
          <w:p w:rsidR="005C6065" w:rsidRPr="00EF02BA" w:rsidRDefault="005C6065" w:rsidP="00A96D05">
            <w:pPr>
              <w:spacing w:after="0" w:line="360" w:lineRule="auto"/>
              <w:jc w:val="both"/>
              <w:rPr>
                <w:rFonts w:ascii="Book Antiqua" w:hAnsi="Book Antiqua" w:cs="Book Antiqua"/>
                <w:b/>
                <w:bCs/>
                <w:color w:val="000000"/>
                <w:sz w:val="24"/>
                <w:szCs w:val="24"/>
                <w:lang w:val="en-US"/>
              </w:rPr>
            </w:pPr>
          </w:p>
        </w:tc>
        <w:tc>
          <w:tcPr>
            <w:tcW w:w="2596" w:type="dxa"/>
            <w:tcBorders>
              <w:top w:val="single" w:sz="4" w:space="0" w:color="auto"/>
              <w:bottom w:val="single" w:sz="4" w:space="0" w:color="auto"/>
            </w:tcBorders>
          </w:tcPr>
          <w:p w:rsidR="005C6065" w:rsidRPr="00EF02BA" w:rsidRDefault="005C6065" w:rsidP="00A96D05">
            <w:pPr>
              <w:spacing w:after="0" w:line="360" w:lineRule="auto"/>
              <w:jc w:val="both"/>
              <w:rPr>
                <w:rFonts w:ascii="Book Antiqua" w:hAnsi="Book Antiqua" w:cs="Book Antiqua"/>
                <w:b/>
                <w:bCs/>
                <w:color w:val="000000"/>
                <w:sz w:val="24"/>
                <w:szCs w:val="24"/>
                <w:lang w:val="en-US"/>
              </w:rPr>
            </w:pPr>
            <w:r w:rsidRPr="00EF02BA">
              <w:rPr>
                <w:rFonts w:ascii="Book Antiqua" w:hAnsi="Book Antiqua" w:cs="Book Antiqua"/>
                <w:b/>
                <w:bCs/>
                <w:color w:val="000000"/>
                <w:sz w:val="24"/>
                <w:szCs w:val="24"/>
                <w:lang w:val="en-US"/>
              </w:rPr>
              <w:t>Viral protein motif involved</w:t>
            </w:r>
          </w:p>
        </w:tc>
        <w:tc>
          <w:tcPr>
            <w:tcW w:w="1568" w:type="dxa"/>
            <w:tcBorders>
              <w:top w:val="single" w:sz="4" w:space="0" w:color="auto"/>
              <w:bottom w:val="single" w:sz="4" w:space="0" w:color="auto"/>
            </w:tcBorders>
          </w:tcPr>
          <w:p w:rsidR="005C6065" w:rsidRPr="00EF02BA" w:rsidRDefault="005C6065" w:rsidP="00A96D05">
            <w:pPr>
              <w:spacing w:after="0" w:line="360" w:lineRule="auto"/>
              <w:jc w:val="both"/>
              <w:rPr>
                <w:rFonts w:ascii="Book Antiqua" w:hAnsi="Book Antiqua" w:cs="Book Antiqua"/>
                <w:b/>
                <w:bCs/>
                <w:color w:val="000000"/>
                <w:sz w:val="24"/>
                <w:szCs w:val="24"/>
                <w:lang w:val="en-US"/>
              </w:rPr>
            </w:pPr>
            <w:r w:rsidRPr="00EF02BA">
              <w:rPr>
                <w:rFonts w:ascii="Book Antiqua" w:hAnsi="Book Antiqua" w:cs="Book Antiqua"/>
                <w:b/>
                <w:bCs/>
                <w:color w:val="000000"/>
                <w:sz w:val="24"/>
                <w:szCs w:val="24"/>
                <w:lang w:val="en-US"/>
              </w:rPr>
              <w:t>References</w:t>
            </w:r>
          </w:p>
        </w:tc>
      </w:tr>
      <w:tr w:rsidR="005C6065" w:rsidRPr="00EF02BA">
        <w:trPr>
          <w:jc w:val="center"/>
        </w:trPr>
        <w:tc>
          <w:tcPr>
            <w:tcW w:w="1482" w:type="dxa"/>
            <w:tcBorders>
              <w:top w:val="single" w:sz="4" w:space="0" w:color="auto"/>
            </w:tcBorders>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Sialic acid</w:t>
            </w:r>
          </w:p>
        </w:tc>
        <w:tc>
          <w:tcPr>
            <w:tcW w:w="1505" w:type="dxa"/>
            <w:tcBorders>
              <w:top w:val="single" w:sz="4" w:space="0" w:color="auto"/>
            </w:tcBorders>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VP8*</w:t>
            </w:r>
          </w:p>
        </w:tc>
        <w:tc>
          <w:tcPr>
            <w:tcW w:w="1903" w:type="dxa"/>
            <w:tcBorders>
              <w:top w:val="single" w:sz="4" w:space="0" w:color="auto"/>
            </w:tcBorders>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Binding</w:t>
            </w:r>
          </w:p>
        </w:tc>
        <w:tc>
          <w:tcPr>
            <w:tcW w:w="2596" w:type="dxa"/>
            <w:tcBorders>
              <w:top w:val="single" w:sz="4" w:space="0" w:color="auto"/>
            </w:tcBorders>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Carbohydrate binding site</w:t>
            </w:r>
          </w:p>
        </w:tc>
        <w:tc>
          <w:tcPr>
            <w:tcW w:w="1568" w:type="dxa"/>
            <w:tcBorders>
              <w:top w:val="single" w:sz="4" w:space="0" w:color="auto"/>
            </w:tcBorders>
          </w:tcPr>
          <w:p w:rsidR="005C6065" w:rsidRPr="00EF02BA" w:rsidRDefault="005C6065" w:rsidP="00A96D05">
            <w:pPr>
              <w:spacing w:after="0" w:line="360" w:lineRule="auto"/>
              <w:jc w:val="both"/>
              <w:rPr>
                <w:rFonts w:ascii="Book Antiqua" w:hAnsi="Book Antiqua" w:cs="Book Antiqua"/>
                <w:color w:val="000000"/>
                <w:sz w:val="24"/>
                <w:szCs w:val="24"/>
                <w:shd w:val="clear" w:color="auto" w:fill="FFFFFF"/>
                <w:lang w:val="en-US"/>
              </w:rPr>
            </w:pPr>
            <w:r w:rsidRPr="00EF02BA">
              <w:rPr>
                <w:rFonts w:ascii="Book Antiqua" w:hAnsi="Book Antiqua" w:cs="Book Antiqua"/>
                <w:noProof/>
                <w:color w:val="000000"/>
                <w:sz w:val="24"/>
                <w:szCs w:val="24"/>
                <w:shd w:val="clear" w:color="auto" w:fill="FFFFFF"/>
                <w:lang w:val="en-US"/>
              </w:rPr>
              <w:t>[108]</w:t>
            </w:r>
          </w:p>
          <w:p w:rsidR="005C6065" w:rsidRPr="00EF02BA" w:rsidRDefault="005C6065" w:rsidP="00A96D05">
            <w:pPr>
              <w:spacing w:after="0" w:line="360" w:lineRule="auto"/>
              <w:jc w:val="both"/>
              <w:rPr>
                <w:rFonts w:ascii="Book Antiqua" w:hAnsi="Book Antiqua" w:cs="Book Antiqua"/>
                <w:color w:val="000000"/>
                <w:sz w:val="24"/>
                <w:szCs w:val="24"/>
                <w:lang w:val="en-US"/>
              </w:rPr>
            </w:pPr>
          </w:p>
        </w:tc>
      </w:tr>
      <w:tr w:rsidR="005C6065" w:rsidRPr="00EF02BA">
        <w:trPr>
          <w:jc w:val="center"/>
        </w:trPr>
        <w:tc>
          <w:tcPr>
            <w:tcW w:w="1482"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sym w:font="Symbol" w:char="F061"/>
            </w:r>
            <w:r w:rsidRPr="00EF02BA">
              <w:rPr>
                <w:rFonts w:ascii="Book Antiqua" w:hAnsi="Book Antiqua" w:cs="Book Antiqua"/>
                <w:color w:val="000000"/>
                <w:sz w:val="24"/>
                <w:szCs w:val="24"/>
                <w:lang w:val="en-US"/>
              </w:rPr>
              <w:t>2β1</w:t>
            </w:r>
          </w:p>
        </w:tc>
        <w:tc>
          <w:tcPr>
            <w:tcW w:w="1505"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VP5*</w:t>
            </w:r>
          </w:p>
        </w:tc>
        <w:tc>
          <w:tcPr>
            <w:tcW w:w="1903"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Post-binding</w:t>
            </w:r>
          </w:p>
        </w:tc>
        <w:tc>
          <w:tcPr>
            <w:tcW w:w="2596"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DGE (VP5*)</w:t>
            </w:r>
          </w:p>
        </w:tc>
        <w:tc>
          <w:tcPr>
            <w:tcW w:w="1568"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noProof/>
                <w:color w:val="000000"/>
                <w:sz w:val="24"/>
                <w:szCs w:val="24"/>
                <w:lang w:val="en-US"/>
              </w:rPr>
              <w:t>[106]</w:t>
            </w:r>
          </w:p>
          <w:p w:rsidR="005C6065" w:rsidRPr="00EF02BA" w:rsidRDefault="005C6065" w:rsidP="00A96D05">
            <w:pPr>
              <w:spacing w:after="0" w:line="360" w:lineRule="auto"/>
              <w:jc w:val="both"/>
              <w:rPr>
                <w:rFonts w:ascii="Book Antiqua" w:hAnsi="Book Antiqua" w:cs="Book Antiqua"/>
                <w:color w:val="000000"/>
                <w:sz w:val="24"/>
                <w:szCs w:val="24"/>
                <w:lang w:val="en-US"/>
              </w:rPr>
            </w:pPr>
          </w:p>
        </w:tc>
      </w:tr>
      <w:tr w:rsidR="005C6065" w:rsidRPr="00EF02BA">
        <w:trPr>
          <w:jc w:val="center"/>
        </w:trPr>
        <w:tc>
          <w:tcPr>
            <w:tcW w:w="1482"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sym w:font="Symbol" w:char="F061"/>
            </w:r>
            <w:r w:rsidRPr="00EF02BA">
              <w:rPr>
                <w:rFonts w:ascii="Book Antiqua" w:hAnsi="Book Antiqua" w:cs="Book Antiqua"/>
                <w:color w:val="000000"/>
                <w:sz w:val="24"/>
                <w:szCs w:val="24"/>
                <w:lang w:val="en-US"/>
              </w:rPr>
              <w:t>4β1</w:t>
            </w:r>
          </w:p>
        </w:tc>
        <w:tc>
          <w:tcPr>
            <w:tcW w:w="1505"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VP7, VP5*</w:t>
            </w:r>
          </w:p>
        </w:tc>
        <w:tc>
          <w:tcPr>
            <w:tcW w:w="1903"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Post-binding</w:t>
            </w:r>
          </w:p>
        </w:tc>
        <w:tc>
          <w:tcPr>
            <w:tcW w:w="2596" w:type="dxa"/>
          </w:tcPr>
          <w:p w:rsidR="005C6065" w:rsidRPr="00EF02BA" w:rsidRDefault="005C6065" w:rsidP="00A96D05">
            <w:pPr>
              <w:spacing w:after="0" w:line="360" w:lineRule="auto"/>
              <w:jc w:val="both"/>
              <w:rPr>
                <w:rFonts w:ascii="Book Antiqua" w:hAnsi="Book Antiqua" w:cs="Book Antiqua"/>
                <w:color w:val="000000"/>
                <w:sz w:val="24"/>
                <w:szCs w:val="24"/>
              </w:rPr>
            </w:pPr>
            <w:r w:rsidRPr="00EF02BA">
              <w:rPr>
                <w:rFonts w:ascii="Book Antiqua" w:hAnsi="Book Antiqua" w:cs="Book Antiqua"/>
                <w:color w:val="000000"/>
                <w:sz w:val="24"/>
                <w:szCs w:val="24"/>
              </w:rPr>
              <w:t>YGL (VP5*); LDV o LDI (VP7)</w:t>
            </w:r>
          </w:p>
        </w:tc>
        <w:tc>
          <w:tcPr>
            <w:tcW w:w="1568" w:type="dxa"/>
          </w:tcPr>
          <w:p w:rsidR="005C6065" w:rsidRPr="00EF02BA" w:rsidRDefault="005C6065" w:rsidP="00A96D05">
            <w:pPr>
              <w:spacing w:after="0" w:line="360" w:lineRule="auto"/>
              <w:jc w:val="both"/>
              <w:rPr>
                <w:rFonts w:ascii="Book Antiqua" w:hAnsi="Book Antiqua" w:cs="Book Antiqua"/>
                <w:color w:val="000000"/>
                <w:sz w:val="24"/>
                <w:szCs w:val="24"/>
                <w:lang w:val="fr-FR"/>
              </w:rPr>
            </w:pPr>
            <w:r w:rsidRPr="00EF02BA">
              <w:rPr>
                <w:rFonts w:ascii="Book Antiqua" w:hAnsi="Book Antiqua" w:cs="Book Antiqua"/>
                <w:noProof/>
                <w:color w:val="000000"/>
                <w:sz w:val="24"/>
                <w:szCs w:val="24"/>
                <w:lang w:val="fr-FR"/>
              </w:rPr>
              <w:t>[11, 121]</w:t>
            </w:r>
          </w:p>
          <w:p w:rsidR="005C6065" w:rsidRPr="00EF02BA" w:rsidRDefault="005C6065" w:rsidP="00A96D05">
            <w:pPr>
              <w:spacing w:after="0" w:line="360" w:lineRule="auto"/>
              <w:jc w:val="both"/>
              <w:rPr>
                <w:rFonts w:ascii="Book Antiqua" w:hAnsi="Book Antiqua" w:cs="Book Antiqua"/>
                <w:color w:val="000000"/>
                <w:sz w:val="24"/>
                <w:szCs w:val="24"/>
                <w:lang w:val="fr-FR"/>
              </w:rPr>
            </w:pPr>
          </w:p>
          <w:p w:rsidR="005C6065" w:rsidRPr="00EF02BA" w:rsidRDefault="005C6065" w:rsidP="00A96D05">
            <w:pPr>
              <w:spacing w:after="0" w:line="360" w:lineRule="auto"/>
              <w:jc w:val="both"/>
              <w:rPr>
                <w:rFonts w:ascii="Book Antiqua" w:hAnsi="Book Antiqua" w:cs="Book Antiqua"/>
                <w:color w:val="000000"/>
                <w:sz w:val="24"/>
                <w:szCs w:val="24"/>
                <w:lang w:val="fr-FR"/>
              </w:rPr>
            </w:pPr>
          </w:p>
        </w:tc>
      </w:tr>
      <w:tr w:rsidR="005C6065" w:rsidRPr="00EF02BA">
        <w:trPr>
          <w:jc w:val="center"/>
        </w:trPr>
        <w:tc>
          <w:tcPr>
            <w:tcW w:w="1482"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sym w:font="Symbol" w:char="F061"/>
            </w:r>
            <w:r w:rsidRPr="00EF02BA">
              <w:rPr>
                <w:rFonts w:ascii="Book Antiqua" w:hAnsi="Book Antiqua" w:cs="Book Antiqua"/>
                <w:color w:val="000000"/>
                <w:sz w:val="24"/>
                <w:szCs w:val="24"/>
                <w:lang w:val="en-US"/>
              </w:rPr>
              <w:t>xβ2</w:t>
            </w:r>
          </w:p>
        </w:tc>
        <w:tc>
          <w:tcPr>
            <w:tcW w:w="1505"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VP7</w:t>
            </w:r>
          </w:p>
        </w:tc>
        <w:tc>
          <w:tcPr>
            <w:tcW w:w="1903"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Post-binding</w:t>
            </w:r>
          </w:p>
        </w:tc>
        <w:tc>
          <w:tcPr>
            <w:tcW w:w="2596"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rPr>
              <w:t>GPR (VP7)</w:t>
            </w:r>
          </w:p>
        </w:tc>
        <w:tc>
          <w:tcPr>
            <w:tcW w:w="1568" w:type="dxa"/>
          </w:tcPr>
          <w:p w:rsidR="005C6065" w:rsidRPr="00EF02BA" w:rsidRDefault="005C6065" w:rsidP="00A96D05">
            <w:pPr>
              <w:spacing w:after="0" w:line="360" w:lineRule="auto"/>
              <w:jc w:val="both"/>
              <w:rPr>
                <w:rFonts w:ascii="Book Antiqua" w:hAnsi="Book Antiqua" w:cs="Book Antiqua"/>
                <w:color w:val="000000"/>
                <w:sz w:val="24"/>
                <w:szCs w:val="24"/>
                <w:lang w:val="fr-FR"/>
              </w:rPr>
            </w:pPr>
            <w:r w:rsidRPr="00EF02BA">
              <w:rPr>
                <w:rFonts w:ascii="Book Antiqua" w:hAnsi="Book Antiqua" w:cs="Book Antiqua"/>
                <w:noProof/>
                <w:color w:val="000000"/>
                <w:sz w:val="24"/>
                <w:szCs w:val="24"/>
                <w:lang w:val="fr-FR"/>
              </w:rPr>
              <w:t>[114, 121]</w:t>
            </w:r>
          </w:p>
          <w:p w:rsidR="005C6065" w:rsidRPr="00EF02BA" w:rsidRDefault="005C6065" w:rsidP="00A96D05">
            <w:pPr>
              <w:spacing w:after="0" w:line="360" w:lineRule="auto"/>
              <w:jc w:val="both"/>
              <w:rPr>
                <w:rFonts w:ascii="Book Antiqua" w:hAnsi="Book Antiqua" w:cs="Book Antiqua"/>
                <w:color w:val="000000"/>
                <w:sz w:val="24"/>
                <w:szCs w:val="24"/>
                <w:lang w:val="en-US"/>
              </w:rPr>
            </w:pPr>
          </w:p>
        </w:tc>
      </w:tr>
      <w:tr w:rsidR="005C6065" w:rsidRPr="00EF02BA">
        <w:trPr>
          <w:jc w:val="center"/>
        </w:trPr>
        <w:tc>
          <w:tcPr>
            <w:tcW w:w="1482"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sym w:font="Symbol" w:char="F061"/>
            </w:r>
            <w:r w:rsidRPr="00EF02BA">
              <w:rPr>
                <w:rFonts w:ascii="Book Antiqua" w:hAnsi="Book Antiqua" w:cs="Book Antiqua"/>
                <w:color w:val="000000"/>
                <w:sz w:val="24"/>
                <w:szCs w:val="24"/>
                <w:lang w:val="en-US"/>
              </w:rPr>
              <w:t>vβ3</w:t>
            </w:r>
          </w:p>
        </w:tc>
        <w:tc>
          <w:tcPr>
            <w:tcW w:w="1505"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VP7</w:t>
            </w:r>
          </w:p>
        </w:tc>
        <w:tc>
          <w:tcPr>
            <w:tcW w:w="1903"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Post-binding, Oxidoreduction</w:t>
            </w:r>
          </w:p>
        </w:tc>
        <w:tc>
          <w:tcPr>
            <w:tcW w:w="2596"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rPr>
              <w:t>161NEWLCNPMD169</w:t>
            </w:r>
          </w:p>
        </w:tc>
        <w:tc>
          <w:tcPr>
            <w:tcW w:w="1568" w:type="dxa"/>
          </w:tcPr>
          <w:p w:rsidR="005C6065" w:rsidRPr="00EF02BA" w:rsidRDefault="005C6065" w:rsidP="00A96D05">
            <w:pPr>
              <w:spacing w:after="0" w:line="360" w:lineRule="auto"/>
              <w:jc w:val="both"/>
              <w:rPr>
                <w:rFonts w:ascii="Book Antiqua" w:hAnsi="Book Antiqua" w:cs="Book Antiqua"/>
                <w:color w:val="000000"/>
                <w:sz w:val="24"/>
                <w:szCs w:val="24"/>
                <w:lang w:val="fr-FR"/>
              </w:rPr>
            </w:pPr>
            <w:r w:rsidRPr="00EF02BA">
              <w:rPr>
                <w:rFonts w:ascii="Book Antiqua" w:hAnsi="Book Antiqua" w:cs="Book Antiqua"/>
                <w:noProof/>
                <w:color w:val="000000"/>
                <w:sz w:val="24"/>
                <w:szCs w:val="24"/>
                <w:lang w:val="fr-FR"/>
              </w:rPr>
              <w:t>[10,113]</w:t>
            </w:r>
          </w:p>
          <w:p w:rsidR="005C6065" w:rsidRPr="00EF02BA" w:rsidRDefault="005C6065" w:rsidP="00A96D05">
            <w:pPr>
              <w:spacing w:after="0" w:line="360" w:lineRule="auto"/>
              <w:jc w:val="both"/>
              <w:rPr>
                <w:rFonts w:ascii="Book Antiqua" w:hAnsi="Book Antiqua" w:cs="Book Antiqua"/>
                <w:color w:val="000000"/>
                <w:sz w:val="24"/>
                <w:szCs w:val="24"/>
                <w:lang w:val="es-US"/>
              </w:rPr>
            </w:pPr>
          </w:p>
        </w:tc>
      </w:tr>
      <w:tr w:rsidR="005C6065" w:rsidRPr="00EF02BA">
        <w:trPr>
          <w:jc w:val="center"/>
        </w:trPr>
        <w:tc>
          <w:tcPr>
            <w:tcW w:w="1482"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Hsc70</w:t>
            </w:r>
          </w:p>
        </w:tc>
        <w:tc>
          <w:tcPr>
            <w:tcW w:w="1505"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VP5*, VP7, VP6</w:t>
            </w:r>
          </w:p>
        </w:tc>
        <w:tc>
          <w:tcPr>
            <w:tcW w:w="1903"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Chaperoning</w:t>
            </w:r>
          </w:p>
        </w:tc>
        <w:tc>
          <w:tcPr>
            <w:tcW w:w="2596"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aa 642-658 (VP5*); aa 280-296 (VP6); aa 531-554 (VP5*)</w:t>
            </w:r>
          </w:p>
        </w:tc>
        <w:tc>
          <w:tcPr>
            <w:tcW w:w="1568" w:type="dxa"/>
          </w:tcPr>
          <w:p w:rsidR="005C6065" w:rsidRPr="00EF02BA" w:rsidRDefault="005C6065" w:rsidP="00A96D05">
            <w:pPr>
              <w:spacing w:after="0" w:line="360" w:lineRule="auto"/>
              <w:jc w:val="both"/>
              <w:rPr>
                <w:rFonts w:ascii="Book Antiqua" w:hAnsi="Book Antiqua" w:cs="Book Antiqua"/>
                <w:color w:val="000000"/>
                <w:sz w:val="24"/>
                <w:szCs w:val="24"/>
              </w:rPr>
            </w:pPr>
            <w:r w:rsidRPr="00EF02BA">
              <w:rPr>
                <w:rFonts w:ascii="Book Antiqua" w:hAnsi="Book Antiqua" w:cs="Book Antiqua"/>
                <w:noProof/>
                <w:color w:val="000000"/>
                <w:sz w:val="24"/>
                <w:szCs w:val="24"/>
              </w:rPr>
              <w:t>[8,103]</w:t>
            </w:r>
          </w:p>
          <w:p w:rsidR="005C6065" w:rsidRPr="00EF02BA" w:rsidRDefault="005C6065" w:rsidP="00A96D05">
            <w:pPr>
              <w:spacing w:after="0" w:line="360" w:lineRule="auto"/>
              <w:jc w:val="both"/>
              <w:rPr>
                <w:rFonts w:ascii="Book Antiqua" w:hAnsi="Book Antiqua" w:cs="Book Antiqua"/>
                <w:color w:val="000000"/>
                <w:sz w:val="24"/>
                <w:szCs w:val="24"/>
              </w:rPr>
            </w:pPr>
          </w:p>
        </w:tc>
      </w:tr>
      <w:tr w:rsidR="005C6065" w:rsidRPr="00EF02BA">
        <w:trPr>
          <w:jc w:val="center"/>
        </w:trPr>
        <w:tc>
          <w:tcPr>
            <w:tcW w:w="1482"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PDI</w:t>
            </w:r>
          </w:p>
        </w:tc>
        <w:tc>
          <w:tcPr>
            <w:tcW w:w="1505"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VP5*, VP7, VP6</w:t>
            </w:r>
          </w:p>
        </w:tc>
        <w:tc>
          <w:tcPr>
            <w:tcW w:w="1903"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Chaperoning, oxidoreduction</w:t>
            </w:r>
          </w:p>
        </w:tc>
        <w:tc>
          <w:tcPr>
            <w:tcW w:w="2596" w:type="dxa"/>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aa 200–219 (VP4); aa 189–210 and aa 243–263 (VP7)</w:t>
            </w:r>
          </w:p>
        </w:tc>
        <w:tc>
          <w:tcPr>
            <w:tcW w:w="1568" w:type="dxa"/>
          </w:tcPr>
          <w:p w:rsidR="005C6065" w:rsidRPr="00EF02BA" w:rsidRDefault="005C6065" w:rsidP="00A96D05">
            <w:pPr>
              <w:spacing w:after="0" w:line="360" w:lineRule="auto"/>
              <w:jc w:val="both"/>
              <w:rPr>
                <w:rFonts w:ascii="Book Antiqua" w:hAnsi="Book Antiqua" w:cs="Book Antiqua"/>
                <w:color w:val="000000"/>
                <w:sz w:val="24"/>
                <w:szCs w:val="24"/>
              </w:rPr>
            </w:pPr>
            <w:r w:rsidRPr="00EF02BA">
              <w:rPr>
                <w:rFonts w:ascii="Book Antiqua" w:hAnsi="Book Antiqua" w:cs="Book Antiqua"/>
                <w:noProof/>
                <w:color w:val="000000"/>
                <w:sz w:val="24"/>
                <w:szCs w:val="24"/>
              </w:rPr>
              <w:t>[12,94,</w:t>
            </w:r>
            <w:r w:rsidRPr="00EF02BA">
              <w:rPr>
                <w:rFonts w:ascii="Book Antiqua" w:hAnsi="Book Antiqua" w:cs="Book Antiqua"/>
                <w:color w:val="000000"/>
                <w:sz w:val="24"/>
                <w:szCs w:val="24"/>
              </w:rPr>
              <w:t xml:space="preserve"> Rivera M, Guerrero CA, Acosta O, manuscript in preparation</w:t>
            </w:r>
            <w:r w:rsidRPr="00EF02BA">
              <w:rPr>
                <w:rFonts w:ascii="Book Antiqua" w:hAnsi="Book Antiqua" w:cs="Book Antiqua"/>
                <w:noProof/>
                <w:color w:val="000000"/>
                <w:sz w:val="24"/>
                <w:szCs w:val="24"/>
              </w:rPr>
              <w:t>]</w:t>
            </w:r>
          </w:p>
          <w:p w:rsidR="005C6065" w:rsidRPr="00EF02BA" w:rsidRDefault="005C6065" w:rsidP="00A96D05">
            <w:pPr>
              <w:spacing w:after="0" w:line="360" w:lineRule="auto"/>
              <w:jc w:val="both"/>
              <w:rPr>
                <w:rFonts w:ascii="Book Antiqua" w:hAnsi="Book Antiqua" w:cs="Book Antiqua"/>
                <w:color w:val="000000"/>
                <w:sz w:val="24"/>
                <w:szCs w:val="24"/>
              </w:rPr>
            </w:pPr>
          </w:p>
        </w:tc>
      </w:tr>
      <w:tr w:rsidR="005C6065" w:rsidRPr="00EF02BA">
        <w:trPr>
          <w:jc w:val="center"/>
        </w:trPr>
        <w:tc>
          <w:tcPr>
            <w:tcW w:w="1482" w:type="dxa"/>
            <w:tcBorders>
              <w:bottom w:val="single" w:sz="4" w:space="0" w:color="auto"/>
            </w:tcBorders>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HBGAs</w:t>
            </w:r>
          </w:p>
        </w:tc>
        <w:tc>
          <w:tcPr>
            <w:tcW w:w="1505" w:type="dxa"/>
            <w:tcBorders>
              <w:bottom w:val="single" w:sz="4" w:space="0" w:color="auto"/>
            </w:tcBorders>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VP8*</w:t>
            </w:r>
          </w:p>
        </w:tc>
        <w:tc>
          <w:tcPr>
            <w:tcW w:w="1903" w:type="dxa"/>
            <w:tcBorders>
              <w:bottom w:val="single" w:sz="4" w:space="0" w:color="auto"/>
            </w:tcBorders>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Binding</w:t>
            </w:r>
          </w:p>
        </w:tc>
        <w:tc>
          <w:tcPr>
            <w:tcW w:w="2596" w:type="dxa"/>
            <w:tcBorders>
              <w:bottom w:val="single" w:sz="4" w:space="0" w:color="auto"/>
            </w:tcBorders>
          </w:tcPr>
          <w:p w:rsidR="005C6065" w:rsidRPr="00EF02BA" w:rsidRDefault="005C6065" w:rsidP="00A96D05">
            <w:pPr>
              <w:spacing w:after="0" w:line="360" w:lineRule="auto"/>
              <w:jc w:val="both"/>
              <w:rPr>
                <w:rFonts w:ascii="Book Antiqua" w:hAnsi="Book Antiqua" w:cs="Book Antiqua"/>
                <w:color w:val="000000"/>
                <w:sz w:val="24"/>
                <w:szCs w:val="24"/>
                <w:lang w:val="en-US"/>
              </w:rPr>
            </w:pPr>
            <w:r w:rsidRPr="00EF02BA">
              <w:rPr>
                <w:rFonts w:ascii="Book Antiqua" w:hAnsi="Book Antiqua" w:cs="Book Antiqua"/>
                <w:color w:val="000000"/>
                <w:sz w:val="24"/>
                <w:szCs w:val="24"/>
                <w:lang w:val="en-US"/>
              </w:rPr>
              <w:t>Carbohydrate binding site</w:t>
            </w:r>
          </w:p>
        </w:tc>
        <w:tc>
          <w:tcPr>
            <w:tcW w:w="1568" w:type="dxa"/>
            <w:tcBorders>
              <w:bottom w:val="single" w:sz="4" w:space="0" w:color="auto"/>
            </w:tcBorders>
          </w:tcPr>
          <w:p w:rsidR="005C6065" w:rsidRPr="00EF02BA" w:rsidRDefault="005C6065" w:rsidP="00A96D05">
            <w:pPr>
              <w:spacing w:after="0" w:line="360" w:lineRule="auto"/>
              <w:jc w:val="both"/>
              <w:rPr>
                <w:rFonts w:ascii="Book Antiqua" w:hAnsi="Book Antiqua" w:cs="Book Antiqua"/>
                <w:color w:val="000000"/>
                <w:sz w:val="24"/>
                <w:szCs w:val="24"/>
                <w:lang w:val="fr-FR"/>
              </w:rPr>
            </w:pPr>
            <w:r w:rsidRPr="00EF02BA">
              <w:rPr>
                <w:rFonts w:ascii="Book Antiqua" w:hAnsi="Book Antiqua" w:cs="Book Antiqua"/>
                <w:noProof/>
                <w:color w:val="000000"/>
                <w:sz w:val="24"/>
                <w:szCs w:val="24"/>
                <w:lang w:val="fr-FR"/>
              </w:rPr>
              <w:t>[111]</w:t>
            </w:r>
          </w:p>
          <w:p w:rsidR="005C6065" w:rsidRPr="00EF02BA" w:rsidRDefault="005C6065" w:rsidP="00A96D05">
            <w:pPr>
              <w:spacing w:after="0" w:line="360" w:lineRule="auto"/>
              <w:jc w:val="both"/>
              <w:rPr>
                <w:rFonts w:ascii="Book Antiqua" w:hAnsi="Book Antiqua" w:cs="Book Antiqua"/>
                <w:color w:val="000000"/>
                <w:sz w:val="24"/>
                <w:szCs w:val="24"/>
                <w:lang w:val="en-US"/>
              </w:rPr>
            </w:pPr>
          </w:p>
        </w:tc>
      </w:tr>
    </w:tbl>
    <w:p w:rsidR="005C6065" w:rsidRPr="00A96D05" w:rsidRDefault="005C6065" w:rsidP="00A96D05">
      <w:pPr>
        <w:autoSpaceDE w:val="0"/>
        <w:autoSpaceDN w:val="0"/>
        <w:adjustRightInd w:val="0"/>
        <w:spacing w:after="0" w:line="360" w:lineRule="auto"/>
        <w:jc w:val="both"/>
        <w:rPr>
          <w:rFonts w:ascii="Book Antiqua" w:hAnsi="Book Antiqua" w:cs="Book Antiqua"/>
          <w:color w:val="000000"/>
          <w:sz w:val="24"/>
          <w:szCs w:val="24"/>
          <w:lang w:val="en-US" w:eastAsia="zh-CN"/>
        </w:rPr>
      </w:pPr>
      <w:r w:rsidRPr="00A96D05">
        <w:rPr>
          <w:rFonts w:ascii="Book Antiqua" w:hAnsi="Book Antiqua" w:cs="Book Antiqua"/>
          <w:color w:val="000000"/>
          <w:sz w:val="24"/>
          <w:szCs w:val="24"/>
          <w:lang w:val="en-US"/>
        </w:rPr>
        <w:t>Hsc70</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Heat shock cognate protein 70</w:t>
      </w:r>
      <w:r w:rsidRPr="00A96D05">
        <w:rPr>
          <w:rFonts w:ascii="Book Antiqua" w:hAnsi="Book Antiqua" w:cs="Book Antiqua"/>
          <w:color w:val="000000"/>
          <w:sz w:val="24"/>
          <w:szCs w:val="24"/>
          <w:lang w:val="en-US" w:eastAsia="zh-CN"/>
        </w:rPr>
        <w:t xml:space="preserve">; PDI: </w:t>
      </w:r>
      <w:r w:rsidRPr="00A96D05">
        <w:rPr>
          <w:rFonts w:ascii="Book Antiqua" w:hAnsi="Book Antiqua" w:cs="Book Antiqua"/>
          <w:color w:val="000000"/>
          <w:sz w:val="24"/>
          <w:szCs w:val="24"/>
          <w:lang w:val="en-US"/>
        </w:rPr>
        <w:t>Protein disulfide isomerase</w:t>
      </w:r>
      <w:r w:rsidRPr="00A96D05">
        <w:rPr>
          <w:rFonts w:ascii="Book Antiqua" w:hAnsi="Book Antiqua" w:cs="Book Antiqua"/>
          <w:color w:val="000000"/>
          <w:sz w:val="24"/>
          <w:szCs w:val="24"/>
          <w:lang w:val="en-US" w:eastAsia="zh-CN"/>
        </w:rPr>
        <w:t>;</w:t>
      </w:r>
      <w:r w:rsidRPr="00A96D05">
        <w:rPr>
          <w:rFonts w:ascii="Book Antiqua" w:hAnsi="Book Antiqua" w:cs="Book Antiqua"/>
          <w:color w:val="000000"/>
          <w:sz w:val="24"/>
          <w:szCs w:val="24"/>
          <w:lang w:val="en-US"/>
        </w:rPr>
        <w:t xml:space="preserve"> HBGAs</w:t>
      </w:r>
      <w:r w:rsidRPr="00A96D05">
        <w:rPr>
          <w:rFonts w:ascii="Book Antiqua" w:hAnsi="Book Antiqua" w:cs="Book Antiqua"/>
          <w:color w:val="000000"/>
          <w:sz w:val="24"/>
          <w:szCs w:val="24"/>
          <w:lang w:val="en-US" w:eastAsia="zh-CN"/>
        </w:rPr>
        <w:t xml:space="preserve">: </w:t>
      </w:r>
      <w:r w:rsidRPr="00A96D05">
        <w:rPr>
          <w:rFonts w:ascii="Book Antiqua" w:hAnsi="Book Antiqua" w:cs="Book Antiqua"/>
          <w:color w:val="000000"/>
          <w:sz w:val="24"/>
          <w:szCs w:val="24"/>
          <w:lang w:val="en-US"/>
        </w:rPr>
        <w:t>Histo-blood group antigens</w:t>
      </w:r>
      <w:r w:rsidRPr="00A96D05">
        <w:rPr>
          <w:rFonts w:ascii="Book Antiqua" w:hAnsi="Book Antiqua" w:cs="Book Antiqua"/>
          <w:color w:val="000000"/>
          <w:sz w:val="24"/>
          <w:szCs w:val="24"/>
          <w:lang w:val="en-US" w:eastAsia="zh-CN"/>
        </w:rPr>
        <w:t>.</w:t>
      </w:r>
    </w:p>
    <w:p w:rsidR="005C6065" w:rsidRPr="00A96D05" w:rsidRDefault="005C6065" w:rsidP="00A96D05">
      <w:pPr>
        <w:spacing w:after="0" w:line="360" w:lineRule="auto"/>
        <w:jc w:val="both"/>
        <w:rPr>
          <w:rFonts w:ascii="Book Antiqua" w:hAnsi="Book Antiqua" w:cs="Book Antiqua"/>
          <w:color w:val="000000"/>
          <w:sz w:val="24"/>
          <w:szCs w:val="24"/>
          <w:lang w:val="en-US"/>
        </w:rPr>
      </w:pPr>
    </w:p>
    <w:sectPr w:rsidR="005C6065" w:rsidRPr="00A96D05" w:rsidSect="0051222A">
      <w:footerReference w:type="default" r:id="rId34"/>
      <w:pgSz w:w="12240" w:h="15840"/>
      <w:pgMar w:top="1417" w:right="1701" w:bottom="1417"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065" w:rsidRDefault="005C6065">
      <w:pPr>
        <w:rPr>
          <w:rFonts w:cs="Times New Roman"/>
        </w:rPr>
      </w:pPr>
      <w:r>
        <w:rPr>
          <w:rFonts w:cs="Times New Roman"/>
        </w:rPr>
        <w:separator/>
      </w:r>
    </w:p>
  </w:endnote>
  <w:endnote w:type="continuationSeparator" w:id="0">
    <w:p w:rsidR="005C6065" w:rsidRDefault="005C6065">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altName w:val="Palatino Linotype"/>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0000000000000000000"/>
    <w:charset w:val="80"/>
    <w:family w:val="swiss"/>
    <w:notTrueType/>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065" w:rsidRDefault="005C6065" w:rsidP="003A4C38">
    <w:pPr>
      <w:pStyle w:val="Footer"/>
      <w:framePr w:wrap="auto" w:vAnchor="text" w:hAnchor="margin" w:xAlign="center" w:y="1"/>
      <w:rPr>
        <w:rStyle w:val="PageNumber"/>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84</w:t>
    </w:r>
    <w:r>
      <w:rPr>
        <w:rStyle w:val="PageNumber"/>
        <w:rFonts w:cs="Calibri"/>
      </w:rPr>
      <w:fldChar w:fldCharType="end"/>
    </w:r>
  </w:p>
  <w:p w:rsidR="005C6065" w:rsidRDefault="005C6065">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065" w:rsidRDefault="005C6065">
      <w:pPr>
        <w:rPr>
          <w:rFonts w:cs="Times New Roman"/>
        </w:rPr>
      </w:pPr>
      <w:r>
        <w:rPr>
          <w:rFonts w:cs="Times New Roman"/>
        </w:rPr>
        <w:separator/>
      </w:r>
    </w:p>
  </w:footnote>
  <w:footnote w:type="continuationSeparator" w:id="0">
    <w:p w:rsidR="005C6065" w:rsidRDefault="005C6065">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708"/>
  <w:hyphenationZone w:val="425"/>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1&lt;/Suspended&gt;&lt;/ENInstantFormat&gt;"/>
  </w:docVars>
  <w:rsids>
    <w:rsidRoot w:val="00DD5FEE"/>
    <w:rsid w:val="000049C1"/>
    <w:rsid w:val="00037A5D"/>
    <w:rsid w:val="00054A5E"/>
    <w:rsid w:val="00061378"/>
    <w:rsid w:val="00064945"/>
    <w:rsid w:val="0008090D"/>
    <w:rsid w:val="000936E9"/>
    <w:rsid w:val="000A08D2"/>
    <w:rsid w:val="000B3CB2"/>
    <w:rsid w:val="000C5EDF"/>
    <w:rsid w:val="000D5EB8"/>
    <w:rsid w:val="000E253E"/>
    <w:rsid w:val="000E2968"/>
    <w:rsid w:val="000F3296"/>
    <w:rsid w:val="001020E8"/>
    <w:rsid w:val="00110D18"/>
    <w:rsid w:val="00111958"/>
    <w:rsid w:val="001701D0"/>
    <w:rsid w:val="00180231"/>
    <w:rsid w:val="00197A16"/>
    <w:rsid w:val="001F69F7"/>
    <w:rsid w:val="00200A74"/>
    <w:rsid w:val="00235CD4"/>
    <w:rsid w:val="002438CD"/>
    <w:rsid w:val="002609B0"/>
    <w:rsid w:val="00283C76"/>
    <w:rsid w:val="00291166"/>
    <w:rsid w:val="002C4837"/>
    <w:rsid w:val="002E59A3"/>
    <w:rsid w:val="002F54B3"/>
    <w:rsid w:val="0030177A"/>
    <w:rsid w:val="00305CFE"/>
    <w:rsid w:val="003113E4"/>
    <w:rsid w:val="00315188"/>
    <w:rsid w:val="003207A9"/>
    <w:rsid w:val="0033376A"/>
    <w:rsid w:val="00336A27"/>
    <w:rsid w:val="00364B76"/>
    <w:rsid w:val="003804AB"/>
    <w:rsid w:val="003A4C38"/>
    <w:rsid w:val="003F6E65"/>
    <w:rsid w:val="00402F76"/>
    <w:rsid w:val="00417B1C"/>
    <w:rsid w:val="00420BBD"/>
    <w:rsid w:val="00490CF8"/>
    <w:rsid w:val="004B5843"/>
    <w:rsid w:val="004E1EAF"/>
    <w:rsid w:val="00504AE4"/>
    <w:rsid w:val="0051222A"/>
    <w:rsid w:val="00543837"/>
    <w:rsid w:val="00543D7F"/>
    <w:rsid w:val="00544B54"/>
    <w:rsid w:val="005452F9"/>
    <w:rsid w:val="00551AF8"/>
    <w:rsid w:val="005C4DCE"/>
    <w:rsid w:val="005C6065"/>
    <w:rsid w:val="005D0C8B"/>
    <w:rsid w:val="005F2EC6"/>
    <w:rsid w:val="005F3D97"/>
    <w:rsid w:val="006638BC"/>
    <w:rsid w:val="00696476"/>
    <w:rsid w:val="00697952"/>
    <w:rsid w:val="006C54AB"/>
    <w:rsid w:val="006C58CA"/>
    <w:rsid w:val="006E061D"/>
    <w:rsid w:val="006F45AE"/>
    <w:rsid w:val="00712A7E"/>
    <w:rsid w:val="007165A6"/>
    <w:rsid w:val="0073408F"/>
    <w:rsid w:val="00750080"/>
    <w:rsid w:val="00756624"/>
    <w:rsid w:val="00774CFD"/>
    <w:rsid w:val="00795421"/>
    <w:rsid w:val="007A6EAA"/>
    <w:rsid w:val="00800944"/>
    <w:rsid w:val="00802873"/>
    <w:rsid w:val="00816E47"/>
    <w:rsid w:val="008754D9"/>
    <w:rsid w:val="00890FBE"/>
    <w:rsid w:val="008C45F8"/>
    <w:rsid w:val="008D268A"/>
    <w:rsid w:val="008D2B3D"/>
    <w:rsid w:val="00926ABE"/>
    <w:rsid w:val="0094586C"/>
    <w:rsid w:val="00984824"/>
    <w:rsid w:val="0099066B"/>
    <w:rsid w:val="00992319"/>
    <w:rsid w:val="009B04B0"/>
    <w:rsid w:val="009C6406"/>
    <w:rsid w:val="009D06C2"/>
    <w:rsid w:val="009D0B3E"/>
    <w:rsid w:val="009F6AAF"/>
    <w:rsid w:val="00A30BC6"/>
    <w:rsid w:val="00A36779"/>
    <w:rsid w:val="00A46AB9"/>
    <w:rsid w:val="00A63A24"/>
    <w:rsid w:val="00A65BA6"/>
    <w:rsid w:val="00A729F8"/>
    <w:rsid w:val="00A85B8C"/>
    <w:rsid w:val="00A96D05"/>
    <w:rsid w:val="00AC6A7B"/>
    <w:rsid w:val="00B23A6E"/>
    <w:rsid w:val="00B35E03"/>
    <w:rsid w:val="00B47F93"/>
    <w:rsid w:val="00B81D42"/>
    <w:rsid w:val="00B95848"/>
    <w:rsid w:val="00BA5066"/>
    <w:rsid w:val="00BB068A"/>
    <w:rsid w:val="00C4039E"/>
    <w:rsid w:val="00C45921"/>
    <w:rsid w:val="00C57C9E"/>
    <w:rsid w:val="00C6045B"/>
    <w:rsid w:val="00C66C5E"/>
    <w:rsid w:val="00C96D23"/>
    <w:rsid w:val="00CA10EE"/>
    <w:rsid w:val="00CA2859"/>
    <w:rsid w:val="00CA5F34"/>
    <w:rsid w:val="00CF305D"/>
    <w:rsid w:val="00CF7C34"/>
    <w:rsid w:val="00D00F6E"/>
    <w:rsid w:val="00D75192"/>
    <w:rsid w:val="00D90AF5"/>
    <w:rsid w:val="00D9752B"/>
    <w:rsid w:val="00DA0311"/>
    <w:rsid w:val="00DA3ED1"/>
    <w:rsid w:val="00DA5C49"/>
    <w:rsid w:val="00DC0A4C"/>
    <w:rsid w:val="00DD5FEE"/>
    <w:rsid w:val="00DE4F18"/>
    <w:rsid w:val="00E136D4"/>
    <w:rsid w:val="00E33B56"/>
    <w:rsid w:val="00E371A7"/>
    <w:rsid w:val="00E37B1C"/>
    <w:rsid w:val="00E43690"/>
    <w:rsid w:val="00E465B6"/>
    <w:rsid w:val="00E47FD7"/>
    <w:rsid w:val="00E56C54"/>
    <w:rsid w:val="00E61B5C"/>
    <w:rsid w:val="00EA5517"/>
    <w:rsid w:val="00EE3BF7"/>
    <w:rsid w:val="00EF02BA"/>
    <w:rsid w:val="00EF627D"/>
    <w:rsid w:val="00F074C3"/>
    <w:rsid w:val="00F119AC"/>
    <w:rsid w:val="00F1566C"/>
    <w:rsid w:val="00F240FB"/>
    <w:rsid w:val="00F457C7"/>
    <w:rsid w:val="00F47C58"/>
    <w:rsid w:val="00F47DFA"/>
    <w:rsid w:val="00F5308B"/>
    <w:rsid w:val="00FC2058"/>
    <w:rsid w:val="00FE5DF5"/>
    <w:rsid w:val="00FF22D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contacts" w:name="Sn"/>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FEE"/>
    <w:pPr>
      <w:spacing w:after="200" w:line="276" w:lineRule="auto"/>
    </w:pPr>
    <w:rPr>
      <w:rFonts w:cs="Calibri"/>
      <w:kern w:val="0"/>
      <w:sz w:val="22"/>
      <w:lang w:val="es-CO" w:eastAsia="en-US"/>
    </w:rPr>
  </w:style>
  <w:style w:type="paragraph" w:styleId="Heading4">
    <w:name w:val="heading 4"/>
    <w:basedOn w:val="Normal"/>
    <w:link w:val="Heading4Char"/>
    <w:uiPriority w:val="99"/>
    <w:qFormat/>
    <w:rsid w:val="00DD5FEE"/>
    <w:pPr>
      <w:spacing w:before="100" w:beforeAutospacing="1" w:after="100" w:afterAutospacing="1" w:line="240" w:lineRule="auto"/>
      <w:outlineLvl w:val="3"/>
    </w:pPr>
    <w:rPr>
      <w:rFonts w:ascii="Times New Roman" w:hAnsi="Times New Roman" w:cs="Times New Roman"/>
      <w:b/>
      <w:bCs/>
      <w:sz w:val="24"/>
      <w:szCs w:val="24"/>
      <w:lang w:eastAsia="es-C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DD5FEE"/>
    <w:rPr>
      <w:rFonts w:ascii="Times New Roman" w:hAnsi="Times New Roman" w:cs="Times New Roman"/>
      <w:b/>
      <w:bCs/>
      <w:sz w:val="24"/>
      <w:szCs w:val="24"/>
      <w:lang w:val="es-CO" w:eastAsia="es-CO"/>
    </w:rPr>
  </w:style>
  <w:style w:type="character" w:customStyle="1" w:styleId="NoSpacingChar">
    <w:name w:val="No Spacing Char"/>
    <w:link w:val="NoSpacing"/>
    <w:uiPriority w:val="99"/>
    <w:locked/>
    <w:rsid w:val="00DD5FEE"/>
    <w:rPr>
      <w:rFonts w:ascii="Arial" w:hAnsi="Arial"/>
      <w:sz w:val="22"/>
      <w:lang w:val="es-ES" w:eastAsia="en-US"/>
    </w:rPr>
  </w:style>
  <w:style w:type="paragraph" w:styleId="NoSpacing">
    <w:name w:val="No Spacing"/>
    <w:link w:val="NoSpacingChar"/>
    <w:uiPriority w:val="99"/>
    <w:qFormat/>
    <w:rsid w:val="00DD5FEE"/>
    <w:pPr>
      <w:jc w:val="both"/>
    </w:pPr>
    <w:rPr>
      <w:rFonts w:ascii="Arial" w:hAnsi="Arial" w:cs="Arial"/>
      <w:kern w:val="0"/>
      <w:sz w:val="22"/>
      <w:lang w:val="es-ES" w:eastAsia="en-US"/>
    </w:rPr>
  </w:style>
  <w:style w:type="character" w:customStyle="1" w:styleId="apple-converted-space">
    <w:name w:val="apple-converted-space"/>
    <w:basedOn w:val="DefaultParagraphFont"/>
    <w:uiPriority w:val="99"/>
    <w:rsid w:val="00DD5FEE"/>
    <w:rPr>
      <w:rFonts w:cs="Times New Roman"/>
    </w:rPr>
  </w:style>
  <w:style w:type="character" w:styleId="Hyperlink">
    <w:name w:val="Hyperlink"/>
    <w:basedOn w:val="DefaultParagraphFont"/>
    <w:uiPriority w:val="99"/>
    <w:rsid w:val="00DD5FEE"/>
    <w:rPr>
      <w:rFonts w:cs="Times New Roman"/>
      <w:color w:val="0000FF"/>
      <w:u w:val="single"/>
    </w:rPr>
  </w:style>
  <w:style w:type="character" w:customStyle="1" w:styleId="sc">
    <w:name w:val="sc"/>
    <w:basedOn w:val="DefaultParagraphFont"/>
    <w:uiPriority w:val="99"/>
    <w:rsid w:val="00DD5FEE"/>
    <w:rPr>
      <w:rFonts w:cs="Times New Roman"/>
    </w:rPr>
  </w:style>
  <w:style w:type="character" w:customStyle="1" w:styleId="apple-style-span">
    <w:name w:val="apple-style-span"/>
    <w:basedOn w:val="DefaultParagraphFont"/>
    <w:uiPriority w:val="99"/>
    <w:rsid w:val="00DD5FEE"/>
    <w:rPr>
      <w:rFonts w:cs="Times New Roman"/>
    </w:rPr>
  </w:style>
  <w:style w:type="character" w:styleId="FollowedHyperlink">
    <w:name w:val="FollowedHyperlink"/>
    <w:basedOn w:val="DefaultParagraphFont"/>
    <w:uiPriority w:val="99"/>
    <w:semiHidden/>
    <w:rsid w:val="00DD5FEE"/>
    <w:rPr>
      <w:rFonts w:cs="Times New Roman"/>
      <w:color w:val="800080"/>
      <w:u w:val="single"/>
    </w:rPr>
  </w:style>
  <w:style w:type="character" w:styleId="PlaceholderText">
    <w:name w:val="Placeholder Text"/>
    <w:basedOn w:val="DefaultParagraphFont"/>
    <w:uiPriority w:val="99"/>
    <w:semiHidden/>
    <w:rsid w:val="00DD5FEE"/>
    <w:rPr>
      <w:rFonts w:cs="Times New Roman"/>
      <w:color w:val="808080"/>
    </w:rPr>
  </w:style>
  <w:style w:type="paragraph" w:styleId="BalloonText">
    <w:name w:val="Balloon Text"/>
    <w:basedOn w:val="Normal"/>
    <w:link w:val="BalloonTextChar"/>
    <w:uiPriority w:val="99"/>
    <w:semiHidden/>
    <w:rsid w:val="00DD5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5FEE"/>
    <w:rPr>
      <w:rFonts w:ascii="Tahoma" w:hAnsi="Tahoma" w:cs="Tahoma"/>
      <w:sz w:val="16"/>
      <w:szCs w:val="16"/>
      <w:lang w:val="es-CO"/>
    </w:rPr>
  </w:style>
  <w:style w:type="paragraph" w:customStyle="1" w:styleId="p">
    <w:name w:val="p"/>
    <w:basedOn w:val="Normal"/>
    <w:uiPriority w:val="99"/>
    <w:rsid w:val="00DD5FEE"/>
    <w:pPr>
      <w:spacing w:before="100" w:beforeAutospacing="1" w:after="100" w:afterAutospacing="1" w:line="240" w:lineRule="auto"/>
    </w:pPr>
    <w:rPr>
      <w:rFonts w:ascii="Times New Roman" w:hAnsi="Times New Roman" w:cs="Times New Roman"/>
      <w:sz w:val="24"/>
      <w:szCs w:val="24"/>
      <w:lang w:eastAsia="es-CO"/>
    </w:rPr>
  </w:style>
  <w:style w:type="character" w:customStyle="1" w:styleId="ref-title">
    <w:name w:val="ref-title"/>
    <w:basedOn w:val="DefaultParagraphFont"/>
    <w:uiPriority w:val="99"/>
    <w:rsid w:val="00DD5FEE"/>
    <w:rPr>
      <w:rFonts w:cs="Times New Roman"/>
    </w:rPr>
  </w:style>
  <w:style w:type="character" w:customStyle="1" w:styleId="ref-journal">
    <w:name w:val="ref-journal"/>
    <w:basedOn w:val="DefaultParagraphFont"/>
    <w:uiPriority w:val="99"/>
    <w:rsid w:val="00DD5FEE"/>
    <w:rPr>
      <w:rFonts w:cs="Times New Roman"/>
    </w:rPr>
  </w:style>
  <w:style w:type="character" w:customStyle="1" w:styleId="ref-vol">
    <w:name w:val="ref-vol"/>
    <w:basedOn w:val="DefaultParagraphFont"/>
    <w:uiPriority w:val="99"/>
    <w:rsid w:val="00DD5FEE"/>
    <w:rPr>
      <w:rFonts w:cs="Times New Roman"/>
    </w:rPr>
  </w:style>
  <w:style w:type="paragraph" w:styleId="NormalWeb">
    <w:name w:val="Normal (Web)"/>
    <w:basedOn w:val="Normal"/>
    <w:uiPriority w:val="99"/>
    <w:rsid w:val="00DD5FEE"/>
    <w:pPr>
      <w:spacing w:before="100" w:beforeAutospacing="1" w:after="100" w:afterAutospacing="1" w:line="240" w:lineRule="auto"/>
    </w:pPr>
    <w:rPr>
      <w:rFonts w:ascii="Times New Roman" w:hAnsi="Times New Roman" w:cs="Times New Roman"/>
      <w:sz w:val="24"/>
      <w:szCs w:val="24"/>
      <w:lang w:eastAsia="es-CO"/>
    </w:rPr>
  </w:style>
  <w:style w:type="paragraph" w:customStyle="1" w:styleId="EndNoteBibliographyTitle">
    <w:name w:val="EndNote Bibliography Title"/>
    <w:basedOn w:val="Normal"/>
    <w:link w:val="EndNoteBibliographyTitleCar"/>
    <w:uiPriority w:val="99"/>
    <w:rsid w:val="00DD5FEE"/>
    <w:pPr>
      <w:spacing w:after="0"/>
      <w:jc w:val="center"/>
    </w:pPr>
    <w:rPr>
      <w:rFonts w:ascii="Times New Roman" w:hAnsi="Times New Roman" w:cs="Times New Roman"/>
      <w:noProof/>
      <w:sz w:val="24"/>
      <w:szCs w:val="24"/>
      <w:lang w:val="en-US"/>
    </w:rPr>
  </w:style>
  <w:style w:type="character" w:customStyle="1" w:styleId="EndNoteBibliographyTitleCar">
    <w:name w:val="EndNote Bibliography Title Car"/>
    <w:basedOn w:val="DefaultParagraphFont"/>
    <w:link w:val="EndNoteBibliographyTitle"/>
    <w:uiPriority w:val="99"/>
    <w:locked/>
    <w:rsid w:val="00DD5FEE"/>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ar"/>
    <w:uiPriority w:val="99"/>
    <w:rsid w:val="00DD5FEE"/>
    <w:pPr>
      <w:spacing w:line="240" w:lineRule="auto"/>
      <w:jc w:val="both"/>
    </w:pPr>
    <w:rPr>
      <w:rFonts w:ascii="Times New Roman" w:hAnsi="Times New Roman" w:cs="Times New Roman"/>
      <w:noProof/>
      <w:sz w:val="24"/>
      <w:szCs w:val="24"/>
      <w:lang w:val="en-US"/>
    </w:rPr>
  </w:style>
  <w:style w:type="character" w:customStyle="1" w:styleId="EndNoteBibliographyCar">
    <w:name w:val="EndNote Bibliography Car"/>
    <w:basedOn w:val="DefaultParagraphFont"/>
    <w:link w:val="EndNoteBibliography"/>
    <w:uiPriority w:val="99"/>
    <w:locked/>
    <w:rsid w:val="00DD5FEE"/>
    <w:rPr>
      <w:rFonts w:ascii="Times New Roman" w:hAnsi="Times New Roman" w:cs="Times New Roman"/>
      <w:noProof/>
      <w:sz w:val="24"/>
      <w:szCs w:val="24"/>
      <w:lang w:val="en-US"/>
    </w:rPr>
  </w:style>
  <w:style w:type="character" w:customStyle="1" w:styleId="cit-source">
    <w:name w:val="cit-source"/>
    <w:basedOn w:val="DefaultParagraphFont"/>
    <w:uiPriority w:val="99"/>
    <w:rsid w:val="00DD5FEE"/>
    <w:rPr>
      <w:rFonts w:cs="Times New Roman"/>
    </w:rPr>
  </w:style>
  <w:style w:type="character" w:customStyle="1" w:styleId="cit-vol">
    <w:name w:val="cit-vol"/>
    <w:basedOn w:val="DefaultParagraphFont"/>
    <w:uiPriority w:val="99"/>
    <w:rsid w:val="00DD5FEE"/>
    <w:rPr>
      <w:rFonts w:cs="Times New Roman"/>
    </w:rPr>
  </w:style>
  <w:style w:type="character" w:customStyle="1" w:styleId="cit-fpage">
    <w:name w:val="cit-fpage"/>
    <w:basedOn w:val="DefaultParagraphFont"/>
    <w:uiPriority w:val="99"/>
    <w:rsid w:val="00DD5FEE"/>
    <w:rPr>
      <w:rFonts w:cs="Times New Roman"/>
    </w:rPr>
  </w:style>
  <w:style w:type="table" w:styleId="TableGrid">
    <w:name w:val="Table Grid"/>
    <w:basedOn w:val="TableNormal"/>
    <w:uiPriority w:val="99"/>
    <w:rsid w:val="00DD5FE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DD5FEE"/>
    <w:rPr>
      <w:rFonts w:cs="Times New Roman"/>
      <w:b/>
      <w:bCs/>
    </w:rPr>
  </w:style>
  <w:style w:type="character" w:styleId="CommentReference">
    <w:name w:val="annotation reference"/>
    <w:basedOn w:val="DefaultParagraphFont"/>
    <w:uiPriority w:val="99"/>
    <w:semiHidden/>
    <w:rsid w:val="00DD5FEE"/>
    <w:rPr>
      <w:rFonts w:cs="Times New Roman"/>
      <w:sz w:val="21"/>
      <w:szCs w:val="21"/>
    </w:rPr>
  </w:style>
  <w:style w:type="paragraph" w:styleId="CommentText">
    <w:name w:val="annotation text"/>
    <w:basedOn w:val="Normal"/>
    <w:link w:val="CommentTextChar1"/>
    <w:uiPriority w:val="99"/>
    <w:semiHidden/>
    <w:rsid w:val="00DD5FEE"/>
    <w:rPr>
      <w:rFonts w:cs="Times New Roman"/>
      <w:sz w:val="20"/>
      <w:szCs w:val="20"/>
      <w:lang w:eastAsia="zh-CN"/>
    </w:rPr>
  </w:style>
  <w:style w:type="character" w:customStyle="1" w:styleId="CommentTextChar">
    <w:name w:val="Comment Text Char"/>
    <w:basedOn w:val="DefaultParagraphFont"/>
    <w:link w:val="CommentText"/>
    <w:uiPriority w:val="99"/>
    <w:semiHidden/>
    <w:locked/>
    <w:rsid w:val="00DD5FEE"/>
    <w:rPr>
      <w:rFonts w:cs="Times New Roman"/>
      <w:kern w:val="0"/>
      <w:sz w:val="22"/>
      <w:szCs w:val="22"/>
      <w:lang w:val="es-CO" w:eastAsia="en-US"/>
    </w:rPr>
  </w:style>
  <w:style w:type="character" w:customStyle="1" w:styleId="CommentTextChar1">
    <w:name w:val="Comment Text Char1"/>
    <w:link w:val="CommentText"/>
    <w:uiPriority w:val="99"/>
    <w:semiHidden/>
    <w:locked/>
    <w:rsid w:val="00DD5FEE"/>
    <w:rPr>
      <w:rFonts w:ascii="Calibri" w:hAnsi="Calibri"/>
      <w:lang w:val="es-CO"/>
    </w:rPr>
  </w:style>
  <w:style w:type="paragraph" w:styleId="CommentSubject">
    <w:name w:val="annotation subject"/>
    <w:basedOn w:val="CommentText"/>
    <w:next w:val="CommentText"/>
    <w:link w:val="CommentSubjectChar"/>
    <w:uiPriority w:val="99"/>
    <w:semiHidden/>
    <w:rsid w:val="00DD5FEE"/>
    <w:rPr>
      <w:b/>
      <w:bCs/>
    </w:rPr>
  </w:style>
  <w:style w:type="character" w:customStyle="1" w:styleId="CommentSubjectChar">
    <w:name w:val="Comment Subject Char"/>
    <w:basedOn w:val="CommentTextChar"/>
    <w:link w:val="CommentSubject"/>
    <w:uiPriority w:val="99"/>
    <w:semiHidden/>
    <w:locked/>
    <w:rsid w:val="00DD5FEE"/>
    <w:rPr>
      <w:rFonts w:ascii="Calibri" w:hAnsi="Calibri" w:cs="Calibri"/>
      <w:b/>
      <w:bCs/>
    </w:rPr>
  </w:style>
  <w:style w:type="paragraph" w:customStyle="1" w:styleId="CharChar2">
    <w:name w:val="Char Char2"/>
    <w:basedOn w:val="Normal"/>
    <w:autoRedefine/>
    <w:uiPriority w:val="99"/>
    <w:rsid w:val="00DD5FEE"/>
    <w:pPr>
      <w:widowControl w:val="0"/>
      <w:tabs>
        <w:tab w:val="num" w:pos="360"/>
      </w:tabs>
      <w:spacing w:after="0" w:line="240" w:lineRule="auto"/>
      <w:ind w:left="360" w:hangingChars="200" w:hanging="360"/>
      <w:jc w:val="both"/>
    </w:pPr>
    <w:rPr>
      <w:rFonts w:ascii="Times New Roman" w:hAnsi="Times New Roman" w:cs="Times New Roman"/>
      <w:kern w:val="2"/>
      <w:sz w:val="24"/>
      <w:szCs w:val="24"/>
      <w:lang w:val="en-US" w:eastAsia="zh-CN"/>
    </w:rPr>
  </w:style>
  <w:style w:type="paragraph" w:styleId="Footer">
    <w:name w:val="footer"/>
    <w:basedOn w:val="Normal"/>
    <w:link w:val="FooterChar"/>
    <w:uiPriority w:val="99"/>
    <w:rsid w:val="00F119A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locked/>
    <w:rsid w:val="000E2968"/>
    <w:rPr>
      <w:rFonts w:cs="Times New Roman"/>
      <w:kern w:val="0"/>
      <w:sz w:val="18"/>
      <w:szCs w:val="18"/>
      <w:lang w:val="es-CO" w:eastAsia="en-US"/>
    </w:rPr>
  </w:style>
  <w:style w:type="character" w:styleId="PageNumber">
    <w:name w:val="page number"/>
    <w:basedOn w:val="DefaultParagraphFont"/>
    <w:uiPriority w:val="99"/>
    <w:rsid w:val="00F119AC"/>
    <w:rPr>
      <w:rFonts w:cs="Times New Roman"/>
    </w:rPr>
  </w:style>
  <w:style w:type="character" w:styleId="Emphasis">
    <w:name w:val="Emphasis"/>
    <w:basedOn w:val="DefaultParagraphFont"/>
    <w:uiPriority w:val="99"/>
    <w:qFormat/>
    <w:locked/>
    <w:rsid w:val="00B95848"/>
    <w:rPr>
      <w:rFonts w:ascii="Book Antiqua" w:hAnsi="Book Antiqua" w:cs="Times New Roman"/>
      <w:sz w:val="24"/>
    </w:rPr>
  </w:style>
</w:styles>
</file>

<file path=word/webSettings.xml><?xml version="1.0" encoding="utf-8"?>
<w:webSettings xmlns:r="http://schemas.openxmlformats.org/officeDocument/2006/relationships" xmlns:w="http://schemas.openxmlformats.org/wordprocessingml/2006/main">
  <w:divs>
    <w:div w:id="164207209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dx.doi.org/10.1128/JVI.74.14.6368-6376.2000" TargetMode="External"/><Relationship Id="rId13" Type="http://schemas.openxmlformats.org/officeDocument/2006/relationships/hyperlink" Target="http://dx.doi.org/10.1099/0022-1317-78-11-2883" TargetMode="External"/><Relationship Id="rId18" Type="http://schemas.openxmlformats.org/officeDocument/2006/relationships/hyperlink" Target="http://dx.doi.org/10.1016/S0891-5849(03)00023-6" TargetMode="External"/><Relationship Id="rId26" Type="http://schemas.openxmlformats.org/officeDocument/2006/relationships/hyperlink" Target="http://dx.doi.org/10.4049/jimmunol.174.7.4356" TargetMode="External"/><Relationship Id="rId3" Type="http://schemas.openxmlformats.org/officeDocument/2006/relationships/webSettings" Target="webSettings.xml"/><Relationship Id="rId21" Type="http://schemas.openxmlformats.org/officeDocument/2006/relationships/hyperlink" Target="http://dx.doi.org/10.1046/j.1365-2362.2000.00736.x" TargetMode="External"/><Relationship Id="rId34" Type="http://schemas.openxmlformats.org/officeDocument/2006/relationships/footer" Target="footer1.xml"/><Relationship Id="rId7" Type="http://schemas.openxmlformats.org/officeDocument/2006/relationships/hyperlink" Target="http://dx.doi.org/10.1016/0009-2797(91)90033-4" TargetMode="External"/><Relationship Id="rId12" Type="http://schemas.openxmlformats.org/officeDocument/2006/relationships/hyperlink" Target="http://dx.doi.org/10.1016/S0960-9822(07)00565-9" TargetMode="External"/><Relationship Id="rId17" Type="http://schemas.openxmlformats.org/officeDocument/2006/relationships/hyperlink" Target="http://dx.doi.org/10.1183/09031936.97.10071535" TargetMode="External"/><Relationship Id="rId25" Type="http://schemas.openxmlformats.org/officeDocument/2006/relationships/hyperlink" Target="http://dx.doi.org/10.1016/0021-9150(95)05568-H" TargetMode="External"/><Relationship Id="rId33"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dx.doi.org/10.1016/0891-5849(89)90066-X" TargetMode="External"/><Relationship Id="rId20" Type="http://schemas.openxmlformats.org/officeDocument/2006/relationships/hyperlink" Target="http://dx.doi.org/10.1097/00075197-199911000-00011" TargetMode="External"/><Relationship Id="rId29" Type="http://schemas.openxmlformats.org/officeDocument/2006/relationships/hyperlink" Target="http://dx.doi.org/10.1016/0014-5793(94)01210-5" TargetMode="External"/><Relationship Id="rId1" Type="http://schemas.openxmlformats.org/officeDocument/2006/relationships/styles" Target="styles.xml"/><Relationship Id="rId6" Type="http://schemas.openxmlformats.org/officeDocument/2006/relationships/hyperlink" Target="http://dx.doi.org/10.1016/0163-7258(90)90045-4" TargetMode="External"/><Relationship Id="rId11" Type="http://schemas.openxmlformats.org/officeDocument/2006/relationships/hyperlink" Target="http://dx.doi.org/10.1128/JVI.76.24.13083-13087.2002" TargetMode="External"/><Relationship Id="rId24" Type="http://schemas.openxmlformats.org/officeDocument/2006/relationships/hyperlink" Target="http://dx.doi.org/10.1073/pnas.87.24.9943" TargetMode="External"/><Relationship Id="rId32"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dx.doi.org/10.1016/S0891-5849(96)00403-0" TargetMode="External"/><Relationship Id="rId23" Type="http://schemas.openxmlformats.org/officeDocument/2006/relationships/hyperlink" Target="http://dx.doi.org/10.1073/pnas.87.12.4884" TargetMode="External"/><Relationship Id="rId28" Type="http://schemas.openxmlformats.org/officeDocument/2006/relationships/hyperlink" Target="http://dx.doi.org/10.4049/jimmunol.170.2.1070" TargetMode="External"/><Relationship Id="rId36" Type="http://schemas.openxmlformats.org/officeDocument/2006/relationships/theme" Target="theme/theme1.xml"/><Relationship Id="rId10" Type="http://schemas.openxmlformats.org/officeDocument/2006/relationships/hyperlink" Target="http://dx.doi.org/10.1016/j.tim.2004.04.003" TargetMode="External"/><Relationship Id="rId19" Type="http://schemas.openxmlformats.org/officeDocument/2006/relationships/hyperlink" Target="http://dx.doi.org/10.1073/pnas.94.5.1967" TargetMode="External"/><Relationship Id="rId31"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dx.doi.org/10.1073/pnas.94.10.5389" TargetMode="External"/><Relationship Id="rId14" Type="http://schemas.openxmlformats.org/officeDocument/2006/relationships/hyperlink" Target="http://dx.doi.org/10.1002/rmv.303" TargetMode="External"/><Relationship Id="rId22" Type="http://schemas.openxmlformats.org/officeDocument/2006/relationships/hyperlink" Target="http://dx.doi.org/10.1073/pnas.86.15.5974" TargetMode="External"/><Relationship Id="rId27" Type="http://schemas.openxmlformats.org/officeDocument/2006/relationships/hyperlink" Target="http://dx.doi.org/10.1128/JVI.77.23.12753-12763.2003" TargetMode="External"/><Relationship Id="rId30" Type="http://schemas.openxmlformats.org/officeDocument/2006/relationships/image" Target="media/image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84</Pages>
  <Words>23479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I Ramos Murillo</dc:creator>
  <cp:keywords/>
  <dc:description/>
  <cp:lastModifiedBy>Xue-Mei Gong</cp:lastModifiedBy>
  <cp:revision>3</cp:revision>
  <dcterms:created xsi:type="dcterms:W3CDTF">2016-01-29T06:12:00Z</dcterms:created>
  <dcterms:modified xsi:type="dcterms:W3CDTF">2016-01-29T08:26:00Z</dcterms:modified>
</cp:coreProperties>
</file>