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iCs/>
          <w:color w:val="auto"/>
          <w:lang w:eastAsia="zh-CN"/>
        </w:rPr>
      </w:pPr>
      <w:r w:rsidRPr="00B01FC5">
        <w:rPr>
          <w:rFonts w:ascii="Book Antiqua" w:hAnsi="Book Antiqua"/>
          <w:b/>
          <w:color w:val="auto"/>
        </w:rPr>
        <w:t>Name of Journal:</w:t>
      </w:r>
      <w:r w:rsidR="00F20E8A" w:rsidRPr="00B01FC5">
        <w:rPr>
          <w:rFonts w:ascii="Book Antiqua" w:hAnsi="Book Antiqua" w:hint="eastAsia"/>
          <w:b/>
          <w:color w:val="auto"/>
          <w:lang w:eastAsia="zh-CN"/>
        </w:rPr>
        <w:t xml:space="preserve"> </w:t>
      </w:r>
      <w:r w:rsidRPr="00B01FC5">
        <w:rPr>
          <w:rFonts w:ascii="Book Antiqua" w:hAnsi="Book Antiqua"/>
          <w:b/>
          <w:i/>
          <w:iCs/>
          <w:color w:val="auto"/>
        </w:rPr>
        <w:t>World Journal of Gastroenterology</w:t>
      </w:r>
    </w:p>
    <w:p w:rsidR="00F20E8A" w:rsidRPr="00B01FC5" w:rsidRDefault="009352FD"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Cs/>
          <w:color w:val="auto"/>
          <w:lang w:eastAsia="zh-CN"/>
        </w:rPr>
      </w:pPr>
      <w:bookmarkStart w:id="0" w:name="OLE_LINK485"/>
      <w:bookmarkStart w:id="1" w:name="OLE_LINK486"/>
      <w:bookmarkStart w:id="2" w:name="OLE_LINK661"/>
      <w:r w:rsidRPr="004D5721">
        <w:rPr>
          <w:rFonts w:ascii="Book Antiqua" w:hAnsi="Book Antiqua"/>
          <w:b/>
          <w:iCs/>
          <w:color w:val="auto"/>
          <w:lang w:eastAsia="zh-CN"/>
        </w:rPr>
        <w:t>ESPS Manuscript NO:</w:t>
      </w:r>
      <w:bookmarkEnd w:id="0"/>
      <w:bookmarkEnd w:id="1"/>
      <w:bookmarkEnd w:id="2"/>
      <w:r w:rsidRPr="004D5721">
        <w:rPr>
          <w:rFonts w:ascii="Book Antiqua" w:hAnsi="Book Antiqua" w:hint="eastAsia"/>
          <w:b/>
          <w:iCs/>
          <w:color w:val="auto"/>
          <w:lang w:eastAsia="zh-CN"/>
        </w:rPr>
        <w:t xml:space="preserve"> 25665</w:t>
      </w: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rPr>
      </w:pPr>
      <w:r w:rsidRPr="00B01FC5">
        <w:rPr>
          <w:rFonts w:ascii="Book Antiqua" w:hAnsi="Book Antiqua"/>
          <w:b/>
          <w:color w:val="auto"/>
        </w:rPr>
        <w:t>Manuscript Type:</w:t>
      </w:r>
      <w:r w:rsidR="009352FD" w:rsidRPr="00B01FC5">
        <w:rPr>
          <w:rFonts w:ascii="Book Antiqua" w:hAnsi="Book Antiqua" w:hint="eastAsia"/>
          <w:b/>
          <w:color w:val="auto"/>
          <w:lang w:eastAsia="zh-CN"/>
        </w:rPr>
        <w:t xml:space="preserve"> </w:t>
      </w:r>
      <w:r w:rsidR="00BC40CB">
        <w:rPr>
          <w:rFonts w:ascii="Book Antiqua" w:hAnsi="Book Antiqua"/>
          <w:b/>
          <w:color w:val="auto"/>
          <w:lang w:eastAsia="zh-CN"/>
        </w:rPr>
        <w:t>REVIEW</w:t>
      </w: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rPr>
      </w:pP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rPr>
      </w:pPr>
      <w:r w:rsidRPr="00B01FC5">
        <w:rPr>
          <w:rFonts w:ascii="Book Antiqua" w:hAnsi="Book Antiqua"/>
          <w:b/>
          <w:caps/>
          <w:color w:val="auto"/>
        </w:rPr>
        <w:t>c</w:t>
      </w:r>
      <w:r w:rsidRPr="00B01FC5">
        <w:rPr>
          <w:rFonts w:ascii="Book Antiqua" w:hAnsi="Book Antiqua"/>
          <w:b/>
          <w:color w:val="auto"/>
        </w:rPr>
        <w:t>hallenges of advanced hepatocellular carcinoma</w:t>
      </w: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eastAsia="zh-CN"/>
        </w:rPr>
      </w:pPr>
    </w:p>
    <w:p w:rsidR="009352FD" w:rsidRPr="00DC440B" w:rsidRDefault="009352FD"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u w:val="single"/>
        </w:rPr>
      </w:pPr>
      <w:r w:rsidRPr="00B01FC5">
        <w:rPr>
          <w:rFonts w:ascii="Book Antiqua" w:hAnsi="Book Antiqua"/>
          <w:color w:val="auto"/>
        </w:rPr>
        <w:t>Colagrande S</w:t>
      </w:r>
      <w:r w:rsidRPr="00B01FC5">
        <w:rPr>
          <w:rFonts w:ascii="Book Antiqua" w:hAnsi="Book Antiqua" w:hint="eastAsia"/>
          <w:color w:val="auto"/>
          <w:lang w:eastAsia="zh-CN"/>
        </w:rPr>
        <w:t xml:space="preserve"> </w:t>
      </w:r>
      <w:r w:rsidRPr="00B01FC5">
        <w:rPr>
          <w:rFonts w:ascii="Book Antiqua" w:hAnsi="Book Antiqua" w:hint="eastAsia"/>
          <w:i/>
          <w:color w:val="auto"/>
          <w:lang w:eastAsia="zh-CN"/>
        </w:rPr>
        <w:t xml:space="preserve">et al. </w:t>
      </w:r>
      <w:r w:rsidRPr="00DC440B">
        <w:rPr>
          <w:rFonts w:ascii="Book Antiqua" w:hAnsi="Book Antiqua"/>
          <w:color w:val="auto"/>
        </w:rPr>
        <w:t>Advanced HCC</w:t>
      </w:r>
    </w:p>
    <w:p w:rsidR="009352FD" w:rsidRPr="00DC440B" w:rsidRDefault="009352FD"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eastAsia="zh-CN"/>
        </w:rPr>
      </w:pPr>
    </w:p>
    <w:p w:rsidR="00951AB4" w:rsidRPr="00B73D7D"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it-IT"/>
        </w:rPr>
      </w:pPr>
      <w:r w:rsidRPr="00B73D7D">
        <w:rPr>
          <w:rFonts w:ascii="Book Antiqua" w:hAnsi="Book Antiqua"/>
          <w:color w:val="auto"/>
          <w:lang w:val="it-IT"/>
        </w:rPr>
        <w:t>Stefano Colagrande, Andrea L</w:t>
      </w:r>
      <w:r w:rsidR="009352FD" w:rsidRPr="00B73D7D">
        <w:rPr>
          <w:rFonts w:ascii="Book Antiqua" w:hAnsi="Book Antiqua" w:hint="eastAsia"/>
          <w:color w:val="auto"/>
          <w:lang w:val="it-IT" w:eastAsia="zh-CN"/>
        </w:rPr>
        <w:t xml:space="preserve"> </w:t>
      </w:r>
      <w:r w:rsidRPr="00B73D7D">
        <w:rPr>
          <w:rFonts w:ascii="Book Antiqua" w:hAnsi="Book Antiqua"/>
          <w:color w:val="auto"/>
          <w:lang w:val="it-IT"/>
        </w:rPr>
        <w:t>Inghilesi, Sami Aburas, Gian G</w:t>
      </w:r>
      <w:r w:rsidR="009352FD" w:rsidRPr="00B73D7D">
        <w:rPr>
          <w:rFonts w:ascii="Book Antiqua" w:hAnsi="Book Antiqua" w:hint="eastAsia"/>
          <w:color w:val="auto"/>
          <w:lang w:val="it-IT" w:eastAsia="zh-CN"/>
        </w:rPr>
        <w:t xml:space="preserve"> </w:t>
      </w:r>
      <w:r w:rsidRPr="00B73D7D">
        <w:rPr>
          <w:rFonts w:ascii="Book Antiqua" w:hAnsi="Book Antiqua"/>
          <w:color w:val="auto"/>
          <w:lang w:val="it-IT"/>
        </w:rPr>
        <w:t>Taliani, Cosimo Nardi, Fabio Marra</w:t>
      </w: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lang w:val="it-IT"/>
        </w:rPr>
      </w:pPr>
    </w:p>
    <w:p w:rsidR="00951AB4" w:rsidRPr="004D5721" w:rsidRDefault="009352FD"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lang w:val="it-IT" w:eastAsia="zh-CN"/>
        </w:rPr>
      </w:pPr>
      <w:r w:rsidRPr="00B01FC5">
        <w:rPr>
          <w:rFonts w:ascii="Book Antiqua" w:hAnsi="Book Antiqua"/>
          <w:b/>
          <w:color w:val="auto"/>
          <w:lang w:val="it-IT"/>
        </w:rPr>
        <w:t>Stefano Colagrande, Andrea L</w:t>
      </w:r>
      <w:r w:rsidRPr="00B01FC5">
        <w:rPr>
          <w:rFonts w:ascii="Book Antiqua" w:hAnsi="Book Antiqua" w:hint="eastAsia"/>
          <w:b/>
          <w:color w:val="auto"/>
          <w:lang w:val="it-IT" w:eastAsia="zh-CN"/>
        </w:rPr>
        <w:t xml:space="preserve"> </w:t>
      </w:r>
      <w:r w:rsidRPr="00B01FC5">
        <w:rPr>
          <w:rFonts w:ascii="Book Antiqua" w:hAnsi="Book Antiqua"/>
          <w:b/>
          <w:color w:val="auto"/>
          <w:lang w:val="it-IT"/>
        </w:rPr>
        <w:t>Inghilesi, Sami Aburas, Gian G</w:t>
      </w:r>
      <w:r w:rsidRPr="00B01FC5">
        <w:rPr>
          <w:rFonts w:ascii="Book Antiqua" w:hAnsi="Book Antiqua" w:hint="eastAsia"/>
          <w:b/>
          <w:color w:val="auto"/>
          <w:lang w:val="it-IT" w:eastAsia="zh-CN"/>
        </w:rPr>
        <w:t xml:space="preserve"> </w:t>
      </w:r>
      <w:r w:rsidRPr="00B01FC5">
        <w:rPr>
          <w:rFonts w:ascii="Book Antiqua" w:hAnsi="Book Antiqua"/>
          <w:b/>
          <w:color w:val="auto"/>
          <w:lang w:val="it-IT"/>
        </w:rPr>
        <w:t>Taliani, Cosimo Nardi, Fabio Marra</w:t>
      </w:r>
      <w:r w:rsidRPr="00B01FC5">
        <w:rPr>
          <w:rFonts w:ascii="Book Antiqua" w:hAnsi="Book Antiqua" w:hint="eastAsia"/>
          <w:b/>
          <w:color w:val="auto"/>
          <w:lang w:val="it-IT" w:eastAsia="zh-CN"/>
        </w:rPr>
        <w:t xml:space="preserve">, </w:t>
      </w:r>
      <w:r w:rsidR="00951AB4" w:rsidRPr="00B01FC5">
        <w:rPr>
          <w:rFonts w:ascii="Book Antiqua" w:hAnsi="Book Antiqua"/>
          <w:color w:val="auto"/>
          <w:lang w:val="it-IT"/>
        </w:rPr>
        <w:t xml:space="preserve">Dipartimento di Scienze Biomediche, Sperimentali e Cliniche “Mario Serio”, Dipartimento di Medicina Sperimentale e Clinica, Centro di Ricerca Denothe, University of Florence, </w:t>
      </w:r>
      <w:r w:rsidRPr="00B01FC5">
        <w:rPr>
          <w:rFonts w:ascii="Book Antiqua" w:hAnsi="Book Antiqua"/>
          <w:color w:val="auto"/>
          <w:lang w:val="it-IT"/>
        </w:rPr>
        <w:t>I-50134</w:t>
      </w:r>
      <w:r w:rsidRPr="00B01FC5">
        <w:rPr>
          <w:rFonts w:ascii="Book Antiqua" w:hAnsi="Book Antiqua" w:hint="eastAsia"/>
          <w:color w:val="auto"/>
          <w:lang w:val="it-IT" w:eastAsia="zh-CN"/>
        </w:rPr>
        <w:t xml:space="preserve"> </w:t>
      </w:r>
      <w:r w:rsidRPr="00B01FC5">
        <w:rPr>
          <w:rFonts w:ascii="Book Antiqua" w:hAnsi="Book Antiqua"/>
          <w:color w:val="auto"/>
          <w:lang w:val="it-IT"/>
        </w:rPr>
        <w:t>Florence</w:t>
      </w:r>
      <w:r w:rsidRPr="00B01FC5">
        <w:rPr>
          <w:rFonts w:ascii="Book Antiqua" w:hAnsi="Book Antiqua" w:hint="eastAsia"/>
          <w:color w:val="auto"/>
          <w:lang w:val="it-IT" w:eastAsia="zh-CN"/>
        </w:rPr>
        <w:t>,</w:t>
      </w:r>
      <w:r w:rsidRPr="00B01FC5">
        <w:rPr>
          <w:rFonts w:ascii="Book Antiqua" w:hAnsi="Book Antiqua"/>
          <w:color w:val="auto"/>
          <w:lang w:val="it-IT"/>
        </w:rPr>
        <w:t xml:space="preserve"> Italy</w:t>
      </w:r>
    </w:p>
    <w:p w:rsidR="00951AB4" w:rsidRPr="00DC440B" w:rsidRDefault="00951AB4" w:rsidP="009352FD">
      <w:pPr>
        <w:pStyle w:val="CorpoA"/>
        <w:spacing w:line="360" w:lineRule="auto"/>
        <w:jc w:val="both"/>
        <w:rPr>
          <w:rFonts w:ascii="Book Antiqua" w:hAnsi="Book Antiqua"/>
          <w:color w:val="auto"/>
          <w:lang w:val="it-IT"/>
        </w:rPr>
      </w:pPr>
    </w:p>
    <w:p w:rsidR="00B01FC5" w:rsidRPr="004D5721" w:rsidRDefault="00B01FC5" w:rsidP="007D1487">
      <w:pPr>
        <w:pStyle w:val="1"/>
        <w:spacing w:line="360" w:lineRule="auto"/>
        <w:jc w:val="both"/>
        <w:rPr>
          <w:rFonts w:ascii="Book Antiqua" w:hAnsi="Book Antiqua" w:cs="Times New Roman"/>
          <w:color w:val="auto"/>
          <w:sz w:val="24"/>
          <w:szCs w:val="24"/>
          <w:highlight w:val="white"/>
          <w:lang w:val="en-US" w:eastAsia="zh-CN"/>
        </w:rPr>
      </w:pPr>
      <w:bookmarkStart w:id="3" w:name="OLE_LINK188"/>
      <w:bookmarkStart w:id="4" w:name="OLE_LINK189"/>
      <w:r w:rsidRPr="0033508F">
        <w:rPr>
          <w:rFonts w:ascii="Book Antiqua" w:hAnsi="Book Antiqua" w:cs="Times New Roman"/>
          <w:b/>
          <w:color w:val="auto"/>
          <w:sz w:val="24"/>
          <w:highlight w:val="white"/>
          <w:lang w:val="en-US" w:eastAsia="zh-CN"/>
        </w:rPr>
        <w:t>Author contributions:</w:t>
      </w:r>
      <w:r w:rsidR="00C21158">
        <w:rPr>
          <w:rFonts w:ascii="Book Antiqua" w:hAnsi="Book Antiqua" w:cs="Times New Roman" w:hint="eastAsia"/>
          <w:b/>
          <w:color w:val="FF0000"/>
          <w:sz w:val="24"/>
          <w:highlight w:val="white"/>
          <w:lang w:val="en-US" w:eastAsia="zh-CN"/>
        </w:rPr>
        <w:t xml:space="preserve"> </w:t>
      </w:r>
      <w:r w:rsidR="004D5721" w:rsidRPr="004D5721">
        <w:rPr>
          <w:rFonts w:ascii="Book Antiqua" w:hAnsi="Book Antiqua" w:cs="Times New Roman"/>
          <w:color w:val="auto"/>
          <w:sz w:val="24"/>
          <w:szCs w:val="24"/>
          <w:highlight w:val="white"/>
          <w:lang w:val="en-US" w:eastAsia="zh-CN"/>
        </w:rPr>
        <w:t>All authors equally contributed to this paper with conception and</w:t>
      </w:r>
      <w:r w:rsidR="007D1487">
        <w:rPr>
          <w:rFonts w:ascii="Book Antiqua" w:hAnsi="Book Antiqua" w:cs="Times New Roman" w:hint="eastAsia"/>
          <w:color w:val="auto"/>
          <w:sz w:val="24"/>
          <w:szCs w:val="24"/>
          <w:highlight w:val="white"/>
          <w:lang w:val="en-US" w:eastAsia="zh-CN"/>
        </w:rPr>
        <w:t xml:space="preserve"> </w:t>
      </w:r>
      <w:r w:rsidR="004D5721" w:rsidRPr="004D5721">
        <w:rPr>
          <w:rFonts w:ascii="Book Antiqua" w:hAnsi="Book Antiqua" w:cs="Times New Roman"/>
          <w:color w:val="auto"/>
          <w:sz w:val="24"/>
          <w:szCs w:val="24"/>
          <w:highlight w:val="white"/>
          <w:lang w:val="en-US" w:eastAsia="zh-CN"/>
        </w:rPr>
        <w:t>design of the study, literature review and analysis, dra</w:t>
      </w:r>
      <w:r w:rsidR="007D1487">
        <w:rPr>
          <w:rFonts w:ascii="Book Antiqua" w:hAnsi="Book Antiqua" w:cs="Times New Roman"/>
          <w:color w:val="auto"/>
          <w:sz w:val="24"/>
          <w:szCs w:val="24"/>
          <w:highlight w:val="white"/>
          <w:lang w:val="en-US" w:eastAsia="zh-CN"/>
        </w:rPr>
        <w:t>fting and critical revision and</w:t>
      </w:r>
      <w:r w:rsidR="007D1487">
        <w:rPr>
          <w:rFonts w:ascii="Book Antiqua" w:hAnsi="Book Antiqua" w:cs="Times New Roman" w:hint="eastAsia"/>
          <w:color w:val="auto"/>
          <w:sz w:val="24"/>
          <w:szCs w:val="24"/>
          <w:highlight w:val="white"/>
          <w:lang w:val="en-US" w:eastAsia="zh-CN"/>
        </w:rPr>
        <w:t xml:space="preserve"> </w:t>
      </w:r>
      <w:r w:rsidR="004D5721" w:rsidRPr="004D5721">
        <w:rPr>
          <w:rFonts w:ascii="Book Antiqua" w:hAnsi="Book Antiqua" w:cs="Times New Roman"/>
          <w:color w:val="auto"/>
          <w:sz w:val="24"/>
          <w:szCs w:val="24"/>
          <w:highlight w:val="white"/>
          <w:lang w:val="en-US" w:eastAsia="zh-CN"/>
        </w:rPr>
        <w:t>editing, and final approval of the final version.</w:t>
      </w:r>
    </w:p>
    <w:bookmarkEnd w:id="3"/>
    <w:bookmarkEnd w:id="4"/>
    <w:p w:rsidR="00951AB4" w:rsidRPr="007D1487" w:rsidRDefault="00951AB4" w:rsidP="009352FD">
      <w:pPr>
        <w:pStyle w:val="CorpoA"/>
        <w:spacing w:line="360" w:lineRule="auto"/>
        <w:jc w:val="both"/>
        <w:rPr>
          <w:rFonts w:ascii="Book Antiqua" w:hAnsi="Book Antiqua"/>
          <w:color w:val="FF0000"/>
        </w:rPr>
      </w:pPr>
    </w:p>
    <w:p w:rsidR="00B01FC5" w:rsidRPr="00316248" w:rsidRDefault="00B01FC5" w:rsidP="00B01FC5">
      <w:pPr>
        <w:pStyle w:val="1"/>
        <w:rPr>
          <w:rFonts w:ascii="Book Antiqua" w:hAnsi="Book Antiqua" w:cs="Times New Roman"/>
          <w:b/>
          <w:bCs/>
          <w:iCs/>
          <w:color w:val="FF0000"/>
          <w:sz w:val="24"/>
          <w:highlight w:val="white"/>
          <w:lang w:val="en-US" w:eastAsia="zh-CN"/>
        </w:rPr>
      </w:pPr>
      <w:bookmarkStart w:id="5" w:name="OLE_LINK235"/>
      <w:bookmarkStart w:id="6" w:name="OLE_LINK236"/>
      <w:bookmarkStart w:id="7" w:name="OLE_LINK684"/>
      <w:r w:rsidRPr="0033508F">
        <w:rPr>
          <w:rFonts w:ascii="Book Antiqua" w:hAnsi="Book Antiqua" w:cs="Times New Roman"/>
          <w:b/>
          <w:bCs/>
          <w:iCs/>
          <w:color w:val="auto"/>
          <w:sz w:val="24"/>
          <w:highlight w:val="white"/>
          <w:lang w:val="en-US" w:eastAsia="zh-CN"/>
        </w:rPr>
        <w:t>Conflict-of-interest</w:t>
      </w:r>
      <w:r w:rsidRPr="0033508F">
        <w:rPr>
          <w:rFonts w:ascii="Book Antiqua" w:hAnsi="Book Antiqua" w:cs="Times New Roman" w:hint="eastAsia"/>
          <w:b/>
          <w:bCs/>
          <w:iCs/>
          <w:color w:val="auto"/>
          <w:sz w:val="24"/>
          <w:highlight w:val="white"/>
          <w:lang w:val="en-US" w:eastAsia="zh-CN"/>
        </w:rPr>
        <w:t xml:space="preserve"> statement</w:t>
      </w:r>
      <w:r w:rsidRPr="0033508F">
        <w:rPr>
          <w:rFonts w:ascii="Book Antiqua" w:hAnsi="Book Antiqua" w:cs="Times New Roman"/>
          <w:b/>
          <w:bCs/>
          <w:iCs/>
          <w:color w:val="auto"/>
          <w:sz w:val="24"/>
          <w:highlight w:val="white"/>
          <w:lang w:val="en-US" w:eastAsia="zh-CN"/>
        </w:rPr>
        <w:t>:</w:t>
      </w:r>
      <w:r w:rsidR="0033508F">
        <w:rPr>
          <w:rFonts w:ascii="Book Antiqua" w:hAnsi="Book Antiqua" w:cs="Times New Roman"/>
          <w:b/>
          <w:bCs/>
          <w:iCs/>
          <w:color w:val="FF0000"/>
          <w:sz w:val="24"/>
          <w:highlight w:val="white"/>
          <w:lang w:val="en-US" w:eastAsia="zh-CN"/>
        </w:rPr>
        <w:t xml:space="preserve"> </w:t>
      </w:r>
      <w:r w:rsidR="0033508F" w:rsidRPr="0033508F">
        <w:rPr>
          <w:rFonts w:ascii="Book Antiqua" w:hAnsi="Book Antiqua" w:cs="Times New Roman"/>
          <w:bCs/>
          <w:iCs/>
          <w:color w:val="auto"/>
          <w:sz w:val="24"/>
          <w:lang w:val="en-US" w:eastAsia="zh-CN"/>
        </w:rPr>
        <w:t>No potential conflicts of interest. No financial support</w:t>
      </w:r>
      <w:r w:rsidR="00C21158">
        <w:rPr>
          <w:rFonts w:ascii="Book Antiqua" w:hAnsi="Book Antiqua" w:cs="Times New Roman" w:hint="eastAsia"/>
          <w:bCs/>
          <w:iCs/>
          <w:color w:val="auto"/>
          <w:sz w:val="24"/>
          <w:lang w:val="en-US" w:eastAsia="zh-CN"/>
        </w:rPr>
        <w:t>.</w:t>
      </w:r>
    </w:p>
    <w:bookmarkEnd w:id="5"/>
    <w:bookmarkEnd w:id="6"/>
    <w:bookmarkEnd w:id="7"/>
    <w:p w:rsidR="00951AB4" w:rsidRPr="00B01FC5" w:rsidRDefault="00951AB4" w:rsidP="009352FD">
      <w:pPr>
        <w:spacing w:line="360" w:lineRule="auto"/>
        <w:jc w:val="both"/>
        <w:rPr>
          <w:rFonts w:ascii="Book Antiqua" w:hAnsi="Book Antiqua"/>
          <w:color w:val="auto"/>
          <w:u w:val="single"/>
          <w:lang w:val="en-US" w:eastAsia="zh-CN"/>
        </w:rPr>
      </w:pPr>
    </w:p>
    <w:p w:rsidR="00B01FC5" w:rsidRPr="00B01FC5" w:rsidRDefault="00B01FC5" w:rsidP="00B01FC5">
      <w:pPr>
        <w:pStyle w:val="1"/>
        <w:spacing w:line="360" w:lineRule="auto"/>
        <w:jc w:val="both"/>
        <w:rPr>
          <w:rFonts w:ascii="Book Antiqua" w:hAnsi="Book Antiqua" w:cs="Times New Roman"/>
          <w:bCs/>
          <w:color w:val="auto"/>
          <w:sz w:val="24"/>
          <w:highlight w:val="white"/>
          <w:lang w:val="en-US"/>
        </w:rPr>
      </w:pPr>
      <w:bookmarkStart w:id="8" w:name="OLE_LINK734"/>
      <w:bookmarkStart w:id="9" w:name="OLE_LINK441"/>
      <w:bookmarkStart w:id="10" w:name="OLE_LINK442"/>
      <w:bookmarkStart w:id="11" w:name="OLE_LINK1032"/>
      <w:bookmarkStart w:id="12" w:name="OLE_LINK1232"/>
      <w:bookmarkStart w:id="13" w:name="OLE_LINK559"/>
      <w:r w:rsidRPr="00B01FC5">
        <w:rPr>
          <w:rFonts w:ascii="Book Antiqua" w:hAnsi="Book Antiqua" w:cs="Times New Roman"/>
          <w:b/>
          <w:bCs/>
          <w:color w:val="auto"/>
          <w:sz w:val="24"/>
          <w:highlight w:val="white"/>
          <w:lang w:val="en-US"/>
        </w:rPr>
        <w:t>Open-Access:</w:t>
      </w:r>
      <w:r w:rsidRPr="00B01FC5">
        <w:rPr>
          <w:rFonts w:ascii="Book Antiqua" w:hAnsi="Book Antiqua" w:cs="Times New Roman"/>
          <w:bCs/>
          <w:color w:val="auto"/>
          <w:sz w:val="24"/>
          <w:highlight w:val="white"/>
          <w:lang w:val="en-US"/>
        </w:rPr>
        <w:t xml:space="preserve"> </w:t>
      </w:r>
      <w:bookmarkStart w:id="14" w:name="OLE_LINK479"/>
      <w:bookmarkStart w:id="15" w:name="OLE_LINK496"/>
      <w:bookmarkStart w:id="16" w:name="OLE_LINK506"/>
      <w:bookmarkStart w:id="17" w:name="OLE_LINK507"/>
      <w:r w:rsidRPr="00B01FC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B01FC5">
        <w:rPr>
          <w:rFonts w:ascii="Book Antiqua" w:hAnsi="Book Antiqua" w:cs="Times New Roman" w:hint="eastAsia"/>
          <w:bCs/>
          <w:color w:val="auto"/>
          <w:sz w:val="24"/>
          <w:highlight w:val="white"/>
          <w:lang w:val="en-US" w:eastAsia="zh-CN"/>
        </w:rPr>
        <w:t xml:space="preserve"> </w:t>
      </w:r>
      <w:r w:rsidRPr="00B01FC5">
        <w:rPr>
          <w:rFonts w:ascii="Book Antiqua" w:hAnsi="Book Antiqua" w:cs="Times New Roman"/>
          <w:bCs/>
          <w:color w:val="auto"/>
          <w:sz w:val="24"/>
          <w:highlight w:val="white"/>
          <w:lang w:val="en-US"/>
        </w:rPr>
        <w:t>in</w:t>
      </w:r>
      <w:r w:rsidRPr="00B01FC5">
        <w:rPr>
          <w:rFonts w:ascii="Book Antiqua" w:hAnsi="Book Antiqua" w:cs="Times New Roman" w:hint="eastAsia"/>
          <w:bCs/>
          <w:color w:val="auto"/>
          <w:sz w:val="24"/>
          <w:highlight w:val="white"/>
          <w:lang w:val="en-US" w:eastAsia="zh-CN"/>
        </w:rPr>
        <w:t xml:space="preserve"> </w:t>
      </w:r>
      <w:r w:rsidRPr="00B01FC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01FC5">
          <w:rPr>
            <w:rStyle w:val="Hyperlink"/>
            <w:rFonts w:ascii="Book Antiqua" w:hAnsi="Book Antiqua" w:cs="Times New Roman"/>
            <w:bCs/>
            <w:color w:val="auto"/>
            <w:highlight w:val="white"/>
            <w:u w:val="none"/>
          </w:rPr>
          <w:t>http://creativecommons.org/licenses/by-nc/4.0/</w:t>
        </w:r>
      </w:hyperlink>
      <w:bookmarkEnd w:id="8"/>
      <w:bookmarkEnd w:id="14"/>
      <w:bookmarkEnd w:id="15"/>
      <w:bookmarkEnd w:id="16"/>
      <w:bookmarkEnd w:id="17"/>
    </w:p>
    <w:bookmarkEnd w:id="9"/>
    <w:bookmarkEnd w:id="10"/>
    <w:bookmarkEnd w:id="11"/>
    <w:bookmarkEnd w:id="12"/>
    <w:bookmarkEnd w:id="13"/>
    <w:p w:rsidR="00B01FC5" w:rsidRPr="00B01FC5" w:rsidRDefault="00B01FC5" w:rsidP="00B01FC5">
      <w:pPr>
        <w:pStyle w:val="1"/>
        <w:rPr>
          <w:rFonts w:ascii="Book Antiqua" w:hAnsi="Book Antiqua" w:cs="Times New Roman"/>
          <w:b/>
          <w:bCs/>
          <w:color w:val="auto"/>
          <w:sz w:val="24"/>
          <w:highlight w:val="white"/>
          <w:lang w:val="en-US" w:eastAsia="zh-CN"/>
        </w:rPr>
      </w:pPr>
    </w:p>
    <w:p w:rsidR="00B01FC5" w:rsidRPr="00B01FC5" w:rsidRDefault="00B01FC5" w:rsidP="00B01FC5">
      <w:pPr>
        <w:pStyle w:val="1"/>
        <w:rPr>
          <w:rFonts w:ascii="Book Antiqua" w:hAnsi="Book Antiqua" w:cs="Times New Roman"/>
          <w:b/>
          <w:bCs/>
          <w:color w:val="auto"/>
          <w:sz w:val="24"/>
          <w:highlight w:val="white"/>
          <w:lang w:val="en-US" w:eastAsia="zh-CN"/>
        </w:rPr>
      </w:pPr>
      <w:r w:rsidRPr="00B01FC5">
        <w:rPr>
          <w:rFonts w:ascii="Book Antiqua" w:hAnsi="Book Antiqua" w:cs="Times New Roman"/>
          <w:b/>
          <w:bCs/>
          <w:color w:val="auto"/>
          <w:sz w:val="24"/>
          <w:highlight w:val="white"/>
          <w:lang w:val="en-US"/>
        </w:rPr>
        <w:t>Manuscript source:</w:t>
      </w:r>
      <w:r w:rsidRPr="00B01FC5">
        <w:rPr>
          <w:rFonts w:ascii="Book Antiqua" w:hAnsi="Book Antiqua" w:cs="Times New Roman" w:hint="eastAsia"/>
          <w:b/>
          <w:bCs/>
          <w:color w:val="auto"/>
          <w:sz w:val="24"/>
          <w:highlight w:val="white"/>
          <w:lang w:val="en-US" w:eastAsia="zh-CN"/>
        </w:rPr>
        <w:t xml:space="preserve"> </w:t>
      </w:r>
      <w:r w:rsidRPr="00B01FC5">
        <w:rPr>
          <w:rFonts w:ascii="Book Antiqua" w:hAnsi="Book Antiqua" w:cs="Times New Roman"/>
          <w:bCs/>
          <w:color w:val="auto"/>
          <w:sz w:val="24"/>
          <w:highlight w:val="white"/>
          <w:lang w:val="en-US"/>
        </w:rPr>
        <w:t>Invited manuscript</w:t>
      </w:r>
    </w:p>
    <w:p w:rsidR="00B01FC5" w:rsidRPr="00B01FC5" w:rsidRDefault="00B01FC5" w:rsidP="009352FD">
      <w:pPr>
        <w:spacing w:line="360" w:lineRule="auto"/>
        <w:jc w:val="both"/>
        <w:rPr>
          <w:rFonts w:ascii="Book Antiqua" w:hAnsi="Book Antiqua"/>
          <w:color w:val="auto"/>
          <w:u w:val="single"/>
          <w:lang w:val="en-US" w:eastAsia="zh-CN"/>
        </w:rPr>
      </w:pPr>
    </w:p>
    <w:p w:rsidR="00804DB3" w:rsidRPr="00B01FC5" w:rsidRDefault="009352FD" w:rsidP="009352FD">
      <w:pPr>
        <w:spacing w:line="360" w:lineRule="auto"/>
        <w:jc w:val="both"/>
        <w:rPr>
          <w:rFonts w:ascii="Book Antiqua" w:hAnsi="Book Antiqua"/>
          <w:color w:val="auto"/>
          <w:lang w:val="en-US" w:eastAsia="zh-CN"/>
        </w:rPr>
      </w:pPr>
      <w:bookmarkStart w:id="18" w:name="OLE_LINK294"/>
      <w:bookmarkStart w:id="19" w:name="OLE_LINK295"/>
      <w:r w:rsidRPr="004D5721">
        <w:rPr>
          <w:rFonts w:ascii="Book Antiqua" w:hAnsi="Book Antiqua"/>
          <w:b/>
          <w:bCs/>
          <w:color w:val="auto"/>
        </w:rPr>
        <w:lastRenderedPageBreak/>
        <w:t>Correspondence to:</w:t>
      </w:r>
      <w:bookmarkEnd w:id="18"/>
      <w:bookmarkEnd w:id="19"/>
      <w:r w:rsidRPr="004D5721">
        <w:rPr>
          <w:rFonts w:ascii="Book Antiqua" w:hAnsi="Book Antiqua" w:hint="eastAsia"/>
          <w:color w:val="auto"/>
          <w:lang w:eastAsia="zh-CN"/>
        </w:rPr>
        <w:t xml:space="preserve"> </w:t>
      </w:r>
      <w:r w:rsidR="00951AB4" w:rsidRPr="00B01FC5">
        <w:rPr>
          <w:rFonts w:ascii="Book Antiqua" w:hAnsi="Book Antiqua"/>
          <w:b/>
          <w:color w:val="auto"/>
        </w:rPr>
        <w:t>Stefano</w:t>
      </w:r>
      <w:r w:rsidRPr="00B01FC5">
        <w:rPr>
          <w:rFonts w:ascii="Book Antiqua" w:hAnsi="Book Antiqua" w:hint="eastAsia"/>
          <w:b/>
          <w:color w:val="auto"/>
          <w:lang w:eastAsia="zh-CN"/>
        </w:rPr>
        <w:t xml:space="preserve"> </w:t>
      </w:r>
      <w:r w:rsidR="00804DB3" w:rsidRPr="00B01FC5">
        <w:rPr>
          <w:rFonts w:ascii="Book Antiqua" w:hAnsi="Book Antiqua"/>
          <w:b/>
          <w:color w:val="auto"/>
        </w:rPr>
        <w:t>Colagrande, MD</w:t>
      </w:r>
      <w:r w:rsidRPr="00B01FC5">
        <w:rPr>
          <w:rFonts w:ascii="Book Antiqua" w:hAnsi="Book Antiqua" w:hint="eastAsia"/>
          <w:b/>
          <w:color w:val="auto"/>
          <w:lang w:eastAsia="zh-CN"/>
        </w:rPr>
        <w:t>,</w:t>
      </w:r>
      <w:r w:rsidRPr="00B01FC5">
        <w:rPr>
          <w:rFonts w:ascii="Book Antiqua" w:hAnsi="Book Antiqua" w:hint="eastAsia"/>
          <w:color w:val="auto"/>
          <w:lang w:eastAsia="zh-CN"/>
        </w:rPr>
        <w:t xml:space="preserve"> </w:t>
      </w:r>
      <w:r w:rsidR="00804DB3" w:rsidRPr="00B01FC5">
        <w:rPr>
          <w:rFonts w:ascii="Book Antiqua" w:eastAsia="MS Minngs" w:hAnsi="Book Antiqua" w:cs="Times New Roman"/>
          <w:color w:val="auto"/>
          <w:bdr w:val="none" w:sz="0" w:space="0" w:color="auto"/>
          <w:lang w:eastAsia="de-DE"/>
        </w:rPr>
        <w:t>Dipartimento di Scienze Biomediche</w:t>
      </w:r>
      <w:r w:rsidRPr="00B01FC5">
        <w:rPr>
          <w:rFonts w:ascii="Book Antiqua" w:eastAsiaTheme="minorEastAsia" w:hAnsi="Book Antiqua" w:cs="Times New Roman" w:hint="eastAsia"/>
          <w:color w:val="auto"/>
          <w:bdr w:val="none" w:sz="0" w:space="0" w:color="auto"/>
          <w:lang w:eastAsia="zh-CN"/>
        </w:rPr>
        <w:t>,</w:t>
      </w:r>
      <w:r w:rsidR="00804DB3" w:rsidRPr="00B01FC5">
        <w:rPr>
          <w:rFonts w:ascii="Book Antiqua" w:eastAsia="MS Minngs" w:hAnsi="Book Antiqua" w:cs="Times New Roman"/>
          <w:color w:val="auto"/>
          <w:bdr w:val="none" w:sz="0" w:space="0" w:color="auto"/>
          <w:lang w:eastAsia="de-DE"/>
        </w:rPr>
        <w:t xml:space="preserve"> Sperimentali e Cliniche, </w:t>
      </w:r>
      <w:r w:rsidR="00804DB3" w:rsidRPr="004D5721">
        <w:rPr>
          <w:rFonts w:ascii="Book Antiqua" w:eastAsia="MS Minngs" w:hAnsi="Book Antiqua" w:cs="Times New Roman"/>
          <w:color w:val="auto"/>
          <w:bdr w:val="none" w:sz="0" w:space="0" w:color="auto"/>
          <w:lang w:eastAsia="de-DE"/>
        </w:rPr>
        <w:t>Largo Brambilla 3</w:t>
      </w:r>
      <w:r w:rsidRPr="004D5721">
        <w:rPr>
          <w:rFonts w:ascii="Book Antiqua" w:eastAsiaTheme="minorEastAsia" w:hAnsi="Book Antiqua" w:cs="Times New Roman" w:hint="eastAsia"/>
          <w:color w:val="auto"/>
          <w:bdr w:val="none" w:sz="0" w:space="0" w:color="auto"/>
          <w:lang w:eastAsia="zh-CN"/>
        </w:rPr>
        <w:t xml:space="preserve">, </w:t>
      </w:r>
      <w:r w:rsidR="00804DB3" w:rsidRPr="004D5721">
        <w:rPr>
          <w:rFonts w:ascii="Book Antiqua" w:hAnsi="Book Antiqua"/>
          <w:color w:val="auto"/>
        </w:rPr>
        <w:t>I-50134</w:t>
      </w:r>
      <w:r w:rsidRPr="004D5721">
        <w:rPr>
          <w:rFonts w:ascii="Book Antiqua" w:hAnsi="Book Antiqua" w:hint="eastAsia"/>
          <w:color w:val="auto"/>
          <w:lang w:eastAsia="zh-CN"/>
        </w:rPr>
        <w:t xml:space="preserve"> </w:t>
      </w:r>
      <w:r w:rsidR="00804DB3" w:rsidRPr="004D5721">
        <w:rPr>
          <w:rFonts w:ascii="Book Antiqua" w:hAnsi="Book Antiqua"/>
          <w:color w:val="auto"/>
        </w:rPr>
        <w:t>Florence</w:t>
      </w:r>
      <w:r w:rsidRPr="004D5721">
        <w:rPr>
          <w:rFonts w:ascii="Book Antiqua" w:hAnsi="Book Antiqua" w:hint="eastAsia"/>
          <w:color w:val="auto"/>
          <w:lang w:eastAsia="zh-CN"/>
        </w:rPr>
        <w:t>,</w:t>
      </w:r>
      <w:r w:rsidR="00804DB3" w:rsidRPr="004D5721">
        <w:rPr>
          <w:rFonts w:ascii="Book Antiqua" w:hAnsi="Book Antiqua"/>
          <w:color w:val="auto"/>
        </w:rPr>
        <w:t xml:space="preserve"> Italy</w:t>
      </w:r>
      <w:r w:rsidRPr="004D5721">
        <w:rPr>
          <w:rFonts w:ascii="Book Antiqua" w:hAnsi="Book Antiqua" w:hint="eastAsia"/>
          <w:color w:val="auto"/>
          <w:lang w:eastAsia="zh-CN"/>
        </w:rPr>
        <w:t xml:space="preserve">. </w:t>
      </w:r>
      <w:hyperlink r:id="rId9" w:history="1">
        <w:r w:rsidRPr="004D5721">
          <w:rPr>
            <w:rFonts w:ascii="Book Antiqua" w:eastAsia="MS Minngs" w:hAnsi="Book Antiqua" w:cs="Times New Roman"/>
            <w:color w:val="auto"/>
            <w:bdr w:val="none" w:sz="0" w:space="0" w:color="auto"/>
            <w:lang w:val="en-US" w:eastAsia="de-DE"/>
          </w:rPr>
          <w:t>stefano.colagrande@unifi.it</w:t>
        </w:r>
      </w:hyperlink>
    </w:p>
    <w:p w:rsidR="00804DB3" w:rsidRPr="00B01FC5" w:rsidRDefault="009352FD" w:rsidP="009352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imes New Roman"/>
          <w:color w:val="auto"/>
          <w:kern w:val="1"/>
          <w:bdr w:val="none" w:sz="0" w:space="0" w:color="auto"/>
          <w:lang w:val="en-US" w:eastAsia="zh-CN"/>
        </w:rPr>
      </w:pPr>
      <w:r w:rsidRPr="00B01FC5">
        <w:rPr>
          <w:rFonts w:ascii="Book Antiqua" w:eastAsia="MS Minngs" w:hAnsi="Book Antiqua" w:cs="Times New Roman" w:hint="eastAsia"/>
          <w:b/>
          <w:color w:val="auto"/>
          <w:bdr w:val="none" w:sz="0" w:space="0" w:color="auto"/>
          <w:lang w:val="en-US" w:eastAsia="de-DE"/>
        </w:rPr>
        <w:t>Telephone:</w:t>
      </w:r>
      <w:r w:rsidRPr="00B01FC5">
        <w:rPr>
          <w:rFonts w:ascii="Book Antiqua" w:eastAsiaTheme="minorEastAsia" w:hAnsi="Book Antiqua" w:cs="Times New Roman" w:hint="eastAsia"/>
          <w:b/>
          <w:color w:val="auto"/>
          <w:bdr w:val="none" w:sz="0" w:space="0" w:color="auto"/>
          <w:lang w:val="en-US" w:eastAsia="zh-CN"/>
        </w:rPr>
        <w:t xml:space="preserve"> </w:t>
      </w:r>
      <w:r w:rsidR="00804DB3" w:rsidRPr="00B01FC5">
        <w:rPr>
          <w:rFonts w:ascii="Book Antiqua" w:eastAsia="MS Minngs" w:hAnsi="Book Antiqua" w:cs="Times New Roman"/>
          <w:color w:val="auto"/>
          <w:kern w:val="1"/>
          <w:bdr w:val="none" w:sz="0" w:space="0" w:color="auto"/>
          <w:lang w:val="en-US" w:eastAsia="de-DE"/>
        </w:rPr>
        <w:t>+39</w:t>
      </w:r>
      <w:r w:rsidRPr="00B01FC5">
        <w:rPr>
          <w:rFonts w:ascii="Book Antiqua" w:eastAsiaTheme="minorEastAsia" w:hAnsi="Book Antiqua" w:cs="Times New Roman" w:hint="eastAsia"/>
          <w:color w:val="auto"/>
          <w:kern w:val="1"/>
          <w:bdr w:val="none" w:sz="0" w:space="0" w:color="auto"/>
          <w:lang w:val="en-US" w:eastAsia="zh-CN"/>
        </w:rPr>
        <w:t>-</w:t>
      </w:r>
      <w:r w:rsidR="00804DB3" w:rsidRPr="00B01FC5">
        <w:rPr>
          <w:rFonts w:ascii="Book Antiqua" w:eastAsia="MS Minngs" w:hAnsi="Book Antiqua" w:cs="Times New Roman"/>
          <w:color w:val="auto"/>
          <w:kern w:val="1"/>
          <w:bdr w:val="none" w:sz="0" w:space="0" w:color="auto"/>
          <w:lang w:val="en-US" w:eastAsia="de-DE"/>
        </w:rPr>
        <w:t>55</w:t>
      </w:r>
      <w:r w:rsidRPr="00B01FC5">
        <w:rPr>
          <w:rFonts w:ascii="Book Antiqua" w:eastAsiaTheme="minorEastAsia" w:hAnsi="Book Antiqua" w:cs="Times New Roman" w:hint="eastAsia"/>
          <w:color w:val="auto"/>
          <w:kern w:val="1"/>
          <w:bdr w:val="none" w:sz="0" w:space="0" w:color="auto"/>
          <w:lang w:val="en-US" w:eastAsia="zh-CN"/>
        </w:rPr>
        <w:t>-</w:t>
      </w:r>
      <w:r w:rsidRPr="00B01FC5">
        <w:rPr>
          <w:rFonts w:ascii="Book Antiqua" w:eastAsia="MS Minngs" w:hAnsi="Book Antiqua" w:cs="Times New Roman"/>
          <w:color w:val="auto"/>
          <w:kern w:val="1"/>
          <w:bdr w:val="none" w:sz="0" w:space="0" w:color="auto"/>
          <w:lang w:val="en-US" w:eastAsia="de-DE"/>
        </w:rPr>
        <w:t xml:space="preserve">7947189 </w:t>
      </w:r>
    </w:p>
    <w:p w:rsidR="00804DB3" w:rsidRPr="004D5721" w:rsidRDefault="00804DB3" w:rsidP="009352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MS Minngs" w:hAnsi="Book Antiqua" w:cs="Times New Roman"/>
          <w:color w:val="auto"/>
          <w:kern w:val="1"/>
          <w:bdr w:val="none" w:sz="0" w:space="0" w:color="auto"/>
          <w:lang w:val="en-US" w:eastAsia="de-DE"/>
        </w:rPr>
      </w:pPr>
      <w:r w:rsidRPr="004D5721">
        <w:rPr>
          <w:rFonts w:ascii="Book Antiqua" w:eastAsia="MS Minngs" w:hAnsi="Book Antiqua" w:cs="Times New Roman"/>
          <w:b/>
          <w:color w:val="auto"/>
          <w:bdr w:val="none" w:sz="0" w:space="0" w:color="auto"/>
          <w:lang w:val="en-US" w:eastAsia="de-DE"/>
        </w:rPr>
        <w:t>Fax:</w:t>
      </w:r>
      <w:r w:rsidRPr="004D5721">
        <w:rPr>
          <w:rFonts w:ascii="Book Antiqua" w:eastAsia="MS Minngs" w:hAnsi="Book Antiqua" w:cs="Times New Roman"/>
          <w:color w:val="auto"/>
          <w:bdr w:val="none" w:sz="0" w:space="0" w:color="auto"/>
          <w:lang w:val="en-US" w:eastAsia="de-DE"/>
        </w:rPr>
        <w:t xml:space="preserve"> +39</w:t>
      </w:r>
      <w:r w:rsidR="009352FD" w:rsidRPr="004D5721">
        <w:rPr>
          <w:rFonts w:ascii="Book Antiqua" w:eastAsiaTheme="minorEastAsia" w:hAnsi="Book Antiqua" w:cs="Times New Roman" w:hint="eastAsia"/>
          <w:color w:val="auto"/>
          <w:bdr w:val="none" w:sz="0" w:space="0" w:color="auto"/>
          <w:lang w:val="en-US" w:eastAsia="zh-CN"/>
        </w:rPr>
        <w:t>-</w:t>
      </w:r>
      <w:r w:rsidRPr="004D5721">
        <w:rPr>
          <w:rFonts w:ascii="Book Antiqua" w:eastAsia="MS Minngs" w:hAnsi="Book Antiqua" w:cs="Times New Roman"/>
          <w:color w:val="auto"/>
          <w:bdr w:val="none" w:sz="0" w:space="0" w:color="auto"/>
          <w:lang w:val="en-US" w:eastAsia="de-DE"/>
        </w:rPr>
        <w:t>55</w:t>
      </w:r>
      <w:r w:rsidR="009352FD" w:rsidRPr="004D5721">
        <w:rPr>
          <w:rFonts w:ascii="Book Antiqua" w:eastAsiaTheme="minorEastAsia" w:hAnsi="Book Antiqua" w:cs="Times New Roman" w:hint="eastAsia"/>
          <w:color w:val="auto"/>
          <w:bdr w:val="none" w:sz="0" w:space="0" w:color="auto"/>
          <w:lang w:val="en-US" w:eastAsia="zh-CN"/>
        </w:rPr>
        <w:t>-</w:t>
      </w:r>
      <w:r w:rsidRPr="004D5721">
        <w:rPr>
          <w:rFonts w:ascii="Book Antiqua" w:eastAsia="MS Minngs" w:hAnsi="Book Antiqua" w:cs="Times New Roman"/>
          <w:color w:val="auto"/>
          <w:bdr w:val="none" w:sz="0" w:space="0" w:color="auto"/>
          <w:lang w:val="en-US" w:eastAsia="de-DE"/>
        </w:rPr>
        <w:t xml:space="preserve">431970 </w:t>
      </w:r>
    </w:p>
    <w:p w:rsidR="00951AB4" w:rsidRPr="004D5721" w:rsidRDefault="00951AB4" w:rsidP="009352FD">
      <w:pPr>
        <w:spacing w:line="360" w:lineRule="auto"/>
        <w:jc w:val="both"/>
        <w:rPr>
          <w:rFonts w:ascii="Book Antiqua" w:hAnsi="Book Antiqua"/>
          <w:color w:val="auto"/>
          <w:lang w:val="en-US" w:eastAsia="zh-CN"/>
        </w:rPr>
      </w:pPr>
    </w:p>
    <w:p w:rsidR="00B01FC5" w:rsidRPr="004D5721" w:rsidRDefault="00B01FC5" w:rsidP="00B01FC5">
      <w:pPr>
        <w:snapToGrid w:val="0"/>
        <w:spacing w:line="360" w:lineRule="auto"/>
        <w:rPr>
          <w:rFonts w:ascii="Book Antiqua" w:hAnsi="Book Antiqua"/>
          <w:b/>
          <w:color w:val="auto"/>
          <w:lang w:val="en-US" w:eastAsia="zh-CN"/>
        </w:rPr>
      </w:pPr>
      <w:r w:rsidRPr="004D5721">
        <w:rPr>
          <w:rFonts w:ascii="Book Antiqua" w:hAnsi="Book Antiqua"/>
          <w:b/>
          <w:color w:val="auto"/>
          <w:lang w:val="en-US"/>
        </w:rPr>
        <w:t>Received:</w:t>
      </w:r>
      <w:r w:rsidRPr="004D5721">
        <w:rPr>
          <w:rFonts w:ascii="Book Antiqua" w:hAnsi="Book Antiqua" w:hint="eastAsia"/>
          <w:b/>
          <w:color w:val="auto"/>
          <w:lang w:val="en-US"/>
        </w:rPr>
        <w:t xml:space="preserve"> </w:t>
      </w:r>
      <w:r w:rsidRPr="004D5721">
        <w:rPr>
          <w:rFonts w:ascii="Book Antiqua" w:hAnsi="Book Antiqua" w:hint="eastAsia"/>
          <w:color w:val="auto"/>
          <w:lang w:val="en-US" w:eastAsia="zh-CN"/>
        </w:rPr>
        <w:t>March 18, 2016</w:t>
      </w:r>
    </w:p>
    <w:p w:rsidR="00B01FC5" w:rsidRPr="004D5721" w:rsidRDefault="00B01FC5" w:rsidP="00B01FC5">
      <w:pPr>
        <w:snapToGrid w:val="0"/>
        <w:spacing w:line="360" w:lineRule="auto"/>
        <w:rPr>
          <w:rFonts w:ascii="Book Antiqua" w:hAnsi="Book Antiqua"/>
          <w:b/>
          <w:color w:val="auto"/>
          <w:lang w:val="en-US"/>
        </w:rPr>
      </w:pPr>
      <w:r w:rsidRPr="004D5721">
        <w:rPr>
          <w:rFonts w:ascii="Book Antiqua" w:hAnsi="Book Antiqua"/>
          <w:b/>
          <w:color w:val="auto"/>
          <w:lang w:val="en-US"/>
        </w:rPr>
        <w:t>Peer-review started:</w:t>
      </w:r>
      <w:r w:rsidRPr="004D5721">
        <w:rPr>
          <w:rFonts w:ascii="Book Antiqua" w:hAnsi="Book Antiqua" w:hint="eastAsia"/>
          <w:b/>
          <w:color w:val="auto"/>
          <w:lang w:val="en-US"/>
        </w:rPr>
        <w:t xml:space="preserve"> </w:t>
      </w:r>
      <w:r w:rsidRPr="004D5721">
        <w:rPr>
          <w:rFonts w:ascii="Book Antiqua" w:hAnsi="Book Antiqua" w:hint="eastAsia"/>
          <w:color w:val="auto"/>
          <w:lang w:val="en-US" w:eastAsia="zh-CN"/>
        </w:rPr>
        <w:t>March 21, 2016</w:t>
      </w:r>
    </w:p>
    <w:p w:rsidR="00B01FC5" w:rsidRPr="004D5721" w:rsidRDefault="00B01FC5" w:rsidP="00B01FC5">
      <w:pPr>
        <w:snapToGrid w:val="0"/>
        <w:spacing w:line="360" w:lineRule="auto"/>
        <w:rPr>
          <w:rFonts w:ascii="Book Antiqua" w:hAnsi="Book Antiqua"/>
          <w:b/>
          <w:color w:val="auto"/>
          <w:lang w:val="en-US" w:eastAsia="zh-CN"/>
        </w:rPr>
      </w:pPr>
      <w:r w:rsidRPr="004D5721">
        <w:rPr>
          <w:rFonts w:ascii="Book Antiqua" w:hAnsi="Book Antiqua"/>
          <w:b/>
          <w:color w:val="auto"/>
          <w:lang w:val="en-US"/>
        </w:rPr>
        <w:t>First decision:</w:t>
      </w:r>
      <w:r w:rsidRPr="004D5721">
        <w:rPr>
          <w:rFonts w:ascii="Book Antiqua" w:hAnsi="Book Antiqua" w:hint="eastAsia"/>
          <w:b/>
          <w:color w:val="auto"/>
          <w:lang w:val="en-US"/>
        </w:rPr>
        <w:t xml:space="preserve"> </w:t>
      </w:r>
      <w:r w:rsidRPr="004D5721">
        <w:rPr>
          <w:rFonts w:ascii="Book Antiqua" w:hAnsi="Book Antiqua" w:hint="eastAsia"/>
          <w:color w:val="auto"/>
          <w:lang w:val="en-US" w:eastAsia="zh-CN"/>
        </w:rPr>
        <w:t>April 14, 2016</w:t>
      </w:r>
    </w:p>
    <w:p w:rsidR="00B01FC5" w:rsidRPr="004D5721" w:rsidRDefault="00B01FC5" w:rsidP="00B01FC5">
      <w:pPr>
        <w:snapToGrid w:val="0"/>
        <w:spacing w:line="360" w:lineRule="auto"/>
        <w:rPr>
          <w:rFonts w:ascii="Book Antiqua" w:hAnsi="Book Antiqua"/>
          <w:b/>
          <w:color w:val="auto"/>
          <w:lang w:val="en-US" w:eastAsia="zh-CN"/>
        </w:rPr>
      </w:pPr>
      <w:r w:rsidRPr="004D5721">
        <w:rPr>
          <w:rFonts w:ascii="Book Antiqua" w:hAnsi="Book Antiqua"/>
          <w:b/>
          <w:color w:val="auto"/>
          <w:lang w:val="en-US"/>
        </w:rPr>
        <w:t>Revised:</w:t>
      </w:r>
      <w:r w:rsidRPr="004D5721">
        <w:rPr>
          <w:rFonts w:ascii="Book Antiqua" w:hAnsi="Book Antiqua" w:hint="eastAsia"/>
          <w:b/>
          <w:color w:val="auto"/>
          <w:lang w:val="en-US"/>
        </w:rPr>
        <w:t xml:space="preserve"> </w:t>
      </w:r>
      <w:r w:rsidRPr="004D5721">
        <w:rPr>
          <w:rFonts w:ascii="Book Antiqua" w:hAnsi="Book Antiqua" w:hint="eastAsia"/>
          <w:color w:val="auto"/>
          <w:lang w:val="en-US" w:eastAsia="zh-CN"/>
        </w:rPr>
        <w:t>July 6, 2016</w:t>
      </w:r>
    </w:p>
    <w:p w:rsidR="00B01FC5" w:rsidRPr="00093D40" w:rsidRDefault="00B01FC5" w:rsidP="00093D40">
      <w:pPr>
        <w:spacing w:line="360" w:lineRule="auto"/>
        <w:rPr>
          <w:rFonts w:ascii="Book Antiqua" w:hAnsi="Book Antiqua"/>
        </w:rPr>
      </w:pPr>
      <w:r w:rsidRPr="004D5721">
        <w:rPr>
          <w:rFonts w:ascii="Book Antiqua" w:hAnsi="Book Antiqua"/>
          <w:b/>
          <w:color w:val="auto"/>
          <w:lang w:val="en-US"/>
        </w:rPr>
        <w:t>Accepted:</w:t>
      </w:r>
      <w:r w:rsidR="00093D40" w:rsidRPr="00093D40">
        <w:rPr>
          <w:rFonts w:ascii="Book Antiqua" w:hAnsi="Book Antiqua"/>
        </w:rPr>
        <w:t xml:space="preserve"> </w:t>
      </w:r>
      <w:r w:rsidR="00093D40">
        <w:rPr>
          <w:rFonts w:ascii="Book Antiqua" w:hAnsi="Book Antiqua"/>
        </w:rPr>
        <w:t>August 8, 2016</w:t>
      </w:r>
      <w:bookmarkStart w:id="20" w:name="_GoBack"/>
      <w:bookmarkEnd w:id="20"/>
    </w:p>
    <w:p w:rsidR="00B01FC5" w:rsidRPr="004D5721" w:rsidRDefault="00B01FC5" w:rsidP="00B01FC5">
      <w:pPr>
        <w:snapToGrid w:val="0"/>
        <w:spacing w:line="360" w:lineRule="auto"/>
        <w:rPr>
          <w:rFonts w:ascii="Book Antiqua" w:hAnsi="Book Antiqua"/>
          <w:b/>
          <w:color w:val="auto"/>
          <w:lang w:val="en-US"/>
        </w:rPr>
      </w:pPr>
      <w:r w:rsidRPr="004D5721">
        <w:rPr>
          <w:rFonts w:ascii="Book Antiqua" w:hAnsi="Book Antiqua"/>
          <w:b/>
          <w:color w:val="auto"/>
          <w:lang w:val="en-US"/>
        </w:rPr>
        <w:t>Article in press:</w:t>
      </w:r>
    </w:p>
    <w:p w:rsidR="00B01FC5" w:rsidRPr="00B01FC5" w:rsidRDefault="00B01FC5" w:rsidP="00B01FC5">
      <w:pPr>
        <w:pStyle w:val="1"/>
        <w:snapToGrid w:val="0"/>
        <w:spacing w:line="360" w:lineRule="auto"/>
        <w:rPr>
          <w:rFonts w:ascii="Book Antiqua" w:hAnsi="Book Antiqua"/>
          <w:b/>
          <w:color w:val="auto"/>
          <w:sz w:val="24"/>
          <w:szCs w:val="24"/>
          <w:lang w:eastAsia="zh-CN"/>
        </w:rPr>
      </w:pPr>
      <w:r w:rsidRPr="00B01FC5">
        <w:rPr>
          <w:rFonts w:ascii="Book Antiqua" w:hAnsi="Book Antiqua"/>
          <w:b/>
          <w:color w:val="auto"/>
          <w:sz w:val="24"/>
          <w:szCs w:val="24"/>
        </w:rPr>
        <w:t>Published online</w:t>
      </w:r>
      <w:r w:rsidRPr="00B01FC5">
        <w:rPr>
          <w:rFonts w:ascii="Book Antiqua" w:hAnsi="Book Antiqua" w:hint="eastAsia"/>
          <w:b/>
          <w:color w:val="auto"/>
          <w:sz w:val="24"/>
          <w:szCs w:val="24"/>
        </w:rPr>
        <w:t>:</w:t>
      </w:r>
    </w:p>
    <w:p w:rsidR="00B01FC5" w:rsidRPr="004D5721" w:rsidRDefault="00B01FC5" w:rsidP="009352FD">
      <w:pPr>
        <w:spacing w:line="360" w:lineRule="auto"/>
        <w:jc w:val="both"/>
        <w:rPr>
          <w:rFonts w:ascii="Book Antiqua" w:hAnsi="Book Antiqua"/>
          <w:color w:val="auto"/>
          <w:lang w:val="en-US" w:eastAsia="zh-CN"/>
        </w:rPr>
      </w:pPr>
    </w:p>
    <w:p w:rsidR="00951AB4" w:rsidRPr="004D5721" w:rsidRDefault="00951AB4" w:rsidP="009352FD">
      <w:pPr>
        <w:spacing w:line="360" w:lineRule="auto"/>
        <w:jc w:val="both"/>
        <w:rPr>
          <w:rFonts w:ascii="Book Antiqua" w:hAnsi="Book Antiqua"/>
          <w:color w:val="auto"/>
          <w:u w:val="single"/>
          <w:lang w:val="en-US" w:eastAsia="it-IT"/>
        </w:rPr>
      </w:pPr>
      <w:r w:rsidRPr="004D5721">
        <w:rPr>
          <w:rFonts w:ascii="Book Antiqua" w:hAnsi="Book Antiqua"/>
          <w:color w:val="auto"/>
          <w:u w:val="single"/>
          <w:lang w:val="en-US"/>
        </w:rPr>
        <w:br w:type="page"/>
      </w: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rPr>
      </w:pPr>
      <w:r w:rsidRPr="00B01FC5">
        <w:rPr>
          <w:rFonts w:ascii="Book Antiqua" w:hAnsi="Book Antiqua"/>
          <w:b/>
          <w:color w:val="auto"/>
        </w:rPr>
        <w:lastRenderedPageBreak/>
        <w:t>Abstract</w:t>
      </w: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rPr>
      </w:pPr>
      <w:r w:rsidRPr="00B01FC5">
        <w:rPr>
          <w:rFonts w:ascii="Book Antiqua" w:hAnsi="Book Antiqua"/>
          <w:color w:val="auto"/>
        </w:rPr>
        <w:t>Hepatocellular carcinoma (HCC) is an aggressive malignancy, resulting as the third cause of death by cancer each year. The management of patients with HCC is complex, as both the tumour stage and any underlying liver disease must be considered conjointly.</w:t>
      </w:r>
      <w:r w:rsidR="00C1527F">
        <w:rPr>
          <w:rFonts w:ascii="Book Antiqua" w:hAnsi="Book Antiqua"/>
          <w:color w:val="auto"/>
        </w:rPr>
        <w:t xml:space="preserve"> </w:t>
      </w:r>
      <w:r w:rsidRPr="00B01FC5">
        <w:rPr>
          <w:rFonts w:ascii="Book Antiqua" w:hAnsi="Book Antiqua"/>
          <w:color w:val="auto"/>
        </w:rPr>
        <w:t>Although surveillance by imaging, clinical and biochemical parameters is routinely performed, a lot of patients suffering from cirrhosis have an advanced stage HCC at the first diagnosis. Advanced stage HCC includes heterogeneous groups of patients with different clinical condition and radiological features and sorafenib is the only approved treatment according to Barcelona Clinic Liver Cancer (BCLC). Since the introduction of sorafenib in clinical practice, several phase III clinical trials have failed to demonstrate any superiority over sorafenib in the frontline setting. Loco-regional therapies have also been tested as first line treatment, but their role in advanced HCC is still matter of debate. No single agent or combination therapies have been shown to impact outcomes after sorafenib failure. Therefore this review will focus on the range of experimental therapeutics for patients with advanced HCC and highlights the successes and failures of these treatments as well as areas for future development. Specifics such as dose limiting toxicity and safety profile in patients with liver dysfunction related to the underlying chronic liver disease should be considered when developing therapies in HCC. Finally, robust validated and reproducible surrogate end-points as well as predictive biomarkers should be defined in future randomized trials.</w:t>
      </w: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rPr>
      </w:pP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lang w:eastAsia="zh-CN"/>
        </w:rPr>
      </w:pPr>
      <w:r w:rsidRPr="00B01FC5">
        <w:rPr>
          <w:rFonts w:ascii="Book Antiqua" w:hAnsi="Book Antiqua"/>
          <w:b/>
          <w:color w:val="auto"/>
        </w:rPr>
        <w:t>Key</w:t>
      </w:r>
      <w:r w:rsidR="009352FD" w:rsidRPr="00B01FC5">
        <w:rPr>
          <w:rFonts w:ascii="Book Antiqua" w:hAnsi="Book Antiqua" w:hint="eastAsia"/>
          <w:b/>
          <w:color w:val="auto"/>
          <w:lang w:eastAsia="zh-CN"/>
        </w:rPr>
        <w:t xml:space="preserve"> </w:t>
      </w:r>
      <w:r w:rsidRPr="00B01FC5">
        <w:rPr>
          <w:rFonts w:ascii="Book Antiqua" w:hAnsi="Book Antiqua"/>
          <w:b/>
          <w:color w:val="auto"/>
        </w:rPr>
        <w:t xml:space="preserve">words: </w:t>
      </w:r>
      <w:r w:rsidRPr="00B01FC5">
        <w:rPr>
          <w:rFonts w:ascii="Book Antiqua" w:hAnsi="Book Antiqua"/>
          <w:color w:val="auto"/>
        </w:rPr>
        <w:t>Advanced hepatocellular carcinoma management; Advanced</w:t>
      </w:r>
      <w:r w:rsidR="009352FD" w:rsidRPr="00B01FC5">
        <w:rPr>
          <w:rFonts w:ascii="Book Antiqua" w:hAnsi="Book Antiqua" w:hint="eastAsia"/>
          <w:color w:val="auto"/>
          <w:lang w:eastAsia="zh-CN"/>
        </w:rPr>
        <w:t xml:space="preserve"> </w:t>
      </w:r>
      <w:r w:rsidRPr="00B01FC5">
        <w:rPr>
          <w:rFonts w:ascii="Book Antiqua" w:hAnsi="Book Antiqua"/>
          <w:color w:val="auto"/>
        </w:rPr>
        <w:t>hepatocellular carcinoma second line therapies; Barcelona Clinic Liver Cancer; Modified Response Evaluation Criteria in Solid Tumors; Portal vein thrombosis;</w:t>
      </w:r>
      <w:r w:rsidR="009352FD" w:rsidRPr="00B01FC5">
        <w:rPr>
          <w:rFonts w:ascii="Book Antiqua" w:hAnsi="Book Antiqua" w:hint="eastAsia"/>
          <w:color w:val="auto"/>
          <w:lang w:eastAsia="zh-CN"/>
        </w:rPr>
        <w:t xml:space="preserve"> </w:t>
      </w:r>
      <w:r w:rsidR="009352FD" w:rsidRPr="00B01FC5">
        <w:rPr>
          <w:rFonts w:ascii="Book Antiqua" w:hAnsi="Book Antiqua"/>
          <w:color w:val="auto"/>
        </w:rPr>
        <w:t>Sorafenib</w:t>
      </w:r>
    </w:p>
    <w:p w:rsidR="00951AB4" w:rsidRDefault="00951AB4" w:rsidP="009352FD">
      <w:pPr>
        <w:spacing w:line="360" w:lineRule="auto"/>
        <w:jc w:val="both"/>
        <w:rPr>
          <w:rFonts w:ascii="Book Antiqua" w:hAnsi="Book Antiqua"/>
          <w:color w:val="auto"/>
          <w:u w:val="single"/>
          <w:lang w:val="en-US" w:eastAsia="zh-CN"/>
        </w:rPr>
      </w:pPr>
    </w:p>
    <w:p w:rsidR="00B01FC5" w:rsidRPr="004D5721" w:rsidRDefault="00B01FC5" w:rsidP="00B01FC5">
      <w:pPr>
        <w:adjustRightInd w:val="0"/>
        <w:snapToGrid w:val="0"/>
        <w:spacing w:line="360" w:lineRule="auto"/>
        <w:rPr>
          <w:rFonts w:ascii="Book Antiqua" w:hAnsi="Book Antiqua"/>
          <w:lang w:val="en-US"/>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r w:rsidRPr="004D5721">
        <w:rPr>
          <w:rFonts w:ascii="Book Antiqua" w:hAnsi="Book Antiqua" w:hint="eastAsia"/>
          <w:b/>
          <w:lang w:val="en-US"/>
        </w:rPr>
        <w:t>©</w:t>
      </w:r>
      <w:r w:rsidRPr="004D5721">
        <w:rPr>
          <w:rFonts w:ascii="Book Antiqua" w:hAnsi="Book Antiqua"/>
          <w:b/>
          <w:lang w:val="en-US"/>
        </w:rPr>
        <w:t xml:space="preserve"> The Author(s) 201</w:t>
      </w:r>
      <w:r w:rsidRPr="004D5721">
        <w:rPr>
          <w:rFonts w:ascii="Book Antiqua" w:hAnsi="Book Antiqua" w:hint="eastAsia"/>
          <w:b/>
          <w:lang w:val="en-US"/>
        </w:rPr>
        <w:t>6</w:t>
      </w:r>
      <w:r w:rsidRPr="004D5721">
        <w:rPr>
          <w:rFonts w:ascii="Book Antiqua" w:hAnsi="Book Antiqua"/>
          <w:b/>
          <w:lang w:val="en-US"/>
        </w:rPr>
        <w:t>.</w:t>
      </w:r>
      <w:r w:rsidRPr="004D5721">
        <w:rPr>
          <w:rFonts w:ascii="Book Antiqua" w:hAnsi="Book Antiqua"/>
          <w:lang w:val="en-US"/>
        </w:rPr>
        <w:t xml:space="preserve"> Published by Baishideng Publishing Group Inc. All rights reserved.</w:t>
      </w:r>
    </w:p>
    <w:bookmarkEnd w:id="21"/>
    <w:bookmarkEnd w:id="22"/>
    <w:bookmarkEnd w:id="23"/>
    <w:bookmarkEnd w:id="24"/>
    <w:bookmarkEnd w:id="25"/>
    <w:bookmarkEnd w:id="26"/>
    <w:bookmarkEnd w:id="27"/>
    <w:bookmarkEnd w:id="28"/>
    <w:p w:rsidR="00B01FC5" w:rsidRPr="00B01FC5" w:rsidRDefault="00B01FC5" w:rsidP="009352FD">
      <w:pPr>
        <w:spacing w:line="360" w:lineRule="auto"/>
        <w:jc w:val="both"/>
        <w:rPr>
          <w:rFonts w:ascii="Book Antiqua" w:hAnsi="Book Antiqua"/>
          <w:color w:val="auto"/>
          <w:u w:val="single"/>
          <w:lang w:val="en-US" w:eastAsia="zh-CN"/>
        </w:rPr>
      </w:pPr>
    </w:p>
    <w:p w:rsidR="00951AB4" w:rsidRPr="00B563C2" w:rsidRDefault="00951AB4" w:rsidP="009352FD">
      <w:pPr>
        <w:spacing w:line="360" w:lineRule="auto"/>
        <w:jc w:val="both"/>
        <w:rPr>
          <w:rFonts w:ascii="Book Antiqua" w:hAnsi="Book Antiqua"/>
          <w:b/>
          <w:color w:val="auto"/>
          <w:lang w:val="en-US"/>
        </w:rPr>
      </w:pPr>
      <w:r w:rsidRPr="00B01FC5">
        <w:rPr>
          <w:rFonts w:ascii="Book Antiqua" w:hAnsi="Book Antiqua"/>
          <w:b/>
          <w:color w:val="auto"/>
          <w:lang w:val="en-US"/>
        </w:rPr>
        <w:t xml:space="preserve">Core tips: </w:t>
      </w:r>
      <w:r w:rsidR="009352FD" w:rsidRPr="004D5721">
        <w:rPr>
          <w:rFonts w:ascii="Book Antiqua" w:hAnsi="Book Antiqua"/>
          <w:color w:val="auto"/>
          <w:lang w:val="en-US"/>
        </w:rPr>
        <w:t>Hepatocellular carcinoma (HCC)</w:t>
      </w:r>
      <w:r w:rsidR="00C1527F">
        <w:rPr>
          <w:rFonts w:ascii="Book Antiqua" w:hAnsi="Book Antiqua"/>
          <w:color w:val="auto"/>
          <w:lang w:val="en-US"/>
        </w:rPr>
        <w:t xml:space="preserve"> </w:t>
      </w:r>
      <w:r w:rsidR="00804DB3" w:rsidRPr="00B01FC5">
        <w:rPr>
          <w:rFonts w:ascii="Book Antiqua" w:hAnsi="Book Antiqua"/>
          <w:color w:val="auto"/>
          <w:lang w:val="en-US"/>
        </w:rPr>
        <w:t xml:space="preserve">is an aggressive malignancy, which accounts for great part of all cancer deaths each year. Its management is complex, and although the surveillance performed, many patients have an advanced stage. This comprehends an heterogeneous groups with different clinical condition; sorafenib is the only approved treatment, however affected by many adverse events. No single agent or combination </w:t>
      </w:r>
      <w:r w:rsidR="00804DB3" w:rsidRPr="00B01FC5">
        <w:rPr>
          <w:rFonts w:ascii="Book Antiqua" w:hAnsi="Book Antiqua"/>
          <w:color w:val="auto"/>
          <w:lang w:val="en-US"/>
        </w:rPr>
        <w:lastRenderedPageBreak/>
        <w:t>therapies have been shown to impact outcomes after sorafenib failure.</w:t>
      </w:r>
      <w:r w:rsidR="00B563C2">
        <w:rPr>
          <w:rFonts w:ascii="Book Antiqua" w:hAnsi="Book Antiqua" w:hint="eastAsia"/>
          <w:color w:val="auto"/>
          <w:lang w:val="en-US" w:eastAsia="zh-CN"/>
        </w:rPr>
        <w:t xml:space="preserve"> </w:t>
      </w:r>
      <w:r w:rsidR="00804DB3" w:rsidRPr="00B01FC5">
        <w:rPr>
          <w:rFonts w:ascii="Book Antiqua" w:hAnsi="Book Antiqua"/>
          <w:color w:val="auto"/>
          <w:lang w:val="en-US"/>
        </w:rPr>
        <w:t>Loco-regional therapies as TAE/TACE and TARE have also been tested and at now are under evaluation. This review will focus on patients with advanced HCC and highlights potential and limit of the therapies.</w:t>
      </w:r>
    </w:p>
    <w:p w:rsidR="00B01FC5" w:rsidRPr="00B01FC5" w:rsidRDefault="00B01FC5" w:rsidP="00B01FC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eastAsia="zh-CN"/>
        </w:rPr>
      </w:pPr>
    </w:p>
    <w:p w:rsidR="00B01FC5" w:rsidRPr="00B01FC5" w:rsidRDefault="00B01FC5" w:rsidP="00B01FC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eastAsia="zh-CN"/>
        </w:rPr>
      </w:pPr>
      <w:r w:rsidRPr="004D5721">
        <w:rPr>
          <w:rFonts w:ascii="Book Antiqua" w:hAnsi="Book Antiqua"/>
          <w:color w:val="auto"/>
        </w:rPr>
        <w:t>Colagrande S, Inghilesi AL, Aburas S, Taliani GG, Nardi C, Marra F</w:t>
      </w:r>
      <w:r w:rsidRPr="004D5721">
        <w:rPr>
          <w:rFonts w:ascii="Book Antiqua" w:hAnsi="Book Antiqua" w:hint="eastAsia"/>
          <w:color w:val="auto"/>
          <w:lang w:eastAsia="zh-CN"/>
        </w:rPr>
        <w:t>.</w:t>
      </w:r>
      <w:r w:rsidR="0088097C" w:rsidRPr="004D5721">
        <w:rPr>
          <w:rFonts w:ascii="Book Antiqua" w:hAnsi="Book Antiqua" w:hint="eastAsia"/>
          <w:color w:val="auto"/>
          <w:lang w:eastAsia="zh-CN"/>
        </w:rPr>
        <w:t xml:space="preserve"> </w:t>
      </w:r>
      <w:r w:rsidRPr="00B01FC5">
        <w:rPr>
          <w:rFonts w:ascii="Book Antiqua" w:hAnsi="Book Antiqua"/>
          <w:caps/>
          <w:color w:val="auto"/>
        </w:rPr>
        <w:t>c</w:t>
      </w:r>
      <w:r w:rsidRPr="00B01FC5">
        <w:rPr>
          <w:rFonts w:ascii="Book Antiqua" w:hAnsi="Book Antiqua"/>
          <w:color w:val="auto"/>
        </w:rPr>
        <w:t>hallenges</w:t>
      </w:r>
      <w:r w:rsidR="0088097C">
        <w:rPr>
          <w:rFonts w:ascii="Book Antiqua" w:hAnsi="Book Antiqua" w:hint="eastAsia"/>
          <w:color w:val="auto"/>
          <w:lang w:eastAsia="zh-CN"/>
        </w:rPr>
        <w:t xml:space="preserve"> </w:t>
      </w:r>
      <w:r w:rsidRPr="00B01FC5">
        <w:rPr>
          <w:rFonts w:ascii="Book Antiqua" w:hAnsi="Book Antiqua"/>
          <w:color w:val="auto"/>
        </w:rPr>
        <w:t>of advanced hepatocellular carcinoma</w:t>
      </w:r>
      <w:r>
        <w:rPr>
          <w:rFonts w:ascii="Book Antiqua" w:hAnsi="Book Antiqua" w:hint="eastAsia"/>
          <w:color w:val="auto"/>
          <w:lang w:eastAsia="zh-CN"/>
        </w:rPr>
        <w:t>.</w:t>
      </w:r>
      <w:r w:rsidR="00AD03C3">
        <w:rPr>
          <w:rFonts w:ascii="Book Antiqua" w:hAnsi="Book Antiqua" w:hint="eastAsia"/>
          <w:color w:val="auto"/>
          <w:lang w:eastAsia="zh-CN"/>
        </w:rPr>
        <w:t xml:space="preserve"> </w:t>
      </w:r>
      <w:r w:rsidRPr="004D5721">
        <w:rPr>
          <w:rFonts w:ascii="Book Antiqua" w:hAnsi="Book Antiqua"/>
          <w:i/>
          <w:color w:val="auto"/>
          <w:lang w:eastAsia="zh-CN"/>
        </w:rPr>
        <w:t xml:space="preserve">World J Gastroenterol </w:t>
      </w:r>
      <w:r w:rsidRPr="004D5721">
        <w:rPr>
          <w:rFonts w:ascii="Book Antiqua" w:hAnsi="Book Antiqua"/>
          <w:color w:val="auto"/>
          <w:lang w:eastAsia="zh-CN"/>
        </w:rPr>
        <w:t>201</w:t>
      </w:r>
      <w:r w:rsidRPr="004D5721">
        <w:rPr>
          <w:rFonts w:ascii="Book Antiqua" w:hAnsi="Book Antiqua" w:hint="eastAsia"/>
          <w:color w:val="auto"/>
          <w:lang w:eastAsia="zh-CN"/>
        </w:rPr>
        <w:t>6</w:t>
      </w:r>
      <w:r w:rsidRPr="004D5721">
        <w:rPr>
          <w:rFonts w:ascii="Book Antiqua" w:hAnsi="Book Antiqua"/>
          <w:color w:val="auto"/>
          <w:lang w:eastAsia="zh-CN"/>
        </w:rPr>
        <w:t>; In press</w:t>
      </w:r>
    </w:p>
    <w:p w:rsidR="00B01FC5" w:rsidRPr="00B01FC5" w:rsidRDefault="00B01FC5" w:rsidP="00B01FC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lang w:eastAsia="zh-CN"/>
        </w:rPr>
      </w:pPr>
    </w:p>
    <w:p w:rsidR="009352FD" w:rsidRPr="00B01FC5" w:rsidRDefault="009352FD">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color w:val="auto"/>
          <w:u w:val="single"/>
          <w:lang w:val="en-US" w:eastAsia="zh-CN"/>
        </w:rPr>
      </w:pPr>
      <w:r w:rsidRPr="00B01FC5">
        <w:rPr>
          <w:rFonts w:ascii="Book Antiqua" w:hAnsi="Book Antiqua"/>
          <w:color w:val="auto"/>
          <w:u w:val="single"/>
          <w:lang w:val="en-US" w:eastAsia="zh-CN"/>
        </w:rPr>
        <w:br w:type="page"/>
      </w:r>
    </w:p>
    <w:p w:rsidR="00951AB4" w:rsidRPr="0033508F" w:rsidRDefault="004D5721" w:rsidP="009352FD">
      <w:pPr>
        <w:pStyle w:val="CorpoA"/>
        <w:spacing w:line="360" w:lineRule="auto"/>
        <w:jc w:val="both"/>
        <w:rPr>
          <w:rFonts w:ascii="Book Antiqua" w:hAnsi="Book Antiqua"/>
          <w:b/>
          <w:color w:val="auto"/>
        </w:rPr>
      </w:pPr>
      <w:r w:rsidRPr="0033508F">
        <w:rPr>
          <w:rFonts w:ascii="Book Antiqua" w:hAnsi="Book Antiqua"/>
          <w:b/>
          <w:color w:val="auto"/>
        </w:rPr>
        <w:lastRenderedPageBreak/>
        <w:t>INTRODUCTION</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Hepatocellular carcinoma (HCC) is one of the deadliest malignancies, ranking third as a cause of cancer death in males. Despite the recognition of cirrhosis as the major risk factor for HCC, more than 50% of patients with HCC present a</w:t>
      </w:r>
      <w:r w:rsidR="00105E8E">
        <w:rPr>
          <w:rFonts w:ascii="Book Antiqua" w:hAnsi="Book Antiqua"/>
          <w:color w:val="auto"/>
        </w:rPr>
        <w:t>n advanced disease at diagnosis</w:t>
      </w:r>
      <w:r w:rsidRPr="00B01FC5">
        <w:rPr>
          <w:rFonts w:ascii="Book Antiqua" w:hAnsi="Book Antiqua"/>
          <w:noProof/>
          <w:color w:val="auto"/>
          <w:vertAlign w:val="superscript"/>
        </w:rPr>
        <w:t>[1]</w:t>
      </w:r>
      <w:r w:rsidRPr="00B01FC5">
        <w:rPr>
          <w:rFonts w:ascii="Book Antiqua" w:hAnsi="Book Antiqua"/>
          <w:color w:val="auto"/>
        </w:rPr>
        <w:t>. Moreover, increased survival and better care for patients in earlier stages, allow their survival until they reach a more advanced stage.</w:t>
      </w:r>
    </w:p>
    <w:p w:rsidR="00951AB4" w:rsidRPr="00B01FC5" w:rsidRDefault="00951AB4" w:rsidP="00105E8E">
      <w:pPr>
        <w:pStyle w:val="CorpoA"/>
        <w:spacing w:line="360" w:lineRule="auto"/>
        <w:ind w:firstLineChars="100" w:firstLine="240"/>
        <w:jc w:val="both"/>
        <w:rPr>
          <w:rFonts w:ascii="Book Antiqua" w:hAnsi="Book Antiqua"/>
          <w:color w:val="auto"/>
        </w:rPr>
      </w:pPr>
      <w:r w:rsidRPr="00B01FC5">
        <w:rPr>
          <w:rFonts w:ascii="Book Antiqua" w:hAnsi="Book Antiqua"/>
          <w:color w:val="auto"/>
        </w:rPr>
        <w:t xml:space="preserve">The concept of ‘advanced’ disease varies considerably analyzing the different staging systems utilized in the past ten years. One peculiarity of HCC is its association with chronic liver disease, especially cirrhosis. This makes prognosis of an individual patient dependent not only on the size, biologic behavior and spread of the tumor, but also on the degree of functional failure of the liver due to the presence of cirrhosis. The role of chronic liver disease in the prognosis of HCC is witnessed by the inclusion of the Child-Pugh score or other aspects linked to liver functions in several staging systems used for HCC </w:t>
      </w:r>
      <w:r w:rsidR="00A06A26" w:rsidRPr="00B01FC5">
        <w:rPr>
          <w:rFonts w:ascii="Book Antiqua" w:hAnsi="Book Antiqua"/>
          <w:color w:val="auto"/>
        </w:rPr>
        <w:t>(Table 1</w:t>
      </w:r>
      <w:r w:rsidRPr="00B01FC5">
        <w:rPr>
          <w:rFonts w:ascii="Book Antiqua" w:hAnsi="Book Antiqua"/>
          <w:color w:val="auto"/>
        </w:rPr>
        <w:t>). In the Barcelona Clinic Liv</w:t>
      </w:r>
      <w:r w:rsidR="00105E8E">
        <w:rPr>
          <w:rFonts w:ascii="Book Antiqua" w:hAnsi="Book Antiqua"/>
          <w:color w:val="auto"/>
        </w:rPr>
        <w:t>er Cancer (BCLC) staging system</w:t>
      </w:r>
      <w:r w:rsidRPr="00B01FC5">
        <w:rPr>
          <w:rFonts w:ascii="Book Antiqua" w:hAnsi="Book Antiqua"/>
          <w:noProof/>
          <w:color w:val="auto"/>
          <w:vertAlign w:val="superscript"/>
        </w:rPr>
        <w:t>[2]</w:t>
      </w:r>
      <w:r w:rsidRPr="00B01FC5">
        <w:rPr>
          <w:rFonts w:ascii="Book Antiqua" w:hAnsi="Book Antiqua"/>
          <w:color w:val="auto"/>
        </w:rPr>
        <w:t>, advanced HCC is considered as an unresectable HCC with/without extra-hepatic spread (metastases or lymph nodes involvement) and/or vascular invasion (portal or segmental invasion) and/or systemic symptoms, defined by an Eastern Cooperative Oncology Group</w:t>
      </w:r>
      <w:r w:rsidR="00C1527F">
        <w:rPr>
          <w:rFonts w:ascii="Book Antiqua" w:hAnsi="Book Antiqua"/>
          <w:color w:val="auto"/>
        </w:rPr>
        <w:t xml:space="preserve"> </w:t>
      </w:r>
      <w:r w:rsidRPr="00B01FC5">
        <w:rPr>
          <w:rFonts w:ascii="Book Antiqua" w:hAnsi="Book Antiqua"/>
          <w:color w:val="auto"/>
        </w:rPr>
        <w:t>performance status 1 or 2, with a liver function defined by a Chil</w:t>
      </w:r>
      <w:r w:rsidR="00105E8E">
        <w:rPr>
          <w:rFonts w:ascii="Book Antiqua" w:hAnsi="Book Antiqua"/>
          <w:color w:val="auto"/>
        </w:rPr>
        <w:t>d Pugh stage not greater than B</w:t>
      </w:r>
      <w:r w:rsidR="00105E8E">
        <w:rPr>
          <w:rFonts w:ascii="Book Antiqua" w:hAnsi="Book Antiqua"/>
          <w:noProof/>
          <w:color w:val="auto"/>
          <w:vertAlign w:val="superscript"/>
        </w:rPr>
        <w:t>[3,</w:t>
      </w:r>
      <w:r w:rsidRPr="00B01FC5">
        <w:rPr>
          <w:rFonts w:ascii="Book Antiqua" w:hAnsi="Book Antiqua"/>
          <w:noProof/>
          <w:color w:val="auto"/>
          <w:vertAlign w:val="superscript"/>
        </w:rPr>
        <w:t>4]</w:t>
      </w:r>
      <w:r w:rsidRPr="00B01FC5">
        <w:rPr>
          <w:rFonts w:ascii="Book Antiqua" w:hAnsi="Book Antiqua"/>
          <w:color w:val="auto"/>
        </w:rPr>
        <w:t>.</w:t>
      </w:r>
    </w:p>
    <w:p w:rsidR="00951AB4" w:rsidRPr="00B01FC5" w:rsidRDefault="00951AB4" w:rsidP="00105E8E">
      <w:pPr>
        <w:pStyle w:val="CorpoA"/>
        <w:spacing w:line="360" w:lineRule="auto"/>
        <w:ind w:firstLineChars="100" w:firstLine="240"/>
        <w:jc w:val="both"/>
        <w:rPr>
          <w:rFonts w:ascii="Book Antiqua" w:hAnsi="Book Antiqua"/>
          <w:color w:val="auto"/>
        </w:rPr>
      </w:pPr>
      <w:r w:rsidRPr="00B01FC5">
        <w:rPr>
          <w:rFonts w:ascii="Book Antiqua" w:hAnsi="Book Antiqua"/>
          <w:color w:val="auto"/>
        </w:rPr>
        <w:t xml:space="preserve">In this review we discuss several aspects of the management of patients with advanced HCC, focusing on the unmet needs that have emerged in the past few years, specifically since the introduction of sorafenib in clinical practice. </w:t>
      </w:r>
    </w:p>
    <w:p w:rsidR="00951AB4" w:rsidRPr="00B01FC5" w:rsidRDefault="00951AB4" w:rsidP="009352FD">
      <w:pPr>
        <w:pStyle w:val="CorpoA"/>
        <w:spacing w:line="360" w:lineRule="auto"/>
        <w:jc w:val="both"/>
        <w:rPr>
          <w:rFonts w:ascii="Book Antiqua" w:hAnsi="Book Antiqua"/>
          <w:color w:val="auto"/>
          <w:u w:val="single"/>
        </w:rPr>
      </w:pPr>
    </w:p>
    <w:p w:rsidR="00951AB4" w:rsidRPr="0033508F" w:rsidRDefault="004D5721" w:rsidP="009352FD">
      <w:pPr>
        <w:pStyle w:val="CorpoA"/>
        <w:spacing w:line="360" w:lineRule="auto"/>
        <w:jc w:val="both"/>
        <w:rPr>
          <w:rFonts w:ascii="Book Antiqua" w:hAnsi="Book Antiqua"/>
          <w:b/>
          <w:color w:val="auto"/>
        </w:rPr>
      </w:pPr>
      <w:r w:rsidRPr="0033508F">
        <w:rPr>
          <w:rFonts w:ascii="Book Antiqua" w:hAnsi="Book Antiqua"/>
          <w:b/>
          <w:color w:val="auto"/>
        </w:rPr>
        <w:t>SORAFENIB IN THE TREATMENT OF ADVANCED HCC</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The treatment of patients with advanced HCC has been for a long time disappointing for physicians. Curative options such as surgical resection or liver transplantation did not show any efficacy in prolonging overall survival</w:t>
      </w:r>
      <w:r w:rsidR="00287185" w:rsidRPr="00B01FC5">
        <w:rPr>
          <w:rFonts w:ascii="Book Antiqua" w:hAnsi="Book Antiqua"/>
          <w:color w:val="auto"/>
        </w:rPr>
        <w:t xml:space="preserve"> (OS)</w:t>
      </w:r>
      <w:r w:rsidRPr="00B01FC5">
        <w:rPr>
          <w:rFonts w:ascii="Book Antiqua" w:hAnsi="Book Antiqua"/>
          <w:color w:val="auto"/>
        </w:rPr>
        <w:t>. Trans-arterial chemoembolization (TACE) in patients with advanced HCC</w:t>
      </w:r>
      <w:r w:rsidR="00C1527F">
        <w:rPr>
          <w:rFonts w:ascii="Book Antiqua" w:hAnsi="Book Antiqua"/>
          <w:color w:val="auto"/>
        </w:rPr>
        <w:t xml:space="preserve"> </w:t>
      </w:r>
      <w:r w:rsidRPr="00B01FC5">
        <w:rPr>
          <w:rFonts w:ascii="Book Antiqua" w:hAnsi="Book Antiqua"/>
          <w:color w:val="auto"/>
        </w:rPr>
        <w:t>due to portal vein thrombosis has been sugges</w:t>
      </w:r>
      <w:r w:rsidR="00287185" w:rsidRPr="00B01FC5">
        <w:rPr>
          <w:rFonts w:ascii="Book Antiqua" w:hAnsi="Book Antiqua"/>
          <w:color w:val="auto"/>
        </w:rPr>
        <w:t xml:space="preserve">ted to improve OS </w:t>
      </w:r>
      <w:r w:rsidRPr="00B01FC5">
        <w:rPr>
          <w:rFonts w:ascii="Book Antiqua" w:hAnsi="Book Antiqua"/>
          <w:color w:val="auto"/>
        </w:rPr>
        <w:t>compared to patients receiving supportive</w:t>
      </w:r>
      <w:r w:rsidR="00105E8E">
        <w:rPr>
          <w:rFonts w:ascii="Book Antiqua" w:hAnsi="Book Antiqua"/>
          <w:color w:val="auto"/>
        </w:rPr>
        <w:t xml:space="preserve"> care, in retrospective studies</w:t>
      </w:r>
      <w:r w:rsidRPr="00B01FC5">
        <w:rPr>
          <w:rFonts w:ascii="Book Antiqua" w:hAnsi="Book Antiqua"/>
          <w:noProof/>
          <w:color w:val="auto"/>
          <w:vertAlign w:val="superscript"/>
        </w:rPr>
        <w:t>[5]</w:t>
      </w:r>
      <w:r w:rsidRPr="00B01FC5">
        <w:rPr>
          <w:rFonts w:ascii="Book Antiqua" w:hAnsi="Book Antiqua"/>
          <w:color w:val="auto"/>
        </w:rPr>
        <w:t xml:space="preserve"> and in a recent meta</w:t>
      </w:r>
      <w:r w:rsidR="00D33225" w:rsidRPr="00B01FC5">
        <w:rPr>
          <w:rFonts w:ascii="Book Antiqua" w:hAnsi="Book Antiqua"/>
          <w:color w:val="auto"/>
        </w:rPr>
        <w:t>-a</w:t>
      </w:r>
      <w:r w:rsidRPr="00B01FC5">
        <w:rPr>
          <w:rFonts w:ascii="Book Antiqua" w:hAnsi="Book Antiqua"/>
          <w:color w:val="auto"/>
        </w:rPr>
        <w:t>nalysis, but is not currently rec</w:t>
      </w:r>
      <w:r w:rsidR="00C00EE3" w:rsidRPr="00B01FC5">
        <w:rPr>
          <w:rFonts w:ascii="Book Antiqua" w:hAnsi="Book Antiqua"/>
          <w:color w:val="auto"/>
        </w:rPr>
        <w:t>ommended by practice guidelines</w:t>
      </w:r>
      <w:r w:rsidRPr="00B01FC5">
        <w:rPr>
          <w:rFonts w:ascii="Book Antiqua" w:hAnsi="Book Antiqua"/>
          <w:noProof/>
          <w:color w:val="auto"/>
          <w:vertAlign w:val="superscript"/>
        </w:rPr>
        <w:t>[6]</w:t>
      </w:r>
      <w:r w:rsidRPr="00B01FC5">
        <w:rPr>
          <w:rFonts w:ascii="Book Antiqua" w:hAnsi="Book Antiqua"/>
          <w:color w:val="auto"/>
        </w:rPr>
        <w:t>. Early systemic therapies with hormone analogues (</w:t>
      </w:r>
      <w:r w:rsidRPr="00105E8E">
        <w:rPr>
          <w:rFonts w:ascii="Book Antiqua" w:hAnsi="Book Antiqua"/>
          <w:i/>
          <w:color w:val="auto"/>
        </w:rPr>
        <w:t>e.g.</w:t>
      </w:r>
      <w:r w:rsidRPr="00B01FC5">
        <w:rPr>
          <w:rFonts w:ascii="Book Antiqua" w:hAnsi="Book Antiqua"/>
          <w:color w:val="auto"/>
        </w:rPr>
        <w:t xml:space="preserve"> tamoxifen) or classic chemotherapeutic agents (</w:t>
      </w:r>
      <w:r w:rsidRPr="00105E8E">
        <w:rPr>
          <w:rFonts w:ascii="Book Antiqua" w:hAnsi="Book Antiqua"/>
          <w:i/>
          <w:color w:val="auto"/>
        </w:rPr>
        <w:t>e.g</w:t>
      </w:r>
      <w:r w:rsidR="00105E8E" w:rsidRPr="00105E8E">
        <w:rPr>
          <w:rFonts w:ascii="Book Antiqua" w:hAnsi="Book Antiqua" w:hint="eastAsia"/>
          <w:i/>
          <w:color w:val="auto"/>
          <w:lang w:eastAsia="zh-CN"/>
        </w:rPr>
        <w:t>.</w:t>
      </w:r>
      <w:r w:rsidRPr="00105E8E">
        <w:rPr>
          <w:rFonts w:ascii="Book Antiqua" w:hAnsi="Book Antiqua"/>
          <w:i/>
          <w:color w:val="auto"/>
        </w:rPr>
        <w:t xml:space="preserve"> </w:t>
      </w:r>
      <w:r w:rsidRPr="00B01FC5">
        <w:rPr>
          <w:rFonts w:ascii="Book Antiqua" w:hAnsi="Book Antiqua"/>
          <w:color w:val="auto"/>
        </w:rPr>
        <w:t xml:space="preserve">doxorubicin) failed when tested in randomized controlled </w:t>
      </w:r>
      <w:r w:rsidR="00105E8E">
        <w:rPr>
          <w:rFonts w:ascii="Book Antiqua" w:hAnsi="Book Antiqua"/>
          <w:color w:val="auto"/>
        </w:rPr>
        <w:lastRenderedPageBreak/>
        <w:t>trials</w:t>
      </w:r>
      <w:r w:rsidRPr="00B01FC5">
        <w:rPr>
          <w:rFonts w:ascii="Book Antiqua" w:hAnsi="Book Antiqua"/>
          <w:noProof/>
          <w:color w:val="auto"/>
          <w:vertAlign w:val="superscript"/>
        </w:rPr>
        <w:t>[7]</w:t>
      </w:r>
      <w:r w:rsidRPr="00B01FC5">
        <w:rPr>
          <w:rFonts w:ascii="Book Antiqua" w:hAnsi="Book Antiqua"/>
          <w:color w:val="auto"/>
        </w:rPr>
        <w:t>. In 2008 the approval of sorafenib in the</w:t>
      </w:r>
      <w:r w:rsidR="00105E8E">
        <w:rPr>
          <w:rFonts w:ascii="Book Antiqua" w:hAnsi="Book Antiqua" w:hint="eastAsia"/>
          <w:color w:val="auto"/>
          <w:lang w:eastAsia="zh-CN"/>
        </w:rPr>
        <w:t xml:space="preserve"> </w:t>
      </w:r>
      <w:r w:rsidRPr="00B01FC5">
        <w:rPr>
          <w:rFonts w:ascii="Book Antiqua" w:hAnsi="Book Antiqua"/>
          <w:color w:val="auto"/>
        </w:rPr>
        <w:t>until then desolated scenario of advanced HCC therapy radically changed the therapeutic approach, opening the era of molecular-targeted therapy.</w:t>
      </w:r>
      <w:r w:rsidR="00105E8E">
        <w:rPr>
          <w:rFonts w:ascii="Book Antiqua" w:hAnsi="Book Antiqua" w:hint="eastAsia"/>
          <w:color w:val="auto"/>
          <w:lang w:eastAsia="zh-CN"/>
        </w:rPr>
        <w:t xml:space="preserve"> </w:t>
      </w:r>
      <w:r w:rsidRPr="00B01FC5">
        <w:rPr>
          <w:rFonts w:ascii="Book Antiqua" w:hAnsi="Book Antiqua"/>
          <w:color w:val="auto"/>
        </w:rPr>
        <w:t>Till now, no additional molecules have yet been added to our pharmaceutical devices. Sorafenib is a multi-kinase inhibitor that suppresses tumor neo-angiogenesis and proliferation, inhibiting the tyrosine kinase activity of vascular endothelial growth factor receptors 1, 2 and 3 and of the platelet-derived growth factor receptor. It also inhibits the serine-threonine kinases Raf-1 and B-Raf</w:t>
      </w:r>
      <w:r w:rsidR="00105E8E">
        <w:rPr>
          <w:rFonts w:ascii="Book Antiqua" w:hAnsi="Book Antiqua"/>
          <w:noProof/>
          <w:color w:val="auto"/>
          <w:vertAlign w:val="superscript"/>
        </w:rPr>
        <w:t>[8,</w:t>
      </w:r>
      <w:r w:rsidRPr="00B01FC5">
        <w:rPr>
          <w:rFonts w:ascii="Book Antiqua" w:hAnsi="Book Antiqua"/>
          <w:noProof/>
          <w:color w:val="auto"/>
          <w:vertAlign w:val="superscript"/>
        </w:rPr>
        <w:t>9]</w:t>
      </w:r>
      <w:r w:rsidRPr="00B01FC5">
        <w:rPr>
          <w:rFonts w:ascii="Book Antiqua" w:hAnsi="Book Antiqua"/>
          <w:color w:val="auto"/>
        </w:rPr>
        <w:t>. The efficacy of sorafenib has been demonstrated in two large independent randomized controlled trials. In the SHARP and Asia-Pacific studies the Authors reported an improvement in OS of almost 3 mo</w:t>
      </w:r>
      <w:r w:rsidR="007D1487">
        <w:rPr>
          <w:rFonts w:ascii="Book Antiqua" w:hAnsi="Book Antiqua" w:hint="eastAsia"/>
          <w:color w:val="auto"/>
          <w:lang w:eastAsia="zh-CN"/>
        </w:rPr>
        <w:t xml:space="preserve"> </w:t>
      </w:r>
      <w:r w:rsidRPr="00B01FC5">
        <w:rPr>
          <w:rFonts w:ascii="Book Antiqua" w:hAnsi="Book Antiqua"/>
          <w:color w:val="auto"/>
        </w:rPr>
        <w:t xml:space="preserve">between the sorafenib and placebo arms (10.7 </w:t>
      </w:r>
      <w:r w:rsidR="00105E8E" w:rsidRPr="00B01FC5">
        <w:rPr>
          <w:rFonts w:ascii="Book Antiqua" w:hAnsi="Book Antiqua"/>
          <w:color w:val="auto"/>
        </w:rPr>
        <w:t>mo</w:t>
      </w:r>
      <w:r w:rsidR="00105E8E" w:rsidRPr="00105E8E">
        <w:rPr>
          <w:rFonts w:ascii="Book Antiqua" w:hAnsi="Book Antiqua"/>
          <w:i/>
          <w:color w:val="auto"/>
        </w:rPr>
        <w:t xml:space="preserve"> </w:t>
      </w:r>
      <w:r w:rsidR="00D8020F" w:rsidRPr="00105E8E">
        <w:rPr>
          <w:rFonts w:ascii="Book Antiqua" w:hAnsi="Book Antiqua"/>
          <w:i/>
          <w:color w:val="auto"/>
        </w:rPr>
        <w:t>vs</w:t>
      </w:r>
      <w:r w:rsidR="00105E8E">
        <w:rPr>
          <w:rFonts w:ascii="Book Antiqua" w:hAnsi="Book Antiqua" w:hint="eastAsia"/>
          <w:color w:val="auto"/>
          <w:lang w:eastAsia="zh-CN"/>
        </w:rPr>
        <w:t xml:space="preserve"> </w:t>
      </w:r>
      <w:r w:rsidRPr="00B01FC5">
        <w:rPr>
          <w:rFonts w:ascii="Book Antiqua" w:hAnsi="Book Antiqua"/>
          <w:color w:val="auto"/>
        </w:rPr>
        <w:t>7.9 mo</w:t>
      </w:r>
      <w:r w:rsidR="00105E8E">
        <w:rPr>
          <w:rFonts w:ascii="Book Antiqua" w:hAnsi="Book Antiqua" w:hint="eastAsia"/>
          <w:color w:val="auto"/>
          <w:lang w:eastAsia="zh-CN"/>
        </w:rPr>
        <w:t xml:space="preserve"> </w:t>
      </w:r>
      <w:r w:rsidRPr="00B01FC5">
        <w:rPr>
          <w:rFonts w:ascii="Book Antiqua" w:hAnsi="Book Antiqua"/>
          <w:color w:val="auto"/>
        </w:rPr>
        <w:t xml:space="preserve">and 6.5 </w:t>
      </w:r>
      <w:r w:rsidR="00105E8E" w:rsidRPr="00B01FC5">
        <w:rPr>
          <w:rFonts w:ascii="Book Antiqua" w:hAnsi="Book Antiqua"/>
          <w:color w:val="auto"/>
        </w:rPr>
        <w:t xml:space="preserve">mo </w:t>
      </w:r>
      <w:r w:rsidR="00D8020F" w:rsidRPr="00105E8E">
        <w:rPr>
          <w:rFonts w:ascii="Book Antiqua" w:hAnsi="Book Antiqua"/>
          <w:i/>
          <w:color w:val="auto"/>
        </w:rPr>
        <w:t>vs</w:t>
      </w:r>
      <w:r w:rsidR="00105E8E">
        <w:rPr>
          <w:rFonts w:ascii="Book Antiqua" w:hAnsi="Book Antiqua" w:hint="eastAsia"/>
          <w:color w:val="auto"/>
          <w:lang w:eastAsia="zh-CN"/>
        </w:rPr>
        <w:t xml:space="preserve"> </w:t>
      </w:r>
      <w:r w:rsidRPr="00B01FC5">
        <w:rPr>
          <w:rFonts w:ascii="Book Antiqua" w:hAnsi="Book Antiqua"/>
          <w:color w:val="auto"/>
        </w:rPr>
        <w:t>4.2 mo</w:t>
      </w:r>
      <w:r w:rsidR="00105E8E">
        <w:rPr>
          <w:rFonts w:ascii="Book Antiqua" w:hAnsi="Book Antiqua"/>
          <w:color w:val="auto"/>
        </w:rPr>
        <w:t>, respectively)</w:t>
      </w:r>
      <w:r w:rsidRPr="00B01FC5">
        <w:rPr>
          <w:rFonts w:ascii="Book Antiqua" w:hAnsi="Book Antiqua"/>
          <w:noProof/>
          <w:color w:val="auto"/>
          <w:vertAlign w:val="superscript"/>
        </w:rPr>
        <w:t>[</w:t>
      </w:r>
      <w:r w:rsidR="00105E8E">
        <w:rPr>
          <w:rFonts w:ascii="Book Antiqua" w:hAnsi="Book Antiqua"/>
          <w:noProof/>
          <w:color w:val="auto"/>
          <w:vertAlign w:val="superscript"/>
        </w:rPr>
        <w:t>10,</w:t>
      </w:r>
      <w:r w:rsidRPr="00B01FC5">
        <w:rPr>
          <w:rFonts w:ascii="Book Antiqua" w:hAnsi="Book Antiqua"/>
          <w:noProof/>
          <w:color w:val="auto"/>
          <w:vertAlign w:val="superscript"/>
        </w:rPr>
        <w:t>11]</w:t>
      </w:r>
      <w:r w:rsidRPr="00B01FC5">
        <w:rPr>
          <w:rFonts w:ascii="Book Antiqua" w:hAnsi="Book Antiqua"/>
          <w:color w:val="auto"/>
        </w:rPr>
        <w:t xml:space="preserve">. These results led to the approval of sorafenib for the treatment of advanced HCC. According to the technical schedule, the drug should be administered orally 400 mg b.i.d. until radiological progression or unacceptable adverse events occur. </w:t>
      </w:r>
    </w:p>
    <w:p w:rsidR="00951AB4" w:rsidRPr="00B01FC5" w:rsidRDefault="00951AB4" w:rsidP="00105E8E">
      <w:pPr>
        <w:pStyle w:val="CorpoA"/>
        <w:spacing w:line="360" w:lineRule="auto"/>
        <w:ind w:firstLineChars="100" w:firstLine="240"/>
        <w:jc w:val="both"/>
        <w:rPr>
          <w:rFonts w:ascii="Book Antiqua" w:hAnsi="Book Antiqua"/>
          <w:color w:val="auto"/>
        </w:rPr>
      </w:pPr>
      <w:r w:rsidRPr="00B01FC5">
        <w:rPr>
          <w:rFonts w:ascii="Book Antiqua" w:hAnsi="Book Antiqua"/>
          <w:color w:val="auto"/>
        </w:rPr>
        <w:t>Therapy is currently recommended in patients with preserved liver function, defined by a Child-Pugh score not greater than A, due to the exclusion of patients with more compromised liver function from randomized controlled trials. This represents a first major problem for sorafenib administration, as only a portion of patients can actually be treated. From the time of sorafenib approval, many field-practice studies have tried to evaluate the efficacy and tolerability of sorafenib in Child B patients, with conflicting results. The GIDEON study is so far the only prospective study that evaluated the impact of liver function in a large cohort of patients (&gt;</w:t>
      </w:r>
      <w:r w:rsidR="00105E8E">
        <w:rPr>
          <w:rFonts w:ascii="Book Antiqua" w:hAnsi="Book Antiqua" w:hint="eastAsia"/>
          <w:color w:val="auto"/>
          <w:lang w:eastAsia="zh-CN"/>
        </w:rPr>
        <w:t xml:space="preserve"> </w:t>
      </w:r>
      <w:r w:rsidRPr="00B01FC5">
        <w:rPr>
          <w:rFonts w:ascii="Book Antiqua" w:hAnsi="Book Antiqua"/>
          <w:color w:val="auto"/>
        </w:rPr>
        <w:t>3000), with a robust portion of subjects in Ch</w:t>
      </w:r>
      <w:r w:rsidR="00105E8E">
        <w:rPr>
          <w:rFonts w:ascii="Book Antiqua" w:hAnsi="Book Antiqua"/>
          <w:color w:val="auto"/>
        </w:rPr>
        <w:t>ild-Pugh B class (666 patients)</w:t>
      </w:r>
      <w:r w:rsidRPr="00B01FC5">
        <w:rPr>
          <w:rFonts w:ascii="Book Antiqua" w:hAnsi="Book Antiqua"/>
          <w:noProof/>
          <w:color w:val="auto"/>
          <w:vertAlign w:val="superscript"/>
        </w:rPr>
        <w:t>[12]</w:t>
      </w:r>
      <w:r w:rsidRPr="00B01FC5">
        <w:rPr>
          <w:rFonts w:ascii="Book Antiqua" w:hAnsi="Book Antiqua"/>
          <w:color w:val="auto"/>
        </w:rPr>
        <w:t>. In the final analysis, overall adverse events were similarly observed in both Child A and B patients, but a significant increase in serious adverse events was found in the Child B group. Moreover, Child-Pugh score was confirmed as a strong independent predictor of OS (5.2 mo</w:t>
      </w:r>
      <w:r w:rsidR="00187E61">
        <w:rPr>
          <w:rFonts w:ascii="Book Antiqua" w:hAnsi="Book Antiqua" w:hint="eastAsia"/>
          <w:color w:val="auto"/>
          <w:lang w:eastAsia="zh-CN"/>
        </w:rPr>
        <w:t xml:space="preserve"> </w:t>
      </w:r>
      <w:r w:rsidRPr="00B01FC5">
        <w:rPr>
          <w:rFonts w:ascii="Book Antiqua" w:hAnsi="Book Antiqua"/>
          <w:color w:val="auto"/>
        </w:rPr>
        <w:t xml:space="preserve">in Child B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13.6 mo</w:t>
      </w:r>
      <w:r w:rsidR="00187E61">
        <w:rPr>
          <w:rFonts w:ascii="Book Antiqua" w:hAnsi="Book Antiqua" w:hint="eastAsia"/>
          <w:color w:val="auto"/>
          <w:lang w:eastAsia="zh-CN"/>
        </w:rPr>
        <w:t xml:space="preserve"> </w:t>
      </w:r>
      <w:r w:rsidRPr="00B01FC5">
        <w:rPr>
          <w:rFonts w:ascii="Book Antiqua" w:hAnsi="Book Antiqua"/>
          <w:color w:val="auto"/>
        </w:rPr>
        <w:t>in Child A). The Authors concluded that sorafenib at full dosage is safe irrespective of the liver function. However, the use of full-dose sorafenib in a Child B patient is still far to be included in the clinical practice, as many physicians fear that the patients are too fragile in this subgroup. Additional trials specifically addressing this issue are ongoing (Sorafenib in First-line treatment of Advanced B Child Hepatocellular Carcinoma (BOOST), clinicaltrial.gov).</w:t>
      </w:r>
    </w:p>
    <w:p w:rsidR="00951AB4" w:rsidRPr="00B01FC5" w:rsidRDefault="00951AB4" w:rsidP="00187E61">
      <w:pPr>
        <w:pStyle w:val="CorpoA"/>
        <w:spacing w:line="360" w:lineRule="auto"/>
        <w:ind w:firstLineChars="100" w:firstLine="240"/>
        <w:jc w:val="both"/>
        <w:rPr>
          <w:rFonts w:ascii="Book Antiqua" w:hAnsi="Book Antiqua"/>
          <w:color w:val="auto"/>
        </w:rPr>
      </w:pPr>
      <w:r w:rsidRPr="00B01FC5">
        <w:rPr>
          <w:rFonts w:ascii="Book Antiqua" w:hAnsi="Book Antiqua"/>
          <w:color w:val="auto"/>
        </w:rPr>
        <w:lastRenderedPageBreak/>
        <w:t>An approach popular in the Hepatology community and potentially applicable to Child B patients is to start sorafenib at lower dosage (</w:t>
      </w:r>
      <w:r w:rsidRPr="00187E61">
        <w:rPr>
          <w:rFonts w:ascii="Book Antiqua" w:hAnsi="Book Antiqua"/>
          <w:i/>
          <w:color w:val="auto"/>
        </w:rPr>
        <w:t>e.g.</w:t>
      </w:r>
      <w:r w:rsidRPr="00B01FC5">
        <w:rPr>
          <w:rFonts w:ascii="Book Antiqua" w:hAnsi="Book Antiqua"/>
          <w:color w:val="auto"/>
        </w:rPr>
        <w:t xml:space="preserve"> 400 mg/d), ramping up to 800 mg/d in case of good tolerability. In case of poor tolerability, sorafenib should be continued at lower dosage, since data reported from the SOFIA group in 2011 did not show a reduction in OS in patients receiving half-dose sorafenib, whereas they actually had a significant survival advantage with respect to the group receiving full-dose sorafenib</w:t>
      </w:r>
      <w:r w:rsidRPr="00B01FC5">
        <w:rPr>
          <w:rFonts w:ascii="Book Antiqua" w:hAnsi="Book Antiqua"/>
          <w:noProof/>
          <w:color w:val="auto"/>
          <w:vertAlign w:val="superscript"/>
        </w:rPr>
        <w:t>[13]</w:t>
      </w:r>
      <w:r w:rsidRPr="00B01FC5">
        <w:rPr>
          <w:rFonts w:ascii="Book Antiqua" w:hAnsi="Book Antiqua"/>
          <w:color w:val="auto"/>
        </w:rPr>
        <w:t xml:space="preserve">. Another rationale for the implementation of a ramp-up strategy could be the lower tolerability profile of sorafenib that seems to emerge from clinical practice. According to those studies, some of the most common adverse events (fatigue, diarrhea, hand-foot syndrome, bleeding, arterial hypertension, elevation of aminotransferase and/or bilirubin) are observed more frequently, in terms of incidence and severity, than reported in the registration trials. This leads to take into consideration a primary issue in sorafenib therapy, </w:t>
      </w:r>
      <w:r w:rsidRPr="00544BE6">
        <w:rPr>
          <w:rFonts w:ascii="Book Antiqua" w:hAnsi="Book Antiqua"/>
          <w:i/>
          <w:color w:val="auto"/>
        </w:rPr>
        <w:t>i.e.</w:t>
      </w:r>
      <w:r w:rsidRPr="00B01FC5">
        <w:rPr>
          <w:rFonts w:ascii="Book Antiqua" w:hAnsi="Book Antiqua"/>
          <w:color w:val="auto"/>
        </w:rPr>
        <w:t xml:space="preserve"> that an appropriate quality of life represents an essential goal in a non-curative treatment.</w:t>
      </w:r>
    </w:p>
    <w:p w:rsidR="00951AB4" w:rsidRPr="00B01FC5" w:rsidRDefault="00951AB4" w:rsidP="00187E61">
      <w:pPr>
        <w:pStyle w:val="CorpoA"/>
        <w:spacing w:line="360" w:lineRule="auto"/>
        <w:ind w:firstLineChars="100" w:firstLine="240"/>
        <w:jc w:val="both"/>
        <w:rPr>
          <w:rFonts w:ascii="Book Antiqua" w:hAnsi="Book Antiqua"/>
          <w:color w:val="auto"/>
        </w:rPr>
      </w:pPr>
      <w:r w:rsidRPr="00B01FC5">
        <w:rPr>
          <w:rFonts w:ascii="Book Antiqua" w:hAnsi="Book Antiqua"/>
          <w:color w:val="auto"/>
        </w:rPr>
        <w:t xml:space="preserve">Another hot issue that has emerged from the recent literature is linked to the wide variability in survival and time to progression </w:t>
      </w:r>
      <w:r w:rsidR="00F045BF" w:rsidRPr="00B01FC5">
        <w:rPr>
          <w:rFonts w:ascii="Book Antiqua" w:hAnsi="Book Antiqua"/>
          <w:color w:val="auto"/>
        </w:rPr>
        <w:t xml:space="preserve">(TTP) </w:t>
      </w:r>
      <w:r w:rsidRPr="00B01FC5">
        <w:rPr>
          <w:rFonts w:ascii="Book Antiqua" w:hAnsi="Book Antiqua"/>
          <w:color w:val="auto"/>
        </w:rPr>
        <w:t>observed in clinical practice. It is a general opinion that sorafenib therapy may be truly effective in a subgroup of patients, while it shows no real benefit in others. Identifying early predictors of response represents therefore a crucial research area,</w:t>
      </w:r>
      <w:r w:rsidR="00187E61">
        <w:rPr>
          <w:rFonts w:ascii="Book Antiqua" w:hAnsi="Book Antiqua" w:hint="eastAsia"/>
          <w:color w:val="auto"/>
          <w:lang w:eastAsia="zh-CN"/>
        </w:rPr>
        <w:t xml:space="preserve"> </w:t>
      </w:r>
      <w:r w:rsidRPr="00B01FC5">
        <w:rPr>
          <w:rFonts w:ascii="Book Antiqua" w:hAnsi="Book Antiqua"/>
          <w:color w:val="auto"/>
        </w:rPr>
        <w:t>that becomes even more important if we consider the</w:t>
      </w:r>
      <w:r w:rsidR="00187E61">
        <w:rPr>
          <w:rFonts w:ascii="Book Antiqua" w:hAnsi="Book Antiqua"/>
          <w:color w:val="auto"/>
        </w:rPr>
        <w:t xml:space="preserve"> economic burden of the therapy</w:t>
      </w:r>
      <w:r w:rsidRPr="00B01FC5">
        <w:rPr>
          <w:rFonts w:ascii="Book Antiqua" w:hAnsi="Book Antiqua"/>
          <w:noProof/>
          <w:color w:val="auto"/>
          <w:vertAlign w:val="superscript"/>
        </w:rPr>
        <w:t>[14]</w:t>
      </w:r>
      <w:r w:rsidRPr="00B01FC5">
        <w:rPr>
          <w:rFonts w:ascii="Book Antiqua" w:hAnsi="Book Antiqua"/>
          <w:color w:val="auto"/>
        </w:rPr>
        <w:t>. Numerous studies have explored the role of biochemical markers as prognostic factors or predictors of response. The concentrations of alpha-fetoprotein, alkaline phosphatase, angiopoietin 2, Vascular Endothelial Growth Factor have been linked to improved survival, while soluble c-Kit and Hepatocyte Growth Factor have been pr</w:t>
      </w:r>
      <w:r w:rsidR="0010519E" w:rsidRPr="00B01FC5">
        <w:rPr>
          <w:rFonts w:ascii="Book Antiqua" w:hAnsi="Book Antiqua"/>
          <w:color w:val="auto"/>
        </w:rPr>
        <w:t>oposed as predictive markers in</w:t>
      </w:r>
      <w:r w:rsidRPr="00B01FC5">
        <w:rPr>
          <w:rFonts w:ascii="Book Antiqua" w:hAnsi="Book Antiqua"/>
          <w:color w:val="auto"/>
        </w:rPr>
        <w:t>field practice studies</w:t>
      </w:r>
      <w:r w:rsidR="000E39A5" w:rsidRPr="00B01FC5">
        <w:rPr>
          <w:rFonts w:ascii="Book Antiqua" w:hAnsi="Book Antiqua"/>
          <w:noProof/>
          <w:color w:val="auto"/>
          <w:vertAlign w:val="superscript"/>
        </w:rPr>
        <w:t>[15-</w:t>
      </w:r>
      <w:r w:rsidRPr="00B01FC5">
        <w:rPr>
          <w:rFonts w:ascii="Book Antiqua" w:hAnsi="Book Antiqua"/>
          <w:noProof/>
          <w:color w:val="auto"/>
          <w:vertAlign w:val="superscript"/>
        </w:rPr>
        <w:t>17]</w:t>
      </w:r>
      <w:r w:rsidRPr="00B01FC5">
        <w:rPr>
          <w:rFonts w:ascii="Book Antiqua" w:hAnsi="Book Antiqua"/>
          <w:color w:val="auto"/>
        </w:rPr>
        <w:t xml:space="preserve"> and in the SHARP trial. Observational studies have also linked the early development of adverse events like arterial hypertension, diarrhea or the hand-foo</w:t>
      </w:r>
      <w:r w:rsidR="00187E61">
        <w:rPr>
          <w:rFonts w:ascii="Book Antiqua" w:hAnsi="Book Antiqua"/>
          <w:color w:val="auto"/>
        </w:rPr>
        <w:t>t syndrome to a better response</w:t>
      </w:r>
      <w:r w:rsidRPr="00B01FC5">
        <w:rPr>
          <w:rFonts w:ascii="Book Antiqua" w:hAnsi="Book Antiqua"/>
          <w:noProof/>
          <w:color w:val="auto"/>
          <w:vertAlign w:val="superscript"/>
        </w:rPr>
        <w:t>[18-23]</w:t>
      </w:r>
      <w:r w:rsidRPr="00B01FC5">
        <w:rPr>
          <w:rFonts w:ascii="Book Antiqua" w:hAnsi="Book Antiqua"/>
          <w:color w:val="auto"/>
        </w:rPr>
        <w:t>. Finally, clinical features such as the presence of macrovascular invasion have been associated with a worse prognosis</w:t>
      </w:r>
      <w:r w:rsidRPr="00B01FC5">
        <w:rPr>
          <w:rFonts w:ascii="Book Antiqua" w:hAnsi="Book Antiqua"/>
          <w:noProof/>
          <w:color w:val="auto"/>
          <w:vertAlign w:val="superscript"/>
        </w:rPr>
        <w:t>[21]</w:t>
      </w:r>
      <w:r w:rsidRPr="00B01FC5">
        <w:rPr>
          <w:rFonts w:ascii="Book Antiqua" w:hAnsi="Book Antiqua"/>
          <w:color w:val="auto"/>
        </w:rPr>
        <w:t xml:space="preserve">. However, despite the large numbers of studies and the interesting results, no predictors have reached enough strength to be commonly used in clinical practice, due to the small sample size of most studies or to the lack of external validation of the findings. Therefore, although the aim of tailoring sorafenib therapy still appears exciting, tangible progresses will not be obtained without </w:t>
      </w:r>
      <w:r w:rsidRPr="00B01FC5">
        <w:rPr>
          <w:rFonts w:ascii="Book Antiqua" w:hAnsi="Book Antiqua"/>
          <w:color w:val="auto"/>
        </w:rPr>
        <w:lastRenderedPageBreak/>
        <w:t xml:space="preserve">validation of parameters in large studies. Radiologic parameters also may represent an important tool in the management of sorafenib therapy. </w:t>
      </w:r>
    </w:p>
    <w:p w:rsidR="00951AB4" w:rsidRPr="00B01FC5" w:rsidRDefault="00951AB4" w:rsidP="00187E61">
      <w:pPr>
        <w:pStyle w:val="CorpoA"/>
        <w:spacing w:line="360" w:lineRule="auto"/>
        <w:ind w:firstLineChars="100" w:firstLine="240"/>
        <w:jc w:val="both"/>
        <w:rPr>
          <w:rFonts w:ascii="Book Antiqua" w:hAnsi="Book Antiqua"/>
          <w:color w:val="auto"/>
        </w:rPr>
      </w:pPr>
      <w:r w:rsidRPr="00B01FC5">
        <w:rPr>
          <w:rFonts w:ascii="Book Antiqua" w:hAnsi="Book Antiqua"/>
          <w:color w:val="auto"/>
        </w:rPr>
        <w:t>As the majority of HCC develops in patients with chronic liver disease, treatment of the underlying condition and especially management of its complications, is mandatory. HBV infection accounts for about 60% of the total liver cancer in developing countries and for a</w:t>
      </w:r>
      <w:r w:rsidR="00187E61">
        <w:rPr>
          <w:rFonts w:ascii="Book Antiqua" w:hAnsi="Book Antiqua"/>
          <w:color w:val="auto"/>
        </w:rPr>
        <w:t>bout 23% in developed countries</w:t>
      </w:r>
      <w:r w:rsidR="00187E61">
        <w:rPr>
          <w:rFonts w:ascii="Book Antiqua" w:hAnsi="Book Antiqua"/>
          <w:noProof/>
          <w:color w:val="auto"/>
          <w:vertAlign w:val="superscript"/>
        </w:rPr>
        <w:t>[24,</w:t>
      </w:r>
      <w:r w:rsidRPr="00B01FC5">
        <w:rPr>
          <w:rFonts w:ascii="Book Antiqua" w:hAnsi="Book Antiqua"/>
          <w:noProof/>
          <w:color w:val="auto"/>
          <w:vertAlign w:val="superscript"/>
        </w:rPr>
        <w:t>25]</w:t>
      </w:r>
      <w:r w:rsidRPr="00B01FC5">
        <w:rPr>
          <w:rFonts w:ascii="Book Antiqua" w:hAnsi="Book Antiqua"/>
          <w:color w:val="auto"/>
        </w:rPr>
        <w:t xml:space="preserve">. The benefits of antiviral nucleot(s)ide analogue therapy in improving recurrence-free survival and </w:t>
      </w:r>
      <w:r w:rsidR="00287185" w:rsidRPr="00B01FC5">
        <w:rPr>
          <w:rFonts w:ascii="Book Antiqua" w:hAnsi="Book Antiqua"/>
          <w:color w:val="auto"/>
        </w:rPr>
        <w:t>OS</w:t>
      </w:r>
      <w:r w:rsidRPr="00B01FC5">
        <w:rPr>
          <w:rFonts w:ascii="Book Antiqua" w:hAnsi="Book Antiqua"/>
          <w:color w:val="auto"/>
        </w:rPr>
        <w:t xml:space="preserve"> </w:t>
      </w:r>
      <w:r w:rsidR="00187E61">
        <w:rPr>
          <w:rFonts w:ascii="Book Antiqua" w:hAnsi="Book Antiqua"/>
          <w:color w:val="auto"/>
        </w:rPr>
        <w:t>after curative treatment of HCC</w:t>
      </w:r>
      <w:r w:rsidRPr="00B01FC5">
        <w:rPr>
          <w:rFonts w:ascii="Book Antiqua" w:hAnsi="Book Antiqua"/>
          <w:noProof/>
          <w:color w:val="auto"/>
          <w:vertAlign w:val="superscript"/>
        </w:rPr>
        <w:t>[26]</w:t>
      </w:r>
      <w:r w:rsidRPr="00B01FC5">
        <w:rPr>
          <w:rFonts w:ascii="Book Antiqua" w:hAnsi="Book Antiqua"/>
          <w:color w:val="auto"/>
        </w:rPr>
        <w:t xml:space="preserve"> may suggest a possible role in improving outcomes also in advanced HCC, but at this time data on this topic are lacking.</w:t>
      </w:r>
    </w:p>
    <w:p w:rsidR="00951AB4" w:rsidRPr="00B01FC5" w:rsidRDefault="00951AB4" w:rsidP="009352FD">
      <w:pPr>
        <w:pStyle w:val="CorpoA"/>
        <w:spacing w:line="360" w:lineRule="auto"/>
        <w:jc w:val="both"/>
        <w:rPr>
          <w:rFonts w:ascii="Book Antiqua" w:hAnsi="Book Antiqua"/>
          <w:color w:val="auto"/>
        </w:rPr>
      </w:pPr>
    </w:p>
    <w:p w:rsidR="00951AB4" w:rsidRPr="0033508F" w:rsidRDefault="0033508F" w:rsidP="009352FD">
      <w:pPr>
        <w:pStyle w:val="CorpoA"/>
        <w:spacing w:line="360" w:lineRule="auto"/>
        <w:jc w:val="both"/>
        <w:rPr>
          <w:rFonts w:ascii="Book Antiqua" w:hAnsi="Book Antiqua"/>
          <w:b/>
          <w:color w:val="auto"/>
        </w:rPr>
      </w:pPr>
      <w:r w:rsidRPr="0033508F">
        <w:rPr>
          <w:rFonts w:ascii="Book Antiqua" w:hAnsi="Book Antiqua"/>
          <w:b/>
          <w:color w:val="auto"/>
        </w:rPr>
        <w:t>BEYOND SORAFENIB: OTHER PHARMACOLOGIC APPROACHES TO THE MANAGEMENT OF ADVANCED HCC</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The discovery of alternative lines of treatment for advanced HCC is an urgent unmet need. Sorafenib therapy is very expensive, and healthcare costs have become one of the main problems confronting gov</w:t>
      </w:r>
      <w:r w:rsidR="00187E61">
        <w:rPr>
          <w:rFonts w:ascii="Book Antiqua" w:hAnsi="Book Antiqua"/>
          <w:color w:val="auto"/>
        </w:rPr>
        <w:t>ernments and patients worldwide</w:t>
      </w:r>
      <w:r w:rsidRPr="00B01FC5">
        <w:rPr>
          <w:rFonts w:ascii="Book Antiqua" w:hAnsi="Book Antiqua"/>
          <w:noProof/>
          <w:color w:val="auto"/>
          <w:vertAlign w:val="superscript"/>
        </w:rPr>
        <w:t>[27]</w:t>
      </w:r>
      <w:r w:rsidRPr="00B01FC5">
        <w:rPr>
          <w:rFonts w:ascii="Book Antiqua" w:hAnsi="Book Antiqua"/>
          <w:color w:val="auto"/>
        </w:rPr>
        <w:t>. Thus, in countries with limited health resources and a high incidence of HCC, a cost-effectiveness analysis to show the overall advantages of sorafenib is necessary. A Chinese study showed that the total cost was $897 for patients in the best supportive care (BSC) group, while</w:t>
      </w:r>
      <w:r w:rsidR="00C1527F">
        <w:rPr>
          <w:rFonts w:ascii="Book Antiqua" w:hAnsi="Book Antiqua"/>
          <w:color w:val="auto"/>
        </w:rPr>
        <w:t xml:space="preserve"> </w:t>
      </w:r>
      <w:r w:rsidRPr="00B01FC5">
        <w:rPr>
          <w:rFonts w:ascii="Book Antiqua" w:hAnsi="Book Antiqua"/>
          <w:color w:val="auto"/>
        </w:rPr>
        <w:t>in the sorafenib g</w:t>
      </w:r>
      <w:r w:rsidR="002D6B47">
        <w:rPr>
          <w:rFonts w:ascii="Book Antiqua" w:hAnsi="Book Antiqua"/>
          <w:color w:val="auto"/>
        </w:rPr>
        <w:t>roup, the total cost was $19495</w:t>
      </w:r>
      <w:r w:rsidRPr="00B01FC5">
        <w:rPr>
          <w:rFonts w:ascii="Book Antiqua" w:hAnsi="Book Antiqua"/>
          <w:noProof/>
          <w:color w:val="auto"/>
          <w:vertAlign w:val="superscript"/>
        </w:rPr>
        <w:t>[27]</w:t>
      </w:r>
      <w:r w:rsidRPr="00B01FC5">
        <w:rPr>
          <w:rFonts w:ascii="Book Antiqua" w:hAnsi="Book Antiqua"/>
          <w:color w:val="auto"/>
        </w:rPr>
        <w:t>.</w:t>
      </w:r>
      <w:r w:rsidR="002D6B47">
        <w:rPr>
          <w:rFonts w:ascii="Book Antiqua" w:hAnsi="Book Antiqua" w:hint="eastAsia"/>
          <w:color w:val="auto"/>
          <w:lang w:eastAsia="zh-CN"/>
        </w:rPr>
        <w:t xml:space="preserve"> </w:t>
      </w:r>
      <w:r w:rsidRPr="00B01FC5">
        <w:rPr>
          <w:rFonts w:ascii="Book Antiqua" w:hAnsi="Book Antiqua"/>
          <w:color w:val="auto"/>
        </w:rPr>
        <w:t>Second, sorafenib is often discontinued for patients in whom the disease is progr</w:t>
      </w:r>
      <w:r w:rsidR="006F3ECD" w:rsidRPr="00B01FC5">
        <w:rPr>
          <w:rFonts w:ascii="Book Antiqua" w:hAnsi="Book Antiqua"/>
          <w:color w:val="auto"/>
        </w:rPr>
        <w:t>essed after sorafenib treatment</w:t>
      </w:r>
      <w:r w:rsidRPr="00B01FC5">
        <w:rPr>
          <w:rFonts w:ascii="Book Antiqua" w:hAnsi="Book Antiqua"/>
          <w:noProof/>
          <w:color w:val="auto"/>
          <w:vertAlign w:val="superscript"/>
        </w:rPr>
        <w:t>[28]</w:t>
      </w:r>
      <w:r w:rsidRPr="00B01FC5">
        <w:rPr>
          <w:rFonts w:ascii="Book Antiqua" w:hAnsi="Book Antiqua"/>
          <w:color w:val="auto"/>
        </w:rPr>
        <w:t>. Many compounds and combinations have been explored in phase II or even phase III studies. Nevertheless, none of these have proven to be more effective than sorafenib as first-line therapy</w:t>
      </w:r>
      <w:r w:rsidR="00187E61">
        <w:rPr>
          <w:rFonts w:ascii="Book Antiqua" w:hAnsi="Book Antiqua"/>
          <w:noProof/>
          <w:color w:val="auto"/>
          <w:vertAlign w:val="superscript"/>
        </w:rPr>
        <w:t>[29,</w:t>
      </w:r>
      <w:r w:rsidRPr="00B01FC5">
        <w:rPr>
          <w:rFonts w:ascii="Book Antiqua" w:hAnsi="Book Antiqua"/>
          <w:noProof/>
          <w:color w:val="auto"/>
          <w:vertAlign w:val="superscript"/>
        </w:rPr>
        <w:t>30]</w:t>
      </w:r>
      <w:r w:rsidRPr="00B01FC5">
        <w:rPr>
          <w:rFonts w:ascii="Book Antiqua" w:hAnsi="Book Antiqua"/>
          <w:color w:val="auto"/>
        </w:rPr>
        <w:t xml:space="preserve"> nor to be superior to placebo in second-line studies. </w:t>
      </w:r>
    </w:p>
    <w:p w:rsidR="00951AB4" w:rsidRPr="00B01FC5" w:rsidRDefault="00951AB4" w:rsidP="009352FD">
      <w:pPr>
        <w:pStyle w:val="CorpoA"/>
        <w:spacing w:line="360" w:lineRule="auto"/>
        <w:jc w:val="both"/>
        <w:rPr>
          <w:rFonts w:ascii="Book Antiqua" w:hAnsi="Book Antiqua"/>
          <w:color w:val="auto"/>
        </w:rPr>
      </w:pPr>
    </w:p>
    <w:p w:rsidR="00951AB4" w:rsidRPr="0033508F" w:rsidRDefault="00951AB4" w:rsidP="009352FD">
      <w:pPr>
        <w:pStyle w:val="CorpoA"/>
        <w:spacing w:line="360" w:lineRule="auto"/>
        <w:jc w:val="both"/>
        <w:rPr>
          <w:rFonts w:ascii="Book Antiqua" w:hAnsi="Book Antiqua"/>
          <w:b/>
          <w:i/>
          <w:color w:val="auto"/>
        </w:rPr>
      </w:pPr>
      <w:r w:rsidRPr="0033508F">
        <w:rPr>
          <w:rFonts w:ascii="Book Antiqua" w:hAnsi="Book Antiqua"/>
          <w:b/>
          <w:i/>
          <w:color w:val="auto"/>
        </w:rPr>
        <w:t>First-line treatments</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The results of the SHARP trials have been a milestone opening the way to systemic therapy in advanced HCC. Nonetheless, the limited results in terms of survival benefit over placebo indicate that more effective first-line treatments are needed</w:t>
      </w:r>
      <w:r w:rsidR="004F2040" w:rsidRPr="00B01FC5">
        <w:rPr>
          <w:rFonts w:ascii="Book Antiqua" w:hAnsi="Book Antiqua"/>
          <w:color w:val="auto"/>
        </w:rPr>
        <w:t xml:space="preserve"> (Table 2)</w:t>
      </w:r>
      <w:r w:rsidRPr="00B01FC5">
        <w:rPr>
          <w:rFonts w:ascii="Book Antiqua" w:hAnsi="Book Antiqua"/>
          <w:color w:val="auto"/>
        </w:rPr>
        <w:t xml:space="preserve">. In the phase III SUN trial, sunitinib, a multi-kinase inhibitor inhibiting all vascular endothelial growth factor and </w:t>
      </w:r>
      <w:r w:rsidRPr="00B01FC5">
        <w:rPr>
          <w:rFonts w:ascii="Book Antiqua" w:hAnsi="Book Antiqua"/>
          <w:bCs/>
          <w:color w:val="auto"/>
        </w:rPr>
        <w:t>platelet-derived growth factor</w:t>
      </w:r>
      <w:r w:rsidRPr="00B01FC5">
        <w:rPr>
          <w:rFonts w:ascii="Book Antiqua" w:hAnsi="Book Antiqua"/>
          <w:color w:val="auto"/>
        </w:rPr>
        <w:t xml:space="preserve"> receptors, was compared to sorafenib</w:t>
      </w:r>
      <w:r w:rsidR="00187E61">
        <w:rPr>
          <w:rFonts w:ascii="Book Antiqua" w:hAnsi="Book Antiqua" w:hint="eastAsia"/>
          <w:color w:val="auto"/>
          <w:lang w:eastAsia="zh-CN"/>
        </w:rPr>
        <w:t xml:space="preserve"> </w:t>
      </w:r>
      <w:r w:rsidRPr="00B01FC5">
        <w:rPr>
          <w:rFonts w:ascii="Book Antiqua" w:hAnsi="Book Antiqua"/>
          <w:color w:val="auto"/>
        </w:rPr>
        <w:t xml:space="preserve">(400 mg) in patients with advanced HCC and the median OS was significantly shorter in the sunitinib arm (7.9 mo </w:t>
      </w:r>
      <w:r w:rsidR="003749F5" w:rsidRPr="00B01FC5">
        <w:rPr>
          <w:rFonts w:ascii="Book Antiqua" w:hAnsi="Book Antiqua"/>
          <w:color w:val="auto"/>
        </w:rPr>
        <w:t>vs.</w:t>
      </w:r>
      <w:r w:rsidRPr="00B01FC5">
        <w:rPr>
          <w:rFonts w:ascii="Book Antiqua" w:hAnsi="Book Antiqua"/>
          <w:color w:val="auto"/>
        </w:rPr>
        <w:t xml:space="preserve"> 10.2) while TTPwas not significantly different (4.1 mo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 xml:space="preserve">3.8 </w:t>
      </w:r>
      <w:r w:rsidRPr="00B01FC5">
        <w:rPr>
          <w:rFonts w:ascii="Book Antiqua" w:hAnsi="Book Antiqua"/>
          <w:color w:val="auto"/>
        </w:rPr>
        <w:lastRenderedPageBreak/>
        <w:t>mo with sunitin</w:t>
      </w:r>
      <w:r w:rsidR="00187E61">
        <w:rPr>
          <w:rFonts w:ascii="Book Antiqua" w:hAnsi="Book Antiqua"/>
          <w:color w:val="auto"/>
        </w:rPr>
        <w:t>ib and sorafenib, respectively)</w:t>
      </w:r>
      <w:r w:rsidRPr="00B01FC5">
        <w:rPr>
          <w:rFonts w:ascii="Book Antiqua" w:hAnsi="Book Antiqua"/>
          <w:noProof/>
          <w:color w:val="auto"/>
          <w:vertAlign w:val="superscript"/>
        </w:rPr>
        <w:t>[31]</w:t>
      </w:r>
      <w:r w:rsidRPr="00B01FC5">
        <w:rPr>
          <w:rFonts w:ascii="Book Antiqua" w:hAnsi="Book Antiqua"/>
          <w:color w:val="auto"/>
        </w:rPr>
        <w:t xml:space="preserve">. Of note, sunitinib was associated with severe adverse events, especially bleeding. The trial was prematurely discontinued </w:t>
      </w:r>
      <w:r w:rsidR="00187E61">
        <w:rPr>
          <w:rFonts w:ascii="Book Antiqua" w:hAnsi="Book Antiqua"/>
          <w:color w:val="auto"/>
        </w:rPr>
        <w:t>for futility and safety reasons</w:t>
      </w:r>
      <w:r w:rsidRPr="00B01FC5">
        <w:rPr>
          <w:rFonts w:ascii="Book Antiqua" w:hAnsi="Book Antiqua"/>
          <w:noProof/>
          <w:color w:val="auto"/>
          <w:vertAlign w:val="superscript"/>
        </w:rPr>
        <w:t>[31]</w:t>
      </w:r>
      <w:r w:rsidRPr="00B01FC5">
        <w:rPr>
          <w:rFonts w:ascii="Book Antiqua" w:hAnsi="Book Antiqua"/>
          <w:color w:val="auto"/>
        </w:rPr>
        <w:t>.</w:t>
      </w:r>
    </w:p>
    <w:p w:rsidR="00951AB4" w:rsidRPr="00B01FC5" w:rsidRDefault="00951AB4" w:rsidP="00187E61">
      <w:pPr>
        <w:pStyle w:val="CorpoA"/>
        <w:spacing w:line="360" w:lineRule="auto"/>
        <w:ind w:firstLineChars="100" w:firstLine="240"/>
        <w:jc w:val="both"/>
        <w:rPr>
          <w:rFonts w:ascii="Book Antiqua" w:hAnsi="Book Antiqua"/>
          <w:color w:val="auto"/>
          <w:lang w:val="en-GB"/>
        </w:rPr>
      </w:pPr>
      <w:r w:rsidRPr="00B01FC5">
        <w:rPr>
          <w:rFonts w:ascii="Book Antiqua" w:hAnsi="Book Antiqua"/>
          <w:color w:val="auto"/>
        </w:rPr>
        <w:t xml:space="preserve">Brivanib is a dual inhibitor of Vascular </w:t>
      </w:r>
      <w:r w:rsidRPr="00B01FC5">
        <w:rPr>
          <w:rFonts w:ascii="Book Antiqua" w:hAnsi="Book Antiqua"/>
          <w:bCs/>
          <w:color w:val="auto"/>
        </w:rPr>
        <w:t xml:space="preserve">Endothelial Growth Factor </w:t>
      </w:r>
      <w:r w:rsidRPr="00B01FC5">
        <w:rPr>
          <w:rFonts w:ascii="Book Antiqua" w:hAnsi="Book Antiqua"/>
          <w:color w:val="auto"/>
        </w:rPr>
        <w:t xml:space="preserve">and </w:t>
      </w:r>
      <w:r w:rsidRPr="00B01FC5">
        <w:rPr>
          <w:rFonts w:ascii="Book Antiqua" w:hAnsi="Book Antiqua"/>
          <w:bCs/>
          <w:color w:val="auto"/>
        </w:rPr>
        <w:t>fibroblast growth factor receptors</w:t>
      </w:r>
      <w:r w:rsidRPr="00B01FC5">
        <w:rPr>
          <w:rFonts w:ascii="Book Antiqua" w:hAnsi="Book Antiqua"/>
          <w:color w:val="auto"/>
        </w:rPr>
        <w:t>. A randomized phase III clinical trial has been conducted to evaluate the role of this drug as first-line therapy. The BRISK-FL study compared brivanib with sorafenib in patients with advanced HCC. This trial failed to meet the primary endpoint of improving OS (with 9.5 mo</w:t>
      </w:r>
      <w:r w:rsidR="00187E61">
        <w:rPr>
          <w:rFonts w:ascii="Book Antiqua" w:hAnsi="Book Antiqua" w:hint="eastAsia"/>
          <w:color w:val="auto"/>
          <w:lang w:eastAsia="zh-CN"/>
        </w:rPr>
        <w:t xml:space="preserve"> </w:t>
      </w:r>
      <w:r w:rsidRPr="00B01FC5">
        <w:rPr>
          <w:rFonts w:ascii="Book Antiqua" w:hAnsi="Book Antiqua"/>
          <w:color w:val="auto"/>
        </w:rPr>
        <w:t>for brivanib and 9.9 mo</w:t>
      </w:r>
      <w:r w:rsidR="00187E61">
        <w:rPr>
          <w:rFonts w:ascii="Book Antiqua" w:hAnsi="Book Antiqua" w:hint="eastAsia"/>
          <w:color w:val="auto"/>
          <w:lang w:eastAsia="zh-CN"/>
        </w:rPr>
        <w:t xml:space="preserve"> </w:t>
      </w:r>
      <w:r w:rsidRPr="00B01FC5">
        <w:rPr>
          <w:rFonts w:ascii="Book Antiqua" w:hAnsi="Book Antiqua"/>
          <w:color w:val="auto"/>
        </w:rPr>
        <w:t>for sorafenib) or other endpoints, including objective response rate, TTP</w:t>
      </w:r>
      <w:r w:rsidR="00C1527F">
        <w:rPr>
          <w:rFonts w:ascii="Book Antiqua" w:hAnsi="Book Antiqua"/>
          <w:color w:val="auto"/>
        </w:rPr>
        <w:t xml:space="preserve"> </w:t>
      </w:r>
      <w:r w:rsidRPr="00B01FC5">
        <w:rPr>
          <w:rFonts w:ascii="Book Antiqua" w:hAnsi="Book Antiqua"/>
          <w:color w:val="auto"/>
        </w:rPr>
        <w:t xml:space="preserve">( 4.2 </w:t>
      </w:r>
      <w:r w:rsidR="00187E61" w:rsidRPr="00B01FC5">
        <w:rPr>
          <w:rFonts w:ascii="Book Antiqua" w:hAnsi="Book Antiqua"/>
          <w:color w:val="auto"/>
        </w:rPr>
        <w:t xml:space="preserve">mo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4.1 mo</w:t>
      </w:r>
      <w:r w:rsidR="00187E61">
        <w:rPr>
          <w:rFonts w:ascii="Book Antiqua" w:hAnsi="Book Antiqua"/>
          <w:color w:val="auto"/>
        </w:rPr>
        <w:t>) or disease control rates</w:t>
      </w:r>
      <w:r w:rsidRPr="00B01FC5">
        <w:rPr>
          <w:rFonts w:ascii="Book Antiqua" w:hAnsi="Book Antiqua"/>
          <w:noProof/>
          <w:color w:val="auto"/>
          <w:vertAlign w:val="superscript"/>
        </w:rPr>
        <w:t>[32]</w:t>
      </w:r>
      <w:r w:rsidRPr="00B01FC5">
        <w:rPr>
          <w:rFonts w:ascii="Book Antiqua" w:hAnsi="Book Antiqua"/>
          <w:color w:val="auto"/>
        </w:rPr>
        <w:t>.</w:t>
      </w:r>
    </w:p>
    <w:p w:rsidR="00951AB4" w:rsidRPr="00B01FC5" w:rsidRDefault="00951AB4" w:rsidP="00187E61">
      <w:pPr>
        <w:pStyle w:val="CorpoA"/>
        <w:spacing w:line="360" w:lineRule="auto"/>
        <w:ind w:firstLineChars="100" w:firstLine="240"/>
        <w:jc w:val="both"/>
        <w:rPr>
          <w:rFonts w:ascii="Book Antiqua" w:hAnsi="Book Antiqua"/>
          <w:color w:val="auto"/>
        </w:rPr>
      </w:pPr>
      <w:r w:rsidRPr="00B01FC5">
        <w:rPr>
          <w:rFonts w:ascii="Book Antiqua" w:hAnsi="Book Antiqua"/>
          <w:color w:val="auto"/>
        </w:rPr>
        <w:t xml:space="preserve">Linifanib is another multi-targeted tyrosine kinase inhibitor, which has been evaluated as first-line therapy in comparison to sorafenib. Linifanib inhibits members of the </w:t>
      </w:r>
      <w:r w:rsidRPr="00B01FC5">
        <w:rPr>
          <w:rFonts w:ascii="Book Antiqua" w:hAnsi="Book Antiqua"/>
          <w:bCs/>
          <w:color w:val="auto"/>
        </w:rPr>
        <w:t xml:space="preserve">Vascular Endothelial Growth Factor </w:t>
      </w:r>
      <w:r w:rsidRPr="00B01FC5">
        <w:rPr>
          <w:rFonts w:ascii="Book Antiqua" w:hAnsi="Book Antiqua"/>
          <w:color w:val="auto"/>
        </w:rPr>
        <w:t xml:space="preserve">and </w:t>
      </w:r>
      <w:r w:rsidRPr="00B01FC5">
        <w:rPr>
          <w:rFonts w:ascii="Book Antiqua" w:hAnsi="Book Antiqua"/>
          <w:bCs/>
          <w:color w:val="auto"/>
        </w:rPr>
        <w:t>Platelet-derived growth factor receptors</w:t>
      </w:r>
      <w:r w:rsidRPr="00B01FC5">
        <w:rPr>
          <w:rFonts w:ascii="Book Antiqua" w:hAnsi="Book Antiqua"/>
          <w:color w:val="auto"/>
        </w:rPr>
        <w:t xml:space="preserve"> families. In the LIGHT phase III trial, linifanib was compared to sorafenib for efficacy and tolerability in patients with advance HCC without prior systemic therapy. However, median OS was 9.1 mo</w:t>
      </w:r>
      <w:r w:rsidR="00187E61">
        <w:rPr>
          <w:rFonts w:ascii="Book Antiqua" w:hAnsi="Book Antiqua" w:hint="eastAsia"/>
          <w:color w:val="auto"/>
          <w:lang w:eastAsia="zh-CN"/>
        </w:rPr>
        <w:t xml:space="preserve"> </w:t>
      </w:r>
      <w:r w:rsidRPr="00B01FC5">
        <w:rPr>
          <w:rFonts w:ascii="Book Antiqua" w:hAnsi="Book Antiqua"/>
          <w:color w:val="auto"/>
        </w:rPr>
        <w:t>on the linifanib arm and 9.8 mo</w:t>
      </w:r>
      <w:r w:rsidR="00187E61">
        <w:rPr>
          <w:rFonts w:ascii="Book Antiqua" w:hAnsi="Book Antiqua" w:hint="eastAsia"/>
          <w:color w:val="auto"/>
          <w:lang w:eastAsia="zh-CN"/>
        </w:rPr>
        <w:t xml:space="preserve"> </w:t>
      </w:r>
      <w:r w:rsidR="00187E61">
        <w:rPr>
          <w:rFonts w:ascii="Book Antiqua" w:hAnsi="Book Antiqua"/>
          <w:color w:val="auto"/>
        </w:rPr>
        <w:t>on the sorafenib arm</w:t>
      </w:r>
      <w:r w:rsidRPr="00B01FC5">
        <w:rPr>
          <w:rFonts w:ascii="Book Antiqua" w:hAnsi="Book Antiqua"/>
          <w:noProof/>
          <w:color w:val="auto"/>
          <w:vertAlign w:val="superscript"/>
        </w:rPr>
        <w:t>[33]</w:t>
      </w:r>
      <w:r w:rsidRPr="00B01FC5">
        <w:rPr>
          <w:rFonts w:ascii="Book Antiqua" w:hAnsi="Book Antiqua"/>
          <w:color w:val="auto"/>
        </w:rPr>
        <w:t xml:space="preserve">, although TTP with linifanib was prolonged as compared with sorafenib (5.4 </w:t>
      </w:r>
      <w:r w:rsidR="00187E61" w:rsidRPr="00B01FC5">
        <w:rPr>
          <w:rFonts w:ascii="Book Antiqua" w:hAnsi="Book Antiqua"/>
          <w:color w:val="auto"/>
        </w:rPr>
        <w:t xml:space="preserve">mo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4.0 mo,</w:t>
      </w:r>
      <w:r w:rsidRPr="00187E61">
        <w:rPr>
          <w:rFonts w:ascii="Book Antiqua" w:hAnsi="Book Antiqua"/>
          <w:i/>
          <w:color w:val="auto"/>
        </w:rPr>
        <w:t xml:space="preserve"> P</w:t>
      </w:r>
      <w:r w:rsidRPr="00B01FC5">
        <w:rPr>
          <w:rFonts w:ascii="Book Antiqua" w:hAnsi="Book Antiqua"/>
          <w:color w:val="auto"/>
        </w:rPr>
        <w:t xml:space="preserve"> = 0.001). Therefore, this trial failed to meet its primary endpoint and safety results favored sorafenib, as grade 3/4 or serious adverse events leading</w:t>
      </w:r>
      <w:r w:rsidR="00C1527F">
        <w:rPr>
          <w:rFonts w:ascii="Book Antiqua" w:hAnsi="Book Antiqua"/>
          <w:color w:val="auto"/>
        </w:rPr>
        <w:t xml:space="preserve"> </w:t>
      </w:r>
      <w:r w:rsidRPr="00B01FC5">
        <w:rPr>
          <w:rFonts w:ascii="Book Antiqua" w:hAnsi="Book Antiqua"/>
          <w:color w:val="auto"/>
        </w:rPr>
        <w:t>to discontinuation, dose interruption or reduction were more frequent with linifanib</w:t>
      </w:r>
      <w:r w:rsidRPr="00B01FC5">
        <w:rPr>
          <w:rFonts w:ascii="Book Antiqua" w:hAnsi="Book Antiqua"/>
          <w:noProof/>
          <w:color w:val="auto"/>
          <w:vertAlign w:val="superscript"/>
        </w:rPr>
        <w:t>[33]</w:t>
      </w:r>
      <w:r w:rsidRPr="00B01FC5">
        <w:rPr>
          <w:rFonts w:ascii="Book Antiqua" w:hAnsi="Book Antiqua"/>
          <w:color w:val="auto"/>
        </w:rPr>
        <w:t>.</w:t>
      </w:r>
    </w:p>
    <w:p w:rsidR="00951AB4" w:rsidRPr="00B01FC5" w:rsidRDefault="00951AB4" w:rsidP="00187E61">
      <w:pPr>
        <w:pStyle w:val="CorpoA"/>
        <w:spacing w:line="360" w:lineRule="auto"/>
        <w:ind w:firstLineChars="100" w:firstLine="240"/>
        <w:jc w:val="both"/>
        <w:rPr>
          <w:rFonts w:ascii="Book Antiqua" w:hAnsi="Book Antiqua"/>
          <w:color w:val="auto"/>
        </w:rPr>
      </w:pPr>
      <w:r w:rsidRPr="00B01FC5">
        <w:rPr>
          <w:rFonts w:ascii="Book Antiqua" w:hAnsi="Book Antiqua"/>
          <w:color w:val="auto"/>
        </w:rPr>
        <w:t>Erlotinib is an orally active, potent and selective inhibitor of the human epidermal growth factor</w:t>
      </w:r>
      <w:r w:rsidR="00C1527F">
        <w:rPr>
          <w:rFonts w:ascii="Book Antiqua" w:hAnsi="Book Antiqua"/>
          <w:color w:val="auto"/>
        </w:rPr>
        <w:t xml:space="preserve"> </w:t>
      </w:r>
      <w:r w:rsidRPr="00B01FC5">
        <w:rPr>
          <w:rFonts w:ascii="Book Antiqua" w:hAnsi="Book Antiqua"/>
          <w:color w:val="auto"/>
        </w:rPr>
        <w:t>receptor, and its gene amplifi</w:t>
      </w:r>
      <w:r w:rsidR="00187E61">
        <w:rPr>
          <w:rFonts w:ascii="Book Antiqua" w:hAnsi="Book Antiqua"/>
          <w:color w:val="auto"/>
        </w:rPr>
        <w:t>cation has been reported in HCC</w:t>
      </w:r>
      <w:r w:rsidRPr="00B01FC5">
        <w:rPr>
          <w:rFonts w:ascii="Book Antiqua" w:hAnsi="Book Antiqua"/>
          <w:noProof/>
          <w:color w:val="auto"/>
          <w:vertAlign w:val="superscript"/>
        </w:rPr>
        <w:t>[34]</w:t>
      </w:r>
      <w:r w:rsidRPr="00B01FC5">
        <w:rPr>
          <w:rFonts w:ascii="Book Antiqua" w:hAnsi="Book Antiqua"/>
          <w:color w:val="auto"/>
        </w:rPr>
        <w:t>, although recent large scale results indicate that this occurs in a limited num</w:t>
      </w:r>
      <w:r w:rsidR="00F1343E" w:rsidRPr="00B01FC5">
        <w:rPr>
          <w:rFonts w:ascii="Book Antiqua" w:hAnsi="Book Antiqua"/>
          <w:color w:val="auto"/>
        </w:rPr>
        <w:t>b</w:t>
      </w:r>
      <w:r w:rsidR="00187E61">
        <w:rPr>
          <w:rFonts w:ascii="Book Antiqua" w:hAnsi="Book Antiqua"/>
          <w:color w:val="auto"/>
        </w:rPr>
        <w:t>er of cases</w:t>
      </w:r>
      <w:r w:rsidRPr="00B01FC5">
        <w:rPr>
          <w:rFonts w:ascii="Book Antiqua" w:hAnsi="Book Antiqua"/>
          <w:noProof/>
          <w:color w:val="auto"/>
          <w:vertAlign w:val="superscript"/>
        </w:rPr>
        <w:t>[35]</w:t>
      </w:r>
      <w:r w:rsidRPr="00B01FC5">
        <w:rPr>
          <w:rFonts w:ascii="Book Antiqua" w:hAnsi="Book Antiqua"/>
          <w:color w:val="auto"/>
        </w:rPr>
        <w:t xml:space="preserve">. This drug was tested in a phase III trial, where the efficacy and safety of a first-line treatment with sorafenib and placebo </w:t>
      </w:r>
      <w:r w:rsidR="003749F5" w:rsidRPr="00B01FC5">
        <w:rPr>
          <w:rFonts w:ascii="Book Antiqua" w:hAnsi="Book Antiqua"/>
          <w:color w:val="auto"/>
        </w:rPr>
        <w:t>vs.</w:t>
      </w:r>
      <w:r w:rsidRPr="00B01FC5">
        <w:rPr>
          <w:rFonts w:ascii="Book Antiqua" w:hAnsi="Book Antiqua"/>
          <w:color w:val="auto"/>
        </w:rPr>
        <w:t xml:space="preserve"> the combination sorafenib/erlotinib was evaluated in patients</w:t>
      </w:r>
      <w:r w:rsidR="00187E61">
        <w:rPr>
          <w:rFonts w:ascii="Book Antiqua" w:hAnsi="Book Antiqua"/>
          <w:color w:val="auto"/>
        </w:rPr>
        <w:t xml:space="preserve"> with advanced HCC</w:t>
      </w:r>
      <w:r w:rsidRPr="00B01FC5">
        <w:rPr>
          <w:rFonts w:ascii="Book Antiqua" w:hAnsi="Book Antiqua"/>
          <w:noProof/>
          <w:color w:val="auto"/>
          <w:vertAlign w:val="superscript"/>
        </w:rPr>
        <w:t>[36]</w:t>
      </w:r>
      <w:r w:rsidRPr="00B01FC5">
        <w:rPr>
          <w:rFonts w:ascii="Book Antiqua" w:hAnsi="Book Antiqua"/>
          <w:color w:val="auto"/>
        </w:rPr>
        <w:t xml:space="preserve">. This trial failed to meet its primary endpoint, </w:t>
      </w:r>
      <w:r w:rsidRPr="002D6B47">
        <w:rPr>
          <w:rFonts w:ascii="Book Antiqua" w:hAnsi="Book Antiqua"/>
          <w:i/>
          <w:color w:val="auto"/>
        </w:rPr>
        <w:t xml:space="preserve">i.e. </w:t>
      </w:r>
      <w:r w:rsidRPr="00B01FC5">
        <w:rPr>
          <w:rFonts w:ascii="Book Antiqua" w:hAnsi="Book Antiqua"/>
          <w:color w:val="auto"/>
        </w:rPr>
        <w:t xml:space="preserve">an improvement in OS, the median values of which were 9.5 mo in the sorafenib plus erlotinib arm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8.5 mo</w:t>
      </w:r>
      <w:r w:rsidR="00187E61">
        <w:rPr>
          <w:rFonts w:ascii="Book Antiqua" w:hAnsi="Book Antiqua" w:hint="eastAsia"/>
          <w:color w:val="auto"/>
          <w:lang w:eastAsia="zh-CN"/>
        </w:rPr>
        <w:t xml:space="preserve"> </w:t>
      </w:r>
      <w:r w:rsidRPr="00B01FC5">
        <w:rPr>
          <w:rFonts w:ascii="Book Antiqua" w:hAnsi="Book Antiqua"/>
          <w:color w:val="auto"/>
        </w:rPr>
        <w:t xml:space="preserve">in the sorafenib plus placebo group. Moreover, the median TTP (3.2 </w:t>
      </w:r>
      <w:r w:rsidR="00187E61" w:rsidRPr="00B01FC5">
        <w:rPr>
          <w:rFonts w:ascii="Book Antiqua" w:hAnsi="Book Antiqua"/>
          <w:color w:val="auto"/>
        </w:rPr>
        <w:t>mo</w:t>
      </w:r>
      <w:r w:rsidR="00187E61" w:rsidRPr="00187E61">
        <w:rPr>
          <w:rFonts w:ascii="Book Antiqua" w:hAnsi="Book Antiqua"/>
          <w:i/>
          <w:color w:val="auto"/>
        </w:rPr>
        <w:t xml:space="preserve"> vs</w:t>
      </w:r>
      <w:r w:rsidRPr="00B01FC5">
        <w:rPr>
          <w:rFonts w:ascii="Book Antiqua" w:hAnsi="Book Antiqua"/>
          <w:color w:val="auto"/>
        </w:rPr>
        <w:t xml:space="preserve"> 4.0 mo) was not significantly</w:t>
      </w:r>
      <w:r w:rsidR="00187E61">
        <w:rPr>
          <w:rFonts w:ascii="Book Antiqua" w:hAnsi="Book Antiqua"/>
          <w:color w:val="auto"/>
        </w:rPr>
        <w:t xml:space="preserve"> different between the two arms</w:t>
      </w:r>
      <w:r w:rsidRPr="00B01FC5">
        <w:rPr>
          <w:rFonts w:ascii="Book Antiqua" w:hAnsi="Book Antiqua"/>
          <w:noProof/>
          <w:color w:val="auto"/>
          <w:vertAlign w:val="superscript"/>
        </w:rPr>
        <w:t>[36]</w:t>
      </w:r>
      <w:r w:rsidRPr="00B01FC5">
        <w:rPr>
          <w:rFonts w:ascii="Book Antiqua" w:hAnsi="Book Antiqua"/>
          <w:color w:val="auto"/>
        </w:rPr>
        <w:t>. Withdrawal rates for adverse events</w:t>
      </w:r>
      <w:r w:rsidR="00C1527F">
        <w:rPr>
          <w:rFonts w:ascii="Book Antiqua" w:hAnsi="Book Antiqua"/>
          <w:color w:val="auto"/>
        </w:rPr>
        <w:t xml:space="preserve"> </w:t>
      </w:r>
      <w:r w:rsidRPr="00B01FC5">
        <w:rPr>
          <w:rFonts w:ascii="Book Antiqua" w:hAnsi="Book Antiqua"/>
          <w:color w:val="auto"/>
        </w:rPr>
        <w:t>were higher in the sorafenib/erlotinib arm. With regard to the drugs combination,</w:t>
      </w:r>
      <w:r w:rsidR="00C1527F">
        <w:rPr>
          <w:rFonts w:ascii="Book Antiqua" w:hAnsi="Book Antiqua"/>
          <w:color w:val="auto"/>
        </w:rPr>
        <w:t xml:space="preserve"> </w:t>
      </w:r>
      <w:r w:rsidRPr="00B01FC5">
        <w:rPr>
          <w:rFonts w:ascii="Book Antiqua" w:hAnsi="Book Antiqua"/>
          <w:color w:val="auto"/>
        </w:rPr>
        <w:t xml:space="preserve">a randomized phase II trial conducted in Child-Pugh A patients, comparing doxorubicin plus sorafenib or doxorubicin alone, combination therapy led to a longer median TTP (6.4 </w:t>
      </w:r>
      <w:r w:rsidRPr="00B01FC5">
        <w:rPr>
          <w:rFonts w:ascii="Book Antiqua" w:hAnsi="Book Antiqua"/>
          <w:color w:val="auto"/>
        </w:rPr>
        <w:lastRenderedPageBreak/>
        <w:t xml:space="preserve">mo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 xml:space="preserve">2.8 mo; </w:t>
      </w:r>
      <w:r w:rsidRPr="00187E61">
        <w:rPr>
          <w:rFonts w:ascii="Book Antiqua" w:hAnsi="Book Antiqua"/>
          <w:i/>
          <w:color w:val="auto"/>
        </w:rPr>
        <w:t>P</w:t>
      </w:r>
      <w:r w:rsidRPr="00B01FC5">
        <w:rPr>
          <w:rFonts w:ascii="Book Antiqua" w:hAnsi="Book Antiqua"/>
          <w:color w:val="auto"/>
        </w:rPr>
        <w:t xml:space="preserve"> = 0.02), OS (13.7 mo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 xml:space="preserve">6.5 mo; </w:t>
      </w:r>
      <w:r w:rsidRPr="00187E61">
        <w:rPr>
          <w:rFonts w:ascii="Book Antiqua" w:hAnsi="Book Antiqua"/>
          <w:i/>
          <w:color w:val="auto"/>
        </w:rPr>
        <w:t>P</w:t>
      </w:r>
      <w:r w:rsidRPr="00B01FC5">
        <w:rPr>
          <w:rFonts w:ascii="Book Antiqua" w:hAnsi="Book Antiqua"/>
          <w:color w:val="auto"/>
        </w:rPr>
        <w:t xml:space="preserve"> = 0.006) and progression-free survival (6.0 mo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2</w:t>
      </w:r>
      <w:r w:rsidR="00187E61">
        <w:rPr>
          <w:rFonts w:ascii="Book Antiqua" w:hAnsi="Book Antiqua"/>
          <w:color w:val="auto"/>
        </w:rPr>
        <w:t xml:space="preserve">.7 mo; </w:t>
      </w:r>
      <w:r w:rsidR="00187E61" w:rsidRPr="00187E61">
        <w:rPr>
          <w:rFonts w:ascii="Book Antiqua" w:hAnsi="Book Antiqua"/>
          <w:i/>
          <w:color w:val="auto"/>
        </w:rPr>
        <w:t>P</w:t>
      </w:r>
      <w:r w:rsidR="00187E61">
        <w:rPr>
          <w:rFonts w:ascii="Book Antiqua" w:hAnsi="Book Antiqua"/>
          <w:color w:val="auto"/>
        </w:rPr>
        <w:t xml:space="preserve"> = 0.006) were observed</w:t>
      </w:r>
      <w:r w:rsidRPr="00B01FC5">
        <w:rPr>
          <w:rFonts w:ascii="Book Antiqua" w:hAnsi="Book Antiqua"/>
          <w:noProof/>
          <w:color w:val="auto"/>
          <w:vertAlign w:val="superscript"/>
        </w:rPr>
        <w:t>[37]</w:t>
      </w:r>
      <w:r w:rsidRPr="00B01FC5">
        <w:rPr>
          <w:rFonts w:ascii="Book Antiqua" w:hAnsi="Book Antiqua"/>
          <w:color w:val="auto"/>
        </w:rPr>
        <w:t>.</w:t>
      </w:r>
    </w:p>
    <w:p w:rsidR="00951AB4" w:rsidRPr="00B01FC5" w:rsidRDefault="00951AB4" w:rsidP="00187E61">
      <w:pPr>
        <w:pStyle w:val="CorpoA"/>
        <w:spacing w:line="360" w:lineRule="auto"/>
        <w:ind w:firstLineChars="100" w:firstLine="240"/>
        <w:jc w:val="both"/>
        <w:rPr>
          <w:rFonts w:ascii="Book Antiqua" w:hAnsi="Book Antiqua"/>
          <w:color w:val="auto"/>
        </w:rPr>
      </w:pPr>
      <w:r w:rsidRPr="00B01FC5">
        <w:rPr>
          <w:rFonts w:ascii="Book Antiqua" w:hAnsi="Book Antiqua"/>
          <w:color w:val="auto"/>
        </w:rPr>
        <w:t xml:space="preserve">The results of a phase III study comparing sorafenib alone </w:t>
      </w:r>
      <w:r w:rsidR="00D8020F" w:rsidRPr="00B01FC5">
        <w:rPr>
          <w:rFonts w:ascii="Book Antiqua" w:hAnsi="Book Antiqua"/>
          <w:color w:val="auto"/>
        </w:rPr>
        <w:t>vs.</w:t>
      </w:r>
      <w:r w:rsidRPr="00B01FC5">
        <w:rPr>
          <w:rFonts w:ascii="Book Antiqua" w:hAnsi="Book Antiqua"/>
          <w:color w:val="auto"/>
        </w:rPr>
        <w:t xml:space="preserve"> sorafenib plus doxorubicin have been rece</w:t>
      </w:r>
      <w:r w:rsidR="00187E61">
        <w:rPr>
          <w:rFonts w:ascii="Book Antiqua" w:hAnsi="Book Antiqua"/>
          <w:color w:val="auto"/>
        </w:rPr>
        <w:t>ntly presented in abstract form</w:t>
      </w:r>
      <w:r w:rsidRPr="00B01FC5">
        <w:rPr>
          <w:rFonts w:ascii="Book Antiqua" w:hAnsi="Book Antiqua"/>
          <w:noProof/>
          <w:color w:val="auto"/>
          <w:vertAlign w:val="superscript"/>
        </w:rPr>
        <w:t>[38]</w:t>
      </w:r>
      <w:r w:rsidRPr="00B01FC5">
        <w:rPr>
          <w:rFonts w:ascii="Book Antiqua" w:hAnsi="Book Antiqua"/>
          <w:color w:val="auto"/>
        </w:rPr>
        <w:t xml:space="preserve">. The addition of doxorubicin to sorafenib resulted in higher toxicity and did not improve OS or </w:t>
      </w:r>
      <w:r w:rsidR="003367BE" w:rsidRPr="00B01FC5">
        <w:rPr>
          <w:rFonts w:ascii="Book Antiqua" w:hAnsi="Book Antiqua"/>
          <w:color w:val="auto"/>
        </w:rPr>
        <w:t>progression-free survival</w:t>
      </w:r>
      <w:r w:rsidRPr="00B01FC5">
        <w:rPr>
          <w:rFonts w:ascii="Book Antiqua" w:hAnsi="Book Antiqua"/>
          <w:color w:val="auto"/>
        </w:rPr>
        <w:t xml:space="preserve">. In another phase II study, first-line combination therapy with sorafenib and gemcitabine/oxaliplatin did not result in longer OS or progression-free survival compared to sorafenib alone, although the primary endpoint (4-mo </w:t>
      </w:r>
      <w:r w:rsidR="003367BE" w:rsidRPr="00B01FC5">
        <w:rPr>
          <w:rFonts w:ascii="Book Antiqua" w:hAnsi="Book Antiqua"/>
          <w:color w:val="auto"/>
        </w:rPr>
        <w:t>progression-free survival</w:t>
      </w:r>
      <w:r w:rsidR="00187E61">
        <w:rPr>
          <w:rFonts w:ascii="Book Antiqua" w:hAnsi="Book Antiqua" w:hint="eastAsia"/>
          <w:color w:val="auto"/>
          <w:lang w:eastAsia="zh-CN"/>
        </w:rPr>
        <w:t xml:space="preserve"> </w:t>
      </w:r>
      <w:r w:rsidRPr="00B01FC5">
        <w:rPr>
          <w:rFonts w:ascii="Book Antiqua" w:hAnsi="Book Antiqua"/>
          <w:color w:val="auto"/>
        </w:rPr>
        <w:t>&gt;</w:t>
      </w:r>
      <w:r w:rsidR="00187E61">
        <w:rPr>
          <w:rFonts w:ascii="Book Antiqua" w:hAnsi="Book Antiqua" w:hint="eastAsia"/>
          <w:color w:val="auto"/>
          <w:lang w:eastAsia="zh-CN"/>
        </w:rPr>
        <w:t xml:space="preserve"> </w:t>
      </w:r>
      <w:r w:rsidR="002D6B47">
        <w:rPr>
          <w:rFonts w:ascii="Book Antiqua" w:hAnsi="Book Antiqua"/>
          <w:color w:val="auto"/>
        </w:rPr>
        <w:t>50%) was reached</w:t>
      </w:r>
      <w:r w:rsidRPr="00B01FC5">
        <w:rPr>
          <w:rFonts w:ascii="Book Antiqua" w:hAnsi="Book Antiqua"/>
          <w:noProof/>
          <w:color w:val="auto"/>
          <w:vertAlign w:val="superscript"/>
        </w:rPr>
        <w:t>[39]</w:t>
      </w:r>
      <w:r w:rsidRPr="00B01FC5">
        <w:rPr>
          <w:rFonts w:ascii="Book Antiqua" w:hAnsi="Book Antiqua"/>
          <w:color w:val="auto"/>
        </w:rPr>
        <w:t>. Conventional cytotoxic chemotherapy has been investigated in a first line, phase III trial conducted in Asia and comparing the effects of oxaliplati</w:t>
      </w:r>
      <w:r w:rsidR="00187E61">
        <w:rPr>
          <w:rFonts w:ascii="Book Antiqua" w:hAnsi="Book Antiqua"/>
          <w:color w:val="auto"/>
        </w:rPr>
        <w:t>n/fluorouracil with doxorubicin</w:t>
      </w:r>
      <w:r w:rsidRPr="00B01FC5">
        <w:rPr>
          <w:rFonts w:ascii="Book Antiqua" w:hAnsi="Book Antiqua"/>
          <w:noProof/>
          <w:color w:val="auto"/>
          <w:vertAlign w:val="superscript"/>
        </w:rPr>
        <w:t>[40]</w:t>
      </w:r>
      <w:r w:rsidRPr="00B01FC5">
        <w:rPr>
          <w:rFonts w:ascii="Book Antiqua" w:hAnsi="Book Antiqua"/>
          <w:color w:val="auto"/>
        </w:rPr>
        <w:t xml:space="preserve">. Significant benefits of FOLFOX were found on progression-free survival , while OS resulted significant only in a post-hoc analysis (6.5 </w:t>
      </w:r>
      <w:r w:rsidR="00187E61" w:rsidRPr="00B01FC5">
        <w:rPr>
          <w:rFonts w:ascii="Book Antiqua" w:hAnsi="Book Antiqua"/>
          <w:color w:val="auto"/>
        </w:rPr>
        <w:t xml:space="preserve">mo </w:t>
      </w:r>
      <w:r w:rsidR="003749F5"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 xml:space="preserve">4.9 mo). Sorafenib in combination with other chemotherapeutic regimens, </w:t>
      </w:r>
      <w:r w:rsidRPr="00187E61">
        <w:rPr>
          <w:rFonts w:ascii="Book Antiqua" w:hAnsi="Book Antiqua"/>
          <w:i/>
          <w:color w:val="auto"/>
        </w:rPr>
        <w:t>e.g.</w:t>
      </w:r>
      <w:r w:rsidRPr="00B01FC5">
        <w:rPr>
          <w:rFonts w:ascii="Book Antiqua" w:hAnsi="Book Antiqua"/>
          <w:color w:val="auto"/>
        </w:rPr>
        <w:t xml:space="preserve"> gemcitabine/oxaliplatin or capecitabine/oxaliplatin is currently being investigated in phase II studies. Although the combination of cytotoxic chemotherapy and sorafenib is still being evaluated in clinical trials, this combination does not appear particularly promising.</w:t>
      </w:r>
    </w:p>
    <w:p w:rsidR="00506B25" w:rsidRPr="00B01FC5" w:rsidRDefault="00506B25" w:rsidP="009352FD">
      <w:pPr>
        <w:pStyle w:val="CorpoA"/>
        <w:spacing w:line="360" w:lineRule="auto"/>
        <w:jc w:val="both"/>
        <w:rPr>
          <w:rFonts w:ascii="Book Antiqua" w:hAnsi="Book Antiqua"/>
          <w:b/>
          <w:color w:val="auto"/>
        </w:rPr>
      </w:pPr>
    </w:p>
    <w:p w:rsidR="00951AB4" w:rsidRPr="0033508F" w:rsidRDefault="00951AB4" w:rsidP="009352FD">
      <w:pPr>
        <w:pStyle w:val="CorpoA"/>
        <w:spacing w:line="360" w:lineRule="auto"/>
        <w:jc w:val="both"/>
        <w:rPr>
          <w:rFonts w:ascii="Book Antiqua" w:hAnsi="Book Antiqua"/>
          <w:b/>
          <w:i/>
          <w:color w:val="auto"/>
        </w:rPr>
      </w:pPr>
      <w:r w:rsidRPr="0033508F">
        <w:rPr>
          <w:rFonts w:ascii="Book Antiqua" w:hAnsi="Book Antiqua"/>
          <w:b/>
          <w:i/>
          <w:color w:val="auto"/>
        </w:rPr>
        <w:t>Second-line</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Patients who fail first-line systemic therapy are considered to have poor prognosis, and s</w:t>
      </w:r>
      <w:r w:rsidR="00187E61">
        <w:rPr>
          <w:rFonts w:ascii="Book Antiqua" w:hAnsi="Book Antiqua"/>
          <w:color w:val="auto"/>
        </w:rPr>
        <w:t>econd-line trials are warranted</w:t>
      </w:r>
      <w:r w:rsidRPr="00B01FC5">
        <w:rPr>
          <w:rFonts w:ascii="Book Antiqua" w:hAnsi="Book Antiqua"/>
          <w:noProof/>
          <w:color w:val="auto"/>
          <w:vertAlign w:val="superscript"/>
        </w:rPr>
        <w:t>[41]</w:t>
      </w:r>
      <w:r w:rsidR="00187E61">
        <w:rPr>
          <w:rFonts w:ascii="Book Antiqua" w:hAnsi="Book Antiqua" w:hint="eastAsia"/>
          <w:noProof/>
          <w:color w:val="auto"/>
          <w:vertAlign w:val="superscript"/>
          <w:lang w:eastAsia="zh-CN"/>
        </w:rPr>
        <w:t xml:space="preserve"> </w:t>
      </w:r>
      <w:r w:rsidR="002D5327" w:rsidRPr="00B01FC5">
        <w:rPr>
          <w:rFonts w:ascii="Book Antiqua" w:hAnsi="Book Antiqua"/>
          <w:color w:val="auto"/>
        </w:rPr>
        <w:t>(Table 3)</w:t>
      </w:r>
      <w:r w:rsidRPr="00B01FC5">
        <w:rPr>
          <w:rFonts w:ascii="Book Antiqua" w:hAnsi="Book Antiqua"/>
          <w:color w:val="auto"/>
        </w:rPr>
        <w:t xml:space="preserve">. Brivanib was also investigated in the BRISK-PS (brivanib-post sorafenib) trial, where brivanib and placebo were compared in patients who progressed on/after or were intolerant to sorafenib. Although TTP was significantly longer in the brivanib arm than with placebo (4.2 </w:t>
      </w:r>
      <w:r w:rsidR="00187E61">
        <w:rPr>
          <w:rFonts w:ascii="Book Antiqua" w:hAnsi="Book Antiqua" w:hint="eastAsia"/>
          <w:color w:val="auto"/>
          <w:lang w:eastAsia="zh-CN"/>
        </w:rPr>
        <w:t xml:space="preserve">mo </w:t>
      </w:r>
      <w:r w:rsidR="00187E61" w:rsidRPr="00187E61">
        <w:rPr>
          <w:rFonts w:ascii="Book Antiqua" w:hAnsi="Book Antiqua"/>
          <w:i/>
          <w:color w:val="auto"/>
        </w:rPr>
        <w:t>vs</w:t>
      </w:r>
      <w:r w:rsidRPr="00B01FC5">
        <w:rPr>
          <w:rFonts w:ascii="Book Antiqua" w:hAnsi="Book Antiqua"/>
          <w:color w:val="auto"/>
        </w:rPr>
        <w:t xml:space="preserve"> 2.7 mo), the primary end point of the study was not reached, as no differences in OS were observed comparing brivanib and placebo (9.4 and 8.</w:t>
      </w:r>
      <w:r w:rsidR="00187E61">
        <w:rPr>
          <w:rFonts w:ascii="Book Antiqua" w:hAnsi="Book Antiqua"/>
          <w:color w:val="auto"/>
        </w:rPr>
        <w:t>2 mo, respectively)</w:t>
      </w:r>
      <w:r w:rsidRPr="00B01FC5">
        <w:rPr>
          <w:rFonts w:ascii="Book Antiqua" w:hAnsi="Book Antiqua"/>
          <w:noProof/>
          <w:color w:val="auto"/>
          <w:vertAlign w:val="superscript"/>
        </w:rPr>
        <w:t>[42]</w:t>
      </w:r>
      <w:r w:rsidRPr="00B01FC5">
        <w:rPr>
          <w:rFonts w:ascii="Book Antiqua" w:hAnsi="Book Antiqua"/>
          <w:color w:val="auto"/>
        </w:rPr>
        <w:t>. It is possible that imbalances in patients’ recruitment, favoring the placebo arm in terms of some parameters associated with a better prognosis, contributed to th</w:t>
      </w:r>
      <w:r w:rsidR="00187E61">
        <w:rPr>
          <w:rFonts w:ascii="Book Antiqua" w:hAnsi="Book Antiqua"/>
          <w:color w:val="auto"/>
        </w:rPr>
        <w:t>e failure of the BRISK-PS trial</w:t>
      </w:r>
      <w:r w:rsidRPr="00B01FC5">
        <w:rPr>
          <w:rFonts w:ascii="Book Antiqua" w:hAnsi="Book Antiqua"/>
          <w:noProof/>
          <w:color w:val="auto"/>
          <w:vertAlign w:val="superscript"/>
        </w:rPr>
        <w:t>[43]</w:t>
      </w:r>
      <w:r w:rsidRPr="00B01FC5">
        <w:rPr>
          <w:rFonts w:ascii="Book Antiqua" w:hAnsi="Book Antiqua"/>
          <w:color w:val="auto"/>
        </w:rPr>
        <w:t>.</w:t>
      </w:r>
    </w:p>
    <w:p w:rsidR="00951AB4" w:rsidRPr="00B01FC5" w:rsidRDefault="00951AB4" w:rsidP="00187E61">
      <w:pPr>
        <w:pStyle w:val="CorpoA"/>
        <w:spacing w:line="360" w:lineRule="auto"/>
        <w:ind w:firstLineChars="100" w:firstLine="240"/>
        <w:jc w:val="both"/>
        <w:rPr>
          <w:rFonts w:ascii="Book Antiqua" w:hAnsi="Book Antiqua"/>
          <w:color w:val="auto"/>
        </w:rPr>
      </w:pPr>
      <w:r w:rsidRPr="00B01FC5">
        <w:rPr>
          <w:rFonts w:ascii="Book Antiqua" w:hAnsi="Book Antiqua"/>
          <w:color w:val="auto"/>
        </w:rPr>
        <w:t>The human anti-</w:t>
      </w:r>
      <w:r w:rsidRPr="00B01FC5">
        <w:rPr>
          <w:rFonts w:ascii="Book Antiqua" w:hAnsi="Book Antiqua"/>
          <w:bCs/>
          <w:color w:val="auto"/>
        </w:rPr>
        <w:t xml:space="preserve">Vascular Endothelial Growth Factor Receptor 2 </w:t>
      </w:r>
      <w:r w:rsidRPr="00B01FC5">
        <w:rPr>
          <w:rFonts w:ascii="Book Antiqua" w:hAnsi="Book Antiqua"/>
          <w:color w:val="auto"/>
        </w:rPr>
        <w:t>antibody, ramucirumab, has been recently studied in a second-line, pha</w:t>
      </w:r>
      <w:r w:rsidR="00187E61">
        <w:rPr>
          <w:rFonts w:ascii="Book Antiqua" w:hAnsi="Book Antiqua"/>
          <w:color w:val="auto"/>
        </w:rPr>
        <w:t>se III in comparison to placebo</w:t>
      </w:r>
      <w:r w:rsidRPr="00B01FC5">
        <w:rPr>
          <w:rFonts w:ascii="Book Antiqua" w:hAnsi="Book Antiqua"/>
          <w:noProof/>
          <w:color w:val="auto"/>
          <w:vertAlign w:val="superscript"/>
        </w:rPr>
        <w:t>[44]</w:t>
      </w:r>
      <w:r w:rsidRPr="00B01FC5">
        <w:rPr>
          <w:rFonts w:ascii="Book Antiqua" w:hAnsi="Book Antiqua"/>
          <w:color w:val="auto"/>
        </w:rPr>
        <w:t>. Median OS for the ramucirumab group was 9</w:t>
      </w:r>
      <w:r w:rsidR="002D5327" w:rsidRPr="00B01FC5">
        <w:rPr>
          <w:rFonts w:ascii="Book Antiqua" w:hAnsi="Book Antiqua"/>
          <w:color w:val="auto"/>
        </w:rPr>
        <w:t>.</w:t>
      </w:r>
      <w:r w:rsidRPr="00B01FC5">
        <w:rPr>
          <w:rFonts w:ascii="Book Antiqua" w:hAnsi="Book Antiqua"/>
          <w:color w:val="auto"/>
        </w:rPr>
        <w:t xml:space="preserve">2 mo </w:t>
      </w:r>
      <w:r w:rsidR="00187E61" w:rsidRPr="00187E61">
        <w:rPr>
          <w:rFonts w:ascii="Book Antiqua" w:hAnsi="Book Antiqua"/>
          <w:i/>
          <w:color w:val="auto"/>
        </w:rPr>
        <w:t>vs</w:t>
      </w:r>
      <w:r w:rsidR="00187E61" w:rsidRPr="00B01FC5">
        <w:rPr>
          <w:rFonts w:ascii="Book Antiqua" w:hAnsi="Book Antiqua"/>
          <w:color w:val="auto"/>
        </w:rPr>
        <w:t xml:space="preserve"> </w:t>
      </w:r>
      <w:r w:rsidRPr="00B01FC5">
        <w:rPr>
          <w:rFonts w:ascii="Book Antiqua" w:hAnsi="Book Antiqua"/>
          <w:color w:val="auto"/>
        </w:rPr>
        <w:t>7</w:t>
      </w:r>
      <w:r w:rsidR="002D5327" w:rsidRPr="00B01FC5">
        <w:rPr>
          <w:rFonts w:ascii="Book Antiqua" w:hAnsi="Book Antiqua"/>
          <w:color w:val="auto"/>
        </w:rPr>
        <w:t>.</w:t>
      </w:r>
      <w:r w:rsidRPr="00B01FC5">
        <w:rPr>
          <w:rFonts w:ascii="Book Antiqua" w:hAnsi="Book Antiqua"/>
          <w:color w:val="auto"/>
        </w:rPr>
        <w:t>6 mo for the placebo group (</w:t>
      </w:r>
      <w:r w:rsidRPr="00187E61">
        <w:rPr>
          <w:rFonts w:ascii="Book Antiqua" w:hAnsi="Book Antiqua"/>
          <w:i/>
          <w:caps/>
          <w:color w:val="auto"/>
        </w:rPr>
        <w:t>p</w:t>
      </w:r>
      <w:r w:rsidR="00187E61">
        <w:rPr>
          <w:rFonts w:ascii="Book Antiqua" w:hAnsi="Book Antiqua" w:hint="eastAsia"/>
          <w:i/>
          <w:caps/>
          <w:color w:val="auto"/>
          <w:lang w:eastAsia="zh-CN"/>
        </w:rPr>
        <w:t xml:space="preserve"> </w:t>
      </w:r>
      <w:r w:rsidRPr="00B01FC5">
        <w:rPr>
          <w:rFonts w:ascii="Book Antiqua" w:hAnsi="Book Antiqua"/>
          <w:color w:val="auto"/>
        </w:rPr>
        <w:t>=</w:t>
      </w:r>
      <w:r w:rsidR="00187E61">
        <w:rPr>
          <w:rFonts w:ascii="Book Antiqua" w:hAnsi="Book Antiqua" w:hint="eastAsia"/>
          <w:color w:val="auto"/>
          <w:lang w:eastAsia="zh-CN"/>
        </w:rPr>
        <w:t xml:space="preserve"> </w:t>
      </w:r>
      <w:r w:rsidRPr="00B01FC5">
        <w:rPr>
          <w:rFonts w:ascii="Book Antiqua" w:hAnsi="Book Antiqua"/>
          <w:color w:val="auto"/>
        </w:rPr>
        <w:t>0</w:t>
      </w:r>
      <w:r w:rsidR="002D5327" w:rsidRPr="00B01FC5">
        <w:rPr>
          <w:rFonts w:ascii="Book Antiqua" w:hAnsi="Book Antiqua"/>
          <w:color w:val="auto"/>
        </w:rPr>
        <w:t>.</w:t>
      </w:r>
      <w:r w:rsidRPr="00B01FC5">
        <w:rPr>
          <w:rFonts w:ascii="Book Antiqua" w:hAnsi="Book Antiqua"/>
          <w:color w:val="auto"/>
        </w:rPr>
        <w:t xml:space="preserve">14), and thus the primary endpoint of the study was not reached. However, a subgroup analysis showed that patients with elevated alpha-fetoprotein could benefit </w:t>
      </w:r>
      <w:r w:rsidRPr="00B01FC5">
        <w:rPr>
          <w:rFonts w:ascii="Book Antiqua" w:hAnsi="Book Antiqua"/>
          <w:color w:val="auto"/>
        </w:rPr>
        <w:lastRenderedPageBreak/>
        <w:t xml:space="preserve">from this treatment. Therefore, a phase 3, placebo-controlled trial testing ramucirumab as a second-line treatment in patients with elevated basal alpha-fetoprotein is currently recruiting patients (NCT02435433, clinicaltrials.gov, accessed April 25, 2016). Similarly, administration of everolimus to patients who failed sorafenib as a first-line treatment did not result in an improved OS over placebo (7.6 </w:t>
      </w:r>
      <w:r w:rsidR="00187E61">
        <w:rPr>
          <w:rFonts w:ascii="Book Antiqua" w:hAnsi="Book Antiqua" w:hint="eastAsia"/>
          <w:color w:val="auto"/>
          <w:lang w:eastAsia="zh-CN"/>
        </w:rPr>
        <w:t xml:space="preserve">mo </w:t>
      </w:r>
      <w:r w:rsidR="00187E61" w:rsidRPr="00187E61">
        <w:rPr>
          <w:rFonts w:ascii="Book Antiqua" w:hAnsi="Book Antiqua"/>
          <w:i/>
          <w:color w:val="auto"/>
        </w:rPr>
        <w:t>vs</w:t>
      </w:r>
      <w:r w:rsidR="00187E61">
        <w:rPr>
          <w:rFonts w:ascii="Book Antiqua" w:hAnsi="Book Antiqua"/>
          <w:color w:val="auto"/>
        </w:rPr>
        <w:t xml:space="preserve"> 7.3 mo)</w:t>
      </w:r>
      <w:r w:rsidRPr="00B01FC5">
        <w:rPr>
          <w:rFonts w:ascii="Book Antiqua" w:hAnsi="Book Antiqua"/>
          <w:noProof/>
          <w:color w:val="auto"/>
          <w:vertAlign w:val="superscript"/>
        </w:rPr>
        <w:t>[45]</w:t>
      </w:r>
      <w:r w:rsidRPr="00B01FC5">
        <w:rPr>
          <w:rFonts w:ascii="Book Antiqua" w:hAnsi="Book Antiqua"/>
          <w:color w:val="auto"/>
        </w:rPr>
        <w:t xml:space="preserve">. Other </w:t>
      </w:r>
      <w:r w:rsidRPr="00B01FC5">
        <w:rPr>
          <w:rFonts w:ascii="Book Antiqua" w:hAnsi="Book Antiqua" w:cs="Arial"/>
          <w:color w:val="auto"/>
        </w:rPr>
        <w:t xml:space="preserve">mammalian target of rapamycin </w:t>
      </w:r>
      <w:r w:rsidRPr="00B01FC5">
        <w:rPr>
          <w:rFonts w:ascii="Book Antiqua" w:hAnsi="Book Antiqua"/>
          <w:color w:val="auto"/>
        </w:rPr>
        <w:t>inhibitors have been tested in phase I-II trials, but conflic</w:t>
      </w:r>
      <w:r w:rsidR="00187E61">
        <w:rPr>
          <w:rFonts w:ascii="Book Antiqua" w:hAnsi="Book Antiqua"/>
          <w:color w:val="auto"/>
        </w:rPr>
        <w:t>ting results have been reported</w:t>
      </w:r>
      <w:r w:rsidRPr="00B01FC5">
        <w:rPr>
          <w:rFonts w:ascii="Book Antiqua" w:hAnsi="Book Antiqua"/>
          <w:noProof/>
          <w:color w:val="auto"/>
          <w:vertAlign w:val="superscript"/>
        </w:rPr>
        <w:t>[43]</w:t>
      </w:r>
      <w:r w:rsidRPr="00B01FC5">
        <w:rPr>
          <w:rFonts w:ascii="Book Antiqua" w:hAnsi="Book Antiqua"/>
          <w:color w:val="auto"/>
        </w:rPr>
        <w:t>.</w:t>
      </w:r>
    </w:p>
    <w:p w:rsidR="00951AB4" w:rsidRPr="00187E61" w:rsidRDefault="00951AB4" w:rsidP="009352FD">
      <w:pPr>
        <w:pStyle w:val="CorpoA"/>
        <w:spacing w:line="360" w:lineRule="auto"/>
        <w:jc w:val="both"/>
        <w:rPr>
          <w:rFonts w:ascii="Book Antiqua" w:hAnsi="Book Antiqua"/>
          <w:color w:val="auto"/>
        </w:rPr>
      </w:pPr>
    </w:p>
    <w:p w:rsidR="00951AB4" w:rsidRPr="0033508F" w:rsidRDefault="00951AB4" w:rsidP="009352FD">
      <w:pPr>
        <w:pStyle w:val="CorpoA"/>
        <w:spacing w:line="360" w:lineRule="auto"/>
        <w:jc w:val="both"/>
        <w:rPr>
          <w:rFonts w:ascii="Book Antiqua" w:hAnsi="Book Antiqua"/>
          <w:b/>
          <w:i/>
          <w:color w:val="auto"/>
        </w:rPr>
      </w:pPr>
      <w:r w:rsidRPr="0033508F">
        <w:rPr>
          <w:rFonts w:ascii="Book Antiqua" w:hAnsi="Book Antiqua"/>
          <w:b/>
          <w:i/>
          <w:color w:val="auto"/>
        </w:rPr>
        <w:t>Ongoing studies</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 xml:space="preserve">Other compounds are currently under investigation in phase III trial, the final results of which have not been yet reported. These include other compounds acting as antiangiogenic agents, including lenvatinib, regorafenib and dovitinib. </w:t>
      </w:r>
      <w:r w:rsidR="00CD0DA0" w:rsidRPr="00B01FC5">
        <w:rPr>
          <w:rFonts w:ascii="Book Antiqua" w:hAnsi="Book Antiqua"/>
          <w:color w:val="auto"/>
        </w:rPr>
        <w:t>These are summarized in</w:t>
      </w:r>
      <w:r w:rsidR="00F14DC8" w:rsidRPr="00B01FC5">
        <w:rPr>
          <w:rFonts w:ascii="Book Antiqua" w:hAnsi="Book Antiqua"/>
          <w:color w:val="auto"/>
        </w:rPr>
        <w:t xml:space="preserve"> Table 4</w:t>
      </w:r>
      <w:r w:rsidR="00CD0DA0" w:rsidRPr="00B01FC5">
        <w:rPr>
          <w:rFonts w:ascii="Book Antiqua" w:hAnsi="Book Antiqua"/>
          <w:color w:val="auto"/>
        </w:rPr>
        <w:t xml:space="preserve">. </w:t>
      </w:r>
      <w:r w:rsidRPr="00B01FC5">
        <w:rPr>
          <w:rFonts w:ascii="Book Antiqua" w:hAnsi="Book Antiqua"/>
          <w:color w:val="auto"/>
        </w:rPr>
        <w:t>For a more complete discussion of ongoing studies and additional targets refer t</w:t>
      </w:r>
      <w:r w:rsidR="00187E61">
        <w:rPr>
          <w:rFonts w:ascii="Book Antiqua" w:hAnsi="Book Antiqua"/>
          <w:color w:val="auto"/>
        </w:rPr>
        <w:t>o a recent comprehensive review</w:t>
      </w:r>
      <w:r w:rsidRPr="00B01FC5">
        <w:rPr>
          <w:rFonts w:ascii="Book Antiqua" w:hAnsi="Book Antiqua"/>
          <w:noProof/>
          <w:color w:val="auto"/>
          <w:vertAlign w:val="superscript"/>
        </w:rPr>
        <w:t>[43]</w:t>
      </w:r>
      <w:r w:rsidRPr="00B01FC5">
        <w:rPr>
          <w:rFonts w:ascii="Book Antiqua" w:hAnsi="Book Antiqua"/>
          <w:color w:val="auto"/>
        </w:rPr>
        <w:t>.</w:t>
      </w:r>
    </w:p>
    <w:p w:rsidR="00951AB4" w:rsidRPr="00B01FC5" w:rsidRDefault="00951AB4" w:rsidP="00187E61">
      <w:pPr>
        <w:pStyle w:val="Corpo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rPr>
      </w:pPr>
      <w:r w:rsidRPr="00B01FC5">
        <w:rPr>
          <w:rFonts w:ascii="Book Antiqua" w:hAnsi="Book Antiqua"/>
          <w:color w:val="auto"/>
        </w:rPr>
        <w:t>A promising approach has been obtained with the phase II study investigating tivantinib, an inhibitor of the Met tyrosine kinase, the receptor for hepatocyte growth factor. In this study, patients overexpressing Met, the target of tivantinib, had a s</w:t>
      </w:r>
      <w:r w:rsidR="00187E61">
        <w:rPr>
          <w:rFonts w:ascii="Book Antiqua" w:hAnsi="Book Antiqua"/>
          <w:color w:val="auto"/>
        </w:rPr>
        <w:t>ignificant benefit over placebo</w:t>
      </w:r>
      <w:r w:rsidRPr="00B01FC5">
        <w:rPr>
          <w:rFonts w:ascii="Book Antiqua" w:hAnsi="Book Antiqua"/>
          <w:noProof/>
          <w:color w:val="auto"/>
          <w:vertAlign w:val="superscript"/>
        </w:rPr>
        <w:t>[12]</w:t>
      </w:r>
      <w:r w:rsidRPr="00B01FC5">
        <w:rPr>
          <w:rFonts w:ascii="Book Antiqua" w:hAnsi="Book Antiqua"/>
          <w:color w:val="auto"/>
        </w:rPr>
        <w:t>. Remarkably, expression of Met in patients receiving placebo was associated with a more aggressive behavior of the tumor, indicating that Met is both a therapeutic target and a prognostic biomarker. A phase III trial comparing tivantinib and placebo as a second line therapy is currently underway. Along the same lines, a trial comparing placebo and cabozantinib, a dual Met and Hepatocyte growth factor inhibitor, has been undertaken.</w:t>
      </w:r>
    </w:p>
    <w:p w:rsidR="00951AB4" w:rsidRPr="00B01FC5" w:rsidRDefault="00951AB4" w:rsidP="00187E61">
      <w:pPr>
        <w:pStyle w:val="Corpo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rPr>
      </w:pPr>
      <w:r w:rsidRPr="00B01FC5">
        <w:rPr>
          <w:rFonts w:ascii="Book Antiqua" w:hAnsi="Book Antiqua"/>
          <w:color w:val="auto"/>
        </w:rPr>
        <w:t>One of the most promising areas in the field of HCC is represented by immunotherapy. Expression of PD-1 and CTLA-4 on immune cells is associated with blockade of the anti-tumor immune response, favoring the progre</w:t>
      </w:r>
      <w:r w:rsidR="00187E61">
        <w:rPr>
          <w:rFonts w:ascii="Book Antiqua" w:hAnsi="Book Antiqua"/>
          <w:color w:val="auto"/>
        </w:rPr>
        <w:t>ssion of cancer</w:t>
      </w:r>
      <w:r w:rsidRPr="00B01FC5">
        <w:rPr>
          <w:rFonts w:ascii="Book Antiqua" w:hAnsi="Book Antiqua"/>
          <w:noProof/>
          <w:color w:val="auto"/>
          <w:vertAlign w:val="superscript"/>
        </w:rPr>
        <w:t>[46]</w:t>
      </w:r>
      <w:r w:rsidRPr="00B01FC5">
        <w:rPr>
          <w:rFonts w:ascii="Book Antiqua" w:hAnsi="Book Antiqua"/>
          <w:color w:val="auto"/>
        </w:rPr>
        <w:t>. In a Phase I/II study recently presented in abstract form nivolumab, an anti-PD-1 monoclonal antibody, induced tumor size stabilization or r</w:t>
      </w:r>
      <w:r w:rsidR="00187E61">
        <w:rPr>
          <w:rFonts w:ascii="Book Antiqua" w:hAnsi="Book Antiqua"/>
          <w:color w:val="auto"/>
        </w:rPr>
        <w:t>eduction in 67% of the patients</w:t>
      </w:r>
      <w:r w:rsidRPr="00B01FC5">
        <w:rPr>
          <w:rFonts w:ascii="Book Antiqua" w:hAnsi="Book Antiqua"/>
          <w:noProof/>
          <w:color w:val="auto"/>
          <w:vertAlign w:val="superscript"/>
        </w:rPr>
        <w:t>[47]</w:t>
      </w:r>
      <w:r w:rsidRPr="00B01FC5">
        <w:rPr>
          <w:rFonts w:ascii="Book Antiqua" w:hAnsi="Book Antiqua"/>
          <w:color w:val="auto"/>
        </w:rPr>
        <w:t xml:space="preserve">. In addition, the effects of this treatment were durable, as previously observed in other types of cancer. A phase III study comparing the effects of sorafenib and nivolumab in advanced HCC is currently underway (Table 4). </w:t>
      </w:r>
    </w:p>
    <w:p w:rsidR="00951AB4" w:rsidRPr="00B01FC5" w:rsidRDefault="00951AB4" w:rsidP="009352FD">
      <w:pPr>
        <w:pStyle w:val="CorpoA"/>
        <w:spacing w:line="360" w:lineRule="auto"/>
        <w:jc w:val="both"/>
        <w:rPr>
          <w:rFonts w:ascii="Book Antiqua" w:hAnsi="Book Antiqua"/>
          <w:color w:val="auto"/>
        </w:rPr>
      </w:pPr>
    </w:p>
    <w:p w:rsidR="00951AB4" w:rsidRPr="00187E61" w:rsidRDefault="00951AB4" w:rsidP="009352FD">
      <w:pPr>
        <w:pStyle w:val="CorpoA"/>
        <w:spacing w:line="360" w:lineRule="auto"/>
        <w:jc w:val="both"/>
        <w:rPr>
          <w:rFonts w:ascii="Book Antiqua" w:hAnsi="Book Antiqua"/>
          <w:i/>
          <w:color w:val="auto"/>
        </w:rPr>
      </w:pPr>
      <w:r w:rsidRPr="00187E61">
        <w:rPr>
          <w:rFonts w:ascii="Book Antiqua" w:hAnsi="Book Antiqua"/>
          <w:b/>
          <w:i/>
          <w:color w:val="auto"/>
        </w:rPr>
        <w:lastRenderedPageBreak/>
        <w:t>Combination therapy</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 xml:space="preserve">Sorafenib combined with classic chemotherapy: HCC is considered a poor responder to chemotherapy, which is not routinely used because of adverse events, particularly in patients with advanced cirrhosis. However, shrinkage of the tumor has been reported, although the magnitude of </w:t>
      </w:r>
      <w:r w:rsidR="00675EAD" w:rsidRPr="00B01FC5">
        <w:rPr>
          <w:rFonts w:ascii="Book Antiqua" w:hAnsi="Book Antiqua"/>
          <w:color w:val="auto"/>
        </w:rPr>
        <w:t>response is lacking consistency</w:t>
      </w:r>
      <w:r w:rsidRPr="00B01FC5">
        <w:rPr>
          <w:rFonts w:ascii="Book Antiqua" w:hAnsi="Book Antiqua"/>
          <w:color w:val="auto"/>
        </w:rPr>
        <w:t>. This has led to the possibility to add sorafenib to a chemotherapeutic agent, as above reported, although the toxicity profile of any chemotherapeutic drug to be added to s</w:t>
      </w:r>
      <w:r w:rsidR="00187E61">
        <w:rPr>
          <w:rFonts w:ascii="Book Antiqua" w:hAnsi="Book Antiqua"/>
          <w:color w:val="auto"/>
        </w:rPr>
        <w:t>orafenib should be kept in mind</w:t>
      </w:r>
      <w:r w:rsidR="00187E61">
        <w:rPr>
          <w:rFonts w:ascii="Book Antiqua" w:hAnsi="Book Antiqua"/>
          <w:noProof/>
          <w:color w:val="auto"/>
          <w:vertAlign w:val="superscript"/>
        </w:rPr>
        <w:t>[48,</w:t>
      </w:r>
      <w:r w:rsidRPr="00B01FC5">
        <w:rPr>
          <w:rFonts w:ascii="Book Antiqua" w:hAnsi="Book Antiqua"/>
          <w:noProof/>
          <w:color w:val="auto"/>
          <w:vertAlign w:val="superscript"/>
        </w:rPr>
        <w:t>49]</w:t>
      </w:r>
      <w:r w:rsidRPr="00B01FC5">
        <w:rPr>
          <w:rFonts w:ascii="Book Antiqua" w:hAnsi="Book Antiqua"/>
          <w:color w:val="auto"/>
        </w:rPr>
        <w:t>.</w:t>
      </w:r>
    </w:p>
    <w:p w:rsidR="00951AB4" w:rsidRPr="00B01FC5" w:rsidRDefault="00951AB4" w:rsidP="00187E61">
      <w:pPr>
        <w:pStyle w:val="Corpo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noProof/>
          <w:color w:val="auto"/>
        </w:rPr>
      </w:pPr>
      <w:r w:rsidRPr="00B01FC5">
        <w:rPr>
          <w:rFonts w:ascii="Book Antiqua" w:hAnsi="Book Antiqua"/>
          <w:color w:val="auto"/>
        </w:rPr>
        <w:t xml:space="preserve">Sorafenib and TACE could be a promising strategies in advanced HCC treatment. The high rate of HCC recurrence after TACE may be due to its enhancement of angiogenesis and upregulation of </w:t>
      </w:r>
      <w:r w:rsidRPr="00B01FC5">
        <w:rPr>
          <w:rFonts w:ascii="Book Antiqua" w:hAnsi="Book Antiqua"/>
          <w:bCs/>
          <w:color w:val="auto"/>
        </w:rPr>
        <w:t>Vascular Endothelial Growth Factor</w:t>
      </w:r>
      <w:r w:rsidRPr="00B01FC5">
        <w:rPr>
          <w:rFonts w:ascii="Book Antiqua" w:hAnsi="Book Antiqua"/>
          <w:color w:val="auto"/>
        </w:rPr>
        <w:t xml:space="preserve"> and p</w:t>
      </w:r>
      <w:r w:rsidRPr="00B01FC5">
        <w:rPr>
          <w:rFonts w:ascii="Book Antiqua" w:hAnsi="Book Antiqua"/>
          <w:bCs/>
          <w:color w:val="auto"/>
        </w:rPr>
        <w:t>latelet-derived growth factor receptors</w:t>
      </w:r>
      <w:r w:rsidRPr="00B01FC5">
        <w:rPr>
          <w:rFonts w:ascii="Book Antiqua" w:hAnsi="Book Antiqua"/>
          <w:color w:val="auto"/>
        </w:rPr>
        <w:t xml:space="preserve"> expression, which increases tumor angiogenesis. Therefore, combination of antiangiogenic agents with TACE, could potentially decrease the recurrence of HCC and improve survival. A phase III study has been conducted in Japan and Korea using sorafenib in combination with TACE versus TACE alone. However, combination therapy failed to show any benefit in terms of TTP (sorafenib </w:t>
      </w:r>
      <w:r w:rsidR="003749F5"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 xml:space="preserve">placebo 5.4 </w:t>
      </w:r>
      <w:r w:rsidR="00187E61">
        <w:rPr>
          <w:rFonts w:ascii="Book Antiqua" w:hAnsi="Book Antiqua" w:hint="eastAsia"/>
          <w:color w:val="auto"/>
          <w:lang w:eastAsia="zh-CN"/>
        </w:rPr>
        <w:t xml:space="preserve">mo </w:t>
      </w:r>
      <w:r w:rsidR="003749F5" w:rsidRPr="00187E61">
        <w:rPr>
          <w:rFonts w:ascii="Book Antiqua" w:hAnsi="Book Antiqua"/>
          <w:i/>
          <w:color w:val="auto"/>
        </w:rPr>
        <w:t>vs</w:t>
      </w:r>
      <w:r w:rsidR="00187E61">
        <w:rPr>
          <w:rFonts w:ascii="Book Antiqua" w:hAnsi="Book Antiqua" w:hint="eastAsia"/>
          <w:color w:val="auto"/>
          <w:lang w:eastAsia="zh-CN"/>
        </w:rPr>
        <w:t xml:space="preserve"> </w:t>
      </w:r>
      <w:r w:rsidR="002D6B47">
        <w:rPr>
          <w:rFonts w:ascii="Book Antiqua" w:hAnsi="Book Antiqua"/>
          <w:color w:val="auto"/>
        </w:rPr>
        <w:t>3.7 mo) or OS</w:t>
      </w:r>
      <w:r w:rsidRPr="00B01FC5">
        <w:rPr>
          <w:rFonts w:ascii="Book Antiqua" w:hAnsi="Book Antiqua"/>
          <w:noProof/>
          <w:color w:val="auto"/>
          <w:vertAlign w:val="superscript"/>
        </w:rPr>
        <w:t>[50]</w:t>
      </w:r>
      <w:r w:rsidRPr="00B01FC5">
        <w:rPr>
          <w:rFonts w:ascii="Book Antiqua" w:hAnsi="Book Antiqua"/>
          <w:color w:val="auto"/>
        </w:rPr>
        <w:t>. The results of the SPACE trial comparing sorafenib and placebo in patients undergoing TACE have been recently published. The combinati</w:t>
      </w:r>
      <w:r w:rsidR="008F7CC9" w:rsidRPr="00B01FC5">
        <w:rPr>
          <w:rFonts w:ascii="Book Antiqua" w:hAnsi="Book Antiqua"/>
          <w:color w:val="auto"/>
        </w:rPr>
        <w:t>o</w:t>
      </w:r>
      <w:r w:rsidRPr="00B01FC5">
        <w:rPr>
          <w:rFonts w:ascii="Book Antiqua" w:hAnsi="Book Antiqua"/>
          <w:color w:val="auto"/>
        </w:rPr>
        <w:t xml:space="preserve">n of sorafenib plus TACE with drug-eluting beads was technically feasible, but the combination did not improve </w:t>
      </w:r>
      <w:r w:rsidR="00F045BF" w:rsidRPr="00B01FC5">
        <w:rPr>
          <w:rFonts w:ascii="Book Antiqua" w:hAnsi="Book Antiqua"/>
          <w:color w:val="auto"/>
        </w:rPr>
        <w:t>TTP</w:t>
      </w:r>
      <w:r w:rsidRPr="00B01FC5">
        <w:rPr>
          <w:rFonts w:ascii="Book Antiqua" w:hAnsi="Book Antiqua"/>
          <w:color w:val="auto"/>
        </w:rPr>
        <w:t xml:space="preserve"> in</w:t>
      </w:r>
      <w:r w:rsidR="00187E61">
        <w:rPr>
          <w:rFonts w:ascii="Book Antiqua" w:hAnsi="Book Antiqua"/>
          <w:color w:val="auto"/>
        </w:rPr>
        <w:t xml:space="preserve"> a clinically meaningful manner</w:t>
      </w:r>
      <w:r w:rsidRPr="00B01FC5">
        <w:rPr>
          <w:rFonts w:ascii="Book Antiqua" w:hAnsi="Book Antiqua"/>
          <w:noProof/>
          <w:color w:val="auto"/>
          <w:vertAlign w:val="superscript"/>
        </w:rPr>
        <w:t>[51]</w:t>
      </w:r>
      <w:r w:rsidRPr="00B01FC5">
        <w:rPr>
          <w:rFonts w:ascii="Book Antiqua" w:hAnsi="Book Antiqua"/>
          <w:color w:val="auto"/>
        </w:rPr>
        <w:t>.</w:t>
      </w:r>
    </w:p>
    <w:p w:rsidR="00951AB4" w:rsidRPr="00B01FC5" w:rsidRDefault="00951AB4" w:rsidP="009352FD">
      <w:pPr>
        <w:pStyle w:val="CorpoA"/>
        <w:spacing w:line="360" w:lineRule="auto"/>
        <w:jc w:val="both"/>
        <w:rPr>
          <w:rFonts w:ascii="Book Antiqua" w:hAnsi="Book Antiqua"/>
          <w:color w:val="auto"/>
        </w:rPr>
      </w:pPr>
    </w:p>
    <w:p w:rsidR="00951AB4" w:rsidRPr="0033508F" w:rsidRDefault="0033508F" w:rsidP="009352FD">
      <w:pPr>
        <w:pStyle w:val="CorpoA"/>
        <w:spacing w:line="360" w:lineRule="auto"/>
        <w:jc w:val="both"/>
        <w:rPr>
          <w:rFonts w:ascii="Book Antiqua" w:hAnsi="Book Antiqua"/>
          <w:b/>
          <w:color w:val="auto"/>
        </w:rPr>
      </w:pPr>
      <w:r w:rsidRPr="0033508F">
        <w:rPr>
          <w:rFonts w:ascii="Book Antiqua" w:hAnsi="Book Antiqua"/>
          <w:b/>
          <w:color w:val="auto"/>
        </w:rPr>
        <w:t>ADVANCED HCC WITH PORTAL VEIN THROMBOSIS</w:t>
      </w:r>
      <w:r w:rsidR="00951AB4" w:rsidRPr="0033508F">
        <w:rPr>
          <w:rFonts w:ascii="Book Antiqua" w:hAnsi="Book Antiqua"/>
          <w:b/>
          <w:color w:val="auto"/>
        </w:rPr>
        <w:t xml:space="preserve"> </w:t>
      </w:r>
    </w:p>
    <w:p w:rsidR="00951AB4" w:rsidRPr="00B01FC5" w:rsidRDefault="00951AB4" w:rsidP="009352F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rPr>
      </w:pPr>
      <w:r w:rsidRPr="00B01FC5">
        <w:rPr>
          <w:rFonts w:ascii="Book Antiqua" w:hAnsi="Book Antiqua"/>
          <w:color w:val="auto"/>
        </w:rPr>
        <w:t>Advanced HCC with portal vein thrombosis (PVT) has a very poor prognosis, and includes a special population of patients at higher risk of liver failure. Reported OS is about 10-24 mo</w:t>
      </w:r>
      <w:r w:rsidR="007D1487">
        <w:rPr>
          <w:rFonts w:ascii="Book Antiqua" w:hAnsi="Book Antiqua" w:hint="eastAsia"/>
          <w:color w:val="auto"/>
          <w:lang w:eastAsia="zh-CN"/>
        </w:rPr>
        <w:t xml:space="preserve"> </w:t>
      </w:r>
      <w:r w:rsidRPr="00B01FC5">
        <w:rPr>
          <w:rFonts w:ascii="Book Antiqua" w:hAnsi="Book Antiqua"/>
          <w:color w:val="auto"/>
        </w:rPr>
        <w:t>in patients without PVT treated with BSC, compared to 2-4 mo</w:t>
      </w:r>
      <w:r w:rsidR="00187E61">
        <w:rPr>
          <w:rFonts w:ascii="Book Antiqua" w:hAnsi="Book Antiqua"/>
          <w:color w:val="auto"/>
        </w:rPr>
        <w:t xml:space="preserve"> in PVT patients</w:t>
      </w:r>
      <w:r w:rsidR="00187E61">
        <w:rPr>
          <w:rFonts w:ascii="Book Antiqua" w:hAnsi="Book Antiqua"/>
          <w:noProof/>
          <w:color w:val="auto"/>
          <w:vertAlign w:val="superscript"/>
        </w:rPr>
        <w:t>[52,</w:t>
      </w:r>
      <w:r w:rsidRPr="00B01FC5">
        <w:rPr>
          <w:rFonts w:ascii="Book Antiqua" w:hAnsi="Book Antiqua"/>
          <w:noProof/>
          <w:color w:val="auto"/>
          <w:vertAlign w:val="superscript"/>
        </w:rPr>
        <w:t>53]</w:t>
      </w:r>
      <w:r w:rsidRPr="00B01FC5">
        <w:rPr>
          <w:rFonts w:ascii="Book Antiqua" w:hAnsi="Book Antiqua"/>
          <w:color w:val="auto"/>
        </w:rPr>
        <w:t>.</w:t>
      </w:r>
      <w:r w:rsidR="00C1527F">
        <w:rPr>
          <w:rFonts w:ascii="Book Antiqua" w:hAnsi="Book Antiqua"/>
          <w:color w:val="auto"/>
        </w:rPr>
        <w:t xml:space="preserve"> </w:t>
      </w:r>
      <w:r w:rsidRPr="00B01FC5">
        <w:rPr>
          <w:rFonts w:ascii="Book Antiqua" w:hAnsi="Book Antiqua"/>
          <w:color w:val="auto"/>
        </w:rPr>
        <w:t>Clinical guidelines recommend sorafenib if PVT is present, but different strategies such as surgery, TACE, external radiation therapy, Trans-Arterial-Radio-Embolization (TARE) and combination therapies are object of several clinical trials. The surgical option, frequently employed in Asia, does not show satisfactory results and it is often technically difficult and not safe (operative mortality rate until 6%) in these patients</w:t>
      </w:r>
      <w:r w:rsidRPr="00B01FC5">
        <w:rPr>
          <w:rFonts w:ascii="Book Antiqua" w:hAnsi="Book Antiqua"/>
          <w:noProof/>
          <w:color w:val="auto"/>
          <w:vertAlign w:val="superscript"/>
        </w:rPr>
        <w:t>[54]</w:t>
      </w:r>
      <w:r w:rsidRPr="00B01FC5">
        <w:rPr>
          <w:rFonts w:ascii="Book Antiqua" w:hAnsi="Book Antiqua"/>
          <w:color w:val="auto"/>
        </w:rPr>
        <w:t xml:space="preserve">. TACE is also not recommended in PVT patients, because the injury due to ischemic events may cause serious complications like post-embolization syndrome and </w:t>
      </w:r>
      <w:r w:rsidRPr="00B01FC5">
        <w:rPr>
          <w:rFonts w:ascii="Book Antiqua" w:hAnsi="Book Antiqua"/>
          <w:color w:val="auto"/>
        </w:rPr>
        <w:lastRenderedPageBreak/>
        <w:t xml:space="preserve">liver failure. Therefore TACE should be reserved to those patients with preserved liver function. The results in term of OS are good (from 7.4 </w:t>
      </w:r>
      <w:r w:rsidR="00187E61">
        <w:rPr>
          <w:rFonts w:ascii="Book Antiqua" w:hAnsi="Book Antiqua" w:hint="eastAsia"/>
          <w:color w:val="auto"/>
          <w:lang w:eastAsia="zh-CN"/>
        </w:rPr>
        <w:t xml:space="preserve">mo </w:t>
      </w:r>
      <w:r w:rsidRPr="00B01FC5">
        <w:rPr>
          <w:rFonts w:ascii="Book Antiqua" w:hAnsi="Book Antiqua"/>
          <w:color w:val="auto"/>
        </w:rPr>
        <w:t>to 10.2 mo) if compared with BSC, but in general they are not significantly better than those ob</w:t>
      </w:r>
      <w:r w:rsidR="00187E61">
        <w:rPr>
          <w:rFonts w:ascii="Book Antiqua" w:hAnsi="Book Antiqua"/>
          <w:color w:val="auto"/>
        </w:rPr>
        <w:t>served during sorafenib therapy</w:t>
      </w:r>
      <w:r w:rsidRPr="00B01FC5">
        <w:rPr>
          <w:rFonts w:ascii="Book Antiqua" w:hAnsi="Book Antiqua"/>
          <w:noProof/>
          <w:color w:val="auto"/>
          <w:vertAlign w:val="superscript"/>
        </w:rPr>
        <w:t>[55]</w:t>
      </w:r>
      <w:r w:rsidRPr="00B01FC5">
        <w:rPr>
          <w:rFonts w:ascii="Book Antiqua" w:hAnsi="Book Antiqua"/>
          <w:color w:val="auto"/>
        </w:rPr>
        <w:t>.</w:t>
      </w:r>
    </w:p>
    <w:p w:rsidR="00951AB4" w:rsidRPr="00B01FC5" w:rsidDel="00E05554" w:rsidRDefault="00951AB4" w:rsidP="00187E61">
      <w:pPr>
        <w:pStyle w:val="CorpoA"/>
        <w:spacing w:line="360" w:lineRule="auto"/>
        <w:ind w:firstLineChars="100" w:firstLine="240"/>
        <w:jc w:val="both"/>
        <w:rPr>
          <w:rFonts w:ascii="Book Antiqua" w:hAnsi="Book Antiqua"/>
          <w:color w:val="auto"/>
          <w:lang w:eastAsia="zh-CN"/>
        </w:rPr>
      </w:pPr>
      <w:r w:rsidRPr="00B01FC5">
        <w:rPr>
          <w:rFonts w:ascii="Book Antiqua" w:hAnsi="Book Antiqua"/>
          <w:color w:val="auto"/>
        </w:rPr>
        <w:t>External radiation therapy is largely used in the treatment of cancer, but its role in HCC patients (with or without</w:t>
      </w:r>
      <w:r w:rsidR="00C1527F">
        <w:rPr>
          <w:rFonts w:ascii="Book Antiqua" w:hAnsi="Book Antiqua"/>
          <w:color w:val="auto"/>
        </w:rPr>
        <w:t xml:space="preserve"> </w:t>
      </w:r>
      <w:r w:rsidRPr="00B01FC5">
        <w:rPr>
          <w:rFonts w:ascii="Book Antiqua" w:hAnsi="Book Antiqua"/>
          <w:color w:val="auto"/>
        </w:rPr>
        <w:t>PVT) is very limited. Today, with newer techniques, a high dose of radiation can be delivered within the tumor, sparing normal liver parenchyma from radiation damage. Two large studies in China and Japan show that OS is longer in patients receiving radiotherapy compared to those tr</w:t>
      </w:r>
      <w:r w:rsidR="00AE2350" w:rsidRPr="00B01FC5">
        <w:rPr>
          <w:rFonts w:ascii="Book Antiqua" w:hAnsi="Book Antiqua"/>
          <w:color w:val="auto"/>
        </w:rPr>
        <w:t>eated with sorafenib or surgery</w:t>
      </w:r>
      <w:r w:rsidR="00187E61">
        <w:rPr>
          <w:rFonts w:ascii="Book Antiqua" w:hAnsi="Book Antiqua"/>
          <w:noProof/>
          <w:color w:val="auto"/>
          <w:vertAlign w:val="superscript"/>
        </w:rPr>
        <w:t>[56,</w:t>
      </w:r>
      <w:r w:rsidRPr="00B01FC5">
        <w:rPr>
          <w:rFonts w:ascii="Book Antiqua" w:hAnsi="Book Antiqua"/>
          <w:noProof/>
          <w:color w:val="auto"/>
          <w:vertAlign w:val="superscript"/>
        </w:rPr>
        <w:t>57]</w:t>
      </w:r>
      <w:r w:rsidRPr="00B01FC5">
        <w:rPr>
          <w:rFonts w:ascii="Book Antiqua" w:hAnsi="Book Antiqua"/>
          <w:color w:val="auto"/>
        </w:rPr>
        <w:t xml:space="preserve">, but these data need to </w:t>
      </w:r>
      <w:r w:rsidR="00187E61">
        <w:rPr>
          <w:rFonts w:ascii="Book Antiqua" w:hAnsi="Book Antiqua"/>
          <w:color w:val="auto"/>
        </w:rPr>
        <w:t>be confirmed in other settings.</w:t>
      </w:r>
    </w:p>
    <w:p w:rsidR="00951AB4" w:rsidRPr="00187E61" w:rsidRDefault="00951AB4" w:rsidP="00187E61">
      <w:pPr>
        <w:pStyle w:val="CorpoA"/>
        <w:spacing w:line="360" w:lineRule="auto"/>
        <w:ind w:firstLineChars="100" w:firstLine="240"/>
        <w:jc w:val="both"/>
        <w:rPr>
          <w:rFonts w:ascii="Book Antiqua" w:hAnsi="Book Antiqua"/>
          <w:color w:val="auto"/>
          <w:lang w:eastAsia="zh-CN"/>
        </w:rPr>
      </w:pPr>
      <w:r w:rsidRPr="00B01FC5">
        <w:rPr>
          <w:rFonts w:ascii="Book Antiqua" w:hAnsi="Book Antiqua"/>
          <w:color w:val="auto"/>
        </w:rPr>
        <w:t xml:space="preserve">Sorafenib is the only drug approved for HCC with PVT. Data from a sub-analysis of the two most important studies in </w:t>
      </w:r>
      <w:r w:rsidR="00187E61">
        <w:rPr>
          <w:rFonts w:ascii="Book Antiqua" w:hAnsi="Book Antiqua" w:hint="eastAsia"/>
          <w:color w:val="auto"/>
          <w:lang w:eastAsia="zh-CN"/>
        </w:rPr>
        <w:t>Untied States</w:t>
      </w:r>
      <w:r w:rsidRPr="00B01FC5">
        <w:rPr>
          <w:rFonts w:ascii="Book Antiqua" w:hAnsi="Book Antiqua"/>
          <w:color w:val="auto"/>
        </w:rPr>
        <w:t xml:space="preserve"> and Asia show</w:t>
      </w:r>
      <w:r w:rsidR="00C1527F">
        <w:rPr>
          <w:rFonts w:ascii="Book Antiqua" w:hAnsi="Book Antiqua"/>
          <w:color w:val="auto"/>
        </w:rPr>
        <w:t xml:space="preserve"> </w:t>
      </w:r>
      <w:r w:rsidRPr="00B01FC5">
        <w:rPr>
          <w:rFonts w:ascii="Book Antiqua" w:hAnsi="Book Antiqua"/>
          <w:color w:val="auto"/>
        </w:rPr>
        <w:t xml:space="preserve">an OS of 8.1 mo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4.9 mo in control group)</w:t>
      </w:r>
      <w:r w:rsidR="00C1527F">
        <w:rPr>
          <w:rFonts w:ascii="Book Antiqua" w:hAnsi="Book Antiqua"/>
          <w:color w:val="auto"/>
        </w:rPr>
        <w:t xml:space="preserve"> </w:t>
      </w:r>
      <w:r w:rsidRPr="00B01FC5">
        <w:rPr>
          <w:rFonts w:ascii="Book Antiqua" w:hAnsi="Book Antiqua"/>
          <w:color w:val="auto"/>
        </w:rPr>
        <w:t>and 6.5 mo (</w:t>
      </w:r>
      <w:r w:rsidR="003749F5"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4.2 mo in control group), respectively. However Jeong</w:t>
      </w:r>
      <w:r w:rsidR="00187E61">
        <w:rPr>
          <w:rFonts w:ascii="Book Antiqua" w:hAnsi="Book Antiqua" w:hint="eastAsia"/>
          <w:color w:val="auto"/>
          <w:lang w:eastAsia="zh-CN"/>
        </w:rPr>
        <w:t xml:space="preserve"> </w:t>
      </w:r>
      <w:r w:rsidR="00D8020F" w:rsidRPr="00187E61">
        <w:rPr>
          <w:rFonts w:ascii="Book Antiqua" w:hAnsi="Book Antiqua"/>
          <w:i/>
          <w:color w:val="auto"/>
        </w:rPr>
        <w:t>et al</w:t>
      </w:r>
      <w:r w:rsidR="00187E61" w:rsidRPr="00187E61">
        <w:rPr>
          <w:rFonts w:ascii="Book Antiqua" w:hAnsi="Book Antiqua"/>
          <w:noProof/>
          <w:color w:val="auto"/>
          <w:vertAlign w:val="superscript"/>
        </w:rPr>
        <w:t>[</w:t>
      </w:r>
      <w:r w:rsidR="00187E61" w:rsidRPr="00B01FC5">
        <w:rPr>
          <w:rFonts w:ascii="Book Antiqua" w:hAnsi="Book Antiqua"/>
          <w:noProof/>
          <w:color w:val="auto"/>
          <w:vertAlign w:val="superscript"/>
        </w:rPr>
        <w:t>58]</w:t>
      </w:r>
      <w:r w:rsidRPr="00B01FC5">
        <w:rPr>
          <w:rFonts w:ascii="Book Antiqua" w:hAnsi="Book Antiqua"/>
          <w:color w:val="auto"/>
        </w:rPr>
        <w:t>, in a smaller stud</w:t>
      </w:r>
      <w:r w:rsidR="00187E61">
        <w:rPr>
          <w:rFonts w:ascii="Book Antiqua" w:hAnsi="Book Antiqua"/>
          <w:color w:val="auto"/>
        </w:rPr>
        <w:t>y with 33 HCC patients with PVT</w:t>
      </w:r>
      <w:r w:rsidRPr="00B01FC5">
        <w:rPr>
          <w:rFonts w:ascii="Book Antiqua" w:hAnsi="Book Antiqua"/>
          <w:color w:val="auto"/>
        </w:rPr>
        <w:t>, shows a percentage of stable disease and disease control rate lower than in the SHARP and Asia-Pacific studies. This data can be easily explained by the fact that in Jeong’s study all patients had PVT (first order branches or main trunk), while in SHARP and Asia Pacific trials the percentage of macrovascular disease was much lower (about 36%). It is clear that the presence or absence of PVT negatively influence the prognosis</w:t>
      </w:r>
      <w:r w:rsidR="007671B7" w:rsidRPr="00B01FC5">
        <w:rPr>
          <w:rFonts w:ascii="Book Antiqua" w:hAnsi="Book Antiqua"/>
          <w:color w:val="auto"/>
        </w:rPr>
        <w:t xml:space="preserve"> (Figure 1)</w:t>
      </w:r>
      <w:r w:rsidRPr="00B01FC5">
        <w:rPr>
          <w:rFonts w:ascii="Book Antiqua" w:hAnsi="Book Antiqua"/>
          <w:color w:val="auto"/>
        </w:rPr>
        <w:t>. During treatment, no significant differences in OS have been shown between patients with thrombosis of first order branches and those wi</w:t>
      </w:r>
      <w:r w:rsidR="002D6B47">
        <w:rPr>
          <w:rFonts w:ascii="Book Antiqua" w:hAnsi="Book Antiqua"/>
          <w:color w:val="auto"/>
        </w:rPr>
        <w:t>th thrombosis of the main trunk</w:t>
      </w:r>
      <w:r w:rsidRPr="00B01FC5">
        <w:rPr>
          <w:rFonts w:ascii="Book Antiqua" w:hAnsi="Book Antiqua"/>
          <w:noProof/>
          <w:color w:val="auto"/>
          <w:vertAlign w:val="superscript"/>
        </w:rPr>
        <w:t>[58]</w:t>
      </w:r>
      <w:r w:rsidRPr="00B01FC5">
        <w:rPr>
          <w:rFonts w:ascii="Book Antiqua" w:hAnsi="Book Antiqua" w:cs="Arial"/>
          <w:color w:val="auto"/>
        </w:rPr>
        <w:t>.</w:t>
      </w:r>
    </w:p>
    <w:p w:rsidR="00951AB4" w:rsidRPr="00B01FC5" w:rsidRDefault="00951AB4" w:rsidP="00187E61">
      <w:pPr>
        <w:pStyle w:val="CorpoA"/>
        <w:spacing w:line="360" w:lineRule="auto"/>
        <w:ind w:firstLineChars="100" w:firstLine="240"/>
        <w:jc w:val="both"/>
        <w:rPr>
          <w:rFonts w:ascii="Book Antiqua" w:hAnsi="Book Antiqua"/>
          <w:color w:val="auto"/>
        </w:rPr>
      </w:pPr>
      <w:r w:rsidRPr="00B01FC5">
        <w:rPr>
          <w:rFonts w:ascii="Book Antiqua" w:hAnsi="Book Antiqua"/>
          <w:color w:val="auto"/>
        </w:rPr>
        <w:t>TARE is another important tool in the management of HCC with PVT. Some studies reported an OS ranging from 10</w:t>
      </w:r>
      <w:r w:rsidR="0034090C" w:rsidRPr="00B01FC5">
        <w:rPr>
          <w:rFonts w:ascii="Book Antiqua" w:hAnsi="Book Antiqua"/>
          <w:color w:val="auto"/>
        </w:rPr>
        <w:t xml:space="preserve"> to 10.4 mo</w:t>
      </w:r>
      <w:r w:rsidR="007D1487">
        <w:rPr>
          <w:rFonts w:ascii="Book Antiqua" w:hAnsi="Book Antiqua" w:hint="eastAsia"/>
          <w:color w:val="auto"/>
          <w:lang w:eastAsia="zh-CN"/>
        </w:rPr>
        <w:t xml:space="preserve"> </w:t>
      </w:r>
      <w:r w:rsidR="0034090C" w:rsidRPr="00B01FC5">
        <w:rPr>
          <w:rFonts w:ascii="Book Antiqua" w:hAnsi="Book Antiqua"/>
          <w:color w:val="auto"/>
        </w:rPr>
        <w:t>after treatment</w:t>
      </w:r>
      <w:r w:rsidR="00187E61">
        <w:rPr>
          <w:rFonts w:ascii="Book Antiqua" w:hAnsi="Book Antiqua"/>
          <w:noProof/>
          <w:color w:val="auto"/>
          <w:vertAlign w:val="superscript"/>
        </w:rPr>
        <w:t>[59,</w:t>
      </w:r>
      <w:r w:rsidRPr="00B01FC5">
        <w:rPr>
          <w:rFonts w:ascii="Book Antiqua" w:hAnsi="Book Antiqua"/>
          <w:noProof/>
          <w:color w:val="auto"/>
          <w:vertAlign w:val="superscript"/>
        </w:rPr>
        <w:t>60]</w:t>
      </w:r>
      <w:r w:rsidRPr="00B01FC5">
        <w:rPr>
          <w:rFonts w:ascii="Book Antiqua" w:hAnsi="Book Antiqua"/>
          <w:color w:val="auto"/>
        </w:rPr>
        <w:t xml:space="preserve">. Moreover, less adverse events have been reported and in general a better quality of life is shown if compared with TACE. TARE, the efficacy and safety of which has been widely tested in the last decade, is based on the administration of glass or resin microspheres loaded with a radioisotope (usually </w:t>
      </w:r>
      <w:r w:rsidRPr="00B01FC5">
        <w:rPr>
          <w:rFonts w:ascii="Book Antiqua" w:hAnsi="Book Antiqua"/>
          <w:color w:val="auto"/>
          <w:vertAlign w:val="superscript"/>
        </w:rPr>
        <w:t>90</w:t>
      </w:r>
      <w:r w:rsidRPr="00B01FC5">
        <w:rPr>
          <w:rFonts w:ascii="Book Antiqua" w:hAnsi="Book Antiqua"/>
          <w:color w:val="auto"/>
        </w:rPr>
        <w:t>Yttrium) trough catheterization of the hepatic artery. The microspheres deliver a tumoricidal beta-radiation with a mean penetration of 2</w:t>
      </w:r>
      <w:r w:rsidR="007671B7" w:rsidRPr="00B01FC5">
        <w:rPr>
          <w:rFonts w:ascii="Book Antiqua" w:hAnsi="Book Antiqua"/>
          <w:color w:val="auto"/>
        </w:rPr>
        <w:t>.</w:t>
      </w:r>
      <w:r w:rsidRPr="00B01FC5">
        <w:rPr>
          <w:rFonts w:ascii="Book Antiqua" w:hAnsi="Book Antiqua"/>
          <w:color w:val="auto"/>
        </w:rPr>
        <w:t xml:space="preserve">5 mm, and a super-selective action towards tumoral tissue. As the embolic action is negligible, the procedure is generally well tolerated. TARE efficacy in HCC has been tested in several studies, although most of them were limited to a small number of patients. The largest observational studies reported a median OS in BCLC-C patients similar to that observed in </w:t>
      </w:r>
      <w:r w:rsidRPr="00B01FC5">
        <w:rPr>
          <w:rFonts w:ascii="Book Antiqua" w:hAnsi="Book Antiqua"/>
          <w:color w:val="auto"/>
        </w:rPr>
        <w:lastRenderedPageBreak/>
        <w:t>the s</w:t>
      </w:r>
      <w:r w:rsidR="00187E61">
        <w:rPr>
          <w:rFonts w:ascii="Book Antiqua" w:hAnsi="Book Antiqua"/>
          <w:color w:val="auto"/>
        </w:rPr>
        <w:t>orafenib arm of the SHARP trial</w:t>
      </w:r>
      <w:r w:rsidR="00187E61">
        <w:rPr>
          <w:rFonts w:ascii="Book Antiqua" w:hAnsi="Book Antiqua"/>
          <w:noProof/>
          <w:color w:val="auto"/>
          <w:vertAlign w:val="superscript"/>
        </w:rPr>
        <w:t>[59,</w:t>
      </w:r>
      <w:r w:rsidRPr="00B01FC5">
        <w:rPr>
          <w:rFonts w:ascii="Book Antiqua" w:hAnsi="Book Antiqua"/>
          <w:noProof/>
          <w:color w:val="auto"/>
          <w:vertAlign w:val="superscript"/>
        </w:rPr>
        <w:t>61]</w:t>
      </w:r>
      <w:r w:rsidRPr="00B01FC5">
        <w:rPr>
          <w:rFonts w:ascii="Book Antiqua" w:hAnsi="Book Antiqua"/>
          <w:color w:val="auto"/>
        </w:rPr>
        <w:t xml:space="preserve">. Additionally, a comparative study TACE </w:t>
      </w:r>
      <w:r w:rsidR="00D8020F" w:rsidRPr="00187E61">
        <w:rPr>
          <w:rFonts w:ascii="Book Antiqua" w:hAnsi="Book Antiqua"/>
          <w:i/>
          <w:color w:val="auto"/>
        </w:rPr>
        <w:t>vs</w:t>
      </w:r>
      <w:r w:rsidR="00187E61" w:rsidRPr="00187E61">
        <w:rPr>
          <w:rFonts w:ascii="Book Antiqua" w:hAnsi="Book Antiqua" w:hint="eastAsia"/>
          <w:i/>
          <w:color w:val="auto"/>
          <w:lang w:eastAsia="zh-CN"/>
        </w:rPr>
        <w:t xml:space="preserve"> </w:t>
      </w:r>
      <w:r w:rsidRPr="00B01FC5">
        <w:rPr>
          <w:rFonts w:ascii="Book Antiqua" w:hAnsi="Book Antiqua"/>
          <w:color w:val="auto"/>
        </w:rPr>
        <w:t>TARE demonstrated the superiority of the latter in prolonging TTP</w:t>
      </w:r>
      <w:r w:rsidR="00C1527F">
        <w:rPr>
          <w:rFonts w:ascii="Book Antiqua" w:hAnsi="Book Antiqua"/>
          <w:color w:val="auto"/>
        </w:rPr>
        <w:t xml:space="preserve"> </w:t>
      </w:r>
      <w:r w:rsidRPr="00B01FC5">
        <w:rPr>
          <w:rFonts w:ascii="Book Antiqua" w:hAnsi="Book Antiqua"/>
          <w:color w:val="auto"/>
        </w:rPr>
        <w:t>but n</w:t>
      </w:r>
      <w:r w:rsidR="00187E61">
        <w:rPr>
          <w:rFonts w:ascii="Book Antiqua" w:hAnsi="Book Antiqua"/>
          <w:color w:val="auto"/>
        </w:rPr>
        <w:t>ot in patientswith advanced HCC</w:t>
      </w:r>
      <w:r w:rsidRPr="00B01FC5">
        <w:rPr>
          <w:rFonts w:ascii="Book Antiqua" w:hAnsi="Book Antiqua"/>
          <w:noProof/>
          <w:color w:val="auto"/>
          <w:vertAlign w:val="superscript"/>
        </w:rPr>
        <w:t>[62]</w:t>
      </w:r>
      <w:r w:rsidRPr="00B01FC5">
        <w:rPr>
          <w:rFonts w:ascii="Book Antiqua" w:hAnsi="Book Antiqua"/>
          <w:color w:val="auto"/>
        </w:rPr>
        <w:t>. In a retrospective study, the efficacy of TARE has been compared to that of sorafenib, and</w:t>
      </w:r>
      <w:r w:rsidR="00C1527F">
        <w:rPr>
          <w:rFonts w:ascii="Book Antiqua" w:hAnsi="Book Antiqua"/>
          <w:color w:val="auto"/>
        </w:rPr>
        <w:t xml:space="preserve"> </w:t>
      </w:r>
      <w:r w:rsidRPr="00B01FC5">
        <w:rPr>
          <w:rFonts w:ascii="Book Antiqua" w:hAnsi="Book Antiqua"/>
          <w:color w:val="auto"/>
        </w:rPr>
        <w:t>no significa</w:t>
      </w:r>
      <w:r w:rsidR="00187E61">
        <w:rPr>
          <w:rFonts w:ascii="Book Antiqua" w:hAnsi="Book Antiqua"/>
          <w:color w:val="auto"/>
        </w:rPr>
        <w:t>nt differences in OS were found</w:t>
      </w:r>
      <w:r w:rsidRPr="00B01FC5">
        <w:rPr>
          <w:rFonts w:ascii="Book Antiqua" w:hAnsi="Book Antiqua"/>
          <w:noProof/>
          <w:color w:val="auto"/>
          <w:vertAlign w:val="superscript"/>
        </w:rPr>
        <w:t>[63]</w:t>
      </w:r>
      <w:r w:rsidRPr="00B01FC5">
        <w:rPr>
          <w:rFonts w:ascii="Book Antiqua" w:hAnsi="Book Antiqua"/>
          <w:color w:val="auto"/>
        </w:rPr>
        <w:t>. It should be considered that the study had several limitations, including a small sample size, and imbalance in baseline characteristics between the arms. On the contrary TARE appears to be particularly effective in patients with portal vein thrombosis, with a median OS ranging between 10-18 mo</w:t>
      </w:r>
      <w:r w:rsidR="00187E61">
        <w:rPr>
          <w:rFonts w:ascii="Book Antiqua" w:hAnsi="Book Antiqua"/>
          <w:noProof/>
          <w:color w:val="auto"/>
          <w:vertAlign w:val="superscript"/>
        </w:rPr>
        <w:t>[60,64,</w:t>
      </w:r>
      <w:r w:rsidRPr="00B01FC5">
        <w:rPr>
          <w:rFonts w:ascii="Book Antiqua" w:hAnsi="Book Antiqua"/>
          <w:noProof/>
          <w:color w:val="auto"/>
          <w:vertAlign w:val="superscript"/>
        </w:rPr>
        <w:t>65]</w:t>
      </w:r>
      <w:r w:rsidRPr="00B01FC5">
        <w:rPr>
          <w:rFonts w:ascii="Book Antiqua" w:hAnsi="Book Antiqua"/>
          <w:color w:val="auto"/>
        </w:rPr>
        <w:t xml:space="preserve"> compared to 8</w:t>
      </w:r>
      <w:r w:rsidR="00187E61">
        <w:rPr>
          <w:rFonts w:ascii="Book Antiqua" w:hAnsi="Book Antiqua" w:hint="eastAsia"/>
          <w:color w:val="auto"/>
          <w:lang w:eastAsia="zh-CN"/>
        </w:rPr>
        <w:t>.</w:t>
      </w:r>
      <w:r w:rsidRPr="00B01FC5">
        <w:rPr>
          <w:rFonts w:ascii="Book Antiqua" w:hAnsi="Book Antiqua"/>
          <w:color w:val="auto"/>
        </w:rPr>
        <w:t>3 mo in patients with portal vein thrombosis treated wi</w:t>
      </w:r>
      <w:r w:rsidR="00187E61">
        <w:rPr>
          <w:rFonts w:ascii="Book Antiqua" w:hAnsi="Book Antiqua"/>
          <w:color w:val="auto"/>
        </w:rPr>
        <w:t>th sorafenib in the SHARP study</w:t>
      </w:r>
      <w:r w:rsidRPr="00B01FC5">
        <w:rPr>
          <w:rFonts w:ascii="Book Antiqua" w:hAnsi="Book Antiqua"/>
          <w:noProof/>
          <w:color w:val="auto"/>
          <w:vertAlign w:val="superscript"/>
        </w:rPr>
        <w:t>[11]</w:t>
      </w:r>
      <w:r w:rsidRPr="00B01FC5">
        <w:rPr>
          <w:rFonts w:ascii="Book Antiqua" w:hAnsi="Book Antiqua"/>
          <w:color w:val="auto"/>
        </w:rPr>
        <w:t xml:space="preserve">. Similar results showing the superiority of TARE </w:t>
      </w:r>
      <w:r w:rsidR="00D8020F" w:rsidRPr="00187E61">
        <w:rPr>
          <w:rFonts w:ascii="Book Antiqua" w:hAnsi="Book Antiqua"/>
          <w:i/>
          <w:color w:val="auto"/>
        </w:rPr>
        <w:t>vs</w:t>
      </w:r>
      <w:r w:rsidR="00187E61">
        <w:rPr>
          <w:rFonts w:ascii="Book Antiqua" w:hAnsi="Book Antiqua" w:hint="eastAsia"/>
          <w:color w:val="auto"/>
          <w:lang w:eastAsia="zh-CN"/>
        </w:rPr>
        <w:t xml:space="preserve"> </w:t>
      </w:r>
      <w:r w:rsidRPr="00B01FC5">
        <w:rPr>
          <w:rFonts w:ascii="Book Antiqua" w:hAnsi="Book Antiqua"/>
          <w:color w:val="auto"/>
        </w:rPr>
        <w:t>sorafenib in patients with portal vein thrombosis have also been reported in a</w:t>
      </w:r>
      <w:r w:rsidR="00187E61">
        <w:rPr>
          <w:rFonts w:ascii="Book Antiqua" w:hAnsi="Book Antiqua"/>
          <w:color w:val="auto"/>
        </w:rPr>
        <w:t>nother recently published study</w:t>
      </w:r>
      <w:r w:rsidRPr="00B01FC5">
        <w:rPr>
          <w:rFonts w:ascii="Book Antiqua" w:hAnsi="Book Antiqua"/>
          <w:noProof/>
          <w:color w:val="auto"/>
          <w:vertAlign w:val="superscript"/>
        </w:rPr>
        <w:t>[66]</w:t>
      </w:r>
      <w:r w:rsidRPr="00B01FC5">
        <w:rPr>
          <w:rFonts w:ascii="Book Antiqua" w:hAnsi="Book Antiqua"/>
          <w:color w:val="auto"/>
        </w:rPr>
        <w:t>. Moreover, the efficacy of TARE (alone or in combination with sorafenib) versus sorafenib alone therapy is being evaluated in at least five ongoing clinical trials. The results will be available in the near future and will probably define the role of TARE in HCC therapy. By now, a good profile of tolerability was reported in the prelim</w:t>
      </w:r>
      <w:r w:rsidR="003459EC">
        <w:rPr>
          <w:rFonts w:ascii="Book Antiqua" w:hAnsi="Book Antiqua"/>
          <w:color w:val="auto"/>
        </w:rPr>
        <w:t>inary analysis of SORAMIC trial</w:t>
      </w:r>
      <w:r w:rsidRPr="00B01FC5">
        <w:rPr>
          <w:rFonts w:ascii="Book Antiqua" w:hAnsi="Book Antiqua"/>
          <w:noProof/>
          <w:color w:val="auto"/>
          <w:vertAlign w:val="superscript"/>
        </w:rPr>
        <w:t>[67]</w:t>
      </w:r>
      <w:r w:rsidRPr="00B01FC5">
        <w:rPr>
          <w:rFonts w:ascii="Book Antiqua" w:hAnsi="Book Antiqua"/>
          <w:color w:val="auto"/>
        </w:rPr>
        <w:t>.</w:t>
      </w:r>
    </w:p>
    <w:p w:rsidR="00951AB4" w:rsidRPr="00B01FC5" w:rsidRDefault="00951AB4" w:rsidP="009352FD">
      <w:pPr>
        <w:pStyle w:val="CorpoA"/>
        <w:spacing w:line="360" w:lineRule="auto"/>
        <w:jc w:val="both"/>
        <w:rPr>
          <w:rFonts w:ascii="Book Antiqua" w:hAnsi="Book Antiqua"/>
          <w:color w:val="auto"/>
          <w:u w:val="single"/>
        </w:rPr>
      </w:pPr>
    </w:p>
    <w:p w:rsidR="00951AB4" w:rsidRPr="0033508F" w:rsidRDefault="0033508F" w:rsidP="009352FD">
      <w:pPr>
        <w:pStyle w:val="CorpoA"/>
        <w:spacing w:line="360" w:lineRule="auto"/>
        <w:jc w:val="both"/>
        <w:rPr>
          <w:rFonts w:ascii="Book Antiqua" w:hAnsi="Book Antiqua"/>
          <w:b/>
          <w:color w:val="auto"/>
        </w:rPr>
      </w:pPr>
      <w:r w:rsidRPr="0033508F">
        <w:rPr>
          <w:rFonts w:ascii="Book Antiqua" w:hAnsi="Book Antiqua"/>
          <w:b/>
          <w:color w:val="auto"/>
        </w:rPr>
        <w:t>IMAGING STUDIES IN PREDICTION AND</w:t>
      </w:r>
      <w:r w:rsidR="00C1527F">
        <w:rPr>
          <w:rFonts w:ascii="Book Antiqua" w:hAnsi="Book Antiqua"/>
          <w:b/>
          <w:color w:val="auto"/>
        </w:rPr>
        <w:t xml:space="preserve"> </w:t>
      </w:r>
      <w:r w:rsidRPr="0033508F">
        <w:rPr>
          <w:rFonts w:ascii="Book Antiqua" w:hAnsi="Book Antiqua"/>
          <w:b/>
          <w:color w:val="auto"/>
        </w:rPr>
        <w:t>EVALUATION</w:t>
      </w:r>
      <w:r w:rsidR="00C1527F">
        <w:rPr>
          <w:rFonts w:ascii="Book Antiqua" w:hAnsi="Book Antiqua"/>
          <w:b/>
          <w:color w:val="auto"/>
        </w:rPr>
        <w:t xml:space="preserve"> </w:t>
      </w:r>
      <w:r w:rsidRPr="0033508F">
        <w:rPr>
          <w:rFonts w:ascii="Book Antiqua" w:hAnsi="Book Antiqua"/>
          <w:b/>
          <w:color w:val="auto"/>
        </w:rPr>
        <w:t>OF RESPONSE TO THERAPY</w:t>
      </w:r>
      <w:r w:rsidR="00951AB4" w:rsidRPr="0033508F">
        <w:rPr>
          <w:rFonts w:ascii="Book Antiqua" w:hAnsi="Book Antiqua"/>
          <w:b/>
          <w:color w:val="auto"/>
        </w:rPr>
        <w:t xml:space="preserve"> </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In the management of patients with HCC, the role of imaging is crucial, not only to allocate a patient to a specific stage in the BCLC system, but also to check the efficacy of the treatment and to evaluate the progression of disease. Once a diagnosis is made, imaging with computed tomography (CT) or magnetic resonance (MR) scan is performed every 2-3 mo</w:t>
      </w:r>
      <w:r w:rsidR="007D1487">
        <w:rPr>
          <w:rFonts w:ascii="Book Antiqua" w:hAnsi="Book Antiqua" w:hint="eastAsia"/>
          <w:color w:val="auto"/>
          <w:lang w:eastAsia="zh-CN"/>
        </w:rPr>
        <w:t xml:space="preserve"> </w:t>
      </w:r>
      <w:r w:rsidRPr="00B01FC5">
        <w:rPr>
          <w:rFonts w:ascii="Book Antiqua" w:hAnsi="Book Antiqua"/>
          <w:color w:val="auto"/>
        </w:rPr>
        <w:t>if the patient is receiving treatment with sorafenib</w:t>
      </w:r>
      <w:r w:rsidRPr="00B01FC5">
        <w:rPr>
          <w:rFonts w:ascii="Book Antiqua" w:hAnsi="Book Antiqua"/>
          <w:noProof/>
          <w:color w:val="auto"/>
          <w:vertAlign w:val="superscript"/>
        </w:rPr>
        <w:t>[68]</w:t>
      </w:r>
      <w:r w:rsidRPr="00B01FC5">
        <w:rPr>
          <w:rFonts w:ascii="Book Antiqua" w:hAnsi="Book Antiqua"/>
          <w:color w:val="auto"/>
          <w:u w:color="0000FF"/>
        </w:rPr>
        <w:t>, the only approved agent fo</w:t>
      </w:r>
      <w:r w:rsidR="003459EC">
        <w:rPr>
          <w:rFonts w:ascii="Book Antiqua" w:hAnsi="Book Antiqua"/>
          <w:color w:val="auto"/>
          <w:u w:color="0000FF"/>
        </w:rPr>
        <w:t>r the treatment of advanced HCC</w:t>
      </w:r>
      <w:r w:rsidRPr="00B01FC5">
        <w:rPr>
          <w:rFonts w:ascii="Book Antiqua" w:hAnsi="Book Antiqua"/>
          <w:noProof/>
          <w:color w:val="auto"/>
          <w:u w:color="0000FF"/>
          <w:vertAlign w:val="superscript"/>
        </w:rPr>
        <w:t>[11]</w:t>
      </w:r>
      <w:r w:rsidRPr="00B01FC5">
        <w:rPr>
          <w:rFonts w:ascii="Book Antiqua" w:hAnsi="Book Antiqua"/>
          <w:color w:val="auto"/>
          <w:u w:color="0000FF"/>
        </w:rPr>
        <w:t xml:space="preserve">. </w:t>
      </w:r>
      <w:r w:rsidRPr="00B01FC5">
        <w:rPr>
          <w:rFonts w:ascii="Book Antiqua" w:hAnsi="Book Antiqua"/>
          <w:color w:val="auto"/>
        </w:rPr>
        <w:t>The lesions are usually evaluated applying the Modified Response Evalua</w:t>
      </w:r>
      <w:r w:rsidR="00F045BF" w:rsidRPr="00B01FC5">
        <w:rPr>
          <w:rFonts w:ascii="Book Antiqua" w:hAnsi="Book Antiqua"/>
          <w:color w:val="auto"/>
        </w:rPr>
        <w:t>tion Criteria In Solid Tumors (</w:t>
      </w:r>
      <w:r w:rsidR="003459EC">
        <w:rPr>
          <w:rFonts w:ascii="Book Antiqua" w:hAnsi="Book Antiqua"/>
          <w:color w:val="auto"/>
        </w:rPr>
        <w:t>mRECIST) parameters</w:t>
      </w:r>
      <w:r w:rsidRPr="00B01FC5">
        <w:rPr>
          <w:rFonts w:ascii="Book Antiqua" w:hAnsi="Book Antiqua"/>
          <w:noProof/>
          <w:color w:val="auto"/>
          <w:vertAlign w:val="superscript"/>
        </w:rPr>
        <w:t>[69]</w:t>
      </w:r>
      <w:r w:rsidRPr="00B01FC5">
        <w:rPr>
          <w:rFonts w:ascii="Book Antiqua" w:hAnsi="Book Antiqua"/>
          <w:color w:val="auto"/>
        </w:rPr>
        <w:t xml:space="preserve">, which have been proposed to improve and replace the previous system, known as RECIST 1.1. Lesion dimension was the only criteria considered by RECIST 1.1, which did not give any information about the viable portion of tumor, measured by the degree of contrast enhancement. While the RECIST 1.1 system is still adopted by some hepatologists, changes on tumor size alone is not considered appropriate to establish a prognosis and to correlate imaging with patients’ survival. In fact it has been demonstrated that not all </w:t>
      </w:r>
      <w:r w:rsidRPr="00B01FC5">
        <w:rPr>
          <w:rFonts w:ascii="Book Antiqua" w:hAnsi="Book Antiqua"/>
          <w:color w:val="auto"/>
        </w:rPr>
        <w:lastRenderedPageBreak/>
        <w:t>patients who have clinical benefit from antiangiogenic therapy have a dimensional reduction of target lesions.</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 xml:space="preserve">On the other hand, not all progressive disease at imaging </w:t>
      </w:r>
      <w:r w:rsidR="001D61EF" w:rsidRPr="00B01FC5">
        <w:rPr>
          <w:rFonts w:ascii="Book Antiqua" w:hAnsi="Book Antiqua"/>
          <w:color w:val="auto"/>
        </w:rPr>
        <w:t>is linked to a shorter survival</w:t>
      </w:r>
      <w:r w:rsidR="003459EC">
        <w:rPr>
          <w:rFonts w:ascii="Book Antiqua" w:hAnsi="Book Antiqua"/>
          <w:noProof/>
          <w:color w:val="auto"/>
          <w:vertAlign w:val="superscript"/>
        </w:rPr>
        <w:t>[11,</w:t>
      </w:r>
      <w:r w:rsidRPr="00B01FC5">
        <w:rPr>
          <w:rFonts w:ascii="Book Antiqua" w:hAnsi="Book Antiqua"/>
          <w:noProof/>
          <w:color w:val="auto"/>
          <w:vertAlign w:val="superscript"/>
        </w:rPr>
        <w:t>70]</w:t>
      </w:r>
      <w:r w:rsidRPr="00B01FC5">
        <w:rPr>
          <w:rFonts w:ascii="Book Antiqua" w:hAnsi="Book Antiqua"/>
          <w:color w:val="auto"/>
        </w:rPr>
        <w:t>. Conversely, patients who will have benefit from therapy in term of survival, do not immediately show a reduction of tumor size, but more frequently the efficacy of therapy is correlated with some early intralesional decrease in cellular</w:t>
      </w:r>
      <w:r w:rsidR="003459EC">
        <w:rPr>
          <w:rFonts w:ascii="Book Antiqua" w:hAnsi="Book Antiqua"/>
          <w:color w:val="auto"/>
        </w:rPr>
        <w:t>ity and vascularization changes</w:t>
      </w:r>
      <w:r w:rsidR="003459EC">
        <w:rPr>
          <w:rFonts w:ascii="Book Antiqua" w:hAnsi="Book Antiqua"/>
          <w:noProof/>
          <w:color w:val="auto"/>
          <w:vertAlign w:val="superscript"/>
        </w:rPr>
        <w:t>[8,70,</w:t>
      </w:r>
      <w:r w:rsidRPr="00B01FC5">
        <w:rPr>
          <w:rFonts w:ascii="Book Antiqua" w:hAnsi="Book Antiqua"/>
          <w:noProof/>
          <w:color w:val="auto"/>
          <w:vertAlign w:val="superscript"/>
        </w:rPr>
        <w:t>71]</w:t>
      </w:r>
      <w:r w:rsidRPr="00B01FC5">
        <w:rPr>
          <w:rFonts w:ascii="Book Antiqua" w:hAnsi="Book Antiqua"/>
          <w:color w:val="auto"/>
        </w:rPr>
        <w:t>. Recently, a new evaluation criteria called Response Evaluation Criteria In Cancer of the Live</w:t>
      </w:r>
      <w:r w:rsidR="003459EC">
        <w:rPr>
          <w:rFonts w:ascii="Book Antiqua" w:hAnsi="Book Antiqua"/>
          <w:color w:val="auto"/>
        </w:rPr>
        <w:t>r (RECICL) have been introduced</w:t>
      </w:r>
      <w:r w:rsidRPr="00B01FC5">
        <w:rPr>
          <w:rFonts w:ascii="Book Antiqua" w:hAnsi="Book Antiqua"/>
          <w:noProof/>
          <w:color w:val="auto"/>
          <w:u w:color="0000FF"/>
          <w:vertAlign w:val="superscript"/>
        </w:rPr>
        <w:t>[72]</w:t>
      </w:r>
      <w:r w:rsidRPr="00B01FC5">
        <w:rPr>
          <w:rFonts w:ascii="Book Antiqua" w:hAnsi="Book Antiqua"/>
          <w:color w:val="auto"/>
        </w:rPr>
        <w:t>. It is based on 2-directional measurement, by contrast enhancement CE-CT or dynamic MR, of tumors showing arterial enhancement, instead of only one measurement as requested in mRECIST.</w:t>
      </w:r>
      <w:r w:rsidR="00C1527F">
        <w:rPr>
          <w:rFonts w:ascii="Book Antiqua" w:hAnsi="Book Antiqua"/>
          <w:color w:val="auto"/>
        </w:rPr>
        <w:t xml:space="preserve"> </w:t>
      </w:r>
      <w:r w:rsidRPr="00B01FC5">
        <w:rPr>
          <w:rFonts w:ascii="Book Antiqua" w:hAnsi="Book Antiqua"/>
          <w:color w:val="auto"/>
        </w:rPr>
        <w:t>The great advantage these two last criteria, compared to conventional RECIST1.1, is that both of them evaluate the contrast-enhancing portion of the tumor rather than the whole tumor. For this reason the presence of necrotic areas within the lesions is considered a sign of response. These concepts summarized in</w:t>
      </w:r>
      <w:r w:rsidR="006D0849" w:rsidRPr="00B01FC5">
        <w:rPr>
          <w:rFonts w:ascii="Book Antiqua" w:hAnsi="Book Antiqua"/>
          <w:color w:val="auto"/>
        </w:rPr>
        <w:t xml:space="preserve"> Table 5</w:t>
      </w:r>
      <w:r w:rsidRPr="00B01FC5">
        <w:rPr>
          <w:rFonts w:ascii="Book Antiqua" w:hAnsi="Book Antiqua"/>
          <w:color w:val="auto"/>
        </w:rPr>
        <w:t>. Moreover, RECICL criteria also consider the non-enhanced part of a target lesion: this may be useful to investigate hypovascular HCC</w:t>
      </w:r>
      <w:r w:rsidRPr="00B01FC5">
        <w:rPr>
          <w:rFonts w:ascii="Book Antiqua" w:hAnsi="Book Antiqua"/>
          <w:color w:val="auto"/>
          <w:u w:color="0000FF"/>
        </w:rPr>
        <w:t>.</w:t>
      </w:r>
      <w:r w:rsidRPr="00B01FC5">
        <w:rPr>
          <w:rFonts w:ascii="Book Antiqua" w:hAnsi="Book Antiqua"/>
          <w:color w:val="auto"/>
        </w:rPr>
        <w:t xml:space="preserve"> Even if progress has been done in order to establish patients response during antiangiogenic therapy, it is not clear how to manage those patients who have no benefit from treatment, because at now there is no approved second-line therapy. Moreover, the concept of</w:t>
      </w:r>
      <w:r w:rsidR="00C1527F">
        <w:rPr>
          <w:rFonts w:ascii="Book Antiqua" w:hAnsi="Book Antiqua"/>
          <w:color w:val="auto"/>
        </w:rPr>
        <w:t xml:space="preserve"> </w:t>
      </w:r>
      <w:r w:rsidRPr="00B01FC5">
        <w:rPr>
          <w:rFonts w:ascii="Book Antiqua" w:hAnsi="Book Antiqua"/>
          <w:color w:val="auto"/>
        </w:rPr>
        <w:t>“progressive dise</w:t>
      </w:r>
      <w:r w:rsidR="00CE68E7" w:rsidRPr="00B01FC5">
        <w:rPr>
          <w:rFonts w:ascii="Book Antiqua" w:hAnsi="Book Antiqua"/>
          <w:color w:val="auto"/>
        </w:rPr>
        <w:t>ase” should be refined. In fact</w:t>
      </w:r>
      <w:r w:rsidRPr="00B01FC5">
        <w:rPr>
          <w:rFonts w:ascii="Book Antiqua" w:hAnsi="Book Antiqua"/>
          <w:color w:val="auto"/>
        </w:rPr>
        <w:t>, according to mRECIST,</w:t>
      </w:r>
      <w:r w:rsidR="00C1527F">
        <w:rPr>
          <w:rFonts w:ascii="Book Antiqua" w:hAnsi="Book Antiqua"/>
          <w:color w:val="auto"/>
        </w:rPr>
        <w:t xml:space="preserve"> </w:t>
      </w:r>
      <w:r w:rsidRPr="00B01FC5">
        <w:rPr>
          <w:rFonts w:ascii="Book Antiqua" w:hAnsi="Book Antiqua"/>
          <w:color w:val="auto"/>
        </w:rPr>
        <w:t>there are many types of “disease progression”, including lesion growth, presence of a new lesion, or a distant metastasis. At now,</w:t>
      </w:r>
      <w:r w:rsidR="00C1527F">
        <w:rPr>
          <w:rFonts w:ascii="Book Antiqua" w:hAnsi="Book Antiqua"/>
          <w:color w:val="auto"/>
        </w:rPr>
        <w:t xml:space="preserve"> </w:t>
      </w:r>
      <w:r w:rsidRPr="00B01FC5">
        <w:rPr>
          <w:rFonts w:ascii="Book Antiqua" w:hAnsi="Book Antiqua"/>
          <w:color w:val="auto"/>
        </w:rPr>
        <w:t>it is still under investigation if these different types of disease evolution have the same significance for patients in terms of prognosis.</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The evaluation of the response is a subject of intense discussion, especially since molecularly</w:t>
      </w:r>
      <w:r w:rsidR="00C1527F">
        <w:rPr>
          <w:rFonts w:ascii="Book Antiqua" w:hAnsi="Book Antiqua"/>
          <w:color w:val="auto"/>
        </w:rPr>
        <w:t xml:space="preserve"> </w:t>
      </w:r>
      <w:r w:rsidRPr="00B01FC5">
        <w:rPr>
          <w:rFonts w:ascii="Book Antiqua" w:hAnsi="Book Antiqua"/>
          <w:color w:val="auto"/>
        </w:rPr>
        <w:t>targeted drugs like sorafenib have been introduced and routinely used in clinical practice. Dimensional parameters, largely used in imaging until now, are no longer appropriate now. In fact, it is clear that the goal for standard chemotherapeutic agent is to reduce tumor dimension, but this rule does not apply to antiangiogenic drugs. The new molecules predominantly act inhibiting angiogenesis, inducing tumor tissue necrosis and this may not have effect on the whole tumor dimension, and tumor size does not n</w:t>
      </w:r>
      <w:r w:rsidR="003459EC">
        <w:rPr>
          <w:rFonts w:ascii="Book Antiqua" w:hAnsi="Book Antiqua"/>
          <w:color w:val="auto"/>
        </w:rPr>
        <w:t>ecessary decrease after therapy</w:t>
      </w:r>
      <w:r w:rsidRPr="00B01FC5">
        <w:rPr>
          <w:rFonts w:ascii="Book Antiqua" w:hAnsi="Book Antiqua"/>
          <w:noProof/>
          <w:color w:val="auto"/>
          <w:vertAlign w:val="superscript"/>
        </w:rPr>
        <w:t>[73]</w:t>
      </w:r>
      <w:r w:rsidRPr="00B01FC5">
        <w:rPr>
          <w:rFonts w:ascii="Book Antiqua" w:hAnsi="Book Antiqua"/>
          <w:i/>
          <w:iCs/>
          <w:color w:val="auto"/>
        </w:rPr>
        <w:t xml:space="preserve">. </w:t>
      </w:r>
      <w:r w:rsidRPr="00B01FC5">
        <w:rPr>
          <w:rFonts w:ascii="Book Antiqua" w:hAnsi="Book Antiqua"/>
          <w:color w:val="auto"/>
        </w:rPr>
        <w:t>For this reason, RECIST 1.1</w:t>
      </w:r>
      <w:r w:rsidR="00C1527F">
        <w:rPr>
          <w:rFonts w:ascii="Book Antiqua" w:hAnsi="Book Antiqua"/>
          <w:color w:val="auto"/>
        </w:rPr>
        <w:t xml:space="preserve"> </w:t>
      </w:r>
      <w:r w:rsidRPr="00B01FC5">
        <w:rPr>
          <w:rFonts w:ascii="Book Antiqua" w:hAnsi="Book Antiqua"/>
          <w:color w:val="auto"/>
        </w:rPr>
        <w:t>criteria have been overcome by the introduction of mRECIST,</w:t>
      </w:r>
      <w:r w:rsidR="00C1527F">
        <w:rPr>
          <w:rFonts w:ascii="Book Antiqua" w:hAnsi="Book Antiqua"/>
          <w:color w:val="auto"/>
        </w:rPr>
        <w:t xml:space="preserve"> </w:t>
      </w:r>
      <w:r w:rsidRPr="00B01FC5">
        <w:rPr>
          <w:rFonts w:ascii="Book Antiqua" w:hAnsi="Book Antiqua"/>
          <w:color w:val="auto"/>
        </w:rPr>
        <w:t xml:space="preserve">based on the evaluation of the viable portion </w:t>
      </w:r>
      <w:r w:rsidRPr="00B01FC5">
        <w:rPr>
          <w:rFonts w:ascii="Book Antiqua" w:hAnsi="Book Antiqua"/>
          <w:color w:val="auto"/>
        </w:rPr>
        <w:lastRenderedPageBreak/>
        <w:t>(enhanced part) of a target lesion.</w:t>
      </w:r>
      <w:r w:rsidR="00C1527F">
        <w:rPr>
          <w:rFonts w:ascii="Book Antiqua" w:hAnsi="Book Antiqua"/>
          <w:color w:val="auto"/>
        </w:rPr>
        <w:t xml:space="preserve"> </w:t>
      </w:r>
      <w:r w:rsidRPr="00B01FC5">
        <w:rPr>
          <w:rFonts w:ascii="Book Antiqua" w:hAnsi="Book Antiqua"/>
          <w:color w:val="auto"/>
        </w:rPr>
        <w:t xml:space="preserve">Several studies have compared the efficacy of RECIST 1.1, mRECIST and </w:t>
      </w:r>
      <w:r w:rsidR="0006753E" w:rsidRPr="00B01FC5">
        <w:rPr>
          <w:rFonts w:ascii="Book Antiqua" w:hAnsi="Book Antiqua"/>
          <w:color w:val="auto"/>
        </w:rPr>
        <w:t>European Association for the Study of the Liver (</w:t>
      </w:r>
      <w:r w:rsidRPr="00B01FC5">
        <w:rPr>
          <w:rFonts w:ascii="Book Antiqua" w:hAnsi="Book Antiqua"/>
          <w:color w:val="auto"/>
        </w:rPr>
        <w:t>EASL</w:t>
      </w:r>
      <w:r w:rsidR="0006753E" w:rsidRPr="00B01FC5">
        <w:rPr>
          <w:rFonts w:ascii="Book Antiqua" w:hAnsi="Book Antiqua"/>
          <w:color w:val="auto"/>
        </w:rPr>
        <w:t>)</w:t>
      </w:r>
      <w:r w:rsidRPr="00B01FC5">
        <w:rPr>
          <w:rFonts w:ascii="Book Antiqua" w:hAnsi="Book Antiqua"/>
          <w:color w:val="auto"/>
        </w:rPr>
        <w:t xml:space="preserve"> criteria in evaluating response to loco-regional or sys</w:t>
      </w:r>
      <w:r w:rsidR="003459EC">
        <w:rPr>
          <w:rFonts w:ascii="Book Antiqua" w:hAnsi="Book Antiqua"/>
          <w:color w:val="auto"/>
        </w:rPr>
        <w:t>temic therapies in HCC patients</w:t>
      </w:r>
      <w:r w:rsidR="003459EC">
        <w:rPr>
          <w:rFonts w:ascii="Book Antiqua" w:hAnsi="Book Antiqua"/>
          <w:noProof/>
          <w:color w:val="auto"/>
          <w:vertAlign w:val="superscript"/>
        </w:rPr>
        <w:t>[74,</w:t>
      </w:r>
      <w:r w:rsidRPr="00B01FC5">
        <w:rPr>
          <w:rFonts w:ascii="Book Antiqua" w:hAnsi="Book Antiqua"/>
          <w:noProof/>
          <w:color w:val="auto"/>
          <w:vertAlign w:val="superscript"/>
        </w:rPr>
        <w:t>75]</w:t>
      </w:r>
      <w:r w:rsidRPr="00B01FC5">
        <w:rPr>
          <w:rFonts w:ascii="Book Antiqua" w:hAnsi="Book Antiqua"/>
          <w:color w:val="auto"/>
        </w:rPr>
        <w:t>. While mRECIST and EASL are considered reliable in assessing response to loco-regional therapies (for example TACE or TARE), there is no general agreement on their appropriateness the in evaluation of response during systemic therapy. In fact, loco-regional therapies often give predictable results, which consist in a well-defined and easy to measure area of necrosis. On the contrary, systemic therapies lead to the appearance of irregular and not homogeneous areas of necrosis, no</w:t>
      </w:r>
      <w:r w:rsidR="00CE68E7" w:rsidRPr="00B01FC5">
        <w:rPr>
          <w:rFonts w:ascii="Book Antiqua" w:hAnsi="Book Antiqua"/>
          <w:color w:val="auto"/>
        </w:rPr>
        <w:t>t easily defined and measurable</w:t>
      </w:r>
      <w:r w:rsidR="003459EC">
        <w:rPr>
          <w:rFonts w:ascii="Book Antiqua" w:hAnsi="Book Antiqua"/>
          <w:noProof/>
          <w:color w:val="auto"/>
          <w:vertAlign w:val="superscript"/>
        </w:rPr>
        <w:t>[76,</w:t>
      </w:r>
      <w:r w:rsidRPr="00B01FC5">
        <w:rPr>
          <w:rFonts w:ascii="Book Antiqua" w:hAnsi="Book Antiqua"/>
          <w:noProof/>
          <w:color w:val="auto"/>
          <w:vertAlign w:val="superscript"/>
        </w:rPr>
        <w:t>77]</w:t>
      </w:r>
      <w:r w:rsidRPr="00B01FC5">
        <w:rPr>
          <w:rFonts w:ascii="Book Antiqua" w:hAnsi="Book Antiqua"/>
          <w:color w:val="auto"/>
        </w:rPr>
        <w:t>.</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One additional promising method for the evaluation of response to therapy has been introduced by Choi. It was first applied to evaluation of therapy response of GISTs at PET assessment. Its use, based on contrast enhancement CT dimensional (measure of diameter of a lesion) and vascular (density expressed in HU on arterial phase CT) parameters, is currently under evaluation. In particular, according to these criteria, a reduction of 10% in tumor diameter or a reduction of 15% in intralesional density is considered as partial res</w:t>
      </w:r>
      <w:r w:rsidR="003459EC">
        <w:rPr>
          <w:rFonts w:ascii="Book Antiqua" w:hAnsi="Book Antiqua"/>
          <w:color w:val="auto"/>
        </w:rPr>
        <w:t>ponse to therapy</w:t>
      </w:r>
      <w:r w:rsidRPr="00B01FC5">
        <w:rPr>
          <w:rFonts w:ascii="Book Antiqua" w:hAnsi="Book Antiqua"/>
          <w:noProof/>
          <w:color w:val="auto"/>
          <w:vertAlign w:val="superscript"/>
        </w:rPr>
        <w:t>[78]</w:t>
      </w:r>
      <w:r w:rsidRPr="00B01FC5">
        <w:rPr>
          <w:rFonts w:ascii="Book Antiqua" w:hAnsi="Book Antiqua"/>
          <w:color w:val="auto"/>
        </w:rPr>
        <w:t>.</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Recently volumetric studies have also been proposed as alternative to mRECIST and EASL, because the actual dimension of a tumor may not be exactly evaluated with simply a mono or</w:t>
      </w:r>
      <w:r w:rsidR="002D6B47">
        <w:rPr>
          <w:rFonts w:ascii="Book Antiqua" w:hAnsi="Book Antiqua"/>
          <w:color w:val="auto"/>
        </w:rPr>
        <w:t xml:space="preserve"> bi-dimensional measure</w:t>
      </w:r>
      <w:r w:rsidRPr="00B01FC5">
        <w:rPr>
          <w:rFonts w:ascii="Book Antiqua" w:hAnsi="Book Antiqua"/>
          <w:noProof/>
          <w:color w:val="auto"/>
          <w:vertAlign w:val="superscript"/>
        </w:rPr>
        <w:t>[79]</w:t>
      </w:r>
      <w:r w:rsidRPr="00B01FC5">
        <w:rPr>
          <w:rFonts w:ascii="Book Antiqua" w:hAnsi="Book Antiqua"/>
          <w:color w:val="auto"/>
        </w:rPr>
        <w:t>. According to recently published studies focused on HCC patients, a 10% increase in volume rate after two months of therapy c</w:t>
      </w:r>
      <w:r w:rsidR="003459EC">
        <w:rPr>
          <w:rFonts w:ascii="Book Antiqua" w:hAnsi="Book Antiqua"/>
          <w:color w:val="auto"/>
        </w:rPr>
        <w:t>orrelates with a poor prognosis</w:t>
      </w:r>
      <w:r w:rsidRPr="00B01FC5">
        <w:rPr>
          <w:rFonts w:ascii="Book Antiqua" w:hAnsi="Book Antiqua"/>
          <w:noProof/>
          <w:color w:val="auto"/>
          <w:vertAlign w:val="superscript"/>
        </w:rPr>
        <w:t>[80</w:t>
      </w:r>
      <w:r w:rsidR="003459EC">
        <w:rPr>
          <w:rFonts w:ascii="Book Antiqua" w:hAnsi="Book Antiqua" w:hint="eastAsia"/>
          <w:noProof/>
          <w:color w:val="auto"/>
          <w:vertAlign w:val="superscript"/>
          <w:lang w:eastAsia="zh-CN"/>
        </w:rPr>
        <w:t>,</w:t>
      </w:r>
      <w:r w:rsidRPr="00B01FC5">
        <w:rPr>
          <w:rFonts w:ascii="Book Antiqua" w:hAnsi="Book Antiqua"/>
          <w:noProof/>
          <w:color w:val="auto"/>
          <w:vertAlign w:val="superscript"/>
        </w:rPr>
        <w:t>81]</w:t>
      </w:r>
      <w:r w:rsidRPr="00B01FC5">
        <w:rPr>
          <w:rFonts w:ascii="Book Antiqua" w:hAnsi="Book Antiqua"/>
          <w:color w:val="auto"/>
        </w:rPr>
        <w:t>. The role of MR diffusion weighted imaging has also been investigated in response assessment. Early variation (at first decrease, and subsequently increase) in apparent diffusion coefficient values after therapy seems to correlate with a better response. Moreover, low pre-treatment apparent diffusion coefficient values seem to be predictive of a good response</w:t>
      </w:r>
      <w:r w:rsidR="003459EC">
        <w:rPr>
          <w:rFonts w:ascii="Book Antiqua" w:hAnsi="Book Antiqua"/>
          <w:noProof/>
          <w:color w:val="auto"/>
          <w:vertAlign w:val="superscript"/>
        </w:rPr>
        <w:t>[82,</w:t>
      </w:r>
      <w:r w:rsidRPr="00B01FC5">
        <w:rPr>
          <w:rFonts w:ascii="Book Antiqua" w:hAnsi="Book Antiqua"/>
          <w:noProof/>
          <w:color w:val="auto"/>
          <w:vertAlign w:val="superscript"/>
        </w:rPr>
        <w:t>83]</w:t>
      </w:r>
      <w:r w:rsidRPr="00B01FC5">
        <w:rPr>
          <w:rFonts w:ascii="Book Antiqua" w:hAnsi="Book Antiqua"/>
          <w:color w:val="auto"/>
        </w:rPr>
        <w:t>.</w:t>
      </w:r>
      <w:r w:rsidR="00C1527F">
        <w:rPr>
          <w:rFonts w:ascii="Book Antiqua" w:hAnsi="Book Antiqua"/>
          <w:color w:val="auto"/>
        </w:rPr>
        <w:t xml:space="preserve"> </w:t>
      </w:r>
      <w:r w:rsidRPr="00B01FC5">
        <w:rPr>
          <w:rFonts w:ascii="Book Antiqua" w:hAnsi="Book Antiqua"/>
          <w:color w:val="auto"/>
        </w:rPr>
        <w:t>On the contrary, the results of MR diffusion weighted imaging in HCC patients during therapy (loco-regional, systemic or combination therapies) are controversial and not yet clear because of low reproducibility of this technique.</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Perfusion-weighted imaging</w:t>
      </w:r>
      <w:r w:rsidR="00C1527F">
        <w:rPr>
          <w:rFonts w:ascii="Book Antiqua" w:hAnsi="Book Antiqua"/>
          <w:color w:val="auto"/>
        </w:rPr>
        <w:t xml:space="preserve"> </w:t>
      </w:r>
      <w:r w:rsidRPr="00B01FC5">
        <w:rPr>
          <w:rFonts w:ascii="Book Antiqua" w:hAnsi="Book Antiqua"/>
          <w:color w:val="auto"/>
        </w:rPr>
        <w:t>is a relatively new MR/CT technique for qualitative and quantitative evaluation of the delivery of blood to biological tissues. Recently, attention has been focused on the “mean intralesional transit time”, which is the time that a contrast agent takes to go through the tissue volume (</w:t>
      </w:r>
      <w:r w:rsidRPr="003459EC">
        <w:rPr>
          <w:rFonts w:ascii="Book Antiqua" w:hAnsi="Book Antiqua"/>
          <w:i/>
          <w:color w:val="auto"/>
        </w:rPr>
        <w:t>e.g.</w:t>
      </w:r>
      <w:r w:rsidR="003459EC">
        <w:rPr>
          <w:rFonts w:ascii="Book Antiqua" w:hAnsi="Book Antiqua"/>
          <w:color w:val="auto"/>
        </w:rPr>
        <w:t xml:space="preserve"> liver) from entry to exit</w:t>
      </w:r>
      <w:r w:rsidRPr="00B01FC5">
        <w:rPr>
          <w:rFonts w:ascii="Book Antiqua" w:hAnsi="Book Antiqua"/>
          <w:noProof/>
          <w:color w:val="auto"/>
          <w:vertAlign w:val="superscript"/>
        </w:rPr>
        <w:t>[84]</w:t>
      </w:r>
      <w:r w:rsidRPr="00B01FC5">
        <w:rPr>
          <w:rFonts w:ascii="Book Antiqua" w:hAnsi="Book Antiqua"/>
          <w:color w:val="auto"/>
        </w:rPr>
        <w:t xml:space="preserve">. In several </w:t>
      </w:r>
      <w:r w:rsidRPr="00B01FC5">
        <w:rPr>
          <w:rFonts w:ascii="Book Antiqua" w:hAnsi="Book Antiqua"/>
          <w:color w:val="auto"/>
        </w:rPr>
        <w:lastRenderedPageBreak/>
        <w:t>studies, this parameter showed not only good correlation with response to therapy, but its baseline value (before starting therapy) seems to be predictive of response. In fact some authors have shown that partial or complete responders had higher mean intralesional transit time levels at baseline examination compared to</w:t>
      </w:r>
      <w:r w:rsidR="003459EC">
        <w:rPr>
          <w:rFonts w:ascii="Book Antiqua" w:hAnsi="Book Antiqua"/>
          <w:color w:val="auto"/>
        </w:rPr>
        <w:t xml:space="preserve"> those with progressive disease</w:t>
      </w:r>
      <w:r w:rsidRPr="00B01FC5">
        <w:rPr>
          <w:rFonts w:ascii="Book Antiqua" w:hAnsi="Book Antiqua"/>
          <w:noProof/>
          <w:color w:val="auto"/>
          <w:vertAlign w:val="superscript"/>
        </w:rPr>
        <w:t>[85]</w:t>
      </w:r>
      <w:r w:rsidRPr="00B01FC5">
        <w:rPr>
          <w:rFonts w:ascii="Book Antiqua" w:hAnsi="Book Antiqua"/>
          <w:color w:val="auto"/>
        </w:rPr>
        <w:t>. Both diffusion and perfusion techniques are still to be considered “research methods” not applicable in the clinical setting.</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When evaluating the response to TARE, it should be considered that radiologic findings are more heterogeneous and variable than in other loco-regional treatments, and identification of residual disease, reactionary changes or complications is crucial to assess tumor response. After TARE the responding tumor can show shrinkage (diameters reduction), “vanishing” (enhancement decrement after contrast agent administration), and necrosis. In addition, various collateral findings can be observed, which could make even more difficult the response evaluation. These include perivascular edema, ring enhancement in case of coagulative necrosis, hepatocyte depletion and</w:t>
      </w:r>
      <w:r w:rsidR="00C1527F">
        <w:rPr>
          <w:rFonts w:ascii="Book Antiqua" w:hAnsi="Book Antiqua"/>
          <w:color w:val="auto"/>
        </w:rPr>
        <w:t xml:space="preserve"> </w:t>
      </w:r>
      <w:r w:rsidR="003459EC">
        <w:rPr>
          <w:rFonts w:ascii="Book Antiqua" w:hAnsi="Book Antiqua"/>
          <w:color w:val="auto"/>
        </w:rPr>
        <w:t>hepatic fibrosis</w:t>
      </w:r>
      <w:r w:rsidRPr="00B01FC5">
        <w:rPr>
          <w:rFonts w:ascii="Book Antiqua" w:hAnsi="Book Antiqua"/>
          <w:noProof/>
          <w:color w:val="auto"/>
          <w:vertAlign w:val="superscript"/>
        </w:rPr>
        <w:t>[86]</w:t>
      </w:r>
      <w:r w:rsidRPr="00B01FC5">
        <w:rPr>
          <w:rFonts w:ascii="Book Antiqua" w:hAnsi="Book Antiqua"/>
          <w:color w:val="auto"/>
        </w:rPr>
        <w:t>.</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RECIST criteria are not always appropriate in evaluating response after TARE, and criteria which evaluate viable portion of a lesion like EASL and mRECIST are more suitable. In fact, according to Keepke and Seyal, both mRECIST and EASL showed superiority in evaluating objective response to</w:t>
      </w:r>
      <w:r w:rsidR="003459EC">
        <w:rPr>
          <w:rFonts w:ascii="Book Antiqua" w:hAnsi="Book Antiqua"/>
          <w:color w:val="auto"/>
        </w:rPr>
        <w:t xml:space="preserve"> TARE when compared with RECIST</w:t>
      </w:r>
      <w:r w:rsidR="003459EC">
        <w:rPr>
          <w:rFonts w:ascii="Book Antiqua" w:hAnsi="Book Antiqua"/>
          <w:noProof/>
          <w:color w:val="auto"/>
          <w:vertAlign w:val="superscript"/>
        </w:rPr>
        <w:t>[87,</w:t>
      </w:r>
      <w:r w:rsidRPr="00B01FC5">
        <w:rPr>
          <w:rFonts w:ascii="Book Antiqua" w:hAnsi="Book Antiqua"/>
          <w:noProof/>
          <w:color w:val="auto"/>
          <w:vertAlign w:val="superscript"/>
        </w:rPr>
        <w:t>88]</w:t>
      </w:r>
      <w:r w:rsidRPr="00B01FC5">
        <w:rPr>
          <w:rFonts w:ascii="Book Antiqua" w:hAnsi="Book Antiqua"/>
          <w:color w:val="auto"/>
        </w:rPr>
        <w:t>.</w:t>
      </w:r>
      <w:r w:rsidR="00C1527F">
        <w:rPr>
          <w:rFonts w:ascii="Book Antiqua" w:hAnsi="Book Antiqua"/>
          <w:color w:val="auto"/>
        </w:rPr>
        <w:t xml:space="preserve"> </w:t>
      </w:r>
      <w:r w:rsidRPr="00B01FC5">
        <w:rPr>
          <w:rFonts w:ascii="Book Antiqua" w:hAnsi="Book Antiqua"/>
          <w:color w:val="auto"/>
        </w:rPr>
        <w:t>On the other hand, other authors compared RECIST, mRECIST, Choi and mChoi criteria, showing that Choi and mRECIST are the most appropriate</w:t>
      </w:r>
      <w:r w:rsidR="00C1527F">
        <w:rPr>
          <w:rFonts w:ascii="Book Antiqua" w:hAnsi="Book Antiqua"/>
          <w:color w:val="auto"/>
        </w:rPr>
        <w:t xml:space="preserve"> </w:t>
      </w:r>
      <w:r w:rsidRPr="00B01FC5">
        <w:rPr>
          <w:rFonts w:ascii="Book Antiqua" w:hAnsi="Book Antiqua"/>
          <w:color w:val="auto"/>
        </w:rPr>
        <w:t>in assessing response after TARE. In particular, patients who have response according to Choi criteria have significantly longer TTP and OS, while non-responders have worse prognosis</w:t>
      </w:r>
      <w:r w:rsidRPr="00B01FC5">
        <w:rPr>
          <w:rFonts w:ascii="Book Antiqua" w:hAnsi="Book Antiqua"/>
          <w:noProof/>
          <w:color w:val="auto"/>
          <w:vertAlign w:val="superscript"/>
        </w:rPr>
        <w:t>[89]</w:t>
      </w:r>
      <w:r w:rsidRPr="00B01FC5">
        <w:rPr>
          <w:rFonts w:ascii="Book Antiqua" w:hAnsi="Book Antiqua"/>
          <w:color w:val="auto"/>
        </w:rPr>
        <w:t>.</w:t>
      </w:r>
      <w:r w:rsidR="00C1527F">
        <w:rPr>
          <w:rFonts w:ascii="Book Antiqua" w:hAnsi="Book Antiqua"/>
          <w:color w:val="auto"/>
        </w:rPr>
        <w:t xml:space="preserve"> </w:t>
      </w:r>
      <w:r w:rsidRPr="00B01FC5">
        <w:rPr>
          <w:rFonts w:ascii="Book Antiqua" w:hAnsi="Book Antiqua"/>
          <w:color w:val="auto"/>
        </w:rPr>
        <w:t>Even if Choi criteria have shown good correlation between imaging and patient outcome, evaluation of tumor density applying a ROI within a lesion is not unanimously accepted, for the excessive inter</w:t>
      </w:r>
      <w:r w:rsidR="003459EC">
        <w:rPr>
          <w:rFonts w:ascii="Book Antiqua" w:hAnsi="Book Antiqua"/>
          <w:color w:val="auto"/>
        </w:rPr>
        <w:t xml:space="preserve"> and intra-observer variability</w:t>
      </w:r>
      <w:r w:rsidRPr="00B01FC5">
        <w:rPr>
          <w:rFonts w:ascii="Book Antiqua" w:hAnsi="Book Antiqua"/>
          <w:noProof/>
          <w:color w:val="auto"/>
          <w:vertAlign w:val="superscript"/>
        </w:rPr>
        <w:t>[90]</w:t>
      </w:r>
      <w:r w:rsidRPr="00B01FC5">
        <w:rPr>
          <w:rFonts w:ascii="Book Antiqua" w:hAnsi="Book Antiqua"/>
          <w:color w:val="auto"/>
        </w:rPr>
        <w:t>. Moreover, measurements of density could be difficult in hypodense lesions and make this method not reliable.</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Volumetric studies also can help the clinician to evaluate response to TARE. This technique is used in order to measure both the whole tumor and the necrotic area. According to Monsky</w:t>
      </w:r>
      <w:r w:rsidR="003459EC">
        <w:rPr>
          <w:rFonts w:ascii="Book Antiqua" w:hAnsi="Book Antiqua" w:hint="eastAsia"/>
          <w:color w:val="auto"/>
          <w:lang w:eastAsia="zh-CN"/>
        </w:rPr>
        <w:t xml:space="preserve"> </w:t>
      </w:r>
      <w:r w:rsidR="00817B06" w:rsidRPr="003459EC">
        <w:rPr>
          <w:rFonts w:ascii="Book Antiqua" w:hAnsi="Book Antiqua"/>
          <w:i/>
          <w:color w:val="auto"/>
        </w:rPr>
        <w:t>et al</w:t>
      </w:r>
      <w:r w:rsidR="003459EC" w:rsidRPr="00B01FC5">
        <w:rPr>
          <w:rFonts w:ascii="Book Antiqua" w:hAnsi="Book Antiqua"/>
          <w:noProof/>
          <w:color w:val="auto"/>
          <w:vertAlign w:val="superscript"/>
        </w:rPr>
        <w:t>[91]</w:t>
      </w:r>
      <w:r w:rsidR="003459EC">
        <w:rPr>
          <w:rFonts w:ascii="Book Antiqua" w:hAnsi="Book Antiqua" w:hint="eastAsia"/>
          <w:color w:val="auto"/>
          <w:lang w:eastAsia="zh-CN"/>
        </w:rPr>
        <w:t xml:space="preserve"> </w:t>
      </w:r>
      <w:r w:rsidRPr="00B01FC5">
        <w:rPr>
          <w:rFonts w:ascii="Book Antiqua" w:hAnsi="Book Antiqua"/>
          <w:color w:val="auto"/>
        </w:rPr>
        <w:t>volumetric technique is more suitable to evaluate dimension of a necrotic area after TARE. In addition, patients whose change in necrotic area is &gt;</w:t>
      </w:r>
      <w:r w:rsidR="003459EC">
        <w:rPr>
          <w:rFonts w:ascii="Book Antiqua" w:hAnsi="Book Antiqua" w:hint="eastAsia"/>
          <w:color w:val="auto"/>
          <w:lang w:eastAsia="zh-CN"/>
        </w:rPr>
        <w:t xml:space="preserve"> </w:t>
      </w:r>
      <w:r w:rsidRPr="00B01FC5">
        <w:rPr>
          <w:rFonts w:ascii="Book Antiqua" w:hAnsi="Book Antiqua"/>
          <w:color w:val="auto"/>
        </w:rPr>
        <w:t>10% has longer survival if compared to patients whose change is &lt;</w:t>
      </w:r>
      <w:r w:rsidR="003459EC">
        <w:rPr>
          <w:rFonts w:ascii="Book Antiqua" w:hAnsi="Book Antiqua" w:hint="eastAsia"/>
          <w:color w:val="auto"/>
          <w:lang w:eastAsia="zh-CN"/>
        </w:rPr>
        <w:t xml:space="preserve"> </w:t>
      </w:r>
      <w:r w:rsidR="003459EC">
        <w:rPr>
          <w:rFonts w:ascii="Book Antiqua" w:hAnsi="Book Antiqua"/>
          <w:color w:val="auto"/>
        </w:rPr>
        <w:t>10%</w:t>
      </w:r>
      <w:r w:rsidRPr="00B01FC5">
        <w:rPr>
          <w:rFonts w:ascii="Book Antiqua" w:hAnsi="Book Antiqua"/>
          <w:color w:val="auto"/>
        </w:rPr>
        <w:t>.</w:t>
      </w:r>
    </w:p>
    <w:p w:rsidR="00951AB4" w:rsidRPr="00B01FC5" w:rsidRDefault="00951AB4" w:rsidP="009352FD">
      <w:pPr>
        <w:pStyle w:val="CorpoA"/>
        <w:spacing w:line="360" w:lineRule="auto"/>
        <w:jc w:val="both"/>
        <w:rPr>
          <w:rFonts w:ascii="Book Antiqua" w:hAnsi="Book Antiqua"/>
          <w:color w:val="auto"/>
        </w:rPr>
      </w:pPr>
    </w:p>
    <w:p w:rsidR="00951AB4" w:rsidRPr="0033508F" w:rsidRDefault="0033508F" w:rsidP="009352FD">
      <w:pPr>
        <w:pStyle w:val="CorpoA"/>
        <w:spacing w:line="360" w:lineRule="auto"/>
        <w:jc w:val="both"/>
        <w:rPr>
          <w:rFonts w:ascii="Book Antiqua" w:hAnsi="Book Antiqua"/>
          <w:b/>
          <w:color w:val="auto"/>
        </w:rPr>
      </w:pPr>
      <w:r w:rsidRPr="0033508F">
        <w:rPr>
          <w:rFonts w:ascii="Book Antiqua" w:hAnsi="Book Antiqua"/>
          <w:b/>
          <w:color w:val="auto"/>
        </w:rPr>
        <w:lastRenderedPageBreak/>
        <w:t>PROGNOSIS IN ADVANCED HCC</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As described before, advanced HCC is a condition where multiple actors can play a determinant role, resulting in large variability of the disease even in the same BCLC stage.</w:t>
      </w:r>
    </w:p>
    <w:p w:rsidR="00951AB4" w:rsidRPr="00B01FC5" w:rsidRDefault="00951AB4" w:rsidP="009352FD">
      <w:pPr>
        <w:pStyle w:val="CorpoA"/>
        <w:spacing w:line="360" w:lineRule="auto"/>
        <w:jc w:val="both"/>
        <w:rPr>
          <w:rFonts w:ascii="Book Antiqua" w:hAnsi="Book Antiqua"/>
          <w:b/>
          <w:color w:val="auto"/>
        </w:rPr>
      </w:pPr>
    </w:p>
    <w:p w:rsidR="00951AB4" w:rsidRPr="0033508F" w:rsidRDefault="00951AB4" w:rsidP="009352FD">
      <w:pPr>
        <w:pStyle w:val="CorpoA"/>
        <w:spacing w:line="360" w:lineRule="auto"/>
        <w:jc w:val="both"/>
        <w:rPr>
          <w:rFonts w:ascii="Book Antiqua" w:hAnsi="Book Antiqua"/>
          <w:b/>
          <w:i/>
          <w:color w:val="auto"/>
        </w:rPr>
      </w:pPr>
      <w:r w:rsidRPr="0033508F">
        <w:rPr>
          <w:rFonts w:ascii="Book Antiqua" w:hAnsi="Book Antiqua"/>
          <w:b/>
          <w:i/>
          <w:color w:val="auto"/>
        </w:rPr>
        <w:t>Portal vein thrombosis</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The presence/absence of portal vein thrombosis and its extension, as well as extra-hepatic spread and alterations in liver function, can jeopardize the efficacy of specific treatments. Moreover, the natural history of the disease - even in absence of treatment - is strictly related to these variables. Finally, both natural history and the response to treatment may be influenced by molecular characteristics of the tumor. It is easy to understand how talking of prognosis “in general” for advanced HCC - as well as for all stages of HCC - sounds simplistic.</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The natural history of the disease is difficult to evaluate through randomized controlled trials for ethical reasons. Nonetheless, some interesting studies have tried to clarify the prognosis of untreated HCC. A meta-analysis published in 2010 evaluated more than 4000 patients included in the placebo or inactive treatment arms of 30 randomized control trials in order to estimate survival in untreated HCC patients and to evaluate factors related to a different survival</w:t>
      </w:r>
      <w:r w:rsidRPr="00B01FC5">
        <w:rPr>
          <w:rFonts w:ascii="Book Antiqua" w:hAnsi="Book Antiqua"/>
          <w:noProof/>
          <w:color w:val="auto"/>
          <w:vertAlign w:val="superscript"/>
        </w:rPr>
        <w:t>[92]</w:t>
      </w:r>
      <w:r w:rsidRPr="00B01FC5">
        <w:rPr>
          <w:rFonts w:ascii="Book Antiqua" w:hAnsi="Book Antiqua"/>
          <w:color w:val="auto"/>
        </w:rPr>
        <w:t>. The 1-year survival rate in BCLC B</w:t>
      </w:r>
      <w:r w:rsidR="003459EC">
        <w:rPr>
          <w:rFonts w:ascii="Book Antiqua" w:hAnsi="Book Antiqua" w:hint="eastAsia"/>
          <w:color w:val="auto"/>
          <w:lang w:eastAsia="zh-CN"/>
        </w:rPr>
        <w:t xml:space="preserve"> </w:t>
      </w:r>
      <w:r w:rsidRPr="00B01FC5">
        <w:rPr>
          <w:rFonts w:ascii="Book Antiqua" w:hAnsi="Book Antiqua"/>
          <w:color w:val="auto"/>
        </w:rPr>
        <w:t>+</w:t>
      </w:r>
      <w:r w:rsidR="003459EC">
        <w:rPr>
          <w:rFonts w:ascii="Book Antiqua" w:hAnsi="Book Antiqua" w:hint="eastAsia"/>
          <w:color w:val="auto"/>
          <w:lang w:eastAsia="zh-CN"/>
        </w:rPr>
        <w:t xml:space="preserve"> </w:t>
      </w:r>
      <w:r w:rsidRPr="00B01FC5">
        <w:rPr>
          <w:rFonts w:ascii="Book Antiqua" w:hAnsi="Book Antiqua"/>
          <w:color w:val="auto"/>
        </w:rPr>
        <w:t>C patients was 34%, with a pooled estimate 1-year survival of 25% in the subgroup of advanced HCC patients. ECOG performance status, albumin levels, prothrombin activity, portal vein thrombosis and Child Pugh score A emerged as predictors of longer survival in all HCC untreated patients. In the BCLC B+C group ECOG performance status, presence of ascites and an Okuda stage I were significantly related with a longer survival. A more recent retrospective cohort study evaluated 320 untreated HCC patients, 39% in a</w:t>
      </w:r>
      <w:r w:rsidR="003459EC">
        <w:rPr>
          <w:rFonts w:ascii="Book Antiqua" w:hAnsi="Book Antiqua"/>
          <w:color w:val="auto"/>
        </w:rPr>
        <w:t>dvanced stage according to BCLC</w:t>
      </w:r>
      <w:r w:rsidRPr="00B01FC5">
        <w:rPr>
          <w:rFonts w:ascii="Book Antiqua" w:hAnsi="Book Antiqua"/>
          <w:noProof/>
          <w:color w:val="auto"/>
          <w:vertAlign w:val="superscript"/>
        </w:rPr>
        <w:t>[93]</w:t>
      </w:r>
      <w:r w:rsidRPr="00B01FC5">
        <w:rPr>
          <w:rFonts w:ascii="Book Antiqua" w:hAnsi="Book Antiqua"/>
          <w:color w:val="auto"/>
        </w:rPr>
        <w:t>. The 1-year survival rate for advanced HCC patients was 12%, with a median survival of 6.9 mo. ECOG performance status, INR and alpha-fetoprotein emerged as independent predictors of mortality at multivariate analysis.</w:t>
      </w:r>
    </w:p>
    <w:p w:rsidR="00951AB4" w:rsidRPr="00B01FC5" w:rsidRDefault="00951AB4" w:rsidP="009352FD">
      <w:pPr>
        <w:pStyle w:val="CorpoA"/>
        <w:spacing w:line="360" w:lineRule="auto"/>
        <w:jc w:val="both"/>
        <w:rPr>
          <w:rFonts w:ascii="Book Antiqua" w:hAnsi="Book Antiqua"/>
          <w:color w:val="auto"/>
        </w:rPr>
      </w:pPr>
    </w:p>
    <w:p w:rsidR="00951AB4" w:rsidRPr="0033508F" w:rsidRDefault="00951AB4" w:rsidP="009352FD">
      <w:pPr>
        <w:pStyle w:val="CorpoA"/>
        <w:spacing w:line="360" w:lineRule="auto"/>
        <w:jc w:val="both"/>
        <w:rPr>
          <w:rFonts w:ascii="Book Antiqua" w:hAnsi="Book Antiqua"/>
          <w:b/>
          <w:i/>
          <w:color w:val="auto"/>
        </w:rPr>
      </w:pPr>
      <w:r w:rsidRPr="0033508F">
        <w:rPr>
          <w:rFonts w:ascii="Book Antiqua" w:hAnsi="Book Antiqua"/>
          <w:b/>
          <w:i/>
          <w:color w:val="auto"/>
        </w:rPr>
        <w:t>Distant metastases</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 xml:space="preserve">A related emerging issue, analyzed in recent studies, has been the attempt to establish a correlation between progression and survival in patients with HCC. In order to do that, attention has been focused not only on classic OS but also on two new parameters, which </w:t>
      </w:r>
      <w:r w:rsidRPr="00B01FC5">
        <w:rPr>
          <w:rFonts w:ascii="Book Antiqua" w:hAnsi="Book Antiqua"/>
          <w:color w:val="auto"/>
        </w:rPr>
        <w:lastRenderedPageBreak/>
        <w:t>were not considered in the past studies on HCC during systemic therapy. The first is TTP, defined as the time from the date of starting therapy to disease progression, evaluated by imaging (CT or MRI). The second is the post-progression survival, which is the time from disease progression to death. Along these lines, four different kinds of progression (progression patterns) have been established: intrahepatic or extrahepatic tumor growth (&gt;</w:t>
      </w:r>
      <w:r w:rsidR="003459EC">
        <w:rPr>
          <w:rFonts w:ascii="Book Antiqua" w:hAnsi="Book Antiqua" w:hint="eastAsia"/>
          <w:color w:val="auto"/>
          <w:lang w:eastAsia="zh-CN"/>
        </w:rPr>
        <w:t xml:space="preserve"> </w:t>
      </w:r>
      <w:r w:rsidRPr="00B01FC5">
        <w:rPr>
          <w:rFonts w:ascii="Book Antiqua" w:hAnsi="Book Antiqua"/>
          <w:color w:val="auto"/>
        </w:rPr>
        <w:t xml:space="preserve">20% increase in tumor size of viable target lesion), new intrahepatic lesion and new extrahepatic lesion (including new metastasis and/or vascular invasion). According to data reported by Lee </w:t>
      </w:r>
      <w:r w:rsidR="00817B06" w:rsidRPr="00B01FC5">
        <w:rPr>
          <w:rFonts w:ascii="Book Antiqua" w:hAnsi="Book Antiqua"/>
          <w:color w:val="auto"/>
        </w:rPr>
        <w:t>et al.</w:t>
      </w:r>
      <w:r w:rsidRPr="00B01FC5">
        <w:rPr>
          <w:rFonts w:ascii="Book Antiqua" w:hAnsi="Book Antiqua"/>
          <w:color w:val="auto"/>
        </w:rPr>
        <w:t>, patients with only metastatic disease have a better post-progression survival than those with vascular invasion or both of them (respectively 7.7, 3.8 and 3 mo), probably because of a higher rate of liver failure in patient with vascular invasion. TTP</w:t>
      </w:r>
      <w:r w:rsidR="00C1527F">
        <w:rPr>
          <w:rFonts w:ascii="Book Antiqua" w:hAnsi="Book Antiqua"/>
          <w:color w:val="auto"/>
        </w:rPr>
        <w:t xml:space="preserve"> </w:t>
      </w:r>
      <w:r w:rsidRPr="00B01FC5">
        <w:rPr>
          <w:rFonts w:ascii="Book Antiqua" w:hAnsi="Book Antiqua"/>
          <w:color w:val="auto"/>
        </w:rPr>
        <w:t>also seems to be related with survival: in fact patients with early radiologic progression during sorafenib treatment have a much shorter survival than progressive disease patients at 4 mo</w:t>
      </w:r>
      <w:r w:rsidR="002D6B47">
        <w:rPr>
          <w:rFonts w:ascii="Book Antiqua" w:hAnsi="Book Antiqua"/>
          <w:color w:val="auto"/>
        </w:rPr>
        <w:t xml:space="preserve"> (respectively 4.9 and 16.6 mo)</w:t>
      </w:r>
      <w:r w:rsidRPr="00B01FC5">
        <w:rPr>
          <w:rFonts w:ascii="Book Antiqua" w:hAnsi="Book Antiqua"/>
          <w:noProof/>
          <w:color w:val="auto"/>
          <w:vertAlign w:val="superscript"/>
        </w:rPr>
        <w:t>[28]</w:t>
      </w:r>
      <w:r w:rsidRPr="00B01FC5">
        <w:rPr>
          <w:rFonts w:ascii="Book Antiqua" w:hAnsi="Book Antiqua"/>
          <w:color w:val="auto"/>
          <w:u w:color="1F497D"/>
        </w:rPr>
        <w:t>.</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Similar results in term of survival had already been reported by Reig</w:t>
      </w:r>
      <w:r w:rsidR="003459EC">
        <w:rPr>
          <w:rFonts w:ascii="Book Antiqua" w:hAnsi="Book Antiqua" w:hint="eastAsia"/>
          <w:color w:val="auto"/>
          <w:lang w:eastAsia="zh-CN"/>
        </w:rPr>
        <w:t xml:space="preserve"> </w:t>
      </w:r>
      <w:r w:rsidR="003459EC" w:rsidRPr="003459EC">
        <w:rPr>
          <w:rFonts w:ascii="Book Antiqua" w:hAnsi="Book Antiqua"/>
          <w:i/>
          <w:color w:val="auto"/>
        </w:rPr>
        <w:t>et al</w:t>
      </w:r>
      <w:r w:rsidR="003459EC" w:rsidRPr="00B01FC5">
        <w:rPr>
          <w:rFonts w:ascii="Book Antiqua" w:hAnsi="Book Antiqua"/>
          <w:noProof/>
          <w:color w:val="auto"/>
          <w:vertAlign w:val="superscript"/>
        </w:rPr>
        <w:t>[94]</w:t>
      </w:r>
      <w:r w:rsidRPr="00B01FC5">
        <w:rPr>
          <w:rFonts w:ascii="Book Antiqua" w:hAnsi="Book Antiqua"/>
          <w:color w:val="auto"/>
        </w:rPr>
        <w:t>, who showed how the progression pattern may impact on prognosis. In particular the presence of new extrahepatic lesions and/or vascular invasion appear to be correlated to a shorter post progression survival. The purpose of correlating pattern progression with survival is to identify those patients who are eligible for second line treatment, and to appropriately stratify them. In order to do that, the concept of “BCLC upon progression”, which evaluates the progression pattern of PD patients, has been introduced. In advanced HCC patients (BCLC-C) two kinds of progressions have been identified: patients who show an increase in size of an existing lesion or a new intrahepatic lesion (probably candidates for second line treatment) and patients who show extrahepatic lesions or vascular invasion, associated with a poor prognosis</w:t>
      </w:r>
      <w:r w:rsidRPr="00B01FC5">
        <w:rPr>
          <w:rFonts w:ascii="Book Antiqua" w:hAnsi="Book Antiqua"/>
          <w:noProof/>
          <w:color w:val="auto"/>
          <w:vertAlign w:val="superscript"/>
        </w:rPr>
        <w:t>[94]</w:t>
      </w:r>
      <w:r w:rsidR="00CE68E7" w:rsidRPr="00B01FC5">
        <w:rPr>
          <w:rFonts w:ascii="Book Antiqua" w:hAnsi="Book Antiqua"/>
          <w:color w:val="auto"/>
        </w:rPr>
        <w:t>.</w:t>
      </w:r>
    </w:p>
    <w:p w:rsidR="00951AB4" w:rsidRPr="00B01FC5" w:rsidRDefault="00951AB4" w:rsidP="009352FD">
      <w:pPr>
        <w:pStyle w:val="CorpoA"/>
        <w:spacing w:line="360" w:lineRule="auto"/>
        <w:jc w:val="both"/>
        <w:rPr>
          <w:rFonts w:ascii="Book Antiqua" w:hAnsi="Book Antiqua"/>
          <w:color w:val="auto"/>
        </w:rPr>
      </w:pPr>
    </w:p>
    <w:p w:rsidR="00951AB4" w:rsidRPr="0033508F" w:rsidRDefault="0033508F" w:rsidP="009352FD">
      <w:pPr>
        <w:pStyle w:val="CorpoA"/>
        <w:spacing w:line="360" w:lineRule="auto"/>
        <w:jc w:val="both"/>
        <w:rPr>
          <w:rFonts w:ascii="Book Antiqua" w:hAnsi="Book Antiqua"/>
          <w:b/>
          <w:color w:val="auto"/>
        </w:rPr>
      </w:pPr>
      <w:r w:rsidRPr="0033508F">
        <w:rPr>
          <w:rFonts w:ascii="Book Antiqua" w:hAnsi="Book Antiqua"/>
          <w:b/>
          <w:color w:val="auto"/>
        </w:rPr>
        <w:t>BEST SUPPORTIVE CARE</w:t>
      </w:r>
    </w:p>
    <w:p w:rsidR="00951AB4" w:rsidRPr="00B01FC5" w:rsidRDefault="00951AB4" w:rsidP="009352FD">
      <w:pPr>
        <w:pStyle w:val="CorpoA"/>
        <w:spacing w:line="360" w:lineRule="auto"/>
        <w:jc w:val="both"/>
        <w:rPr>
          <w:rFonts w:ascii="Book Antiqua" w:hAnsi="Book Antiqua"/>
          <w:color w:val="auto"/>
          <w:lang w:eastAsia="zh-CN"/>
        </w:rPr>
      </w:pPr>
      <w:r w:rsidRPr="00B01FC5">
        <w:rPr>
          <w:rFonts w:ascii="Book Antiqua" w:hAnsi="Book Antiqua"/>
          <w:color w:val="auto"/>
        </w:rPr>
        <w:t xml:space="preserve">There are currently very few data about </w:t>
      </w:r>
      <w:r w:rsidR="00287185" w:rsidRPr="00B01FC5">
        <w:rPr>
          <w:rFonts w:ascii="Book Antiqua" w:hAnsi="Book Antiqua"/>
          <w:color w:val="auto"/>
        </w:rPr>
        <w:t>BSC</w:t>
      </w:r>
      <w:r w:rsidRPr="00B01FC5">
        <w:rPr>
          <w:rFonts w:ascii="Book Antiqua" w:hAnsi="Book Antiqua"/>
          <w:color w:val="auto"/>
        </w:rPr>
        <w:t xml:space="preserve"> in advanced HCC. Although this issue has been neglected, it represents a very important aspect of the care of these patients, as much as in other patients with advanced cancer. According to EORTC "supportive care for cancer patients is the multi-professional attention to the individual's overall physical, psychological, spiritual and cultural needs, and should be available at all stages of the illness, for patients of all ages, and regardless of the current intention of any anti-cancer </w:t>
      </w:r>
      <w:r w:rsidR="003459EC">
        <w:rPr>
          <w:rFonts w:ascii="Book Antiqua" w:hAnsi="Book Antiqua"/>
          <w:color w:val="auto"/>
        </w:rPr>
        <w:lastRenderedPageBreak/>
        <w:t>treatment"</w:t>
      </w:r>
      <w:r w:rsidRPr="00B01FC5">
        <w:rPr>
          <w:rFonts w:ascii="Book Antiqua" w:hAnsi="Book Antiqua"/>
          <w:noProof/>
          <w:color w:val="auto"/>
          <w:vertAlign w:val="superscript"/>
        </w:rPr>
        <w:t>[95]</w:t>
      </w:r>
      <w:r w:rsidRPr="00B01FC5">
        <w:rPr>
          <w:rFonts w:ascii="Book Antiqua" w:hAnsi="Book Antiqua"/>
          <w:color w:val="auto"/>
        </w:rPr>
        <w:t>. According to BCLC, BSC is the only treatment option in terminal stage HCC. However, the definition of BSC implies its application during every stage of the disease. Despite its importance, BSC is marginally discussed or even only mentioned in all guidelines. The goal of BSC is to improve the quality of life, which is obviously reduced in patient with HCC com</w:t>
      </w:r>
      <w:r w:rsidR="003459EC">
        <w:rPr>
          <w:rFonts w:ascii="Book Antiqua" w:hAnsi="Book Antiqua"/>
          <w:color w:val="auto"/>
        </w:rPr>
        <w:t>pared to the general population</w:t>
      </w:r>
      <w:r w:rsidRPr="00B01FC5">
        <w:rPr>
          <w:rFonts w:ascii="Book Antiqua" w:hAnsi="Book Antiqua"/>
          <w:noProof/>
          <w:color w:val="auto"/>
          <w:vertAlign w:val="superscript"/>
        </w:rPr>
        <w:t>[96]</w:t>
      </w:r>
      <w:r w:rsidRPr="00B01FC5">
        <w:rPr>
          <w:rFonts w:ascii="Book Antiqua" w:hAnsi="Book Antiqua"/>
          <w:color w:val="auto"/>
        </w:rPr>
        <w:t>. BSC should be performed in order to avoid the complications of cirrhosis (ascites, gastro-intestinal hemorrhage, encephalopathy, hepatorenal syndrome, spontaneous bacterial peritonitis), but should also be focused to those conditions which ar</w:t>
      </w:r>
      <w:r w:rsidR="002D6B47">
        <w:rPr>
          <w:rFonts w:ascii="Book Antiqua" w:hAnsi="Book Antiqua"/>
          <w:color w:val="auto"/>
        </w:rPr>
        <w:t>e typical of oncologic patients</w:t>
      </w:r>
      <w:r w:rsidRPr="00B01FC5">
        <w:rPr>
          <w:rFonts w:ascii="Book Antiqua" w:hAnsi="Book Antiqua"/>
          <w:noProof/>
          <w:color w:val="auto"/>
          <w:vertAlign w:val="superscript"/>
        </w:rPr>
        <w:t>[97]</w:t>
      </w:r>
      <w:r w:rsidRPr="00B01FC5">
        <w:rPr>
          <w:rFonts w:ascii="Book Antiqua" w:hAnsi="Book Antiqua"/>
          <w:color w:val="auto"/>
        </w:rPr>
        <w:t>. The most common symptoms reported by HCC patients are sleep disturbances, depression, fatigue, malnutrition, anorexia</w:t>
      </w:r>
      <w:r w:rsidR="003459EC">
        <w:rPr>
          <w:rFonts w:ascii="Book Antiqua" w:hAnsi="Book Antiqua"/>
          <w:color w:val="auto"/>
        </w:rPr>
        <w:t>, pain and psychological issues</w:t>
      </w:r>
      <w:r w:rsidRPr="00B01FC5">
        <w:rPr>
          <w:rFonts w:ascii="Book Antiqua" w:hAnsi="Book Antiqua"/>
          <w:noProof/>
          <w:color w:val="auto"/>
          <w:vertAlign w:val="superscript"/>
        </w:rPr>
        <w:t>[98-101]</w:t>
      </w:r>
      <w:r w:rsidR="003459EC">
        <w:rPr>
          <w:rFonts w:ascii="Book Antiqua" w:hAnsi="Book Antiqua"/>
          <w:color w:val="auto"/>
        </w:rPr>
        <w:t>.</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Unsatisfactory night sleep is reported by 50</w:t>
      </w:r>
      <w:r w:rsidR="003459EC" w:rsidRPr="00B01FC5">
        <w:rPr>
          <w:rFonts w:ascii="Book Antiqua" w:hAnsi="Book Antiqua"/>
          <w:color w:val="auto"/>
        </w:rPr>
        <w:t>%</w:t>
      </w:r>
      <w:r w:rsidRPr="00B01FC5">
        <w:rPr>
          <w:rFonts w:ascii="Book Antiqua" w:hAnsi="Book Antiqua"/>
          <w:color w:val="auto"/>
        </w:rPr>
        <w:t>-65% of patients with cirrhosis, that actually reduces sleep time, sleep efficacy and REM sleep and increase sleep latency. These pathological changes correlate with</w:t>
      </w:r>
      <w:r w:rsidR="003459EC">
        <w:rPr>
          <w:rFonts w:ascii="Book Antiqua" w:hAnsi="Book Antiqua"/>
          <w:color w:val="auto"/>
        </w:rPr>
        <w:t xml:space="preserve"> the grade of liver dysfunction</w:t>
      </w:r>
      <w:r w:rsidRPr="00B01FC5">
        <w:rPr>
          <w:rFonts w:ascii="Book Antiqua" w:hAnsi="Book Antiqua"/>
          <w:noProof/>
          <w:color w:val="auto"/>
          <w:vertAlign w:val="superscript"/>
        </w:rPr>
        <w:t>[102-105]</w:t>
      </w:r>
      <w:r w:rsidRPr="00B01FC5">
        <w:rPr>
          <w:rFonts w:ascii="Book Antiqua" w:hAnsi="Book Antiqua"/>
          <w:color w:val="auto"/>
        </w:rPr>
        <w:t>. Insomnia is also reported by 50</w:t>
      </w:r>
      <w:r w:rsidR="003459EC" w:rsidRPr="00B01FC5">
        <w:rPr>
          <w:rFonts w:ascii="Book Antiqua" w:hAnsi="Book Antiqua"/>
          <w:color w:val="auto"/>
        </w:rPr>
        <w:t>%</w:t>
      </w:r>
      <w:r w:rsidRPr="00B01FC5">
        <w:rPr>
          <w:rFonts w:ascii="Book Antiqua" w:hAnsi="Book Antiqua"/>
          <w:color w:val="auto"/>
        </w:rPr>
        <w:t xml:space="preserve">-65% of cirrhotic patients and excessive daytime sleepiness is part of the </w:t>
      </w:r>
      <w:r w:rsidR="002D6B47">
        <w:rPr>
          <w:rFonts w:ascii="Book Antiqua" w:hAnsi="Book Antiqua"/>
          <w:color w:val="auto"/>
        </w:rPr>
        <w:t>hepatic encephalopathy syndrome</w:t>
      </w:r>
      <w:r w:rsidR="007D1487">
        <w:rPr>
          <w:rFonts w:ascii="Book Antiqua" w:hAnsi="Book Antiqua"/>
          <w:noProof/>
          <w:color w:val="auto"/>
          <w:u w:color="0070C0"/>
          <w:vertAlign w:val="superscript"/>
        </w:rPr>
        <w:t>[105,</w:t>
      </w:r>
      <w:r w:rsidRPr="00B01FC5">
        <w:rPr>
          <w:rFonts w:ascii="Book Antiqua" w:hAnsi="Book Antiqua"/>
          <w:noProof/>
          <w:color w:val="auto"/>
          <w:u w:color="0070C0"/>
          <w:vertAlign w:val="superscript"/>
        </w:rPr>
        <w:t>106]</w:t>
      </w:r>
      <w:r w:rsidRPr="00B01FC5">
        <w:rPr>
          <w:rFonts w:ascii="Book Antiqua" w:hAnsi="Book Antiqua"/>
          <w:color w:val="auto"/>
        </w:rPr>
        <w:t>. Physicians should perform a routine assessment of sleep quality and time and evaluate daytime sleepiness. If the latter is present a treatment for hyperammoniemia should be started or increased. Moreover, sleep and light hygiene practices (regular sleep-wake schedule, exposure to bright light in the morning and not in the evening) should be encouraged. While hypnotics should be used with caution, 25 mg hydroxyzine</w:t>
      </w:r>
      <w:r w:rsidR="00C1527F">
        <w:rPr>
          <w:rFonts w:ascii="Book Antiqua" w:hAnsi="Book Antiqua"/>
          <w:color w:val="auto"/>
        </w:rPr>
        <w:t xml:space="preserve"> </w:t>
      </w:r>
      <w:r w:rsidRPr="00B01FC5">
        <w:rPr>
          <w:rFonts w:ascii="Book Antiqua" w:hAnsi="Book Antiqua"/>
          <w:color w:val="auto"/>
        </w:rPr>
        <w:t>before sleeping has induced a subjective sleep improvement compared to placebo with</w:t>
      </w:r>
      <w:r w:rsidR="003459EC">
        <w:rPr>
          <w:rFonts w:ascii="Book Antiqua" w:hAnsi="Book Antiqua"/>
          <w:color w:val="auto"/>
        </w:rPr>
        <w:t xml:space="preserve"> a good profile of tolerability</w:t>
      </w:r>
      <w:r w:rsidRPr="00B01FC5">
        <w:rPr>
          <w:rFonts w:ascii="Book Antiqua" w:hAnsi="Book Antiqua"/>
          <w:noProof/>
          <w:color w:val="auto"/>
          <w:u w:color="0070C0"/>
          <w:vertAlign w:val="superscript"/>
        </w:rPr>
        <w:t>[107]</w:t>
      </w:r>
      <w:r w:rsidRPr="00B01FC5">
        <w:rPr>
          <w:rFonts w:ascii="Book Antiqua" w:hAnsi="Book Antiqua"/>
          <w:color w:val="auto"/>
        </w:rPr>
        <w:t>.</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Depression and anxiety are major determinants of an altered quality of life, even after a curative treatment, and are reported in more than 60% of HCC patients. Treatment should include supportive psychotherapy or behavioral interventions, with particular attention for the relationship between physician and patient and his family. Liver dysfunction modifies pharmacokinetics of antidepressants, which should be introduced at low dosage (1</w:t>
      </w:r>
      <w:r w:rsidRPr="003459EC">
        <w:rPr>
          <w:rFonts w:ascii="Book Antiqua" w:hAnsi="Book Antiqua"/>
          <w:color w:val="auto"/>
          <w:vertAlign w:val="superscript"/>
        </w:rPr>
        <w:t>st</w:t>
      </w:r>
      <w:r w:rsidRPr="00B01FC5">
        <w:rPr>
          <w:rFonts w:ascii="Book Antiqua" w:hAnsi="Book Antiqua"/>
          <w:color w:val="auto"/>
        </w:rPr>
        <w:t xml:space="preserve"> line citalopram, sertraline)</w:t>
      </w:r>
      <w:r w:rsidR="003459EC">
        <w:rPr>
          <w:rFonts w:ascii="Book Antiqua" w:hAnsi="Book Antiqua"/>
          <w:noProof/>
          <w:color w:val="auto"/>
          <w:vertAlign w:val="superscript"/>
        </w:rPr>
        <w:t>[108,</w:t>
      </w:r>
      <w:r w:rsidRPr="00B01FC5">
        <w:rPr>
          <w:rFonts w:ascii="Book Antiqua" w:hAnsi="Book Antiqua"/>
          <w:noProof/>
          <w:color w:val="auto"/>
          <w:vertAlign w:val="superscript"/>
        </w:rPr>
        <w:t>109]</w:t>
      </w:r>
      <w:r w:rsidRPr="00B01FC5">
        <w:rPr>
          <w:rFonts w:ascii="Book Antiqua" w:hAnsi="Book Antiqua"/>
          <w:color w:val="auto"/>
        </w:rPr>
        <w:t xml:space="preserve">. If no </w:t>
      </w:r>
      <w:r w:rsidR="003459EC">
        <w:rPr>
          <w:rFonts w:ascii="Book Antiqua" w:hAnsi="Book Antiqua"/>
          <w:color w:val="auto"/>
        </w:rPr>
        <w:t>improvement is observed in 2 wk</w:t>
      </w:r>
      <w:r w:rsidRPr="00B01FC5">
        <w:rPr>
          <w:rFonts w:ascii="Book Antiqua" w:hAnsi="Book Antiqua"/>
          <w:color w:val="auto"/>
        </w:rPr>
        <w:t>, dosage should be increased. A switch to a second line therapy (</w:t>
      </w:r>
      <w:r w:rsidRPr="003459EC">
        <w:rPr>
          <w:rFonts w:ascii="Book Antiqua" w:hAnsi="Book Antiqua"/>
          <w:i/>
          <w:color w:val="auto"/>
        </w:rPr>
        <w:t>e.g.</w:t>
      </w:r>
      <w:r w:rsidRPr="00B01FC5">
        <w:rPr>
          <w:rFonts w:ascii="Book Antiqua" w:hAnsi="Book Antiqua"/>
          <w:color w:val="auto"/>
        </w:rPr>
        <w:t xml:space="preserve"> paroxetine) s</w:t>
      </w:r>
      <w:r w:rsidR="003459EC">
        <w:rPr>
          <w:rFonts w:ascii="Book Antiqua" w:hAnsi="Book Antiqua"/>
          <w:color w:val="auto"/>
        </w:rPr>
        <w:t>hould be performed after 4-6 wk</w:t>
      </w:r>
      <w:r w:rsidRPr="00B01FC5">
        <w:rPr>
          <w:rFonts w:ascii="Book Antiqua" w:hAnsi="Book Antiqua"/>
          <w:color w:val="auto"/>
        </w:rPr>
        <w:t xml:space="preserve"> of therapy without improvement of symptoms. All psycho-social and spiritual issues are particularly frequent in end-stage disease and require a careful approach, both pharmacological and supportive. Fatigue is very frequent in HCC patients and may be related to multiple causes: depression, sleep disturbances, cachexia, anemia. </w:t>
      </w:r>
      <w:r w:rsidRPr="00B01FC5">
        <w:rPr>
          <w:rFonts w:ascii="Book Antiqua" w:hAnsi="Book Antiqua"/>
          <w:color w:val="auto"/>
        </w:rPr>
        <w:lastRenderedPageBreak/>
        <w:t>Exercise, whose level must be related to fatigue, significantly reduces cancer-related fatigue</w:t>
      </w:r>
      <w:r w:rsidR="003459EC">
        <w:rPr>
          <w:rFonts w:ascii="Book Antiqua" w:hAnsi="Book Antiqua"/>
          <w:color w:val="auto"/>
        </w:rPr>
        <w:t xml:space="preserve"> during and after the treatment</w:t>
      </w:r>
      <w:r w:rsidRPr="00B01FC5">
        <w:rPr>
          <w:rFonts w:ascii="Book Antiqua" w:hAnsi="Book Antiqua"/>
          <w:noProof/>
          <w:color w:val="auto"/>
          <w:vertAlign w:val="superscript"/>
        </w:rPr>
        <w:t>[110]</w:t>
      </w:r>
      <w:r w:rsidRPr="00B01FC5">
        <w:rPr>
          <w:rFonts w:ascii="Book Antiqua" w:hAnsi="Book Antiqua"/>
          <w:color w:val="auto"/>
        </w:rPr>
        <w:t xml:space="preserve">. Although no specific data are available for HCC, administration of modafenil (a nonamphetamine-based stimulant) has recently shown a significant improvement in fatigue in a trial </w:t>
      </w:r>
      <w:r w:rsidRPr="003459EC">
        <w:rPr>
          <w:rFonts w:ascii="Book Antiqua" w:hAnsi="Book Antiqua"/>
          <w:i/>
          <w:color w:val="auto"/>
        </w:rPr>
        <w:t>vs</w:t>
      </w:r>
      <w:r w:rsidRPr="00B01FC5">
        <w:rPr>
          <w:rFonts w:ascii="Book Antiqua" w:hAnsi="Book Antiqua"/>
          <w:color w:val="auto"/>
        </w:rPr>
        <w:t xml:space="preserve"> placebo invo</w:t>
      </w:r>
      <w:r w:rsidR="003459EC">
        <w:rPr>
          <w:rFonts w:ascii="Book Antiqua" w:hAnsi="Book Antiqua"/>
          <w:color w:val="auto"/>
        </w:rPr>
        <w:t>lving 631 cancer patients</w:t>
      </w:r>
      <w:r w:rsidRPr="00B01FC5">
        <w:rPr>
          <w:rFonts w:ascii="Book Antiqua" w:hAnsi="Book Antiqua"/>
          <w:noProof/>
          <w:color w:val="auto"/>
          <w:u w:color="0070C0"/>
          <w:vertAlign w:val="superscript"/>
        </w:rPr>
        <w:t>[111]</w:t>
      </w:r>
      <w:r w:rsidRPr="00B01FC5">
        <w:rPr>
          <w:rFonts w:ascii="Book Antiqua" w:hAnsi="Book Antiqua"/>
          <w:color w:val="auto"/>
        </w:rPr>
        <w:t>.</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Malnutrition, anorexia and cachexia are related to the tumor and to the weight loss and muscle wasting observed in cirrhosis. Sarcopenia, that is frequent in alcoholic and cholestatic diseases and may be related to portosystemic shunting, also contributes to malnutrition and cachexia. An adequate energy uptake, exercise and the avoiding of unnecessary diet restriction such as a low protein diet should be recommended. Few and controversial data on parenteral support are avail</w:t>
      </w:r>
      <w:r w:rsidR="003459EC">
        <w:rPr>
          <w:rFonts w:ascii="Book Antiqua" w:hAnsi="Book Antiqua"/>
          <w:color w:val="auto"/>
        </w:rPr>
        <w:t>able</w:t>
      </w:r>
      <w:r w:rsidRPr="00B01FC5">
        <w:rPr>
          <w:rFonts w:ascii="Book Antiqua" w:hAnsi="Book Antiqua"/>
          <w:noProof/>
          <w:color w:val="auto"/>
          <w:vertAlign w:val="superscript"/>
        </w:rPr>
        <w:t>[112]</w:t>
      </w:r>
      <w:r w:rsidRPr="00B01FC5">
        <w:rPr>
          <w:rFonts w:ascii="Book Antiqua" w:hAnsi="Book Antiqua"/>
          <w:color w:val="auto"/>
        </w:rPr>
        <w:t xml:space="preserve">. A randomized controlled trials by Chow </w:t>
      </w:r>
      <w:r w:rsidR="00817B06" w:rsidRPr="00B01FC5">
        <w:rPr>
          <w:rFonts w:ascii="Book Antiqua" w:hAnsi="Book Antiqua"/>
          <w:iCs/>
          <w:color w:val="auto"/>
        </w:rPr>
        <w:t>et al.</w:t>
      </w:r>
      <w:r w:rsidRPr="00B01FC5">
        <w:rPr>
          <w:rFonts w:ascii="Book Antiqua" w:hAnsi="Book Antiqua"/>
          <w:color w:val="auto"/>
        </w:rPr>
        <w:t>showed that megestrol acetate improved emotional functioning, nausea, vomiting and appetite loss in patients with HCC, while no benefit was observed in OS</w:t>
      </w:r>
      <w:r w:rsidR="00C1527F">
        <w:rPr>
          <w:rFonts w:ascii="Book Antiqua" w:hAnsi="Book Antiqua"/>
          <w:color w:val="auto"/>
        </w:rPr>
        <w:t xml:space="preserve"> </w:t>
      </w:r>
      <w:r w:rsidR="003459EC">
        <w:rPr>
          <w:rFonts w:ascii="Book Antiqua" w:hAnsi="Book Antiqua"/>
          <w:color w:val="auto"/>
        </w:rPr>
        <w:t>or quality of life</w:t>
      </w:r>
      <w:r w:rsidR="003459EC">
        <w:rPr>
          <w:rFonts w:ascii="Book Antiqua" w:hAnsi="Book Antiqua"/>
          <w:noProof/>
          <w:color w:val="auto"/>
          <w:vertAlign w:val="superscript"/>
        </w:rPr>
        <w:t>[113,</w:t>
      </w:r>
      <w:r w:rsidRPr="00B01FC5">
        <w:rPr>
          <w:rFonts w:ascii="Book Antiqua" w:hAnsi="Book Antiqua"/>
          <w:noProof/>
          <w:color w:val="auto"/>
          <w:vertAlign w:val="superscript"/>
        </w:rPr>
        <w:t>114]</w:t>
      </w:r>
      <w:r w:rsidRPr="00B01FC5">
        <w:rPr>
          <w:rFonts w:ascii="Book Antiqua" w:hAnsi="Book Antiqua"/>
          <w:color w:val="auto"/>
        </w:rPr>
        <w:t>. Numerous studies evaluated the role of oral branched-chain amino acid</w:t>
      </w:r>
      <w:r w:rsidR="00C1527F">
        <w:rPr>
          <w:rFonts w:ascii="Book Antiqua" w:hAnsi="Book Antiqua"/>
          <w:color w:val="auto"/>
        </w:rPr>
        <w:t xml:space="preserve"> </w:t>
      </w:r>
      <w:r w:rsidRPr="00B01FC5">
        <w:rPr>
          <w:rFonts w:ascii="Book Antiqua" w:hAnsi="Book Antiqua"/>
          <w:color w:val="auto"/>
        </w:rPr>
        <w:t>administration in HCC patients, although very few data are available in the subset of advanced HCC. In general, this kind of treatment</w:t>
      </w:r>
      <w:r w:rsidR="00C1527F">
        <w:rPr>
          <w:rFonts w:ascii="Book Antiqua" w:hAnsi="Book Antiqua"/>
          <w:color w:val="auto"/>
        </w:rPr>
        <w:t xml:space="preserve"> </w:t>
      </w:r>
      <w:r w:rsidRPr="00B01FC5">
        <w:rPr>
          <w:rFonts w:ascii="Book Antiqua" w:hAnsi="Book Antiqua"/>
          <w:color w:val="auto"/>
        </w:rPr>
        <w:t>seems to improve liver function, and malnutrition (with a significant increase of albumin levels), but no clear effect has been observed on OS</w:t>
      </w:r>
      <w:r w:rsidRPr="00B01FC5">
        <w:rPr>
          <w:rFonts w:ascii="Book Antiqua" w:hAnsi="Book Antiqua"/>
          <w:noProof/>
          <w:color w:val="auto"/>
          <w:vertAlign w:val="superscript"/>
        </w:rPr>
        <w:t>[11</w:t>
      </w:r>
      <w:r w:rsidR="00935F21">
        <w:rPr>
          <w:rFonts w:ascii="Book Antiqua" w:hAnsi="Book Antiqua"/>
          <w:noProof/>
          <w:color w:val="auto"/>
          <w:vertAlign w:val="superscript"/>
        </w:rPr>
        <w:t>4</w:t>
      </w:r>
      <w:r w:rsidRPr="00B01FC5">
        <w:rPr>
          <w:rFonts w:ascii="Book Antiqua" w:hAnsi="Book Antiqua"/>
          <w:noProof/>
          <w:color w:val="auto"/>
          <w:vertAlign w:val="superscript"/>
        </w:rPr>
        <w:t>-11</w:t>
      </w:r>
      <w:r w:rsidR="00935F21">
        <w:rPr>
          <w:rFonts w:ascii="Book Antiqua" w:hAnsi="Book Antiqua"/>
          <w:noProof/>
          <w:color w:val="auto"/>
          <w:vertAlign w:val="superscript"/>
        </w:rPr>
        <w:t>7</w:t>
      </w:r>
      <w:r w:rsidRPr="00B01FC5">
        <w:rPr>
          <w:rFonts w:ascii="Book Antiqua" w:hAnsi="Book Antiqua"/>
          <w:noProof/>
          <w:color w:val="auto"/>
          <w:vertAlign w:val="superscript"/>
        </w:rPr>
        <w:t>]</w:t>
      </w:r>
      <w:r w:rsidRPr="00B01FC5">
        <w:rPr>
          <w:rFonts w:ascii="Book Antiqua" w:hAnsi="Book Antiqua"/>
          <w:color w:val="auto"/>
        </w:rPr>
        <w:t>,</w:t>
      </w:r>
      <w:r w:rsidR="00C1527F">
        <w:rPr>
          <w:rFonts w:ascii="Book Antiqua" w:hAnsi="Book Antiqua"/>
          <w:color w:val="auto"/>
        </w:rPr>
        <w:t xml:space="preserve"> </w:t>
      </w:r>
      <w:r w:rsidRPr="00B01FC5">
        <w:rPr>
          <w:rFonts w:ascii="Book Antiqua" w:hAnsi="Book Antiqua"/>
          <w:color w:val="auto"/>
        </w:rPr>
        <w:t>even though a recent meta</w:t>
      </w:r>
      <w:r w:rsidR="00635AE6" w:rsidRPr="00B01FC5">
        <w:rPr>
          <w:rFonts w:ascii="Book Antiqua" w:hAnsi="Book Antiqua"/>
          <w:color w:val="auto"/>
        </w:rPr>
        <w:t>-a</w:t>
      </w:r>
      <w:r w:rsidRPr="00B01FC5">
        <w:rPr>
          <w:rFonts w:ascii="Book Antiqua" w:hAnsi="Book Antiqua"/>
          <w:color w:val="auto"/>
        </w:rPr>
        <w:t>nalysis showed an improvement in the 3-years mortality</w:t>
      </w:r>
      <w:r w:rsidR="00935F21">
        <w:rPr>
          <w:rFonts w:ascii="Book Antiqua" w:hAnsi="Book Antiqua"/>
          <w:noProof/>
          <w:color w:val="auto"/>
          <w:vertAlign w:val="superscript"/>
        </w:rPr>
        <w:t>[118</w:t>
      </w:r>
      <w:r w:rsidRPr="00B01FC5">
        <w:rPr>
          <w:rFonts w:ascii="Book Antiqua" w:hAnsi="Book Antiqua"/>
          <w:noProof/>
          <w:color w:val="auto"/>
          <w:vertAlign w:val="superscript"/>
        </w:rPr>
        <w:t>]</w:t>
      </w:r>
      <w:r w:rsidRPr="00B01FC5">
        <w:rPr>
          <w:rFonts w:ascii="Book Antiqua" w:hAnsi="Book Antiqua"/>
          <w:color w:val="auto"/>
        </w:rPr>
        <w:t>. Although more data are needed to confirm its efficacy, oral branched-chain amino acid supplementation may be considered in HCC patients to improve the liver reserve and quality of life.</w:t>
      </w:r>
    </w:p>
    <w:p w:rsidR="00951AB4" w:rsidRPr="00B01FC5" w:rsidRDefault="00951AB4" w:rsidP="003459EC">
      <w:pPr>
        <w:pStyle w:val="CorpoA"/>
        <w:spacing w:line="360" w:lineRule="auto"/>
        <w:ind w:firstLineChars="100" w:firstLine="240"/>
        <w:jc w:val="both"/>
        <w:rPr>
          <w:rFonts w:ascii="Book Antiqua" w:hAnsi="Book Antiqua"/>
          <w:color w:val="auto"/>
        </w:rPr>
      </w:pPr>
      <w:r w:rsidRPr="00B01FC5">
        <w:rPr>
          <w:rFonts w:ascii="Book Antiqua" w:hAnsi="Book Antiqua"/>
          <w:color w:val="auto"/>
        </w:rPr>
        <w:t>Treatment of pain in HCC varies according to the cause. Bone metastases-related pain can be treated with cementoplasty</w:t>
      </w:r>
      <w:r w:rsidR="00935F21">
        <w:rPr>
          <w:rFonts w:ascii="Book Antiqua" w:hAnsi="Book Antiqua"/>
          <w:noProof/>
          <w:color w:val="auto"/>
          <w:vertAlign w:val="superscript"/>
        </w:rPr>
        <w:t>[119</w:t>
      </w:r>
      <w:r w:rsidRPr="00B01FC5">
        <w:rPr>
          <w:rFonts w:ascii="Book Antiqua" w:hAnsi="Book Antiqua"/>
          <w:noProof/>
          <w:color w:val="auto"/>
          <w:vertAlign w:val="superscript"/>
        </w:rPr>
        <w:t>]</w:t>
      </w:r>
      <w:r w:rsidRPr="00B01FC5">
        <w:rPr>
          <w:rFonts w:ascii="Book Antiqua" w:hAnsi="Book Antiqua"/>
          <w:color w:val="auto"/>
        </w:rPr>
        <w:t xml:space="preserve"> or irradiation. Irradiation can also be used for the treatment of painful lymph nodes and lung metastases. In a recent phase II trial by Soliman</w:t>
      </w:r>
      <w:r w:rsidR="00817B06" w:rsidRPr="00B01FC5">
        <w:rPr>
          <w:rFonts w:ascii="Book Antiqua" w:hAnsi="Book Antiqua"/>
          <w:color w:val="auto"/>
        </w:rPr>
        <w:t>et al.</w:t>
      </w:r>
      <w:r w:rsidRPr="00B01FC5">
        <w:rPr>
          <w:rFonts w:ascii="Book Antiqua" w:hAnsi="Book Antiqua"/>
          <w:color w:val="auto"/>
        </w:rPr>
        <w:t xml:space="preserve"> liver radiotherapy showed promising results in s</w:t>
      </w:r>
      <w:r w:rsidR="003459EC">
        <w:rPr>
          <w:rFonts w:ascii="Book Antiqua" w:hAnsi="Book Antiqua"/>
          <w:color w:val="auto"/>
        </w:rPr>
        <w:t>ymptom improvement at one month</w:t>
      </w:r>
      <w:r w:rsidR="00935F21">
        <w:rPr>
          <w:rFonts w:ascii="Book Antiqua" w:hAnsi="Book Antiqua"/>
          <w:noProof/>
          <w:color w:val="auto"/>
          <w:vertAlign w:val="superscript"/>
        </w:rPr>
        <w:t>[120</w:t>
      </w:r>
      <w:r w:rsidRPr="00B01FC5">
        <w:rPr>
          <w:rFonts w:ascii="Book Antiqua" w:hAnsi="Book Antiqua"/>
          <w:noProof/>
          <w:color w:val="auto"/>
          <w:vertAlign w:val="superscript"/>
        </w:rPr>
        <w:t>]</w:t>
      </w:r>
      <w:r w:rsidRPr="00B01FC5">
        <w:rPr>
          <w:rFonts w:ascii="Book Antiqua" w:hAnsi="Book Antiqua"/>
          <w:color w:val="auto"/>
        </w:rPr>
        <w:t>. In symptomatic treatment nonsteroidal anti-inflammatory drugs should not be used, due to the possibility of hepatorenal syndrome, hepato</w:t>
      </w:r>
      <w:r w:rsidR="0040034A" w:rsidRPr="00B01FC5">
        <w:rPr>
          <w:rFonts w:ascii="Book Antiqua" w:hAnsi="Book Antiqua"/>
          <w:color w:val="auto"/>
        </w:rPr>
        <w:t>toxicity, and gastro-intestinal</w:t>
      </w:r>
      <w:r w:rsidRPr="00B01FC5">
        <w:rPr>
          <w:rFonts w:ascii="Book Antiqua" w:hAnsi="Book Antiqua"/>
          <w:color w:val="auto"/>
        </w:rPr>
        <w:t xml:space="preserve"> bleeding. Acetaminophen 2-3 g daily is the first line agent in long-term use, while opioids should be used as second line treatment. Liver participates in degradation and biotransformation to active metabolites of opioids, so a good knowledge of their</w:t>
      </w:r>
      <w:r w:rsidR="00C1527F">
        <w:rPr>
          <w:rFonts w:ascii="Book Antiqua" w:hAnsi="Book Antiqua"/>
          <w:color w:val="auto"/>
        </w:rPr>
        <w:t xml:space="preserve"> </w:t>
      </w:r>
      <w:r w:rsidRPr="00B01FC5">
        <w:rPr>
          <w:rFonts w:ascii="Book Antiqua" w:hAnsi="Book Antiqua"/>
          <w:color w:val="auto"/>
        </w:rPr>
        <w:t xml:space="preserve">pharmacokinetics is mandatory. Hydromorphone and fentanyl should be preferred, as they are least affected by renal dysfunction. Treatment should be started with low dose </w:t>
      </w:r>
      <w:r w:rsidRPr="00B01FC5">
        <w:rPr>
          <w:rFonts w:ascii="Book Antiqua" w:hAnsi="Book Antiqua"/>
          <w:color w:val="auto"/>
        </w:rPr>
        <w:lastRenderedPageBreak/>
        <w:t>and a 2-3 d titration, with a regular assessment of efficacy and tolerance. Long acting agents should be preferred, possibly in association with a short active drug and paracetamol and/or corticosteroids. A dose increase of 20</w:t>
      </w:r>
      <w:r w:rsidR="003459EC" w:rsidRPr="00B01FC5">
        <w:rPr>
          <w:rFonts w:ascii="Book Antiqua" w:hAnsi="Book Antiqua"/>
          <w:color w:val="auto"/>
        </w:rPr>
        <w:t>%</w:t>
      </w:r>
      <w:r w:rsidRPr="00B01FC5">
        <w:rPr>
          <w:rFonts w:ascii="Book Antiqua" w:hAnsi="Book Antiqua"/>
          <w:color w:val="auto"/>
        </w:rPr>
        <w:t>-30% m</w:t>
      </w:r>
      <w:r w:rsidR="003459EC">
        <w:rPr>
          <w:rFonts w:ascii="Book Antiqua" w:hAnsi="Book Antiqua"/>
          <w:color w:val="auto"/>
        </w:rPr>
        <w:t>ust be performed when necessary</w:t>
      </w:r>
      <w:r w:rsidRPr="00B01FC5">
        <w:rPr>
          <w:rFonts w:ascii="Book Antiqua" w:hAnsi="Book Antiqua"/>
          <w:noProof/>
          <w:color w:val="auto"/>
          <w:u w:color="0070C0"/>
          <w:vertAlign w:val="superscript"/>
        </w:rPr>
        <w:t>[12</w:t>
      </w:r>
      <w:r w:rsidR="00935F21">
        <w:rPr>
          <w:rFonts w:ascii="Book Antiqua" w:hAnsi="Book Antiqua"/>
          <w:noProof/>
          <w:color w:val="auto"/>
          <w:u w:color="0070C0"/>
          <w:vertAlign w:val="superscript"/>
        </w:rPr>
        <w:t>1</w:t>
      </w:r>
      <w:r w:rsidRPr="00B01FC5">
        <w:rPr>
          <w:rFonts w:ascii="Book Antiqua" w:hAnsi="Book Antiqua"/>
          <w:noProof/>
          <w:color w:val="auto"/>
          <w:u w:color="0070C0"/>
          <w:vertAlign w:val="superscript"/>
        </w:rPr>
        <w:t>]</w:t>
      </w:r>
      <w:r w:rsidRPr="00B01FC5">
        <w:rPr>
          <w:rFonts w:ascii="Book Antiqua" w:hAnsi="Book Antiqua"/>
          <w:color w:val="auto"/>
        </w:rPr>
        <w:t>.</w:t>
      </w:r>
    </w:p>
    <w:p w:rsidR="00951AB4" w:rsidRPr="00B01FC5" w:rsidRDefault="00951AB4" w:rsidP="003459EC">
      <w:pPr>
        <w:pStyle w:val="Corpo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bCs/>
          <w:noProof/>
          <w:color w:val="auto"/>
        </w:rPr>
      </w:pPr>
      <w:r w:rsidRPr="00B01FC5">
        <w:rPr>
          <w:rFonts w:ascii="Book Antiqua" w:hAnsi="Book Antiqua"/>
          <w:color w:val="auto"/>
        </w:rPr>
        <w:t>Muscle cramps are very frequent in patients with cirrhosis and HCC and may be related to electrolyte imbalance, that must be treated. Many agents showed positive results in muscle cramps treatment</w:t>
      </w:r>
      <w:r w:rsidR="003459EC">
        <w:rPr>
          <w:rFonts w:ascii="Book Antiqua" w:hAnsi="Book Antiqua"/>
          <w:color w:val="auto"/>
        </w:rPr>
        <w:t xml:space="preserve"> in cirrhotic patients</w:t>
      </w:r>
      <w:r w:rsidRPr="00B01FC5">
        <w:rPr>
          <w:rFonts w:ascii="Book Antiqua" w:hAnsi="Book Antiqua"/>
          <w:color w:val="auto"/>
        </w:rPr>
        <w:t>, but there is still need of controlled trials. The most interesting agents are taurine, whose synthesis is reduced in cirrhosis leading to a decrease in membrane stabilization, and quinine sulfate</w:t>
      </w:r>
      <w:r w:rsidR="00935F21">
        <w:rPr>
          <w:rFonts w:ascii="Book Antiqua" w:hAnsi="Book Antiqua"/>
          <w:noProof/>
          <w:color w:val="auto"/>
          <w:vertAlign w:val="superscript"/>
        </w:rPr>
        <w:t>[122</w:t>
      </w:r>
      <w:r w:rsidRPr="00B01FC5">
        <w:rPr>
          <w:rFonts w:ascii="Book Antiqua" w:hAnsi="Book Antiqua"/>
          <w:noProof/>
          <w:color w:val="auto"/>
          <w:vertAlign w:val="superscript"/>
        </w:rPr>
        <w:t>]</w:t>
      </w:r>
      <w:r w:rsidRPr="00B01FC5">
        <w:rPr>
          <w:rFonts w:ascii="Book Antiqua" w:hAnsi="Book Antiqua"/>
          <w:color w:val="auto"/>
        </w:rPr>
        <w:t xml:space="preserve">. Baclofen is also used by some physicians due to its skeletal-muscle relaxant activity. The drug was reported as effective and safe in a pilot trial </w:t>
      </w:r>
      <w:r w:rsidR="003459EC">
        <w:rPr>
          <w:rFonts w:ascii="Book Antiqua" w:hAnsi="Book Antiqua"/>
          <w:color w:val="auto"/>
        </w:rPr>
        <w:t>including 10 cirrhotic patients</w:t>
      </w:r>
      <w:r w:rsidR="00935F21">
        <w:rPr>
          <w:rFonts w:ascii="Book Antiqua" w:hAnsi="Book Antiqua"/>
          <w:noProof/>
          <w:color w:val="auto"/>
          <w:vertAlign w:val="superscript"/>
        </w:rPr>
        <w:t>[123</w:t>
      </w:r>
      <w:r w:rsidRPr="00B01FC5">
        <w:rPr>
          <w:rFonts w:ascii="Book Antiqua" w:hAnsi="Book Antiqua"/>
          <w:noProof/>
          <w:color w:val="auto"/>
          <w:vertAlign w:val="superscript"/>
        </w:rPr>
        <w:t>]</w:t>
      </w:r>
      <w:r w:rsidRPr="00B01FC5">
        <w:rPr>
          <w:rFonts w:ascii="Book Antiqua" w:hAnsi="Book Antiqua"/>
          <w:color w:val="auto"/>
        </w:rPr>
        <w:t xml:space="preserve"> and is currently being tested in a randomized controlled trials (</w:t>
      </w:r>
      <w:r w:rsidRPr="00B01FC5">
        <w:rPr>
          <w:rFonts w:ascii="Book Antiqua" w:hAnsi="Book Antiqua"/>
          <w:noProof/>
          <w:color w:val="auto"/>
        </w:rPr>
        <w:t>Baclofen in the Treatment of Muscle Cramps in Patients With Cirrhosis,</w:t>
      </w:r>
      <w:r w:rsidRPr="00B01FC5">
        <w:rPr>
          <w:rFonts w:ascii="Book Antiqua" w:hAnsi="Book Antiqua"/>
          <w:bCs/>
          <w:noProof/>
          <w:color w:val="auto"/>
        </w:rPr>
        <w:t xml:space="preserve">ClinicalTrials.gov Identifier: </w:t>
      </w:r>
      <w:r w:rsidRPr="00B01FC5">
        <w:rPr>
          <w:rFonts w:ascii="Book Antiqua" w:hAnsi="Book Antiqua"/>
          <w:noProof/>
          <w:color w:val="auto"/>
        </w:rPr>
        <w:t>NCT02221570).</w:t>
      </w:r>
    </w:p>
    <w:p w:rsidR="00951AB4" w:rsidRPr="003459EC" w:rsidRDefault="00951AB4" w:rsidP="009352FD">
      <w:pPr>
        <w:pStyle w:val="CorpoA"/>
        <w:spacing w:line="360" w:lineRule="auto"/>
        <w:jc w:val="both"/>
        <w:rPr>
          <w:rFonts w:ascii="Book Antiqua" w:hAnsi="Book Antiqua"/>
          <w:color w:val="auto"/>
          <w:u w:val="single"/>
          <w:shd w:val="clear" w:color="auto" w:fill="FFFF00"/>
        </w:rPr>
      </w:pPr>
    </w:p>
    <w:p w:rsidR="00951AB4" w:rsidRPr="0033508F" w:rsidRDefault="0033508F" w:rsidP="009352FD">
      <w:pPr>
        <w:pStyle w:val="CorpoA"/>
        <w:spacing w:line="360" w:lineRule="auto"/>
        <w:jc w:val="both"/>
        <w:rPr>
          <w:rFonts w:ascii="Book Antiqua" w:hAnsi="Book Antiqua"/>
          <w:b/>
          <w:color w:val="auto"/>
        </w:rPr>
      </w:pPr>
      <w:r w:rsidRPr="0033508F">
        <w:rPr>
          <w:rFonts w:ascii="Book Antiqua" w:hAnsi="Book Antiqua"/>
          <w:b/>
          <w:color w:val="auto"/>
        </w:rPr>
        <w:t>CONCLUSIONS AND PERSPECTIVES</w:t>
      </w:r>
    </w:p>
    <w:p w:rsidR="00951AB4" w:rsidRPr="00B01FC5" w:rsidRDefault="00951AB4" w:rsidP="009352FD">
      <w:pPr>
        <w:pStyle w:val="CorpoA"/>
        <w:spacing w:line="360" w:lineRule="auto"/>
        <w:jc w:val="both"/>
        <w:rPr>
          <w:rFonts w:ascii="Book Antiqua" w:hAnsi="Book Antiqua"/>
          <w:color w:val="auto"/>
        </w:rPr>
      </w:pPr>
      <w:r w:rsidRPr="00B01FC5">
        <w:rPr>
          <w:rFonts w:ascii="Book Antiqua" w:hAnsi="Book Antiqua"/>
          <w:color w:val="auto"/>
        </w:rPr>
        <w:t xml:space="preserve">The ability to treat earlier stages of HCC and the longer survival of patients with cirrhosis make advanced HCC a common problem facing the Hepatologist. In the past few years a breakthrough step has been the approval of sorafenib as a systemic therapy for this type of cancer. However, we still lack reliable early predictors of the likelihood to respond to sorafenib, to be utilized at the single patient level. Unfortunately, sorafenib has not been followed by approval of other drugs for use in first- or second-line treatment of advanced HCC. Moreover, the role of other approaches to the treatment of the advanced stage, including TARE, conformational radiotherapy, and conventional chemotherapy deserve additional investigation. Attention is being focused on the significance of different types of advanced HCC, </w:t>
      </w:r>
      <w:r w:rsidRPr="003459EC">
        <w:rPr>
          <w:rFonts w:ascii="Book Antiqua" w:hAnsi="Book Antiqua"/>
          <w:i/>
          <w:color w:val="auto"/>
        </w:rPr>
        <w:t>e.g.</w:t>
      </w:r>
      <w:r w:rsidRPr="00B01FC5">
        <w:rPr>
          <w:rFonts w:ascii="Book Antiqua" w:hAnsi="Book Antiqua"/>
          <w:color w:val="auto"/>
        </w:rPr>
        <w:t xml:space="preserve"> due to the presence of extrahepatic spread or to involvement of the portal vein. Along these lines, the type of progressive disease which leads to migration to an advanced stage plays a yet unknown but probably important role. These lines of information need to be integrated with accumulating data on the molecular heterogeneity of HCC. Collectively, these data will be instrumental to design personalized treatments, considering that HCC is one of the few solid tumors where no molecular-guided therapy exists.</w:t>
      </w:r>
      <w:r w:rsidR="00C1527F">
        <w:rPr>
          <w:rFonts w:ascii="Book Antiqua" w:hAnsi="Book Antiqua"/>
          <w:color w:val="auto"/>
        </w:rPr>
        <w:t xml:space="preserve"> </w:t>
      </w:r>
      <w:r w:rsidRPr="00B01FC5">
        <w:rPr>
          <w:rFonts w:ascii="Book Antiqua" w:hAnsi="Book Antiqua"/>
          <w:color w:val="auto"/>
        </w:rPr>
        <w:t xml:space="preserve">Finally, more attention to supportive care needs to be paid by Hepatologistsdealing with patients in advanced or terminal stages of the disease, including initiation of </w:t>
      </w:r>
      <w:r w:rsidRPr="00B01FC5">
        <w:rPr>
          <w:rFonts w:ascii="Book Antiqua" w:hAnsi="Book Antiqua"/>
          <w:color w:val="auto"/>
        </w:rPr>
        <w:lastRenderedPageBreak/>
        <w:t xml:space="preserve">supportive treatment and avoiding delay in withdrawing active therapies when unnecessary. Thus, active research in this field will hopefully lead to an even better management of these difficult-to-treat patients. </w:t>
      </w:r>
    </w:p>
    <w:p w:rsidR="0049069C" w:rsidRPr="00B01FC5" w:rsidRDefault="0049069C" w:rsidP="009352FD">
      <w:pPr>
        <w:pStyle w:val="CorpoA"/>
        <w:spacing w:line="360" w:lineRule="auto"/>
        <w:jc w:val="both"/>
        <w:rPr>
          <w:rFonts w:ascii="Book Antiqua" w:hAnsi="Book Antiqua"/>
          <w:color w:val="auto"/>
        </w:rPr>
      </w:pPr>
    </w:p>
    <w:p w:rsidR="00951AB4" w:rsidRPr="003459EC" w:rsidRDefault="00951AB4" w:rsidP="009352FD">
      <w:pPr>
        <w:pStyle w:val="CorpoA"/>
        <w:spacing w:line="360" w:lineRule="auto"/>
        <w:jc w:val="both"/>
        <w:rPr>
          <w:rFonts w:ascii="Book Antiqua" w:hAnsi="Book Antiqua"/>
          <w:b/>
          <w:caps/>
          <w:color w:val="auto"/>
        </w:rPr>
      </w:pPr>
      <w:r w:rsidRPr="003459EC">
        <w:rPr>
          <w:rFonts w:ascii="Book Antiqua" w:hAnsi="Book Antiqua"/>
          <w:b/>
          <w:caps/>
          <w:color w:val="auto"/>
        </w:rPr>
        <w:t>Acknowledgments</w:t>
      </w:r>
    </w:p>
    <w:p w:rsidR="00951AB4" w:rsidRPr="003459EC" w:rsidRDefault="00951AB4" w:rsidP="009352FD">
      <w:pPr>
        <w:pStyle w:val="CorpoA"/>
        <w:spacing w:line="360" w:lineRule="auto"/>
        <w:jc w:val="both"/>
        <w:rPr>
          <w:rFonts w:ascii="Book Antiqua" w:hAnsi="Book Antiqua"/>
          <w:color w:val="auto"/>
          <w:lang w:eastAsia="zh-CN"/>
        </w:rPr>
      </w:pPr>
      <w:r w:rsidRPr="00B01FC5">
        <w:rPr>
          <w:rFonts w:ascii="Book Antiqua" w:hAnsi="Book Antiqua"/>
          <w:color w:val="auto"/>
        </w:rPr>
        <w:t xml:space="preserve">Dr. Marra is a consultant and has received speaker’s </w:t>
      </w:r>
      <w:r w:rsidR="003459EC">
        <w:rPr>
          <w:rFonts w:ascii="Book Antiqua" w:hAnsi="Book Antiqua"/>
          <w:color w:val="auto"/>
        </w:rPr>
        <w:t xml:space="preserve">fees from Bayer Health Pharma. </w:t>
      </w:r>
      <w:r w:rsidRPr="00B01FC5">
        <w:rPr>
          <w:rFonts w:ascii="Book Antiqua" w:hAnsi="Book Antiqua"/>
          <w:color w:val="auto"/>
          <w:lang w:val="it-IT"/>
        </w:rPr>
        <w:t>Work on hepatocellular carcinoma from Dr. Marra’sgroupissupported by the Associazione Italiana per la Ricerca sul Cancro, Istituto Toscano Tumori and the Fondazione Umberto Veronesi</w:t>
      </w:r>
      <w:r w:rsidR="00A64DF6">
        <w:rPr>
          <w:rFonts w:ascii="Book Antiqua" w:hAnsi="Book Antiqua" w:hint="eastAsia"/>
          <w:color w:val="auto"/>
          <w:lang w:val="it-IT" w:eastAsia="zh-CN"/>
        </w:rPr>
        <w:t>.</w:t>
      </w:r>
    </w:p>
    <w:p w:rsidR="00951AB4" w:rsidRPr="00A64DF6" w:rsidRDefault="00951AB4" w:rsidP="009352FD">
      <w:pPr>
        <w:pStyle w:val="CorpoA"/>
        <w:spacing w:line="360" w:lineRule="auto"/>
        <w:jc w:val="both"/>
        <w:rPr>
          <w:rFonts w:ascii="Book Antiqua" w:hAnsi="Book Antiqua"/>
          <w:color w:val="auto"/>
        </w:rPr>
      </w:pPr>
    </w:p>
    <w:p w:rsidR="00951AB4" w:rsidRPr="00CA02F7" w:rsidRDefault="00951AB4" w:rsidP="009352FD">
      <w:pPr>
        <w:pStyle w:val="CorpoA"/>
        <w:spacing w:line="360" w:lineRule="auto"/>
        <w:jc w:val="both"/>
        <w:rPr>
          <w:rFonts w:ascii="Book Antiqua" w:hAnsi="Book Antiqua"/>
          <w:b/>
          <w:caps/>
          <w:color w:val="auto"/>
        </w:rPr>
      </w:pPr>
      <w:r w:rsidRPr="00DC440B">
        <w:rPr>
          <w:rFonts w:ascii="Book Antiqua" w:hAnsi="Book Antiqua"/>
          <w:color w:val="auto"/>
        </w:rPr>
        <w:br w:type="page"/>
      </w:r>
      <w:r w:rsidRPr="00CA02F7">
        <w:rPr>
          <w:rFonts w:ascii="Book Antiqua" w:hAnsi="Book Antiqua"/>
          <w:b/>
          <w:caps/>
          <w:color w:val="auto"/>
        </w:rPr>
        <w:lastRenderedPageBreak/>
        <w:t>R</w:t>
      </w:r>
      <w:r w:rsidR="000F182B" w:rsidRPr="00CA02F7">
        <w:rPr>
          <w:rFonts w:ascii="Book Antiqua" w:hAnsi="Book Antiqua"/>
          <w:b/>
          <w:caps/>
          <w:color w:val="auto"/>
        </w:rPr>
        <w:t>eferences</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Times New Roman"/>
          <w:color w:val="auto"/>
          <w:kern w:val="2"/>
          <w:szCs w:val="22"/>
          <w:bdr w:val="none" w:sz="0" w:space="0" w:color="auto"/>
          <w:lang w:val="en-US" w:eastAsia="zh-CN"/>
        </w:rPr>
      </w:pPr>
      <w:r w:rsidRPr="006B1665">
        <w:rPr>
          <w:rFonts w:ascii="Book Antiqua" w:eastAsia="SimSun" w:hAnsi="Book Antiqua" w:cs="Times New Roman" w:hint="eastAsia"/>
          <w:color w:val="auto"/>
          <w:kern w:val="2"/>
          <w:szCs w:val="22"/>
          <w:bdr w:val="none" w:sz="0" w:space="0" w:color="auto"/>
          <w:lang w:val="en-US" w:eastAsia="zh-CN"/>
        </w:rPr>
        <w:t xml:space="preserve">1 </w:t>
      </w:r>
      <w:r w:rsidRPr="006B1665">
        <w:rPr>
          <w:rFonts w:ascii="Book Antiqua" w:eastAsia="SimSun" w:hAnsi="Book Antiqua" w:cs="Times New Roman"/>
          <w:b/>
          <w:color w:val="auto"/>
          <w:kern w:val="2"/>
          <w:szCs w:val="22"/>
          <w:bdr w:val="none" w:sz="0" w:space="0" w:color="auto"/>
          <w:lang w:val="en-US" w:eastAsia="zh-CN"/>
        </w:rPr>
        <w:t>Ronot M</w:t>
      </w:r>
      <w:r w:rsidRPr="006B1665">
        <w:rPr>
          <w:rFonts w:ascii="Book Antiqua" w:eastAsia="SimSun" w:hAnsi="Book Antiqua" w:cs="Times New Roman"/>
          <w:color w:val="auto"/>
          <w:kern w:val="2"/>
          <w:szCs w:val="22"/>
          <w:bdr w:val="none" w:sz="0" w:space="0" w:color="auto"/>
          <w:lang w:val="en-US" w:eastAsia="zh-CN"/>
        </w:rPr>
        <w:t xml:space="preserve">, Bouattour M, Wassermann J, Bruno O, Dreyer C, Larroque B, Castera L, Vilgrain V, Belghiti J, Raymond E, Faivre S. Alternative Response Criteria (Choi, European association for the study of the liver, and modified Response Evaluation Criteria in Solid Tumors [RECIST]) Versus RECIST 1.1 in patients with advanced hepatocellular carcinoma treated with sorafenib. </w:t>
      </w:r>
      <w:r w:rsidRPr="006B1665">
        <w:rPr>
          <w:rFonts w:ascii="Book Antiqua" w:eastAsia="SimSun" w:hAnsi="Book Antiqua" w:cs="Times New Roman"/>
          <w:i/>
          <w:color w:val="auto"/>
          <w:kern w:val="2"/>
          <w:szCs w:val="22"/>
          <w:bdr w:val="none" w:sz="0" w:space="0" w:color="auto"/>
          <w:lang w:val="en-US" w:eastAsia="zh-CN"/>
        </w:rPr>
        <w:t>Oncologist</w:t>
      </w:r>
      <w:r w:rsidRPr="006B1665">
        <w:rPr>
          <w:rFonts w:ascii="Book Antiqua" w:eastAsia="SimSun" w:hAnsi="Book Antiqua" w:cs="Times New Roman" w:hint="eastAsia"/>
          <w:color w:val="auto"/>
          <w:kern w:val="2"/>
          <w:szCs w:val="22"/>
          <w:bdr w:val="none" w:sz="0" w:space="0" w:color="auto"/>
          <w:lang w:val="en-US" w:eastAsia="zh-CN"/>
        </w:rPr>
        <w:t xml:space="preserve"> </w:t>
      </w:r>
      <w:r w:rsidRPr="006B1665">
        <w:rPr>
          <w:rFonts w:ascii="Book Antiqua" w:eastAsia="SimSun" w:hAnsi="Book Antiqua" w:cs="Times New Roman"/>
          <w:color w:val="auto"/>
          <w:kern w:val="2"/>
          <w:szCs w:val="22"/>
          <w:bdr w:val="none" w:sz="0" w:space="0" w:color="auto"/>
          <w:lang w:val="en-US" w:eastAsia="zh-CN"/>
        </w:rPr>
        <w:t>2014;</w:t>
      </w:r>
      <w:r w:rsidRPr="006B1665">
        <w:rPr>
          <w:rFonts w:ascii="Book Antiqua" w:eastAsia="SimSun" w:hAnsi="Book Antiqua" w:cs="Times New Roman" w:hint="eastAsia"/>
          <w:color w:val="auto"/>
          <w:kern w:val="2"/>
          <w:szCs w:val="22"/>
          <w:bdr w:val="none" w:sz="0" w:space="0" w:color="auto"/>
          <w:lang w:val="en-US" w:eastAsia="zh-CN"/>
        </w:rPr>
        <w:t xml:space="preserve"> </w:t>
      </w:r>
      <w:r w:rsidRPr="006B1665">
        <w:rPr>
          <w:rFonts w:ascii="Book Antiqua" w:eastAsia="SimSun" w:hAnsi="Book Antiqua" w:cs="Times New Roman"/>
          <w:b/>
          <w:color w:val="auto"/>
          <w:kern w:val="2"/>
          <w:szCs w:val="22"/>
          <w:bdr w:val="none" w:sz="0" w:space="0" w:color="auto"/>
          <w:lang w:val="en-US" w:eastAsia="zh-CN"/>
        </w:rPr>
        <w:t>19</w:t>
      </w:r>
      <w:r w:rsidRPr="006B1665">
        <w:rPr>
          <w:rFonts w:ascii="Book Antiqua" w:eastAsia="SimSun" w:hAnsi="Book Antiqua" w:cs="Times New Roman"/>
          <w:color w:val="auto"/>
          <w:kern w:val="2"/>
          <w:szCs w:val="22"/>
          <w:bdr w:val="none" w:sz="0" w:space="0" w:color="auto"/>
          <w:lang w:val="en-US" w:eastAsia="zh-CN"/>
        </w:rPr>
        <w:t>:</w:t>
      </w:r>
      <w:r w:rsidRPr="006B1665">
        <w:rPr>
          <w:rFonts w:ascii="Book Antiqua" w:eastAsia="SimSun" w:hAnsi="Book Antiqua" w:cs="Times New Roman" w:hint="eastAsia"/>
          <w:color w:val="auto"/>
          <w:kern w:val="2"/>
          <w:szCs w:val="22"/>
          <w:bdr w:val="none" w:sz="0" w:space="0" w:color="auto"/>
          <w:lang w:val="en-US" w:eastAsia="zh-CN"/>
        </w:rPr>
        <w:t xml:space="preserve"> </w:t>
      </w:r>
      <w:r w:rsidRPr="006B1665">
        <w:rPr>
          <w:rFonts w:ascii="Book Antiqua" w:eastAsia="SimSun" w:hAnsi="Book Antiqua" w:cs="Times New Roman"/>
          <w:color w:val="auto"/>
          <w:kern w:val="2"/>
          <w:szCs w:val="22"/>
          <w:bdr w:val="none" w:sz="0" w:space="0" w:color="auto"/>
          <w:lang w:val="en-US" w:eastAsia="zh-CN"/>
        </w:rPr>
        <w:t>394-402</w:t>
      </w:r>
      <w:r w:rsidRPr="006B1665">
        <w:rPr>
          <w:rFonts w:ascii="Book Antiqua" w:eastAsia="SimSun" w:hAnsi="Book Antiqua" w:cs="Times New Roman" w:hint="eastAsia"/>
          <w:color w:val="auto"/>
          <w:kern w:val="2"/>
          <w:szCs w:val="22"/>
          <w:bdr w:val="none" w:sz="0" w:space="0" w:color="auto"/>
          <w:lang w:val="en-US" w:eastAsia="zh-CN"/>
        </w:rPr>
        <w:t xml:space="preserve"> [</w:t>
      </w:r>
      <w:r w:rsidRPr="006B1665">
        <w:rPr>
          <w:rFonts w:ascii="Book Antiqua" w:eastAsia="SimSun" w:hAnsi="Book Antiqua" w:cs="Times New Roman"/>
          <w:color w:val="auto"/>
          <w:kern w:val="2"/>
          <w:szCs w:val="22"/>
          <w:bdr w:val="none" w:sz="0" w:space="0" w:color="auto"/>
          <w:lang w:val="en-US" w:eastAsia="zh-CN"/>
        </w:rPr>
        <w:t>PMID: 24652387</w:t>
      </w:r>
      <w:r w:rsidRPr="006B1665">
        <w:rPr>
          <w:rFonts w:ascii="Book Antiqua" w:eastAsia="SimSun" w:hAnsi="Book Antiqua" w:cs="Times New Roman" w:hint="eastAsia"/>
          <w:color w:val="auto"/>
          <w:kern w:val="2"/>
          <w:szCs w:val="22"/>
          <w:bdr w:val="none" w:sz="0" w:space="0" w:color="auto"/>
          <w:lang w:val="en-US" w:eastAsia="zh-CN"/>
        </w:rPr>
        <w:t xml:space="preserve"> </w:t>
      </w:r>
      <w:r w:rsidRPr="006B1665">
        <w:rPr>
          <w:rFonts w:ascii="Book Antiqua" w:eastAsia="SimSun" w:hAnsi="Book Antiqua" w:cs="Times New Roman"/>
          <w:color w:val="auto"/>
          <w:kern w:val="2"/>
          <w:szCs w:val="22"/>
          <w:bdr w:val="none" w:sz="0" w:space="0" w:color="auto"/>
          <w:lang w:val="en-US" w:eastAsia="zh-CN"/>
        </w:rPr>
        <w:t>DOI: 10.1634/theoncologist.2013-0114</w:t>
      </w:r>
      <w:r w:rsidRPr="006B1665">
        <w:rPr>
          <w:rFonts w:ascii="Book Antiqua" w:eastAsia="SimSun" w:hAnsi="Book Antiqua" w:cs="Times New Roman" w:hint="eastAsia"/>
          <w:color w:val="auto"/>
          <w:kern w:val="2"/>
          <w:szCs w:val="22"/>
          <w:bdr w:val="none" w:sz="0" w:space="0" w:color="auto"/>
          <w:lang w:val="en-US" w:eastAsia="zh-CN"/>
        </w:rPr>
        <w:t>]</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2 </w:t>
      </w:r>
      <w:r w:rsidRPr="006B1665">
        <w:rPr>
          <w:rFonts w:ascii="Book Antiqua" w:eastAsia="SimSun" w:hAnsi="Book Antiqua" w:cs="SimSun"/>
          <w:b/>
          <w:bCs/>
          <w:bdr w:val="none" w:sz="0" w:space="0" w:color="auto"/>
          <w:lang w:val="en-US" w:eastAsia="zh-CN"/>
        </w:rPr>
        <w:t>Forner A</w:t>
      </w:r>
      <w:r w:rsidRPr="006B1665">
        <w:rPr>
          <w:rFonts w:ascii="Book Antiqua" w:eastAsia="SimSun" w:hAnsi="Book Antiqua" w:cs="SimSun"/>
          <w:bdr w:val="none" w:sz="0" w:space="0" w:color="auto"/>
          <w:lang w:val="en-US" w:eastAsia="zh-CN"/>
        </w:rPr>
        <w:t>, Llovet JM, Bruix J. Hepatocellular carcinoma. </w:t>
      </w:r>
      <w:r w:rsidRPr="006B1665">
        <w:rPr>
          <w:rFonts w:ascii="Book Antiqua" w:eastAsia="SimSun" w:hAnsi="Book Antiqua" w:cs="SimSun"/>
          <w:i/>
          <w:iCs/>
          <w:bdr w:val="none" w:sz="0" w:space="0" w:color="auto"/>
          <w:lang w:val="en-US" w:eastAsia="zh-CN"/>
        </w:rPr>
        <w:t>Lancet</w:t>
      </w:r>
      <w:r w:rsidRPr="006B1665">
        <w:rPr>
          <w:rFonts w:ascii="Book Antiqua" w:eastAsia="SimSun" w:hAnsi="Book Antiqua" w:cs="SimSun"/>
          <w:bdr w:val="none" w:sz="0" w:space="0" w:color="auto"/>
          <w:lang w:val="en-US" w:eastAsia="zh-CN"/>
        </w:rPr>
        <w:t> 2012; </w:t>
      </w:r>
      <w:r w:rsidRPr="006B1665">
        <w:rPr>
          <w:rFonts w:ascii="Book Antiqua" w:eastAsia="SimSun" w:hAnsi="Book Antiqua" w:cs="SimSun"/>
          <w:b/>
          <w:bCs/>
          <w:bdr w:val="none" w:sz="0" w:space="0" w:color="auto"/>
          <w:lang w:val="en-US" w:eastAsia="zh-CN"/>
        </w:rPr>
        <w:t>379</w:t>
      </w:r>
      <w:r w:rsidRPr="006B1665">
        <w:rPr>
          <w:rFonts w:ascii="Book Antiqua" w:eastAsia="SimSun" w:hAnsi="Book Antiqua" w:cs="SimSun"/>
          <w:bdr w:val="none" w:sz="0" w:space="0" w:color="auto"/>
          <w:lang w:val="en-US" w:eastAsia="zh-CN"/>
        </w:rPr>
        <w:t>: 1245-1255 [PMID: 22353262 DOI: 10.1016/S0140-6736(11)61347-0]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3 </w:t>
      </w:r>
      <w:r w:rsidRPr="006B1665">
        <w:rPr>
          <w:rFonts w:ascii="Book Antiqua" w:eastAsia="SimSun" w:hAnsi="Book Antiqua" w:cs="SimSun"/>
          <w:b/>
          <w:bCs/>
          <w:bdr w:val="none" w:sz="0" w:space="0" w:color="auto"/>
          <w:lang w:val="en-US" w:eastAsia="zh-CN"/>
        </w:rPr>
        <w:t>Oken MM</w:t>
      </w:r>
      <w:r w:rsidRPr="006B1665">
        <w:rPr>
          <w:rFonts w:ascii="Book Antiqua" w:eastAsia="SimSun" w:hAnsi="Book Antiqua" w:cs="SimSun"/>
          <w:bdr w:val="none" w:sz="0" w:space="0" w:color="auto"/>
          <w:lang w:val="en-US" w:eastAsia="zh-CN"/>
        </w:rPr>
        <w:t>, Creech RH, Tormey DC, Horton J, Davis TE, McFadden ET, Carbone PP. Toxicity and response criteria of the Eastern Cooperative Oncology Group. </w:t>
      </w:r>
      <w:r w:rsidRPr="006B1665">
        <w:rPr>
          <w:rFonts w:ascii="Book Antiqua" w:eastAsia="SimSun" w:hAnsi="Book Antiqua" w:cs="SimSun"/>
          <w:i/>
          <w:iCs/>
          <w:bdr w:val="none" w:sz="0" w:space="0" w:color="auto"/>
          <w:lang w:val="en-US" w:eastAsia="zh-CN"/>
        </w:rPr>
        <w:t>Am J Clin Oncol</w:t>
      </w:r>
      <w:r w:rsidRPr="006B1665">
        <w:rPr>
          <w:rFonts w:ascii="Book Antiqua" w:eastAsia="SimSun" w:hAnsi="Book Antiqua" w:cs="SimSun"/>
          <w:bdr w:val="none" w:sz="0" w:space="0" w:color="auto"/>
          <w:lang w:val="en-US" w:eastAsia="zh-CN"/>
        </w:rPr>
        <w:t> 1982; </w:t>
      </w:r>
      <w:r w:rsidRPr="006B1665">
        <w:rPr>
          <w:rFonts w:ascii="Book Antiqua" w:eastAsia="SimSun" w:hAnsi="Book Antiqua" w:cs="SimSun"/>
          <w:b/>
          <w:bCs/>
          <w:bdr w:val="none" w:sz="0" w:space="0" w:color="auto"/>
          <w:lang w:val="en-US" w:eastAsia="zh-CN"/>
        </w:rPr>
        <w:t>5</w:t>
      </w:r>
      <w:r w:rsidRPr="006B1665">
        <w:rPr>
          <w:rFonts w:ascii="Book Antiqua" w:eastAsia="SimSun" w:hAnsi="Book Antiqua" w:cs="SimSun"/>
          <w:bdr w:val="none" w:sz="0" w:space="0" w:color="auto"/>
          <w:lang w:val="en-US" w:eastAsia="zh-CN"/>
        </w:rPr>
        <w:t>: 649-655 [PMID: 7165009]</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4 </w:t>
      </w:r>
      <w:r w:rsidRPr="006B1665">
        <w:rPr>
          <w:rFonts w:ascii="Book Antiqua" w:eastAsia="SimSun" w:hAnsi="Book Antiqua" w:cs="SimSun"/>
          <w:b/>
          <w:bCs/>
          <w:bdr w:val="none" w:sz="0" w:space="0" w:color="auto"/>
          <w:lang w:val="en-US" w:eastAsia="zh-CN"/>
        </w:rPr>
        <w:t>Pugh RN</w:t>
      </w:r>
      <w:r w:rsidRPr="006B1665">
        <w:rPr>
          <w:rFonts w:ascii="Book Antiqua" w:eastAsia="SimSun" w:hAnsi="Book Antiqua" w:cs="SimSun"/>
          <w:bdr w:val="none" w:sz="0" w:space="0" w:color="auto"/>
          <w:lang w:val="en-US" w:eastAsia="zh-CN"/>
        </w:rPr>
        <w:t>, Murray-Lyon IM, Dawson JL, Pietroni MC, Williams R. Transection of the oesophagus for bleeding oesophageal varices. </w:t>
      </w:r>
      <w:r w:rsidRPr="006B1665">
        <w:rPr>
          <w:rFonts w:ascii="Book Antiqua" w:eastAsia="SimSun" w:hAnsi="Book Antiqua" w:cs="SimSun"/>
          <w:i/>
          <w:iCs/>
          <w:bdr w:val="none" w:sz="0" w:space="0" w:color="auto"/>
          <w:lang w:val="en-US" w:eastAsia="zh-CN"/>
        </w:rPr>
        <w:t>Br J Surg</w:t>
      </w:r>
      <w:r w:rsidRPr="006B1665">
        <w:rPr>
          <w:rFonts w:ascii="Book Antiqua" w:eastAsia="SimSun" w:hAnsi="Book Antiqua" w:cs="SimSun"/>
          <w:bdr w:val="none" w:sz="0" w:space="0" w:color="auto"/>
          <w:lang w:val="en-US" w:eastAsia="zh-CN"/>
        </w:rPr>
        <w:t> 1973; </w:t>
      </w:r>
      <w:r w:rsidRPr="006B1665">
        <w:rPr>
          <w:rFonts w:ascii="Book Antiqua" w:eastAsia="SimSun" w:hAnsi="Book Antiqua" w:cs="SimSun"/>
          <w:b/>
          <w:bCs/>
          <w:bdr w:val="none" w:sz="0" w:space="0" w:color="auto"/>
          <w:lang w:val="en-US" w:eastAsia="zh-CN"/>
        </w:rPr>
        <w:t>60</w:t>
      </w:r>
      <w:r w:rsidRPr="006B1665">
        <w:rPr>
          <w:rFonts w:ascii="Book Antiqua" w:eastAsia="SimSun" w:hAnsi="Book Antiqua" w:cs="SimSun"/>
          <w:bdr w:val="none" w:sz="0" w:space="0" w:color="auto"/>
          <w:lang w:val="en-US" w:eastAsia="zh-CN"/>
        </w:rPr>
        <w:t>: 646-649 [PMID: 4541913]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5 </w:t>
      </w:r>
      <w:r w:rsidRPr="006B1665">
        <w:rPr>
          <w:rFonts w:ascii="Book Antiqua" w:eastAsia="SimSun" w:hAnsi="Book Antiqua" w:cs="SimSun"/>
          <w:b/>
          <w:bCs/>
          <w:bdr w:val="none" w:sz="0" w:space="0" w:color="auto"/>
          <w:lang w:val="en-US" w:eastAsia="zh-CN"/>
        </w:rPr>
        <w:t>Chung GE</w:t>
      </w:r>
      <w:r w:rsidRPr="006B1665">
        <w:rPr>
          <w:rFonts w:ascii="Book Antiqua" w:eastAsia="SimSun" w:hAnsi="Book Antiqua" w:cs="SimSun"/>
          <w:bdr w:val="none" w:sz="0" w:space="0" w:color="auto"/>
          <w:lang w:val="en-US" w:eastAsia="zh-CN"/>
        </w:rPr>
        <w:t>, Lee JH, Kim HY, Hwang SY, Kim JS, Chung JW, Yoon JH, Lee HS, Kim YJ. Transarterial chemoembolization can be safely performed in patients with hepatocellular carcinoma invading the main portal vein and may improve the overall survival. </w:t>
      </w:r>
      <w:r w:rsidRPr="006B1665">
        <w:rPr>
          <w:rFonts w:ascii="Book Antiqua" w:eastAsia="SimSun" w:hAnsi="Book Antiqua" w:cs="SimSun"/>
          <w:i/>
          <w:iCs/>
          <w:bdr w:val="none" w:sz="0" w:space="0" w:color="auto"/>
          <w:lang w:val="en-US" w:eastAsia="zh-CN"/>
        </w:rPr>
        <w:t>Radiology</w:t>
      </w:r>
      <w:r w:rsidRPr="006B1665">
        <w:rPr>
          <w:rFonts w:ascii="Book Antiqua" w:eastAsia="SimSun" w:hAnsi="Book Antiqua" w:cs="SimSun"/>
          <w:bdr w:val="none" w:sz="0" w:space="0" w:color="auto"/>
          <w:lang w:val="en-US" w:eastAsia="zh-CN"/>
        </w:rPr>
        <w:t> 2011; </w:t>
      </w:r>
      <w:r w:rsidRPr="006B1665">
        <w:rPr>
          <w:rFonts w:ascii="Book Antiqua" w:eastAsia="SimSun" w:hAnsi="Book Antiqua" w:cs="SimSun"/>
          <w:b/>
          <w:bCs/>
          <w:bdr w:val="none" w:sz="0" w:space="0" w:color="auto"/>
          <w:lang w:val="en-US" w:eastAsia="zh-CN"/>
        </w:rPr>
        <w:t>258</w:t>
      </w:r>
      <w:r w:rsidRPr="006B1665">
        <w:rPr>
          <w:rFonts w:ascii="Book Antiqua" w:eastAsia="SimSun" w:hAnsi="Book Antiqua" w:cs="SimSun"/>
          <w:bdr w:val="none" w:sz="0" w:space="0" w:color="auto"/>
          <w:lang w:val="en-US" w:eastAsia="zh-CN"/>
        </w:rPr>
        <w:t>: 627-634 [PMID: 21273524 DOI: 10.1148/radiol.10101058]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6 </w:t>
      </w:r>
      <w:r w:rsidRPr="006B1665">
        <w:rPr>
          <w:rFonts w:ascii="Book Antiqua" w:eastAsia="SimSun" w:hAnsi="Book Antiqua" w:cs="SimSun"/>
          <w:b/>
          <w:bCs/>
          <w:bdr w:val="none" w:sz="0" w:space="0" w:color="auto"/>
          <w:lang w:val="en-US" w:eastAsia="zh-CN"/>
        </w:rPr>
        <w:t>Xue TC</w:t>
      </w:r>
      <w:r w:rsidRPr="006B1665">
        <w:rPr>
          <w:rFonts w:ascii="Book Antiqua" w:eastAsia="SimSun" w:hAnsi="Book Antiqua" w:cs="SimSun"/>
          <w:bdr w:val="none" w:sz="0" w:space="0" w:color="auto"/>
          <w:lang w:val="en-US" w:eastAsia="zh-CN"/>
        </w:rPr>
        <w:t>, Xie XY, Zhang L, Yin X, Zhang BH, Ren ZG. Transarterial chemoembolization for hepatocellular carcinoma with portal vein tumor thrombus: a meta-analysis. </w:t>
      </w:r>
      <w:r w:rsidRPr="006B1665">
        <w:rPr>
          <w:rFonts w:ascii="Book Antiqua" w:eastAsia="SimSun" w:hAnsi="Book Antiqua" w:cs="SimSun"/>
          <w:i/>
          <w:iCs/>
          <w:bdr w:val="none" w:sz="0" w:space="0" w:color="auto"/>
          <w:lang w:val="en-US" w:eastAsia="zh-CN"/>
        </w:rPr>
        <w:t>BMC Gastroenterol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13</w:t>
      </w:r>
      <w:r w:rsidRPr="006B1665">
        <w:rPr>
          <w:rFonts w:ascii="Book Antiqua" w:eastAsia="SimSun" w:hAnsi="Book Antiqua" w:cs="SimSun"/>
          <w:bdr w:val="none" w:sz="0" w:space="0" w:color="auto"/>
          <w:lang w:val="en-US" w:eastAsia="zh-CN"/>
        </w:rPr>
        <w:t>: 60 [PMID: 23566041 DOI: 10.1186/1471-230X-13-60]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7 </w:t>
      </w:r>
      <w:r w:rsidRPr="006B1665">
        <w:rPr>
          <w:rFonts w:ascii="Book Antiqua" w:eastAsia="SimSun" w:hAnsi="Book Antiqua" w:cs="SimSun"/>
          <w:b/>
          <w:bCs/>
          <w:bdr w:val="none" w:sz="0" w:space="0" w:color="auto"/>
          <w:lang w:val="en-US" w:eastAsia="zh-CN"/>
        </w:rPr>
        <w:t>Lopez PM</w:t>
      </w:r>
      <w:r w:rsidRPr="006B1665">
        <w:rPr>
          <w:rFonts w:ascii="Book Antiqua" w:eastAsia="SimSun" w:hAnsi="Book Antiqua" w:cs="SimSun"/>
          <w:bdr w:val="none" w:sz="0" w:space="0" w:color="auto"/>
          <w:lang w:val="en-US" w:eastAsia="zh-CN"/>
        </w:rPr>
        <w:t>, Villanueva A, Llovet JM. Systematic review: evidence-based management of hepatocellular carcinoma--an updated analysis of randomized controlled trials. </w:t>
      </w:r>
      <w:r w:rsidRPr="006B1665">
        <w:rPr>
          <w:rFonts w:ascii="Book Antiqua" w:eastAsia="SimSun" w:hAnsi="Book Antiqua" w:cs="SimSun"/>
          <w:i/>
          <w:iCs/>
          <w:bdr w:val="none" w:sz="0" w:space="0" w:color="auto"/>
          <w:lang w:val="en-US" w:eastAsia="zh-CN"/>
        </w:rPr>
        <w:t>Aliment Pharmacol Ther</w:t>
      </w:r>
      <w:r w:rsidRPr="006B1665">
        <w:rPr>
          <w:rFonts w:ascii="Book Antiqua" w:eastAsia="SimSun" w:hAnsi="Book Antiqua" w:cs="SimSun"/>
          <w:bdr w:val="none" w:sz="0" w:space="0" w:color="auto"/>
          <w:lang w:val="en-US" w:eastAsia="zh-CN"/>
        </w:rPr>
        <w:t> 2006; </w:t>
      </w:r>
      <w:r w:rsidRPr="006B1665">
        <w:rPr>
          <w:rFonts w:ascii="Book Antiqua" w:eastAsia="SimSun" w:hAnsi="Book Antiqua" w:cs="SimSun"/>
          <w:b/>
          <w:bCs/>
          <w:bdr w:val="none" w:sz="0" w:space="0" w:color="auto"/>
          <w:lang w:val="en-US" w:eastAsia="zh-CN"/>
        </w:rPr>
        <w:t>23</w:t>
      </w:r>
      <w:r w:rsidRPr="006B1665">
        <w:rPr>
          <w:rFonts w:ascii="Book Antiqua" w:eastAsia="SimSun" w:hAnsi="Book Antiqua" w:cs="SimSun"/>
          <w:bdr w:val="none" w:sz="0" w:space="0" w:color="auto"/>
          <w:lang w:val="en-US" w:eastAsia="zh-CN"/>
        </w:rPr>
        <w:t>: 1535-1547 [PMID: 16696801 DOI: 10.1111/j.1365-2036.2006.02932.x]</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8 </w:t>
      </w:r>
      <w:r w:rsidRPr="006B1665">
        <w:rPr>
          <w:rFonts w:ascii="Book Antiqua" w:eastAsia="SimSun" w:hAnsi="Book Antiqua" w:cs="SimSun"/>
          <w:b/>
          <w:bCs/>
          <w:bdr w:val="none" w:sz="0" w:space="0" w:color="auto"/>
          <w:lang w:val="en-US" w:eastAsia="zh-CN"/>
        </w:rPr>
        <w:t>Wilhelm SM</w:t>
      </w:r>
      <w:r w:rsidRPr="006B1665">
        <w:rPr>
          <w:rFonts w:ascii="Book Antiqua" w:eastAsia="SimSun" w:hAnsi="Book Antiqua" w:cs="SimSun"/>
          <w:bdr w:val="none" w:sz="0" w:space="0" w:color="auto"/>
          <w:lang w:val="en-US" w:eastAsia="zh-CN"/>
        </w:rPr>
        <w:t>, Adnane L, Newell P, Villanueva A, Llovet JM, Lynch M. Preclinical overview of sorafenib, a multikinase inhibitor that targets both Raf and VEGF and PDGF receptor tyrosine kinase signaling. </w:t>
      </w:r>
      <w:r w:rsidRPr="006B1665">
        <w:rPr>
          <w:rFonts w:ascii="Book Antiqua" w:eastAsia="SimSun" w:hAnsi="Book Antiqua" w:cs="SimSun"/>
          <w:i/>
          <w:iCs/>
          <w:bdr w:val="none" w:sz="0" w:space="0" w:color="auto"/>
          <w:lang w:val="en-US" w:eastAsia="zh-CN"/>
        </w:rPr>
        <w:t>Mol Cancer Ther</w:t>
      </w:r>
      <w:r w:rsidRPr="006B1665">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dr w:val="none" w:sz="0" w:space="0" w:color="auto"/>
          <w:lang w:val="en-US" w:eastAsia="zh-CN"/>
        </w:rPr>
        <w:t>2008;</w:t>
      </w:r>
      <w:r w:rsidRPr="006B1665">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
          <w:bCs/>
          <w:bdr w:val="none" w:sz="0" w:space="0" w:color="auto"/>
          <w:lang w:val="en-US" w:eastAsia="zh-CN"/>
        </w:rPr>
        <w:t>7</w:t>
      </w:r>
      <w:r w:rsidRPr="006B1665">
        <w:rPr>
          <w:rFonts w:ascii="Book Antiqua" w:eastAsia="SimSun" w:hAnsi="Book Antiqua" w:cs="SimSun"/>
          <w:bdr w:val="none" w:sz="0" w:space="0" w:color="auto"/>
          <w:lang w:val="en-US" w:eastAsia="zh-CN"/>
        </w:rPr>
        <w:t>: 3129-3140 [PMID: 18852116 DOI: 10.1158/1535-7163.MCT-08-0013]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9 </w:t>
      </w:r>
      <w:r w:rsidRPr="006B1665">
        <w:rPr>
          <w:rFonts w:ascii="Book Antiqua" w:eastAsia="SimSun" w:hAnsi="Book Antiqua" w:cs="SimSun"/>
          <w:b/>
          <w:bCs/>
          <w:bdr w:val="none" w:sz="0" w:space="0" w:color="auto"/>
          <w:lang w:val="en-US" w:eastAsia="zh-CN"/>
        </w:rPr>
        <w:t>Chang YS</w:t>
      </w:r>
      <w:r w:rsidRPr="006B1665">
        <w:rPr>
          <w:rFonts w:ascii="Book Antiqua" w:eastAsia="SimSun" w:hAnsi="Book Antiqua" w:cs="SimSun"/>
          <w:bdr w:val="none" w:sz="0" w:space="0" w:color="auto"/>
          <w:lang w:val="en-US" w:eastAsia="zh-CN"/>
        </w:rPr>
        <w:t xml:space="preserve">, Adnane J, Trail PA, Levy J, Henderson A, Xue D, Bortolon E, Ichetovkin M, Chen C, McNabola A, Wilkie D, Carter CA, Taylor IC, Lynch M, Wilhelm S. Sorafenib (BAY 43-9006) inhibits tumor growth and vascularization and induces tumor apoptosis </w:t>
      </w:r>
      <w:r w:rsidRPr="006B1665">
        <w:rPr>
          <w:rFonts w:ascii="Book Antiqua" w:eastAsia="SimSun" w:hAnsi="Book Antiqua" w:cs="SimSun"/>
          <w:bdr w:val="none" w:sz="0" w:space="0" w:color="auto"/>
          <w:lang w:val="en-US" w:eastAsia="zh-CN"/>
        </w:rPr>
        <w:lastRenderedPageBreak/>
        <w:t>and hypoxia in RCC xenograft models.</w:t>
      </w:r>
      <w:r w:rsidRPr="006B1665">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i/>
          <w:iCs/>
          <w:bdr w:val="none" w:sz="0" w:space="0" w:color="auto"/>
          <w:lang w:val="en-US" w:eastAsia="zh-CN"/>
        </w:rPr>
        <w:t>Cancer Chemother Pharmacol</w:t>
      </w:r>
      <w:r w:rsidRPr="006B1665">
        <w:rPr>
          <w:rFonts w:ascii="Book Antiqua" w:eastAsia="SimSun" w:hAnsi="Book Antiqua" w:cs="SimSun"/>
          <w:bdr w:val="none" w:sz="0" w:space="0" w:color="auto"/>
          <w:lang w:val="en-US" w:eastAsia="zh-CN"/>
        </w:rPr>
        <w:t> 2007; </w:t>
      </w:r>
      <w:r w:rsidRPr="006B1665">
        <w:rPr>
          <w:rFonts w:ascii="Book Antiqua" w:eastAsia="SimSun" w:hAnsi="Book Antiqua" w:cs="SimSun"/>
          <w:b/>
          <w:bCs/>
          <w:bdr w:val="none" w:sz="0" w:space="0" w:color="auto"/>
          <w:lang w:val="en-US" w:eastAsia="zh-CN"/>
        </w:rPr>
        <w:t>59</w:t>
      </w:r>
      <w:r w:rsidRPr="006B1665">
        <w:rPr>
          <w:rFonts w:ascii="Book Antiqua" w:eastAsia="SimSun" w:hAnsi="Book Antiqua" w:cs="SimSun"/>
          <w:bdr w:val="none" w:sz="0" w:space="0" w:color="auto"/>
          <w:lang w:val="en-US" w:eastAsia="zh-CN"/>
        </w:rPr>
        <w:t>: 561-574 [PMID: 17160391 DOI: 10.1007/s00280-006-0393-4]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10 </w:t>
      </w:r>
      <w:r w:rsidRPr="006B1665">
        <w:rPr>
          <w:rFonts w:ascii="Book Antiqua" w:eastAsia="SimSun" w:hAnsi="Book Antiqua" w:cs="SimSun"/>
          <w:b/>
          <w:bCs/>
          <w:bdr w:val="none" w:sz="0" w:space="0" w:color="auto"/>
          <w:lang w:val="en-US" w:eastAsia="zh-CN"/>
        </w:rPr>
        <w:t>Cheng AL</w:t>
      </w:r>
      <w:r w:rsidRPr="006B1665">
        <w:rPr>
          <w:rFonts w:ascii="Book Antiqua" w:eastAsia="SimSun" w:hAnsi="Book Antiqua" w:cs="SimSun"/>
          <w:bdr w:val="none" w:sz="0" w:space="0" w:color="auto"/>
          <w:lang w:val="en-US" w:eastAsia="zh-CN"/>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6B1665">
        <w:rPr>
          <w:rFonts w:ascii="Book Antiqua" w:eastAsia="SimSun" w:hAnsi="Book Antiqua" w:cs="SimSun"/>
          <w:i/>
          <w:iCs/>
          <w:bdr w:val="none" w:sz="0" w:space="0" w:color="auto"/>
          <w:lang w:val="en-US" w:eastAsia="zh-CN"/>
        </w:rPr>
        <w:t>Lancet Oncol</w:t>
      </w:r>
      <w:r w:rsidRPr="006B1665">
        <w:rPr>
          <w:rFonts w:ascii="Book Antiqua" w:eastAsia="SimSun" w:hAnsi="Book Antiqua" w:cs="SimSun"/>
          <w:bdr w:val="none" w:sz="0" w:space="0" w:color="auto"/>
          <w:lang w:val="en-US" w:eastAsia="zh-CN"/>
        </w:rPr>
        <w:t> 2009; </w:t>
      </w:r>
      <w:r w:rsidRPr="006B1665">
        <w:rPr>
          <w:rFonts w:ascii="Book Antiqua" w:eastAsia="SimSun" w:hAnsi="Book Antiqua" w:cs="SimSun"/>
          <w:b/>
          <w:bCs/>
          <w:bdr w:val="none" w:sz="0" w:space="0" w:color="auto"/>
          <w:lang w:val="en-US" w:eastAsia="zh-CN"/>
        </w:rPr>
        <w:t>10</w:t>
      </w:r>
      <w:r w:rsidRPr="006B1665">
        <w:rPr>
          <w:rFonts w:ascii="Book Antiqua" w:eastAsia="SimSun" w:hAnsi="Book Antiqua" w:cs="SimSun"/>
          <w:bdr w:val="none" w:sz="0" w:space="0" w:color="auto"/>
          <w:lang w:val="en-US" w:eastAsia="zh-CN"/>
        </w:rPr>
        <w:t>: 25-34 [PMID: 19095497 DOI: 10.1016/S1470-2045(08)70285-7]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11 </w:t>
      </w:r>
      <w:r w:rsidRPr="006B1665">
        <w:rPr>
          <w:rFonts w:ascii="Book Antiqua" w:eastAsia="SimSun" w:hAnsi="Book Antiqua" w:cs="SimSun"/>
          <w:b/>
          <w:bCs/>
          <w:bdr w:val="none" w:sz="0" w:space="0" w:color="auto"/>
          <w:lang w:val="en-US" w:eastAsia="zh-CN"/>
        </w:rPr>
        <w:t>Llovet JM</w:t>
      </w:r>
      <w:r w:rsidRPr="006B1665">
        <w:rPr>
          <w:rFonts w:ascii="Book Antiqua" w:eastAsia="SimSun" w:hAnsi="Book Antiqua" w:cs="SimSun"/>
          <w:bdr w:val="none" w:sz="0" w:space="0" w:color="auto"/>
          <w:lang w:val="en-US"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6B1665">
        <w:rPr>
          <w:rFonts w:ascii="Book Antiqua" w:eastAsia="SimSun" w:hAnsi="Book Antiqua" w:cs="SimSun"/>
          <w:i/>
          <w:iCs/>
          <w:bdr w:val="none" w:sz="0" w:space="0" w:color="auto"/>
          <w:lang w:val="en-US" w:eastAsia="zh-CN"/>
        </w:rPr>
        <w:t>N Engl J Med</w:t>
      </w:r>
      <w:r w:rsidRPr="006B1665">
        <w:rPr>
          <w:rFonts w:ascii="Book Antiqua" w:eastAsia="SimSun" w:hAnsi="Book Antiqua" w:cs="SimSun"/>
          <w:bdr w:val="none" w:sz="0" w:space="0" w:color="auto"/>
          <w:lang w:val="en-US" w:eastAsia="zh-CN"/>
        </w:rPr>
        <w:t> 2008; </w:t>
      </w:r>
      <w:r w:rsidRPr="006B1665">
        <w:rPr>
          <w:rFonts w:ascii="Book Antiqua" w:eastAsia="SimSun" w:hAnsi="Book Antiqua" w:cs="SimSun"/>
          <w:b/>
          <w:bCs/>
          <w:bdr w:val="none" w:sz="0" w:space="0" w:color="auto"/>
          <w:lang w:val="en-US" w:eastAsia="zh-CN"/>
        </w:rPr>
        <w:t>359</w:t>
      </w:r>
      <w:r w:rsidRPr="006B1665">
        <w:rPr>
          <w:rFonts w:ascii="Book Antiqua" w:eastAsia="SimSun" w:hAnsi="Book Antiqua" w:cs="SimSun"/>
          <w:bdr w:val="none" w:sz="0" w:space="0" w:color="auto"/>
          <w:lang w:val="en-US" w:eastAsia="zh-CN"/>
        </w:rPr>
        <w:t>: 378-390 [PMID: 18650514 DOI: 10.1056/NEJMoa0708857]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12 </w:t>
      </w:r>
      <w:r w:rsidRPr="006B1665">
        <w:rPr>
          <w:rFonts w:ascii="Book Antiqua" w:eastAsia="SimSun" w:hAnsi="Book Antiqua" w:cs="SimSun"/>
          <w:b/>
          <w:bCs/>
          <w:bdr w:val="none" w:sz="0" w:space="0" w:color="auto"/>
          <w:lang w:val="en-US" w:eastAsia="zh-CN"/>
        </w:rPr>
        <w:t>Geschwind JF</w:t>
      </w:r>
      <w:r w:rsidRPr="006B1665">
        <w:rPr>
          <w:rFonts w:ascii="Book Antiqua" w:eastAsia="SimSun" w:hAnsi="Book Antiqua" w:cs="SimSun"/>
          <w:bdr w:val="none" w:sz="0" w:space="0" w:color="auto"/>
          <w:lang w:val="en-US" w:eastAsia="zh-CN"/>
        </w:rPr>
        <w:t>, Kudo M, Marrero JA, Venook AP, Chen XP, Bronowicki JP, Dagher L, Furuse J, Ladrón de Guevara L, Papandreou C, Sanyal AJ, Takayama T, Ye SL, Yoon SK, Nakajima K, Lehr R, Heldner S, Lencioni R. TACE Treatment in Patients with Sorafenib-treated Unresectable Hepatocellular Carcinoma in Clinical Practice: Final Analysis of GIDEON. </w:t>
      </w:r>
      <w:r w:rsidRPr="006B1665">
        <w:rPr>
          <w:rFonts w:ascii="Book Antiqua" w:eastAsia="SimSun" w:hAnsi="Book Antiqua" w:cs="SimSun"/>
          <w:i/>
          <w:iCs/>
          <w:bdr w:val="none" w:sz="0" w:space="0" w:color="auto"/>
          <w:lang w:val="en-US" w:eastAsia="zh-CN"/>
        </w:rPr>
        <w:t>Radiology</w:t>
      </w:r>
      <w:r w:rsidRPr="006B1665">
        <w:rPr>
          <w:rFonts w:ascii="Book Antiqua" w:eastAsia="SimSun" w:hAnsi="Book Antiqua" w:cs="SimSun"/>
          <w:bdr w:val="none" w:sz="0" w:space="0" w:color="auto"/>
          <w:lang w:val="en-US" w:eastAsia="zh-CN"/>
        </w:rPr>
        <w:t> 2016; </w:t>
      </w:r>
      <w:r w:rsidRPr="006B1665">
        <w:rPr>
          <w:rFonts w:ascii="Book Antiqua" w:eastAsia="SimSun" w:hAnsi="Book Antiqua" w:cs="SimSun"/>
          <w:b/>
          <w:bCs/>
          <w:bdr w:val="none" w:sz="0" w:space="0" w:color="auto"/>
          <w:lang w:val="en-US" w:eastAsia="zh-CN"/>
        </w:rPr>
        <w:t>279</w:t>
      </w:r>
      <w:r w:rsidRPr="006B1665">
        <w:rPr>
          <w:rFonts w:ascii="Book Antiqua" w:eastAsia="SimSun" w:hAnsi="Book Antiqua" w:cs="SimSun"/>
          <w:bdr w:val="none" w:sz="0" w:space="0" w:color="auto"/>
          <w:lang w:val="en-US" w:eastAsia="zh-CN"/>
        </w:rPr>
        <w:t>: 630-640 [PMID: 26744927 DOI: 10.1148/radiol.2015150667]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13 </w:t>
      </w:r>
      <w:r w:rsidRPr="006B1665">
        <w:rPr>
          <w:rFonts w:ascii="Book Antiqua" w:eastAsia="SimSun" w:hAnsi="Book Antiqua" w:cs="SimSun"/>
          <w:b/>
          <w:bCs/>
          <w:bdr w:val="none" w:sz="0" w:space="0" w:color="auto"/>
          <w:lang w:val="en-US" w:eastAsia="zh-CN"/>
        </w:rPr>
        <w:t>Iavarone M</w:t>
      </w:r>
      <w:r w:rsidRPr="006B1665">
        <w:rPr>
          <w:rFonts w:ascii="Book Antiqua" w:eastAsia="SimSun" w:hAnsi="Book Antiqua" w:cs="SimSun"/>
          <w:bdr w:val="none" w:sz="0" w:space="0" w:color="auto"/>
          <w:lang w:val="en-US" w:eastAsia="zh-CN"/>
        </w:rPr>
        <w:t>, Cabibbo G, Piscaglia F, Zavaglia C, Grieco A, Villa E, Cammà C, Colombo M. Field-practice study of sorafenib therapy for hepatocellular carcinoma: a prospective multicenter study in Italy. </w:t>
      </w:r>
      <w:r w:rsidRPr="006B1665">
        <w:rPr>
          <w:rFonts w:ascii="Book Antiqua" w:eastAsia="SimSun" w:hAnsi="Book Antiqua" w:cs="SimSun"/>
          <w:i/>
          <w:iCs/>
          <w:bdr w:val="none" w:sz="0" w:space="0" w:color="auto"/>
          <w:lang w:val="en-US" w:eastAsia="zh-CN"/>
        </w:rPr>
        <w:t>Hepatology</w:t>
      </w:r>
      <w:r w:rsidRPr="006B1665">
        <w:rPr>
          <w:rFonts w:ascii="Book Antiqua" w:eastAsia="SimSun" w:hAnsi="Book Antiqua" w:cs="SimSun"/>
          <w:bdr w:val="none" w:sz="0" w:space="0" w:color="auto"/>
          <w:lang w:val="en-US" w:eastAsia="zh-CN"/>
        </w:rPr>
        <w:t> 2011; </w:t>
      </w:r>
      <w:r w:rsidRPr="006B1665">
        <w:rPr>
          <w:rFonts w:ascii="Book Antiqua" w:eastAsia="SimSun" w:hAnsi="Book Antiqua" w:cs="SimSun"/>
          <w:b/>
          <w:bCs/>
          <w:bdr w:val="none" w:sz="0" w:space="0" w:color="auto"/>
          <w:lang w:val="en-US" w:eastAsia="zh-CN"/>
        </w:rPr>
        <w:t>54</w:t>
      </w:r>
      <w:r w:rsidRPr="006B1665">
        <w:rPr>
          <w:rFonts w:ascii="Book Antiqua" w:eastAsia="SimSun" w:hAnsi="Book Antiqua" w:cs="SimSun"/>
          <w:bdr w:val="none" w:sz="0" w:space="0" w:color="auto"/>
          <w:lang w:val="en-US" w:eastAsia="zh-CN"/>
        </w:rPr>
        <w:t>: 2055-2063 [PMID: 21898496 DOI: 10.1002/hep.24644]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14 </w:t>
      </w:r>
      <w:r w:rsidRPr="006B1665">
        <w:rPr>
          <w:rFonts w:ascii="Book Antiqua" w:eastAsia="SimSun" w:hAnsi="Book Antiqua" w:cs="SimSun"/>
          <w:b/>
          <w:bCs/>
          <w:bdr w:val="none" w:sz="0" w:space="0" w:color="auto"/>
          <w:lang w:val="en-US" w:eastAsia="zh-CN"/>
        </w:rPr>
        <w:t>Carr BI</w:t>
      </w:r>
      <w:r w:rsidRPr="006B1665">
        <w:rPr>
          <w:rFonts w:ascii="Book Antiqua" w:eastAsia="SimSun" w:hAnsi="Book Antiqua" w:cs="SimSun"/>
          <w:bdr w:val="none" w:sz="0" w:space="0" w:color="auto"/>
          <w:lang w:val="en-US" w:eastAsia="zh-CN"/>
        </w:rPr>
        <w:t>, Carroll S, Muszbek N, Gondek K. Economic evaluation of sorafenib in unresectable hepatocellular carcinoma. </w:t>
      </w:r>
      <w:r w:rsidRPr="006B1665">
        <w:rPr>
          <w:rFonts w:ascii="Book Antiqua" w:eastAsia="SimSun" w:hAnsi="Book Antiqua" w:cs="SimSun"/>
          <w:i/>
          <w:iCs/>
          <w:bdr w:val="none" w:sz="0" w:space="0" w:color="auto"/>
          <w:lang w:val="en-US" w:eastAsia="zh-CN"/>
        </w:rPr>
        <w:t>J Gastroenterol Hepatol</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25</w:t>
      </w:r>
      <w:r w:rsidRPr="006B1665">
        <w:rPr>
          <w:rFonts w:ascii="Book Antiqua" w:eastAsia="SimSun" w:hAnsi="Book Antiqua" w:cs="SimSun"/>
          <w:bdr w:val="none" w:sz="0" w:space="0" w:color="auto"/>
          <w:lang w:val="en-US" w:eastAsia="zh-CN"/>
        </w:rPr>
        <w:t>: 1739-1746 [PMID: 21039835 DOI: 10.1111/j.1440-1746.2010.06404.x]</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15 </w:t>
      </w:r>
      <w:r w:rsidRPr="006B1665">
        <w:rPr>
          <w:rFonts w:ascii="Book Antiqua" w:eastAsia="SimSun" w:hAnsi="Book Antiqua" w:cs="SimSun"/>
          <w:b/>
          <w:bCs/>
          <w:bdr w:val="none" w:sz="0" w:space="0" w:color="auto"/>
          <w:lang w:val="en-US" w:eastAsia="zh-CN"/>
        </w:rPr>
        <w:t>Llovet JM</w:t>
      </w:r>
      <w:r w:rsidRPr="006B1665">
        <w:rPr>
          <w:rFonts w:ascii="Book Antiqua" w:eastAsia="SimSun" w:hAnsi="Book Antiqua" w:cs="SimSun"/>
          <w:bdr w:val="none" w:sz="0" w:space="0" w:color="auto"/>
          <w:lang w:val="en-US" w:eastAsia="zh-CN"/>
        </w:rPr>
        <w:t>, Peña CE, Lathia CD, Shan M, Meinhardt G, Bruix J. Plasma biomarkers as predictors of outcome in patients with advanced hepatocellular carcinoma. </w:t>
      </w:r>
      <w:r w:rsidRPr="006B1665">
        <w:rPr>
          <w:rFonts w:ascii="Book Antiqua" w:eastAsia="SimSun" w:hAnsi="Book Antiqua" w:cs="SimSun"/>
          <w:i/>
          <w:iCs/>
          <w:bdr w:val="none" w:sz="0" w:space="0" w:color="auto"/>
          <w:lang w:val="en-US" w:eastAsia="zh-CN"/>
        </w:rPr>
        <w:t>Clin Cancer Res</w:t>
      </w:r>
      <w:r w:rsidRPr="006B1665">
        <w:rPr>
          <w:rFonts w:ascii="Book Antiqua" w:eastAsia="SimSun" w:hAnsi="Book Antiqua" w:cs="SimSun"/>
          <w:bdr w:val="none" w:sz="0" w:space="0" w:color="auto"/>
          <w:lang w:val="en-US" w:eastAsia="zh-CN"/>
        </w:rPr>
        <w:t> 2012; </w:t>
      </w:r>
      <w:r w:rsidRPr="006B1665">
        <w:rPr>
          <w:rFonts w:ascii="Book Antiqua" w:eastAsia="SimSun" w:hAnsi="Book Antiqua" w:cs="SimSun"/>
          <w:b/>
          <w:bCs/>
          <w:bdr w:val="none" w:sz="0" w:space="0" w:color="auto"/>
          <w:lang w:val="en-US" w:eastAsia="zh-CN"/>
        </w:rPr>
        <w:t>18</w:t>
      </w:r>
      <w:r w:rsidRPr="006B1665">
        <w:rPr>
          <w:rFonts w:ascii="Book Antiqua" w:eastAsia="SimSun" w:hAnsi="Book Antiqua" w:cs="SimSun"/>
          <w:bdr w:val="none" w:sz="0" w:space="0" w:color="auto"/>
          <w:lang w:val="en-US" w:eastAsia="zh-CN"/>
        </w:rPr>
        <w:t>: 2290-2300 [PMID: 22374331 DOI: 10.1158/1078-0432.CCR-11-2175]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16 </w:t>
      </w:r>
      <w:r w:rsidRPr="006B1665">
        <w:rPr>
          <w:rFonts w:ascii="Book Antiqua" w:eastAsia="SimSun" w:hAnsi="Book Antiqua" w:cs="SimSun"/>
          <w:b/>
          <w:bCs/>
          <w:bdr w:val="none" w:sz="0" w:space="0" w:color="auto"/>
          <w:lang w:val="en-US" w:eastAsia="zh-CN"/>
        </w:rPr>
        <w:t>Personeni N</w:t>
      </w:r>
      <w:r w:rsidRPr="006B1665">
        <w:rPr>
          <w:rFonts w:ascii="Book Antiqua" w:eastAsia="SimSun" w:hAnsi="Book Antiqua" w:cs="SimSun"/>
          <w:bdr w:val="none" w:sz="0" w:space="0" w:color="auto"/>
          <w:lang w:val="en-US" w:eastAsia="zh-CN"/>
        </w:rPr>
        <w:t>, Bozzarelli S, Pressiani T, Rimassa L, Tronconi MC, Sclafani F, Carnaghi C, Pedicini V, Giordano L, Santoro A. Usefulness of alpha-fetoprotein response in patients treated with sorafenib for advanced hepatocellular carcinoma. </w:t>
      </w:r>
      <w:r w:rsidRPr="006B1665">
        <w:rPr>
          <w:rFonts w:ascii="Book Antiqua" w:eastAsia="SimSun" w:hAnsi="Book Antiqua" w:cs="SimSun"/>
          <w:i/>
          <w:iCs/>
          <w:bdr w:val="none" w:sz="0" w:space="0" w:color="auto"/>
          <w:lang w:val="en-US" w:eastAsia="zh-CN"/>
        </w:rPr>
        <w:t>J Hepatol</w:t>
      </w:r>
      <w:r w:rsidRPr="006B1665">
        <w:rPr>
          <w:rFonts w:ascii="Book Antiqua" w:eastAsia="SimSun" w:hAnsi="Book Antiqua" w:cs="SimSun"/>
          <w:bdr w:val="none" w:sz="0" w:space="0" w:color="auto"/>
          <w:lang w:val="en-US" w:eastAsia="zh-CN"/>
        </w:rPr>
        <w:t> 2012; </w:t>
      </w:r>
      <w:r w:rsidRPr="006B1665">
        <w:rPr>
          <w:rFonts w:ascii="Book Antiqua" w:eastAsia="SimSun" w:hAnsi="Book Antiqua" w:cs="SimSun"/>
          <w:b/>
          <w:bCs/>
          <w:bdr w:val="none" w:sz="0" w:space="0" w:color="auto"/>
          <w:lang w:val="en-US" w:eastAsia="zh-CN"/>
        </w:rPr>
        <w:t>57</w:t>
      </w:r>
      <w:r w:rsidRPr="006B1665">
        <w:rPr>
          <w:rFonts w:ascii="Book Antiqua" w:eastAsia="SimSun" w:hAnsi="Book Antiqua" w:cs="SimSun"/>
          <w:bdr w:val="none" w:sz="0" w:space="0" w:color="auto"/>
          <w:lang w:val="en-US" w:eastAsia="zh-CN"/>
        </w:rPr>
        <w:t>: 101-107 [PMID: 22414760 DOI: 10.1016/j.jhep.2012.02.016]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lastRenderedPageBreak/>
        <w:t>17 </w:t>
      </w:r>
      <w:r w:rsidRPr="006B1665">
        <w:rPr>
          <w:rFonts w:ascii="Book Antiqua" w:eastAsia="SimSun" w:hAnsi="Book Antiqua" w:cs="SimSun"/>
          <w:b/>
          <w:bCs/>
          <w:bdr w:val="none" w:sz="0" w:space="0" w:color="auto"/>
          <w:lang w:val="en-US" w:eastAsia="zh-CN"/>
        </w:rPr>
        <w:t>Vora SR</w:t>
      </w:r>
      <w:r w:rsidRPr="006B1665">
        <w:rPr>
          <w:rFonts w:ascii="Book Antiqua" w:eastAsia="SimSun" w:hAnsi="Book Antiqua" w:cs="SimSun"/>
          <w:bdr w:val="none" w:sz="0" w:space="0" w:color="auto"/>
          <w:lang w:val="en-US" w:eastAsia="zh-CN"/>
        </w:rPr>
        <w:t>, Zheng H, Stadler ZK, Fuchs CS, Zhu AX. Serum alpha-fetoprotein response as a surrogate for clinical outcome in patients receiving systemic therapy for advanced hepatocellular carcinoma. </w:t>
      </w:r>
      <w:r w:rsidRPr="006B1665">
        <w:rPr>
          <w:rFonts w:ascii="Book Antiqua" w:eastAsia="SimSun" w:hAnsi="Book Antiqua" w:cs="SimSun"/>
          <w:i/>
          <w:iCs/>
          <w:bdr w:val="none" w:sz="0" w:space="0" w:color="auto"/>
          <w:lang w:val="en-US" w:eastAsia="zh-CN"/>
        </w:rPr>
        <w:t>Oncologist</w:t>
      </w:r>
      <w:r w:rsidRPr="006B1665">
        <w:rPr>
          <w:rFonts w:ascii="Book Antiqua" w:eastAsia="SimSun" w:hAnsi="Book Antiqua" w:cs="SimSun"/>
          <w:bdr w:val="none" w:sz="0" w:space="0" w:color="auto"/>
          <w:lang w:val="en-US" w:eastAsia="zh-CN"/>
        </w:rPr>
        <w:t> 2009; </w:t>
      </w:r>
      <w:r w:rsidRPr="006B1665">
        <w:rPr>
          <w:rFonts w:ascii="Book Antiqua" w:eastAsia="SimSun" w:hAnsi="Book Antiqua" w:cs="SimSun"/>
          <w:b/>
          <w:bCs/>
          <w:bdr w:val="none" w:sz="0" w:space="0" w:color="auto"/>
          <w:lang w:val="en-US" w:eastAsia="zh-CN"/>
        </w:rPr>
        <w:t>14</w:t>
      </w:r>
      <w:r w:rsidRPr="006B1665">
        <w:rPr>
          <w:rFonts w:ascii="Book Antiqua" w:eastAsia="SimSun" w:hAnsi="Book Antiqua" w:cs="SimSun"/>
          <w:bdr w:val="none" w:sz="0" w:space="0" w:color="auto"/>
          <w:lang w:val="en-US" w:eastAsia="zh-CN"/>
        </w:rPr>
        <w:t>: 717-725 [PMID: 19581525 DOI: 10.1634/theoncologist.2009-0038]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18 </w:t>
      </w:r>
      <w:r w:rsidRPr="006B1665">
        <w:rPr>
          <w:rFonts w:ascii="Book Antiqua" w:eastAsia="SimSun" w:hAnsi="Book Antiqua" w:cs="SimSun"/>
          <w:b/>
          <w:bCs/>
          <w:bdr w:val="none" w:sz="0" w:space="0" w:color="auto"/>
          <w:lang w:val="en-US" w:eastAsia="zh-CN"/>
        </w:rPr>
        <w:t>Shin SY</w:t>
      </w:r>
      <w:r w:rsidRPr="006B1665">
        <w:rPr>
          <w:rFonts w:ascii="Book Antiqua" w:eastAsia="SimSun" w:hAnsi="Book Antiqua" w:cs="SimSun"/>
          <w:bdr w:val="none" w:sz="0" w:space="0" w:color="auto"/>
          <w:lang w:val="en-US" w:eastAsia="zh-CN"/>
        </w:rPr>
        <w:t>, Lee YJ. Correlation of skin toxicity and hypertension with clinical benefit in advanced hepatocellular carcinoma patients treated with sorafenib. </w:t>
      </w:r>
      <w:r w:rsidRPr="006B1665">
        <w:rPr>
          <w:rFonts w:ascii="Book Antiqua" w:eastAsia="SimSun" w:hAnsi="Book Antiqua" w:cs="SimSun"/>
          <w:i/>
          <w:iCs/>
          <w:bdr w:val="none" w:sz="0" w:space="0" w:color="auto"/>
          <w:lang w:val="en-US" w:eastAsia="zh-CN"/>
        </w:rPr>
        <w:t>Int J Clin Pharmacol Ther</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51</w:t>
      </w:r>
      <w:r w:rsidRPr="006B1665">
        <w:rPr>
          <w:rFonts w:ascii="Book Antiqua" w:eastAsia="SimSun" w:hAnsi="Book Antiqua" w:cs="SimSun"/>
          <w:bdr w:val="none" w:sz="0" w:space="0" w:color="auto"/>
          <w:lang w:val="en-US" w:eastAsia="zh-CN"/>
        </w:rPr>
        <w:t>: 837-846 [PMID: 24075093 DOI: 10.5414/CP201907]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19 </w:t>
      </w:r>
      <w:r w:rsidRPr="006B1665">
        <w:rPr>
          <w:rFonts w:ascii="Book Antiqua" w:eastAsia="SimSun" w:hAnsi="Book Antiqua" w:cs="SimSun"/>
          <w:b/>
          <w:bCs/>
          <w:bdr w:val="none" w:sz="0" w:space="0" w:color="auto"/>
          <w:lang w:val="en-US" w:eastAsia="zh-CN"/>
        </w:rPr>
        <w:t>Estfan B</w:t>
      </w:r>
      <w:r w:rsidRPr="006B1665">
        <w:rPr>
          <w:rFonts w:ascii="Book Antiqua" w:eastAsia="SimSun" w:hAnsi="Book Antiqua" w:cs="SimSun"/>
          <w:bdr w:val="none" w:sz="0" w:space="0" w:color="auto"/>
          <w:lang w:val="en-US" w:eastAsia="zh-CN"/>
        </w:rPr>
        <w:t>, Byrne M, Kim R. Sorafenib in advanced hepatocellular carcinoma: hypertension as a potential surrogate marker for efficacy. </w:t>
      </w:r>
      <w:r w:rsidRPr="006B1665">
        <w:rPr>
          <w:rFonts w:ascii="Book Antiqua" w:eastAsia="SimSun" w:hAnsi="Book Antiqua" w:cs="SimSun"/>
          <w:i/>
          <w:iCs/>
          <w:bdr w:val="none" w:sz="0" w:space="0" w:color="auto"/>
          <w:lang w:val="en-US" w:eastAsia="zh-CN"/>
        </w:rPr>
        <w:t>Am J Clin Oncol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36</w:t>
      </w:r>
      <w:r w:rsidRPr="006B1665">
        <w:rPr>
          <w:rFonts w:ascii="Book Antiqua" w:eastAsia="SimSun" w:hAnsi="Book Antiqua" w:cs="SimSun"/>
          <w:bdr w:val="none" w:sz="0" w:space="0" w:color="auto"/>
          <w:lang w:val="en-US" w:eastAsia="zh-CN"/>
        </w:rPr>
        <w:t>: 319-324 [PMID: 22547010 DOI: 10.1097/COC.0b013e3182468039]</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20 </w:t>
      </w:r>
      <w:r w:rsidRPr="006B1665">
        <w:rPr>
          <w:rFonts w:ascii="Book Antiqua" w:eastAsia="SimSun" w:hAnsi="Book Antiqua" w:cs="SimSun"/>
          <w:b/>
          <w:bCs/>
          <w:bdr w:val="none" w:sz="0" w:space="0" w:color="auto"/>
          <w:lang w:val="en-US" w:eastAsia="zh-CN"/>
        </w:rPr>
        <w:t>Koschny R</w:t>
      </w:r>
      <w:r w:rsidRPr="006B1665">
        <w:rPr>
          <w:rFonts w:ascii="Book Antiqua" w:eastAsia="SimSun" w:hAnsi="Book Antiqua" w:cs="SimSun"/>
          <w:bdr w:val="none" w:sz="0" w:space="0" w:color="auto"/>
          <w:lang w:val="en-US" w:eastAsia="zh-CN"/>
        </w:rPr>
        <w:t>, Gotthardt D, Koehler C, Jaeger D, Stremmel W, Ganten TM. Diarrhea is a positive outcome predictor for sorafenib treatment of advanced hepatocellular carcinoma. </w:t>
      </w:r>
      <w:r w:rsidRPr="006B1665">
        <w:rPr>
          <w:rFonts w:ascii="Book Antiqua" w:eastAsia="SimSun" w:hAnsi="Book Antiqua" w:cs="SimSun"/>
          <w:i/>
          <w:iCs/>
          <w:bdr w:val="none" w:sz="0" w:space="0" w:color="auto"/>
          <w:lang w:val="en-US" w:eastAsia="zh-CN"/>
        </w:rPr>
        <w:t>Oncology</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84</w:t>
      </w:r>
      <w:r w:rsidRPr="006B1665">
        <w:rPr>
          <w:rFonts w:ascii="Book Antiqua" w:eastAsia="SimSun" w:hAnsi="Book Antiqua" w:cs="SimSun"/>
          <w:bdr w:val="none" w:sz="0" w:space="0" w:color="auto"/>
          <w:lang w:val="en-US" w:eastAsia="zh-CN"/>
        </w:rPr>
        <w:t>: 6-13 [PMID: 23075905 DOI: 10.1159/000342425]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21 </w:t>
      </w:r>
      <w:r w:rsidRPr="006B1665">
        <w:rPr>
          <w:rFonts w:ascii="Book Antiqua" w:eastAsia="SimSun" w:hAnsi="Book Antiqua" w:cs="SimSun"/>
          <w:b/>
          <w:bCs/>
          <w:bdr w:val="none" w:sz="0" w:space="0" w:color="auto"/>
          <w:lang w:val="en-US" w:eastAsia="zh-CN"/>
        </w:rPr>
        <w:t>Cho JY</w:t>
      </w:r>
      <w:r w:rsidRPr="006B1665">
        <w:rPr>
          <w:rFonts w:ascii="Book Antiqua" w:eastAsia="SimSun" w:hAnsi="Book Antiqua" w:cs="SimSun"/>
          <w:bdr w:val="none" w:sz="0" w:space="0" w:color="auto"/>
          <w:lang w:val="en-US" w:eastAsia="zh-CN"/>
        </w:rPr>
        <w:t>, Paik YH, Lim HY, Kim YG, Lim HK, Min YW, Gwak GY, Choi MS, Lee JH, Koh KC, Paik SW, Yoo BC. Clinical parameters predictive of outcomes in sorafenib-treated patients with advanced hepatocellular carcinoma. </w:t>
      </w:r>
      <w:r w:rsidRPr="006B1665">
        <w:rPr>
          <w:rFonts w:ascii="Book Antiqua" w:eastAsia="SimSun" w:hAnsi="Book Antiqua" w:cs="SimSun"/>
          <w:i/>
          <w:iCs/>
          <w:bdr w:val="none" w:sz="0" w:space="0" w:color="auto"/>
          <w:lang w:val="en-US" w:eastAsia="zh-CN"/>
        </w:rPr>
        <w:t>Liver Int</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33</w:t>
      </w:r>
      <w:r w:rsidRPr="006B1665">
        <w:rPr>
          <w:rFonts w:ascii="Book Antiqua" w:eastAsia="SimSun" w:hAnsi="Book Antiqua" w:cs="SimSun"/>
          <w:bdr w:val="none" w:sz="0" w:space="0" w:color="auto"/>
          <w:lang w:val="en-US" w:eastAsia="zh-CN"/>
        </w:rPr>
        <w:t>: 950-957 [PMID: 23601249 DOI: 10.1111/liv.12168]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22 </w:t>
      </w:r>
      <w:r w:rsidRPr="006B1665">
        <w:rPr>
          <w:rFonts w:ascii="Book Antiqua" w:eastAsia="SimSun" w:hAnsi="Book Antiqua" w:cs="SimSun"/>
          <w:b/>
          <w:bCs/>
          <w:bdr w:val="none" w:sz="0" w:space="0" w:color="auto"/>
          <w:lang w:val="en-US" w:eastAsia="zh-CN"/>
        </w:rPr>
        <w:t>Reig M</w:t>
      </w:r>
      <w:r w:rsidRPr="006B1665">
        <w:rPr>
          <w:rFonts w:ascii="Book Antiqua" w:eastAsia="SimSun" w:hAnsi="Book Antiqua" w:cs="SimSun"/>
          <w:bdr w:val="none" w:sz="0" w:space="0" w:color="auto"/>
          <w:lang w:val="en-US" w:eastAsia="zh-CN"/>
        </w:rPr>
        <w:t>, Torres F, Rodriguez-Lope C, Forner A, LLarch N, Rimola J, Darnell A, Ríos J, Ayuso C, Bruix J. Early dermatologic adverse events predict better outcome in HCC patients treated with sorafenib. </w:t>
      </w:r>
      <w:r w:rsidRPr="006B1665">
        <w:rPr>
          <w:rFonts w:ascii="Book Antiqua" w:eastAsia="SimSun" w:hAnsi="Book Antiqua" w:cs="SimSun"/>
          <w:i/>
          <w:iCs/>
          <w:bdr w:val="none" w:sz="0" w:space="0" w:color="auto"/>
          <w:lang w:val="en-US" w:eastAsia="zh-CN"/>
        </w:rPr>
        <w:t>J Hepatol</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61</w:t>
      </w:r>
      <w:r w:rsidRPr="006B1665">
        <w:rPr>
          <w:rFonts w:ascii="Book Antiqua" w:eastAsia="SimSun" w:hAnsi="Book Antiqua" w:cs="SimSun"/>
          <w:bdr w:val="none" w:sz="0" w:space="0" w:color="auto"/>
          <w:lang w:val="en-US" w:eastAsia="zh-CN"/>
        </w:rPr>
        <w:t>: 318-324 [PMID: 24703956 DOI: 10.1016/j.jhep.2014.03.030]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23 </w:t>
      </w:r>
      <w:r w:rsidRPr="006B1665">
        <w:rPr>
          <w:rFonts w:ascii="Book Antiqua" w:eastAsia="SimSun" w:hAnsi="Book Antiqua" w:cs="SimSun"/>
          <w:b/>
          <w:bCs/>
          <w:bdr w:val="none" w:sz="0" w:space="0" w:color="auto"/>
          <w:lang w:val="en-US" w:eastAsia="zh-CN"/>
        </w:rPr>
        <w:t>Vincenzi B</w:t>
      </w:r>
      <w:r w:rsidRPr="006B1665">
        <w:rPr>
          <w:rFonts w:ascii="Book Antiqua" w:eastAsia="SimSun" w:hAnsi="Book Antiqua" w:cs="SimSun"/>
          <w:bdr w:val="none" w:sz="0" w:space="0" w:color="auto"/>
          <w:lang w:val="en-US" w:eastAsia="zh-CN"/>
        </w:rPr>
        <w:t>, Santini D, Russo A, Addeo R, Giuliani F, Montella L, Rizzo S, Venditti O, Frezza AM, Caraglia M, Colucci G, Del Prete S, Tonini G. Early skin toxicity as a predictive factor for tumor control in hepatocellular carcinoma patients treated with sorafenib. </w:t>
      </w:r>
      <w:r w:rsidRPr="006B1665">
        <w:rPr>
          <w:rFonts w:ascii="Book Antiqua" w:eastAsia="SimSun" w:hAnsi="Book Antiqua" w:cs="SimSun"/>
          <w:i/>
          <w:iCs/>
          <w:bdr w:val="none" w:sz="0" w:space="0" w:color="auto"/>
          <w:lang w:val="en-US" w:eastAsia="zh-CN"/>
        </w:rPr>
        <w:t>Oncologist</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15</w:t>
      </w:r>
      <w:r w:rsidRPr="006B1665">
        <w:rPr>
          <w:rFonts w:ascii="Book Antiqua" w:eastAsia="SimSun" w:hAnsi="Book Antiqua" w:cs="SimSun"/>
          <w:bdr w:val="none" w:sz="0" w:space="0" w:color="auto"/>
          <w:lang w:val="en-US" w:eastAsia="zh-CN"/>
        </w:rPr>
        <w:t>: 85-92 [PMID: 20051477 DOI: 10.1634/theoncologist.2009-0143]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24 </w:t>
      </w:r>
      <w:r w:rsidRPr="006B1665">
        <w:rPr>
          <w:rFonts w:ascii="Book Antiqua" w:eastAsia="SimSun" w:hAnsi="Book Antiqua" w:cs="SimSun"/>
          <w:b/>
          <w:bCs/>
          <w:bdr w:val="none" w:sz="0" w:space="0" w:color="auto"/>
          <w:lang w:val="en-US" w:eastAsia="zh-CN"/>
        </w:rPr>
        <w:t>Tsukuma H</w:t>
      </w:r>
      <w:r w:rsidRPr="006B1665">
        <w:rPr>
          <w:rFonts w:ascii="Book Antiqua" w:eastAsia="SimSun" w:hAnsi="Book Antiqua" w:cs="SimSun"/>
          <w:bdr w:val="none" w:sz="0" w:space="0" w:color="auto"/>
          <w:lang w:val="en-US" w:eastAsia="zh-CN"/>
        </w:rPr>
        <w:t>, Tanaka H, Ajiki W, Oshima A. Liver cancer and its prevention. </w:t>
      </w:r>
      <w:r w:rsidRPr="006B1665">
        <w:rPr>
          <w:rFonts w:ascii="Book Antiqua" w:eastAsia="SimSun" w:hAnsi="Book Antiqua" w:cs="SimSun"/>
          <w:i/>
          <w:iCs/>
          <w:bdr w:val="none" w:sz="0" w:space="0" w:color="auto"/>
          <w:lang w:val="en-US" w:eastAsia="zh-CN"/>
        </w:rPr>
        <w:t>Asian Pac J Cancer Prev</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hint="eastAsia"/>
          <w:bdr w:val="none" w:sz="0" w:space="0" w:color="auto"/>
          <w:lang w:val="en-US" w:eastAsia="zh-CN"/>
        </w:rPr>
        <w:t>2005</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b/>
          <w:bCs/>
          <w:bdr w:val="none" w:sz="0" w:space="0" w:color="auto"/>
          <w:lang w:val="en-US" w:eastAsia="zh-CN"/>
        </w:rPr>
        <w:t>6</w:t>
      </w:r>
      <w:r w:rsidRPr="006B1665">
        <w:rPr>
          <w:rFonts w:ascii="Book Antiqua" w:eastAsia="SimSun" w:hAnsi="Book Antiqua" w:cs="SimSun"/>
          <w:bdr w:val="none" w:sz="0" w:space="0" w:color="auto"/>
          <w:lang w:val="en-US" w:eastAsia="zh-CN"/>
        </w:rPr>
        <w:t>: 244-250 [PMID: 16235981]</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25 </w:t>
      </w:r>
      <w:r w:rsidRPr="006B1665">
        <w:rPr>
          <w:rFonts w:ascii="Book Antiqua" w:eastAsia="SimSun" w:hAnsi="Book Antiqua" w:cs="SimSun"/>
          <w:b/>
          <w:bCs/>
          <w:bdr w:val="none" w:sz="0" w:space="0" w:color="auto"/>
          <w:lang w:val="en-US" w:eastAsia="zh-CN"/>
        </w:rPr>
        <w:t>Parkin DM</w:t>
      </w:r>
      <w:r w:rsidRPr="006B1665">
        <w:rPr>
          <w:rFonts w:ascii="Book Antiqua" w:eastAsia="SimSun" w:hAnsi="Book Antiqua" w:cs="SimSun"/>
          <w:bdr w:val="none" w:sz="0" w:space="0" w:color="auto"/>
          <w:lang w:val="en-US" w:eastAsia="zh-CN"/>
        </w:rPr>
        <w:t>. The global health burden of infection-associated cancers in the year 2002. </w:t>
      </w:r>
      <w:r w:rsidRPr="006B1665">
        <w:rPr>
          <w:rFonts w:ascii="Book Antiqua" w:eastAsia="SimSun" w:hAnsi="Book Antiqua" w:cs="SimSun"/>
          <w:i/>
          <w:iCs/>
          <w:bdr w:val="none" w:sz="0" w:space="0" w:color="auto"/>
          <w:lang w:val="en-US" w:eastAsia="zh-CN"/>
        </w:rPr>
        <w:t>Int J Cancer</w:t>
      </w:r>
      <w:r w:rsidRPr="006B1665">
        <w:rPr>
          <w:rFonts w:ascii="Book Antiqua" w:eastAsia="SimSun" w:hAnsi="Book Antiqua" w:cs="SimSun"/>
          <w:bdr w:val="none" w:sz="0" w:space="0" w:color="auto"/>
          <w:lang w:val="en-US" w:eastAsia="zh-CN"/>
        </w:rPr>
        <w:t> 2006; </w:t>
      </w:r>
      <w:r w:rsidRPr="006B1665">
        <w:rPr>
          <w:rFonts w:ascii="Book Antiqua" w:eastAsia="SimSun" w:hAnsi="Book Antiqua" w:cs="SimSun"/>
          <w:b/>
          <w:bCs/>
          <w:bdr w:val="none" w:sz="0" w:space="0" w:color="auto"/>
          <w:lang w:val="en-US" w:eastAsia="zh-CN"/>
        </w:rPr>
        <w:t>118</w:t>
      </w:r>
      <w:r w:rsidRPr="006B1665">
        <w:rPr>
          <w:rFonts w:ascii="Book Antiqua" w:eastAsia="SimSun" w:hAnsi="Book Antiqua" w:cs="SimSun"/>
          <w:bdr w:val="none" w:sz="0" w:space="0" w:color="auto"/>
          <w:lang w:val="en-US" w:eastAsia="zh-CN"/>
        </w:rPr>
        <w:t>: 3030-3044 [PMID: 16404738 DOI: 10.1002/ijc.21731]</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lastRenderedPageBreak/>
        <w:t>26 </w:t>
      </w:r>
      <w:r w:rsidRPr="006B1665">
        <w:rPr>
          <w:rFonts w:ascii="Book Antiqua" w:eastAsia="SimSun" w:hAnsi="Book Antiqua" w:cs="SimSun"/>
          <w:b/>
          <w:bCs/>
          <w:bdr w:val="none" w:sz="0" w:space="0" w:color="auto"/>
          <w:lang w:val="en-US" w:eastAsia="zh-CN"/>
        </w:rPr>
        <w:t>Sun P</w:t>
      </w:r>
      <w:r w:rsidRPr="006B1665">
        <w:rPr>
          <w:rFonts w:ascii="Book Antiqua" w:eastAsia="SimSun" w:hAnsi="Book Antiqua" w:cs="SimSun"/>
          <w:bdr w:val="none" w:sz="0" w:space="0" w:color="auto"/>
          <w:lang w:val="en-US" w:eastAsia="zh-CN"/>
        </w:rPr>
        <w:t>, Dong X, Cheng X, Hu Q, Zheng Q. Nucleot(s)ide analogues for hepatitis B virus-related hepatocellular carcinoma after curative treatment: a systematic review and meta-analysis. </w:t>
      </w:r>
      <w:r w:rsidRPr="006B1665">
        <w:rPr>
          <w:rFonts w:ascii="Book Antiqua" w:eastAsia="SimSun" w:hAnsi="Book Antiqua" w:cs="SimSun"/>
          <w:i/>
          <w:iCs/>
          <w:bdr w:val="none" w:sz="0" w:space="0" w:color="auto"/>
          <w:lang w:val="en-US" w:eastAsia="zh-CN"/>
        </w:rPr>
        <w:t>PLoS One</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9</w:t>
      </w:r>
      <w:r w:rsidRPr="006B1665">
        <w:rPr>
          <w:rFonts w:ascii="Book Antiqua" w:eastAsia="SimSun" w:hAnsi="Book Antiqua" w:cs="SimSun"/>
          <w:bdr w:val="none" w:sz="0" w:space="0" w:color="auto"/>
          <w:lang w:val="en-US" w:eastAsia="zh-CN"/>
        </w:rPr>
        <w:t>: e102761 [PMID: 25058587 DOI: 10.1371/journal.pone.0102761]</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27 </w:t>
      </w:r>
      <w:r w:rsidRPr="006B1665">
        <w:rPr>
          <w:rFonts w:ascii="Book Antiqua" w:eastAsia="SimSun" w:hAnsi="Book Antiqua" w:cs="SimSun"/>
          <w:b/>
          <w:bCs/>
          <w:bdr w:val="none" w:sz="0" w:space="0" w:color="auto"/>
          <w:lang w:val="en-US" w:eastAsia="zh-CN"/>
        </w:rPr>
        <w:t>Zhang P</w:t>
      </w:r>
      <w:r w:rsidRPr="006B1665">
        <w:rPr>
          <w:rFonts w:ascii="Book Antiqua" w:eastAsia="SimSun" w:hAnsi="Book Antiqua" w:cs="SimSun"/>
          <w:bdr w:val="none" w:sz="0" w:space="0" w:color="auto"/>
          <w:lang w:val="en-US" w:eastAsia="zh-CN"/>
        </w:rPr>
        <w:t>, Yang Y, Wen F, He X, Tang R, Du Z, Zhou J, Zhang J, Li Q. Cost-effectiveness of sorafenib as a first-line treatment for advanced hepatocellular carcinoma. </w:t>
      </w:r>
      <w:r w:rsidRPr="006B1665">
        <w:rPr>
          <w:rFonts w:ascii="Book Antiqua" w:eastAsia="SimSun" w:hAnsi="Book Antiqua" w:cs="SimSun"/>
          <w:i/>
          <w:iCs/>
          <w:bdr w:val="none" w:sz="0" w:space="0" w:color="auto"/>
          <w:lang w:val="en-US" w:eastAsia="zh-CN"/>
        </w:rPr>
        <w:t>Eur J Gastroenterol Hepatol</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27</w:t>
      </w:r>
      <w:r w:rsidRPr="006B1665">
        <w:rPr>
          <w:rFonts w:ascii="Book Antiqua" w:eastAsia="SimSun" w:hAnsi="Book Antiqua" w:cs="SimSun"/>
          <w:bdr w:val="none" w:sz="0" w:space="0" w:color="auto"/>
          <w:lang w:val="en-US" w:eastAsia="zh-CN"/>
        </w:rPr>
        <w:t>: 853-859 [PMID: 25919775 DOI: 10.1097/MEG.0000000000000373]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28 </w:t>
      </w:r>
      <w:r w:rsidRPr="006B1665">
        <w:rPr>
          <w:rFonts w:ascii="Book Antiqua" w:eastAsia="SimSun" w:hAnsi="Book Antiqua" w:cs="SimSun"/>
          <w:b/>
          <w:bCs/>
          <w:bdr w:val="none" w:sz="0" w:space="0" w:color="auto"/>
          <w:lang w:val="en-US" w:eastAsia="zh-CN"/>
        </w:rPr>
        <w:t>Lee IC</w:t>
      </w:r>
      <w:r w:rsidRPr="006B1665">
        <w:rPr>
          <w:rFonts w:ascii="Book Antiqua" w:eastAsia="SimSun" w:hAnsi="Book Antiqua" w:cs="SimSun"/>
          <w:bdr w:val="none" w:sz="0" w:space="0" w:color="auto"/>
          <w:lang w:val="en-US" w:eastAsia="zh-CN"/>
        </w:rPr>
        <w:t>, Chen YT, Chao Y, Huo TI, Li CP, Su CW, Lin HC, Lee FY, Huang YH. Determinants of survival after sorafenib failure in patients with BCLC-C hepatocellular carcinoma in real-world practice. </w:t>
      </w:r>
      <w:r w:rsidRPr="006B1665">
        <w:rPr>
          <w:rFonts w:ascii="Book Antiqua" w:eastAsia="SimSun" w:hAnsi="Book Antiqua" w:cs="SimSun"/>
          <w:i/>
          <w:iCs/>
          <w:bdr w:val="none" w:sz="0" w:space="0" w:color="auto"/>
          <w:lang w:val="en-US" w:eastAsia="zh-CN"/>
        </w:rPr>
        <w:t>Medicine (Baltimore)</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94</w:t>
      </w:r>
      <w:r w:rsidRPr="006B1665">
        <w:rPr>
          <w:rFonts w:ascii="Book Antiqua" w:eastAsia="SimSun" w:hAnsi="Book Antiqua" w:cs="SimSun"/>
          <w:bdr w:val="none" w:sz="0" w:space="0" w:color="auto"/>
          <w:lang w:val="en-US" w:eastAsia="zh-CN"/>
        </w:rPr>
        <w:t>: e688 [PMID: 25860213 DOI: 10.1097/MD.0000000000000688]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29 </w:t>
      </w:r>
      <w:r w:rsidRPr="006B1665">
        <w:rPr>
          <w:rFonts w:ascii="Book Antiqua" w:eastAsia="SimSun" w:hAnsi="Book Antiqua" w:cs="SimSun"/>
          <w:b/>
          <w:bCs/>
          <w:bdr w:val="none" w:sz="0" w:space="0" w:color="auto"/>
          <w:lang w:val="en-US" w:eastAsia="zh-CN"/>
        </w:rPr>
        <w:t>Hsu CH</w:t>
      </w:r>
      <w:r w:rsidRPr="006B1665">
        <w:rPr>
          <w:rFonts w:ascii="Book Antiqua" w:eastAsia="SimSun" w:hAnsi="Book Antiqua" w:cs="SimSun"/>
          <w:bdr w:val="none" w:sz="0" w:space="0" w:color="auto"/>
          <w:lang w:val="en-US" w:eastAsia="zh-CN"/>
        </w:rPr>
        <w:t>, Yang TS, Hsu C, Toh HC, Epstein RJ, Hsiao LT, Chen PJ, Lin ZZ, Chao TY, Cheng AL. Efficacy and tolerability of bevacizumab plus capecitabine as first-line therapy in patients with advanced hepatocellular carcinoma. </w:t>
      </w:r>
      <w:r w:rsidRPr="006B1665">
        <w:rPr>
          <w:rFonts w:ascii="Book Antiqua" w:eastAsia="SimSun" w:hAnsi="Book Antiqua" w:cs="SimSun"/>
          <w:i/>
          <w:iCs/>
          <w:bdr w:val="none" w:sz="0" w:space="0" w:color="auto"/>
          <w:lang w:val="en-US" w:eastAsia="zh-CN"/>
        </w:rPr>
        <w:t>Br J Cancer</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102</w:t>
      </w:r>
      <w:r w:rsidRPr="006B1665">
        <w:rPr>
          <w:rFonts w:ascii="Book Antiqua" w:eastAsia="SimSun" w:hAnsi="Book Antiqua" w:cs="SimSun"/>
          <w:bdr w:val="none" w:sz="0" w:space="0" w:color="auto"/>
          <w:lang w:val="en-US" w:eastAsia="zh-CN"/>
        </w:rPr>
        <w:t>: 981-986 [PMID: 20160718 DOI: 10.1038/sj.bjc.6605580]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30 </w:t>
      </w:r>
      <w:r w:rsidRPr="006B1665">
        <w:rPr>
          <w:rFonts w:ascii="Book Antiqua" w:eastAsia="SimSun" w:hAnsi="Book Antiqua" w:cs="SimSun"/>
          <w:b/>
          <w:bCs/>
          <w:bdr w:val="none" w:sz="0" w:space="0" w:color="auto"/>
          <w:lang w:val="en-US" w:eastAsia="zh-CN"/>
        </w:rPr>
        <w:t>Hsu CH</w:t>
      </w:r>
      <w:r w:rsidRPr="006B1665">
        <w:rPr>
          <w:rFonts w:ascii="Book Antiqua" w:eastAsia="SimSun" w:hAnsi="Book Antiqua" w:cs="SimSun"/>
          <w:bdr w:val="none" w:sz="0" w:space="0" w:color="auto"/>
          <w:lang w:val="en-US" w:eastAsia="zh-CN"/>
        </w:rPr>
        <w:t>, Shen YC, Lin ZZ, Chen PJ, Shao YY, Ding YH, Hsu C, Cheng AL. Phase II study of combining sorafenib with metronomic tegafur/uracil for advanced hepatocellular carcinoma. </w:t>
      </w:r>
      <w:r w:rsidRPr="006B1665">
        <w:rPr>
          <w:rFonts w:ascii="Book Antiqua" w:eastAsia="SimSun" w:hAnsi="Book Antiqua" w:cs="SimSun"/>
          <w:i/>
          <w:iCs/>
          <w:bdr w:val="none" w:sz="0" w:space="0" w:color="auto"/>
          <w:lang w:val="en-US" w:eastAsia="zh-CN"/>
        </w:rPr>
        <w:t>J Hepatol</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53</w:t>
      </w:r>
      <w:r w:rsidRPr="006B1665">
        <w:rPr>
          <w:rFonts w:ascii="Book Antiqua" w:eastAsia="SimSun" w:hAnsi="Book Antiqua" w:cs="SimSun"/>
          <w:bdr w:val="none" w:sz="0" w:space="0" w:color="auto"/>
          <w:lang w:val="en-US" w:eastAsia="zh-CN"/>
        </w:rPr>
        <w:t>: 126-131 [PMID: 20416968 DOI: 10.1016/j.jhep.2010.01.035]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31 </w:t>
      </w:r>
      <w:r w:rsidRPr="006B1665">
        <w:rPr>
          <w:rFonts w:ascii="Book Antiqua" w:eastAsia="SimSun" w:hAnsi="Book Antiqua" w:cs="SimSun"/>
          <w:b/>
          <w:bCs/>
          <w:bdr w:val="none" w:sz="0" w:space="0" w:color="auto"/>
          <w:lang w:val="en-US" w:eastAsia="zh-CN"/>
        </w:rPr>
        <w:t>Cheng AL</w:t>
      </w:r>
      <w:r w:rsidRPr="006B1665">
        <w:rPr>
          <w:rFonts w:ascii="Book Antiqua" w:eastAsia="SimSun" w:hAnsi="Book Antiqua" w:cs="SimSun"/>
          <w:bdr w:val="none" w:sz="0" w:space="0" w:color="auto"/>
          <w:lang w:val="en-US" w:eastAsia="zh-CN"/>
        </w:rPr>
        <w:t>, Kang YK, Lin DY, Park JW, Kudo M, Qin S, Chung HC, Song X, Xu J, Poggi G, Omata M, Pitman Lowenthal S, Lanzalone S, Yang L, Lechuga MJ, Raymond E. Sunitinib versus sorafenib in advanced hepatocellular cancer: results of a randomized phase III trial. </w:t>
      </w:r>
      <w:r w:rsidRPr="006B1665">
        <w:rPr>
          <w:rFonts w:ascii="Book Antiqua" w:eastAsia="SimSun" w:hAnsi="Book Antiqua" w:cs="SimSun"/>
          <w:i/>
          <w:iCs/>
          <w:bdr w:val="none" w:sz="0" w:space="0" w:color="auto"/>
          <w:lang w:val="en-US" w:eastAsia="zh-CN"/>
        </w:rPr>
        <w:t>J Clin Oncol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31</w:t>
      </w:r>
      <w:r w:rsidRPr="006B1665">
        <w:rPr>
          <w:rFonts w:ascii="Book Antiqua" w:eastAsia="SimSun" w:hAnsi="Book Antiqua" w:cs="SimSun"/>
          <w:bdr w:val="none" w:sz="0" w:space="0" w:color="auto"/>
          <w:lang w:val="en-US" w:eastAsia="zh-CN"/>
        </w:rPr>
        <w:t>: 4067-4075 [PMID: 24081937 DOI: 10.1200/JCO.2012.45.8372]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32 </w:t>
      </w:r>
      <w:r w:rsidRPr="006B1665">
        <w:rPr>
          <w:rFonts w:ascii="Book Antiqua" w:eastAsia="SimSun" w:hAnsi="Book Antiqua" w:cs="SimSun"/>
          <w:b/>
          <w:bCs/>
          <w:bdr w:val="none" w:sz="0" w:space="0" w:color="auto"/>
          <w:lang w:val="en-US" w:eastAsia="zh-CN"/>
        </w:rPr>
        <w:t>Johnson PJ</w:t>
      </w:r>
      <w:r w:rsidRPr="006B1665">
        <w:rPr>
          <w:rFonts w:ascii="Book Antiqua" w:eastAsia="SimSun" w:hAnsi="Book Antiqua" w:cs="SimSun"/>
          <w:bdr w:val="none" w:sz="0" w:space="0" w:color="auto"/>
          <w:lang w:val="en-US" w:eastAsia="zh-CN"/>
        </w:rPr>
        <w:t>,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6B1665">
        <w:rPr>
          <w:rFonts w:ascii="Book Antiqua" w:eastAsia="SimSun" w:hAnsi="Book Antiqua" w:cs="SimSun"/>
          <w:i/>
          <w:iCs/>
          <w:bdr w:val="none" w:sz="0" w:space="0" w:color="auto"/>
          <w:lang w:val="en-US" w:eastAsia="zh-CN"/>
        </w:rPr>
        <w:t>J Clin Oncol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31</w:t>
      </w:r>
      <w:r w:rsidRPr="006B1665">
        <w:rPr>
          <w:rFonts w:ascii="Book Antiqua" w:eastAsia="SimSun" w:hAnsi="Book Antiqua" w:cs="SimSun"/>
          <w:bdr w:val="none" w:sz="0" w:space="0" w:color="auto"/>
          <w:lang w:val="en-US" w:eastAsia="zh-CN"/>
        </w:rPr>
        <w:t>: 3517-3524 [PMID: 23980084 DOI: 10.1200/JCO.2012.48.4410]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33 </w:t>
      </w:r>
      <w:r w:rsidRPr="006B1665">
        <w:rPr>
          <w:rFonts w:ascii="Book Antiqua" w:eastAsia="SimSun" w:hAnsi="Book Antiqua" w:cs="SimSun"/>
          <w:b/>
          <w:bCs/>
          <w:bdr w:val="none" w:sz="0" w:space="0" w:color="auto"/>
          <w:lang w:val="en-US" w:eastAsia="zh-CN"/>
        </w:rPr>
        <w:t>Cainap C</w:t>
      </w:r>
      <w:r w:rsidRPr="006B1665">
        <w:rPr>
          <w:rFonts w:ascii="Book Antiqua" w:eastAsia="SimSun" w:hAnsi="Book Antiqua" w:cs="SimSun"/>
          <w:bdr w:val="none" w:sz="0" w:space="0" w:color="auto"/>
          <w:lang w:val="en-US" w:eastAsia="zh-CN"/>
        </w:rPr>
        <w:t xml:space="preserve">, Qin S, Huang WT, Chung IJ, Pan H, Cheng Y, Kudo M, Kang YK, Chen PJ, Toh HC, Gorbunova V, Eskens FA, Qian J, McKee MD, Ricker JL, Carlson DM, El-Nowiem S. Linifanib versus Sorafenib in patients with advanced hepatocellular carcinoma: results </w:t>
      </w:r>
      <w:r w:rsidRPr="006B1665">
        <w:rPr>
          <w:rFonts w:ascii="Book Antiqua" w:eastAsia="SimSun" w:hAnsi="Book Antiqua" w:cs="SimSun"/>
          <w:bdr w:val="none" w:sz="0" w:space="0" w:color="auto"/>
          <w:lang w:val="en-US" w:eastAsia="zh-CN"/>
        </w:rPr>
        <w:lastRenderedPageBreak/>
        <w:t>of a randomized phase III trial. </w:t>
      </w:r>
      <w:r w:rsidRPr="006B1665">
        <w:rPr>
          <w:rFonts w:ascii="Book Antiqua" w:eastAsia="SimSun" w:hAnsi="Book Antiqua" w:cs="SimSun"/>
          <w:i/>
          <w:iCs/>
          <w:bdr w:val="none" w:sz="0" w:space="0" w:color="auto"/>
          <w:lang w:val="en-US" w:eastAsia="zh-CN"/>
        </w:rPr>
        <w:t>J Clin Oncol</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33</w:t>
      </w:r>
      <w:r w:rsidRPr="006B1665">
        <w:rPr>
          <w:rFonts w:ascii="Book Antiqua" w:eastAsia="SimSun" w:hAnsi="Book Antiqua" w:cs="SimSun"/>
          <w:bdr w:val="none" w:sz="0" w:space="0" w:color="auto"/>
          <w:lang w:val="en-US" w:eastAsia="zh-CN"/>
        </w:rPr>
        <w:t>: 172-179 [PMID: 25488963 DOI: 10.1200/JCO.2013.54.3298]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34 </w:t>
      </w:r>
      <w:r w:rsidRPr="006B1665">
        <w:rPr>
          <w:rFonts w:ascii="Book Antiqua" w:eastAsia="SimSun" w:hAnsi="Book Antiqua" w:cs="SimSun"/>
          <w:b/>
          <w:bCs/>
          <w:bdr w:val="none" w:sz="0" w:space="0" w:color="auto"/>
          <w:lang w:val="en-US" w:eastAsia="zh-CN"/>
        </w:rPr>
        <w:t>Buckley AF</w:t>
      </w:r>
      <w:r w:rsidRPr="006B1665">
        <w:rPr>
          <w:rFonts w:ascii="Book Antiqua" w:eastAsia="SimSun" w:hAnsi="Book Antiqua" w:cs="SimSun"/>
          <w:bdr w:val="none" w:sz="0" w:space="0" w:color="auto"/>
          <w:lang w:val="en-US" w:eastAsia="zh-CN"/>
        </w:rPr>
        <w:t>, Burgart LJ, Sahai V, Kakar S. Epidermal growth factor receptor expression and gene copy number in conventional hepatocellular carcinoma. </w:t>
      </w:r>
      <w:r w:rsidRPr="006B1665">
        <w:rPr>
          <w:rFonts w:ascii="Book Antiqua" w:eastAsia="SimSun" w:hAnsi="Book Antiqua" w:cs="SimSun"/>
          <w:i/>
          <w:iCs/>
          <w:bdr w:val="none" w:sz="0" w:space="0" w:color="auto"/>
          <w:lang w:val="en-US" w:eastAsia="zh-CN"/>
        </w:rPr>
        <w:t>Am J Clin Pathol</w:t>
      </w:r>
      <w:r w:rsidRPr="006B1665">
        <w:rPr>
          <w:rFonts w:ascii="Book Antiqua" w:eastAsia="SimSun" w:hAnsi="Book Antiqua" w:cs="SimSun"/>
          <w:bdr w:val="none" w:sz="0" w:space="0" w:color="auto"/>
          <w:lang w:val="en-US" w:eastAsia="zh-CN"/>
        </w:rPr>
        <w:t> 2008; </w:t>
      </w:r>
      <w:r w:rsidRPr="006B1665">
        <w:rPr>
          <w:rFonts w:ascii="Book Antiqua" w:eastAsia="SimSun" w:hAnsi="Book Antiqua" w:cs="SimSun"/>
          <w:b/>
          <w:bCs/>
          <w:bdr w:val="none" w:sz="0" w:space="0" w:color="auto"/>
          <w:lang w:val="en-US" w:eastAsia="zh-CN"/>
        </w:rPr>
        <w:t>129</w:t>
      </w:r>
      <w:r w:rsidRPr="006B1665">
        <w:rPr>
          <w:rFonts w:ascii="Book Antiqua" w:eastAsia="SimSun" w:hAnsi="Book Antiqua" w:cs="SimSun"/>
          <w:bdr w:val="none" w:sz="0" w:space="0" w:color="auto"/>
          <w:lang w:val="en-US" w:eastAsia="zh-CN"/>
        </w:rPr>
        <w:t>: 245-251 [PMID: 18208805 DOI: 10.1309/WF10QAAED3PP93BH]</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35 </w:t>
      </w:r>
      <w:r w:rsidRPr="006B1665">
        <w:rPr>
          <w:rFonts w:ascii="Book Antiqua" w:eastAsia="SimSun" w:hAnsi="Book Antiqua" w:cs="SimSun"/>
          <w:b/>
          <w:bCs/>
          <w:bdr w:val="none" w:sz="0" w:space="0" w:color="auto"/>
          <w:lang w:val="en-US" w:eastAsia="zh-CN"/>
        </w:rPr>
        <w:t>Schulze K</w:t>
      </w:r>
      <w:r w:rsidRPr="006B1665">
        <w:rPr>
          <w:rFonts w:ascii="Book Antiqua" w:eastAsia="SimSun" w:hAnsi="Book Antiqua" w:cs="SimSun"/>
          <w:bdr w:val="none" w:sz="0" w:space="0" w:color="auto"/>
          <w:lang w:val="en-US" w:eastAsia="zh-CN"/>
        </w:rPr>
        <w:t>,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sidRPr="006B1665">
        <w:rPr>
          <w:rFonts w:ascii="Book Antiqua" w:eastAsia="SimSun" w:hAnsi="Book Antiqua" w:cs="SimSun"/>
          <w:i/>
          <w:iCs/>
          <w:bdr w:val="none" w:sz="0" w:space="0" w:color="auto"/>
          <w:lang w:val="en-US" w:eastAsia="zh-CN"/>
        </w:rPr>
        <w:t>Nat Genet</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47</w:t>
      </w:r>
      <w:r w:rsidRPr="006B1665">
        <w:rPr>
          <w:rFonts w:ascii="Book Antiqua" w:eastAsia="SimSun" w:hAnsi="Book Antiqua" w:cs="SimSun"/>
          <w:bdr w:val="none" w:sz="0" w:space="0" w:color="auto"/>
          <w:lang w:val="en-US" w:eastAsia="zh-CN"/>
        </w:rPr>
        <w:t>: 505-511 [PMID: 25822088 DOI: 10.1038/ng.3252]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36 </w:t>
      </w:r>
      <w:r w:rsidRPr="006B1665">
        <w:rPr>
          <w:rFonts w:ascii="Book Antiqua" w:eastAsia="SimSun" w:hAnsi="Book Antiqua" w:cs="SimSun"/>
          <w:b/>
          <w:bCs/>
          <w:bdr w:val="none" w:sz="0" w:space="0" w:color="auto"/>
          <w:lang w:val="en-US" w:eastAsia="zh-CN"/>
        </w:rPr>
        <w:t>Zhu AX</w:t>
      </w:r>
      <w:r w:rsidRPr="006B1665">
        <w:rPr>
          <w:rFonts w:ascii="Book Antiqua" w:eastAsia="SimSun" w:hAnsi="Book Antiqua" w:cs="SimSun"/>
          <w:bdr w:val="none" w:sz="0" w:space="0" w:color="auto"/>
          <w:lang w:val="en-US" w:eastAsia="zh-CN"/>
        </w:rPr>
        <w:t>,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6B1665">
        <w:rPr>
          <w:rFonts w:ascii="Book Antiqua" w:eastAsia="SimSun" w:hAnsi="Book Antiqua" w:cs="SimSun"/>
          <w:i/>
          <w:iCs/>
          <w:bdr w:val="none" w:sz="0" w:space="0" w:color="auto"/>
          <w:lang w:val="en-US" w:eastAsia="zh-CN"/>
        </w:rPr>
        <w:t>J Clin Oncol</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33</w:t>
      </w:r>
      <w:r w:rsidRPr="006B1665">
        <w:rPr>
          <w:rFonts w:ascii="Book Antiqua" w:eastAsia="SimSun" w:hAnsi="Book Antiqua" w:cs="SimSun"/>
          <w:bdr w:val="none" w:sz="0" w:space="0" w:color="auto"/>
          <w:lang w:val="en-US" w:eastAsia="zh-CN"/>
        </w:rPr>
        <w:t>: 559-566 [PMID: 25547503 DOI: 10.1200/JCO.2013.53.7746]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37 </w:t>
      </w:r>
      <w:r w:rsidRPr="006B1665">
        <w:rPr>
          <w:rFonts w:ascii="Book Antiqua" w:eastAsia="SimSun" w:hAnsi="Book Antiqua" w:cs="SimSun"/>
          <w:b/>
          <w:bCs/>
          <w:bdr w:val="none" w:sz="0" w:space="0" w:color="auto"/>
          <w:lang w:val="en-US" w:eastAsia="zh-CN"/>
        </w:rPr>
        <w:t>Abou-Alfa GK</w:t>
      </w:r>
      <w:r w:rsidRPr="006B1665">
        <w:rPr>
          <w:rFonts w:ascii="Book Antiqua" w:eastAsia="SimSun" w:hAnsi="Book Antiqua" w:cs="SimSun"/>
          <w:bdr w:val="none" w:sz="0" w:space="0" w:color="auto"/>
          <w:lang w:val="en-US" w:eastAsia="zh-CN"/>
        </w:rPr>
        <w:t>, Johnson P, Knox JJ, Capanu M, Davidenko I, Lacava J, Leung T, Gansukh B, Saltz LB. Doxorubicin plus sorafenib vs doxorubicin alone in patients with advanced hepatocellular carcinoma: a randomized trial. </w:t>
      </w:r>
      <w:r w:rsidRPr="006B1665">
        <w:rPr>
          <w:rFonts w:ascii="Book Antiqua" w:eastAsia="SimSun" w:hAnsi="Book Antiqua" w:cs="SimSun"/>
          <w:i/>
          <w:iCs/>
          <w:bdr w:val="none" w:sz="0" w:space="0" w:color="auto"/>
          <w:lang w:val="en-US" w:eastAsia="zh-CN"/>
        </w:rPr>
        <w:t>JAMA</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304</w:t>
      </w:r>
      <w:r w:rsidRPr="006B1665">
        <w:rPr>
          <w:rFonts w:ascii="Book Antiqua" w:eastAsia="SimSun" w:hAnsi="Book Antiqua" w:cs="SimSun"/>
          <w:bdr w:val="none" w:sz="0" w:space="0" w:color="auto"/>
          <w:lang w:val="en-US" w:eastAsia="zh-CN"/>
        </w:rPr>
        <w:t>: 2154-2160 [PMID: 21081728 DOI: 10.1001/jama.2010.1672]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38</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
          <w:bdr w:val="none" w:sz="0" w:space="0" w:color="auto"/>
          <w:lang w:val="en-US" w:eastAsia="zh-CN"/>
        </w:rPr>
        <w:t>Abou-Alfa GK</w:t>
      </w:r>
      <w:r w:rsidRPr="006B1665">
        <w:rPr>
          <w:rFonts w:ascii="Book Antiqua" w:eastAsia="SimSun" w:hAnsi="Book Antiqua" w:cs="SimSun"/>
          <w:bdr w:val="none" w:sz="0" w:space="0" w:color="auto"/>
          <w:lang w:val="en-US" w:eastAsia="zh-CN"/>
        </w:rPr>
        <w:t xml:space="preserve">, Niedzwieski D, Knox JJ, Kaubisch A, Posey J, Tan BR, Kavan P, Goel R, Murray JJ, Bekaii-Saab TS, Tam VC, Rajdev L, Kelley RK, Siegel A, Balletti J, Harding JJ, Schwartz LH, Goldberg RM, Bertagnolli MM, Venook AP. Phase III randomized study of sorafenib plus doxorubicin versus sorafenib in patients with advanced hepatocellular carcinoma (HCC): CALGB 80802 (Alliance). </w:t>
      </w:r>
      <w:r w:rsidRPr="006B1665">
        <w:rPr>
          <w:rFonts w:ascii="Book Antiqua" w:eastAsia="SimSun" w:hAnsi="Book Antiqua" w:cs="SimSun"/>
          <w:i/>
          <w:bdr w:val="none" w:sz="0" w:space="0" w:color="auto"/>
          <w:lang w:val="en-US" w:eastAsia="zh-CN"/>
        </w:rPr>
        <w:t>J</w:t>
      </w:r>
      <w:r w:rsidRPr="006B1665">
        <w:rPr>
          <w:rFonts w:ascii="Book Antiqua" w:eastAsia="SimSun" w:hAnsi="Book Antiqua" w:cs="SimSun" w:hint="eastAsia"/>
          <w:i/>
          <w:bdr w:val="none" w:sz="0" w:space="0" w:color="auto"/>
          <w:lang w:val="en-US" w:eastAsia="zh-CN"/>
        </w:rPr>
        <w:t xml:space="preserve"> </w:t>
      </w:r>
      <w:r w:rsidRPr="006B1665">
        <w:rPr>
          <w:rFonts w:ascii="Book Antiqua" w:eastAsia="SimSun" w:hAnsi="Book Antiqua" w:cs="SimSun"/>
          <w:i/>
          <w:bdr w:val="none" w:sz="0" w:space="0" w:color="auto"/>
          <w:lang w:val="en-US" w:eastAsia="zh-CN"/>
        </w:rPr>
        <w:t>Clin</w:t>
      </w:r>
      <w:r w:rsidRPr="006B1665">
        <w:rPr>
          <w:rFonts w:ascii="Book Antiqua" w:eastAsia="SimSun" w:hAnsi="Book Antiqua" w:cs="SimSun" w:hint="eastAsia"/>
          <w:i/>
          <w:bdr w:val="none" w:sz="0" w:space="0" w:color="auto"/>
          <w:lang w:val="en-US" w:eastAsia="zh-CN"/>
        </w:rPr>
        <w:t xml:space="preserve"> </w:t>
      </w:r>
      <w:r w:rsidRPr="006B1665">
        <w:rPr>
          <w:rFonts w:ascii="Book Antiqua" w:eastAsia="SimSun" w:hAnsi="Book Antiqua" w:cs="SimSun"/>
          <w:i/>
          <w:bdr w:val="none" w:sz="0" w:space="0" w:color="auto"/>
          <w:lang w:val="en-US" w:eastAsia="zh-CN"/>
        </w:rPr>
        <w:t>Oncol</w:t>
      </w:r>
      <w:r w:rsidRPr="006B1665">
        <w:rPr>
          <w:rFonts w:ascii="Book Antiqua" w:eastAsia="SimSun" w:hAnsi="Book Antiqua" w:cs="SimSun" w:hint="eastAsia"/>
          <w:i/>
          <w:bdr w:val="none" w:sz="0" w:space="0" w:color="auto"/>
          <w:lang w:val="en-US" w:eastAsia="zh-CN"/>
        </w:rPr>
        <w:t xml:space="preserve"> </w:t>
      </w:r>
      <w:r w:rsidRPr="006B1665">
        <w:rPr>
          <w:rFonts w:ascii="Book Antiqua" w:eastAsia="SimSun" w:hAnsi="Book Antiqua" w:cs="SimSun"/>
          <w:bdr w:val="none" w:sz="0" w:space="0" w:color="auto"/>
          <w:lang w:val="en-US" w:eastAsia="zh-CN"/>
        </w:rPr>
        <w:t xml:space="preserve">2016; </w:t>
      </w:r>
      <w:r w:rsidRPr="006B1665">
        <w:rPr>
          <w:rFonts w:ascii="Book Antiqua" w:eastAsia="SimSun" w:hAnsi="Book Antiqua" w:cs="SimSun"/>
          <w:b/>
          <w:bdr w:val="none" w:sz="0" w:space="0" w:color="auto"/>
          <w:lang w:val="en-US" w:eastAsia="zh-CN"/>
        </w:rPr>
        <w:t>34</w:t>
      </w:r>
      <w:r>
        <w:rPr>
          <w:rFonts w:ascii="Book Antiqua" w:eastAsia="SimSun" w:hAnsi="Book Antiqua" w:cs="SimSun" w:hint="eastAsia"/>
          <w:bdr w:val="none" w:sz="0" w:space="0" w:color="auto"/>
          <w:lang w:val="en-US" w:eastAsia="zh-CN"/>
        </w:rPr>
        <w:t>: 192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39</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
          <w:bdr w:val="none" w:sz="0" w:space="0" w:color="auto"/>
          <w:lang w:val="en-US" w:eastAsia="zh-CN"/>
        </w:rPr>
        <w:t>Assenat E</w:t>
      </w:r>
      <w:r w:rsidRPr="006B1665">
        <w:rPr>
          <w:rFonts w:ascii="Book Antiqua" w:eastAsia="SimSun" w:hAnsi="Book Antiqua" w:cs="SimSun"/>
          <w:bdr w:val="none" w:sz="0" w:space="0" w:color="auto"/>
          <w:lang w:val="en-US" w:eastAsia="zh-CN"/>
        </w:rPr>
        <w:t xml:space="preserve">, Boige V, Thézenas S, Pageaux GP, Peron JM, Becouarn Y, Dahan L, Merle P, Blanc J, Bouche O, Ramdani M, Mazard T, Bleuse JP, Ychou M. Sorafenib (S) alone versus S combined with gemcitabine and oxaliplatin (GEMOX) in first-line treatment of advanced hepatocellular carcinoma (HCC): Final analysis of the randomized phase II GONEXT trial (UNICANCER/FFCD PRODIGE 10 trial). </w:t>
      </w:r>
      <w:r w:rsidRPr="006B1665">
        <w:rPr>
          <w:rFonts w:ascii="Book Antiqua" w:eastAsia="SimSun" w:hAnsi="Book Antiqua" w:cs="SimSun"/>
          <w:i/>
          <w:bdr w:val="none" w:sz="0" w:space="0" w:color="auto"/>
          <w:lang w:val="en-US" w:eastAsia="zh-CN"/>
        </w:rPr>
        <w:t>J</w:t>
      </w:r>
      <w:r w:rsidRPr="006B1665">
        <w:rPr>
          <w:rFonts w:ascii="Book Antiqua" w:eastAsia="SimSun" w:hAnsi="Book Antiqua" w:cs="SimSun" w:hint="eastAsia"/>
          <w:i/>
          <w:bdr w:val="none" w:sz="0" w:space="0" w:color="auto"/>
          <w:lang w:val="en-US" w:eastAsia="zh-CN"/>
        </w:rPr>
        <w:t xml:space="preserve"> </w:t>
      </w:r>
      <w:r w:rsidRPr="006B1665">
        <w:rPr>
          <w:rFonts w:ascii="Book Antiqua" w:eastAsia="SimSun" w:hAnsi="Book Antiqua" w:cs="SimSun"/>
          <w:i/>
          <w:bdr w:val="none" w:sz="0" w:space="0" w:color="auto"/>
          <w:lang w:val="en-US" w:eastAsia="zh-CN"/>
        </w:rPr>
        <w:t>Clin</w:t>
      </w:r>
      <w:r w:rsidRPr="006B1665">
        <w:rPr>
          <w:rFonts w:ascii="Book Antiqua" w:eastAsia="SimSun" w:hAnsi="Book Antiqua" w:cs="SimSun" w:hint="eastAsia"/>
          <w:i/>
          <w:bdr w:val="none" w:sz="0" w:space="0" w:color="auto"/>
          <w:lang w:val="en-US" w:eastAsia="zh-CN"/>
        </w:rPr>
        <w:t xml:space="preserve"> </w:t>
      </w:r>
      <w:r w:rsidRPr="006B1665">
        <w:rPr>
          <w:rFonts w:ascii="Book Antiqua" w:eastAsia="SimSun" w:hAnsi="Book Antiqua" w:cs="SimSun"/>
          <w:i/>
          <w:bdr w:val="none" w:sz="0" w:space="0" w:color="auto"/>
          <w:lang w:val="en-US" w:eastAsia="zh-CN"/>
        </w:rPr>
        <w:t>Oncol</w:t>
      </w:r>
      <w:r w:rsidRPr="006B1665">
        <w:rPr>
          <w:rFonts w:ascii="Book Antiqua" w:eastAsia="SimSun" w:hAnsi="Book Antiqua" w:cs="SimSun" w:hint="eastAsia"/>
          <w:i/>
          <w:bdr w:val="none" w:sz="0" w:space="0" w:color="auto"/>
          <w:lang w:val="en-US" w:eastAsia="zh-CN"/>
        </w:rPr>
        <w:t xml:space="preserve"> </w:t>
      </w:r>
      <w:r>
        <w:rPr>
          <w:rFonts w:ascii="Book Antiqua" w:eastAsia="SimSun" w:hAnsi="Book Antiqua" w:cs="SimSun"/>
          <w:bdr w:val="none" w:sz="0" w:space="0" w:color="auto"/>
          <w:lang w:val="en-US" w:eastAsia="zh-CN"/>
        </w:rPr>
        <w:t>2013; Abstr 4028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40 </w:t>
      </w:r>
      <w:r w:rsidRPr="006B1665">
        <w:rPr>
          <w:rFonts w:ascii="Book Antiqua" w:eastAsia="SimSun" w:hAnsi="Book Antiqua" w:cs="SimSun"/>
          <w:b/>
          <w:bCs/>
          <w:bdr w:val="none" w:sz="0" w:space="0" w:color="auto"/>
          <w:lang w:val="en-US" w:eastAsia="zh-CN"/>
        </w:rPr>
        <w:t>Qin S</w:t>
      </w:r>
      <w:r w:rsidRPr="006B1665">
        <w:rPr>
          <w:rFonts w:ascii="Book Antiqua" w:eastAsia="SimSun" w:hAnsi="Book Antiqua" w:cs="SimSun"/>
          <w:bdr w:val="none" w:sz="0" w:space="0" w:color="auto"/>
          <w:lang w:val="en-US" w:eastAsia="zh-CN"/>
        </w:rPr>
        <w:t xml:space="preserve">, Bai Y, Lim HY, Thongprasert S, Chao Y, Fan J, Yang TS, Bhudhisawasdi V, Kang WK, Zhou Y, Lee JH, Sun Y. Randomized, multicenter, open-label study of oxaliplatin plus </w:t>
      </w:r>
      <w:r w:rsidRPr="006B1665">
        <w:rPr>
          <w:rFonts w:ascii="Book Antiqua" w:eastAsia="SimSun" w:hAnsi="Book Antiqua" w:cs="SimSun"/>
          <w:bdr w:val="none" w:sz="0" w:space="0" w:color="auto"/>
          <w:lang w:val="en-US" w:eastAsia="zh-CN"/>
        </w:rPr>
        <w:lastRenderedPageBreak/>
        <w:t>fluorouracil/leucovorin versus doxorubicin as palliative chemotherapy in patients with advanced hepatocellular carcinoma from Asia. </w:t>
      </w:r>
      <w:r w:rsidRPr="006B1665">
        <w:rPr>
          <w:rFonts w:ascii="Book Antiqua" w:eastAsia="SimSun" w:hAnsi="Book Antiqua" w:cs="SimSun"/>
          <w:i/>
          <w:iCs/>
          <w:bdr w:val="none" w:sz="0" w:space="0" w:color="auto"/>
          <w:lang w:val="en-US" w:eastAsia="zh-CN"/>
        </w:rPr>
        <w:t>J Clin Oncol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31</w:t>
      </w:r>
      <w:r w:rsidRPr="006B1665">
        <w:rPr>
          <w:rFonts w:ascii="Book Antiqua" w:eastAsia="SimSun" w:hAnsi="Book Antiqua" w:cs="SimSun"/>
          <w:bdr w:val="none" w:sz="0" w:space="0" w:color="auto"/>
          <w:lang w:val="en-US" w:eastAsia="zh-CN"/>
        </w:rPr>
        <w:t>: 3501-3508 [PMID: 23980077 DOI: 10.1200/JCO.2012.44.5643]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41 </w:t>
      </w:r>
      <w:r w:rsidRPr="006B1665">
        <w:rPr>
          <w:rFonts w:ascii="Book Antiqua" w:eastAsia="SimSun" w:hAnsi="Book Antiqua" w:cs="SimSun"/>
          <w:b/>
          <w:bCs/>
          <w:bdr w:val="none" w:sz="0" w:space="0" w:color="auto"/>
          <w:lang w:val="en-US" w:eastAsia="zh-CN"/>
        </w:rPr>
        <w:t>Petrelli F</w:t>
      </w:r>
      <w:r w:rsidRPr="006B1665">
        <w:rPr>
          <w:rFonts w:ascii="Book Antiqua" w:eastAsia="SimSun" w:hAnsi="Book Antiqua" w:cs="SimSun"/>
          <w:bdr w:val="none" w:sz="0" w:space="0" w:color="auto"/>
          <w:lang w:val="en-US" w:eastAsia="zh-CN"/>
        </w:rPr>
        <w:t>, Coinu A, Borgonovo K, Cabiddu M, Ghilardi M, Lonati V, Barni S. Oxaliplatin-based chemotherapy: a new option in advanced hepatocellular carcinoma. a systematic review and pooled analysis. </w:t>
      </w:r>
      <w:r w:rsidRPr="006B1665">
        <w:rPr>
          <w:rFonts w:ascii="Book Antiqua" w:eastAsia="SimSun" w:hAnsi="Book Antiqua" w:cs="SimSun"/>
          <w:i/>
          <w:iCs/>
          <w:bdr w:val="none" w:sz="0" w:space="0" w:color="auto"/>
          <w:lang w:val="en-US" w:eastAsia="zh-CN"/>
        </w:rPr>
        <w:t>Clin Oncol (R Coll Radiol)</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26</w:t>
      </w:r>
      <w:r w:rsidRPr="006B1665">
        <w:rPr>
          <w:rFonts w:ascii="Book Antiqua" w:eastAsia="SimSun" w:hAnsi="Book Antiqua" w:cs="SimSun"/>
          <w:bdr w:val="none" w:sz="0" w:space="0" w:color="auto"/>
          <w:lang w:val="en-US" w:eastAsia="zh-CN"/>
        </w:rPr>
        <w:t>: 488-496 [PMID: 24856442 DOI: 10.1016/j.clon.2014.04.031]</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42 </w:t>
      </w:r>
      <w:r w:rsidRPr="006B1665">
        <w:rPr>
          <w:rFonts w:ascii="Book Antiqua" w:eastAsia="SimSun" w:hAnsi="Book Antiqua" w:cs="SimSun"/>
          <w:b/>
          <w:bCs/>
          <w:bdr w:val="none" w:sz="0" w:space="0" w:color="auto"/>
          <w:lang w:val="en-US" w:eastAsia="zh-CN"/>
        </w:rPr>
        <w:t>Llovet JM</w:t>
      </w:r>
      <w:r w:rsidRPr="006B1665">
        <w:rPr>
          <w:rFonts w:ascii="Book Antiqua" w:eastAsia="SimSun" w:hAnsi="Book Antiqua" w:cs="SimSun"/>
          <w:bdr w:val="none" w:sz="0" w:space="0" w:color="auto"/>
          <w:lang w:val="en-US" w:eastAsia="zh-CN"/>
        </w:rPr>
        <w:t>,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6B1665">
        <w:rPr>
          <w:rFonts w:ascii="Book Antiqua" w:eastAsia="SimSun" w:hAnsi="Book Antiqua" w:cs="SimSun"/>
          <w:i/>
          <w:iCs/>
          <w:bdr w:val="none" w:sz="0" w:space="0" w:color="auto"/>
          <w:lang w:val="en-US" w:eastAsia="zh-CN"/>
        </w:rPr>
        <w:t>J Clin Oncol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31</w:t>
      </w:r>
      <w:r w:rsidRPr="006B1665">
        <w:rPr>
          <w:rFonts w:ascii="Book Antiqua" w:eastAsia="SimSun" w:hAnsi="Book Antiqua" w:cs="SimSun"/>
          <w:bdr w:val="none" w:sz="0" w:space="0" w:color="auto"/>
          <w:lang w:val="en-US" w:eastAsia="zh-CN"/>
        </w:rPr>
        <w:t>: 3509-3516 [PMID: 23980090 DOI: 10.1200/JCO.2012.47.3009]</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43 </w:t>
      </w:r>
      <w:r w:rsidRPr="006B1665">
        <w:rPr>
          <w:rFonts w:ascii="Book Antiqua" w:eastAsia="SimSun" w:hAnsi="Book Antiqua" w:cs="SimSun"/>
          <w:b/>
          <w:bCs/>
          <w:bdr w:val="none" w:sz="0" w:space="0" w:color="auto"/>
          <w:lang w:val="en-US" w:eastAsia="zh-CN"/>
        </w:rPr>
        <w:t>Hollebecque A</w:t>
      </w:r>
      <w:r w:rsidRPr="006B1665">
        <w:rPr>
          <w:rFonts w:ascii="Book Antiqua" w:eastAsia="SimSun" w:hAnsi="Book Antiqua" w:cs="SimSun"/>
          <w:bdr w:val="none" w:sz="0" w:space="0" w:color="auto"/>
          <w:lang w:val="en-US" w:eastAsia="zh-CN"/>
        </w:rPr>
        <w:t>, Malka D, Ferté C, Ducreux M, Boige V. Systemic treatment of advanced hepatocellular carcinoma: from disillusions to new horizons. </w:t>
      </w:r>
      <w:r w:rsidRPr="006B1665">
        <w:rPr>
          <w:rFonts w:ascii="Book Antiqua" w:eastAsia="SimSun" w:hAnsi="Book Antiqua" w:cs="SimSun"/>
          <w:i/>
          <w:iCs/>
          <w:bdr w:val="none" w:sz="0" w:space="0" w:color="auto"/>
          <w:lang w:val="en-US" w:eastAsia="zh-CN"/>
        </w:rPr>
        <w:t>Eur J Cancer</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51</w:t>
      </w:r>
      <w:r w:rsidRPr="006B1665">
        <w:rPr>
          <w:rFonts w:ascii="Book Antiqua" w:eastAsia="SimSun" w:hAnsi="Book Antiqua" w:cs="SimSun"/>
          <w:bdr w:val="none" w:sz="0" w:space="0" w:color="auto"/>
          <w:lang w:val="en-US" w:eastAsia="zh-CN"/>
        </w:rPr>
        <w:t>: 327-339 [PMID: 25559615 DOI: 10.1016/j.ejca.2014.12.005]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44 </w:t>
      </w:r>
      <w:r w:rsidRPr="006B1665">
        <w:rPr>
          <w:rFonts w:ascii="Book Antiqua" w:eastAsia="SimSun" w:hAnsi="Book Antiqua" w:cs="SimSun"/>
          <w:b/>
          <w:bCs/>
          <w:bdr w:val="none" w:sz="0" w:space="0" w:color="auto"/>
          <w:lang w:val="en-US" w:eastAsia="zh-CN"/>
        </w:rPr>
        <w:t>Zhu AX</w:t>
      </w:r>
      <w:r w:rsidRPr="006B1665">
        <w:rPr>
          <w:rFonts w:ascii="Book Antiqua" w:eastAsia="SimSun" w:hAnsi="Book Antiqua" w:cs="SimSun"/>
          <w:bdr w:val="none" w:sz="0" w:space="0" w:color="auto"/>
          <w:lang w:val="en-US" w:eastAsia="zh-CN"/>
        </w:rPr>
        <w:t>, Park JO, Ryoo BY, Yen CJ, Poon R, Pastorelli D, Blanc JF, Chung HC, Baron AD, Pfiffer TE, Okusaka T, Kubackova K, Trojan J, Sastre J, Chau I, Chang SC, Abada PB, Yang L, Schwartz JD, Kudo M. Ramucirumab versus placebo as second-line treatment in patients with advanced hepatocellular carcinoma following first-line therapy with sorafenib (REACH): a randomised, double-blind, multicentre, phase 3 trial. </w:t>
      </w:r>
      <w:r w:rsidRPr="006B1665">
        <w:rPr>
          <w:rFonts w:ascii="Book Antiqua" w:eastAsia="SimSun" w:hAnsi="Book Antiqua" w:cs="SimSun"/>
          <w:i/>
          <w:iCs/>
          <w:bdr w:val="none" w:sz="0" w:space="0" w:color="auto"/>
          <w:lang w:val="en-US" w:eastAsia="zh-CN"/>
        </w:rPr>
        <w:t>Lancet Oncol</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16</w:t>
      </w:r>
      <w:r w:rsidRPr="006B1665">
        <w:rPr>
          <w:rFonts w:ascii="Book Antiqua" w:eastAsia="SimSun" w:hAnsi="Book Antiqua" w:cs="SimSun"/>
          <w:bdr w:val="none" w:sz="0" w:space="0" w:color="auto"/>
          <w:lang w:val="en-US" w:eastAsia="zh-CN"/>
        </w:rPr>
        <w:t>: 859-870 [PMID: 26095784 DOI: 10.1016/S1470-2045(15)00050-9]</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45 </w:t>
      </w:r>
      <w:r w:rsidRPr="006B1665">
        <w:rPr>
          <w:rFonts w:ascii="Book Antiqua" w:eastAsia="SimSun" w:hAnsi="Book Antiqua" w:cs="SimSun"/>
          <w:b/>
          <w:bCs/>
          <w:bdr w:val="none" w:sz="0" w:space="0" w:color="auto"/>
          <w:lang w:val="en-US" w:eastAsia="zh-CN"/>
        </w:rPr>
        <w:t>Zhu AX</w:t>
      </w:r>
      <w:r w:rsidRPr="006B1665">
        <w:rPr>
          <w:rFonts w:ascii="Book Antiqua" w:eastAsia="SimSun" w:hAnsi="Book Antiqua" w:cs="SimSun"/>
          <w:bdr w:val="none" w:sz="0" w:space="0" w:color="auto"/>
          <w:lang w:val="en-US" w:eastAsia="zh-CN"/>
        </w:rPr>
        <w:t>,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6B1665">
        <w:rPr>
          <w:rFonts w:ascii="Book Antiqua" w:eastAsia="SimSun" w:hAnsi="Book Antiqua" w:cs="SimSun"/>
          <w:i/>
          <w:iCs/>
          <w:bdr w:val="none" w:sz="0" w:space="0" w:color="auto"/>
          <w:lang w:val="en-US" w:eastAsia="zh-CN"/>
        </w:rPr>
        <w:t>JAMA</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312</w:t>
      </w:r>
      <w:r w:rsidRPr="006B1665">
        <w:rPr>
          <w:rFonts w:ascii="Book Antiqua" w:eastAsia="SimSun" w:hAnsi="Book Antiqua" w:cs="SimSun"/>
          <w:bdr w:val="none" w:sz="0" w:space="0" w:color="auto"/>
          <w:lang w:val="en-US" w:eastAsia="zh-CN"/>
        </w:rPr>
        <w:t>: 57-67 [PMID: 25058218 DOI: 10.1001/jama.2014.7189]</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46 </w:t>
      </w:r>
      <w:r w:rsidRPr="006B1665">
        <w:rPr>
          <w:rFonts w:ascii="Book Antiqua" w:eastAsia="SimSun" w:hAnsi="Book Antiqua" w:cs="SimSun"/>
          <w:b/>
          <w:bCs/>
          <w:bdr w:val="none" w:sz="0" w:space="0" w:color="auto"/>
          <w:lang w:val="en-US" w:eastAsia="zh-CN"/>
        </w:rPr>
        <w:t>Kudo M</w:t>
      </w:r>
      <w:r w:rsidRPr="006B1665">
        <w:rPr>
          <w:rFonts w:ascii="Book Antiqua" w:eastAsia="SimSun" w:hAnsi="Book Antiqua" w:cs="SimSun"/>
          <w:bdr w:val="none" w:sz="0" w:space="0" w:color="auto"/>
          <w:lang w:val="en-US" w:eastAsia="zh-CN"/>
        </w:rPr>
        <w:t>. Immune Checkpoint Blockade in Hepatocellular Carcinoma. </w:t>
      </w:r>
      <w:r w:rsidRPr="006B1665">
        <w:rPr>
          <w:rFonts w:ascii="Book Antiqua" w:eastAsia="SimSun" w:hAnsi="Book Antiqua" w:cs="SimSun"/>
          <w:i/>
          <w:iCs/>
          <w:bdr w:val="none" w:sz="0" w:space="0" w:color="auto"/>
          <w:lang w:val="en-US" w:eastAsia="zh-CN"/>
        </w:rPr>
        <w:t>Liver Cancer</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4</w:t>
      </w:r>
      <w:r w:rsidRPr="006B1665">
        <w:rPr>
          <w:rFonts w:ascii="Book Antiqua" w:eastAsia="SimSun" w:hAnsi="Book Antiqua" w:cs="SimSun"/>
          <w:bdr w:val="none" w:sz="0" w:space="0" w:color="auto"/>
          <w:lang w:val="en-US" w:eastAsia="zh-CN"/>
        </w:rPr>
        <w:t>: 201-207 [PMID: 26732472 DOI: 10.1159/000367758]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47</w:t>
      </w:r>
      <w:r w:rsidR="001E4BBC">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
          <w:bdr w:val="none" w:sz="0" w:space="0" w:color="auto"/>
          <w:lang w:val="en-US" w:eastAsia="zh-CN"/>
        </w:rPr>
        <w:t>El-Khouery AB</w:t>
      </w:r>
      <w:r w:rsidRPr="006B1665">
        <w:rPr>
          <w:rFonts w:ascii="Book Antiqua" w:eastAsia="SimSun" w:hAnsi="Book Antiqua" w:cs="SimSun"/>
          <w:bdr w:val="none" w:sz="0" w:space="0" w:color="auto"/>
          <w:lang w:val="en-US" w:eastAsia="zh-CN"/>
        </w:rPr>
        <w:t xml:space="preserve">, Melero I, Crocenzi TS, Welling TH, Yoau T, TYeo W, Chopra A, Grosso JF, Lang L, Anderson J, Dela Cruz C, Sangro B. Phase I/II safety and antitumor </w:t>
      </w:r>
      <w:r w:rsidRPr="006B1665">
        <w:rPr>
          <w:rFonts w:ascii="Book Antiqua" w:eastAsia="SimSun" w:hAnsi="Book Antiqua" w:cs="SimSun"/>
          <w:bdr w:val="none" w:sz="0" w:space="0" w:color="auto"/>
          <w:lang w:val="en-US" w:eastAsia="zh-CN"/>
        </w:rPr>
        <w:lastRenderedPageBreak/>
        <w:t>activity of nivolumab in patients with advanced hepatocellular carcinoma (HCC).</w:t>
      </w:r>
      <w:r w:rsidRPr="006B1665">
        <w:rPr>
          <w:rFonts w:ascii="Book Antiqua" w:eastAsia="SimSun" w:hAnsi="Book Antiqua" w:cs="SimSun"/>
          <w:i/>
          <w:bdr w:val="none" w:sz="0" w:space="0" w:color="auto"/>
          <w:lang w:val="en-US" w:eastAsia="zh-CN"/>
        </w:rPr>
        <w:t xml:space="preserve"> J</w:t>
      </w:r>
      <w:r w:rsidR="001E4BBC" w:rsidRPr="001E4BBC">
        <w:rPr>
          <w:rFonts w:ascii="Book Antiqua" w:eastAsia="SimSun" w:hAnsi="Book Antiqua" w:cs="SimSun" w:hint="eastAsia"/>
          <w:i/>
          <w:bdr w:val="none" w:sz="0" w:space="0" w:color="auto"/>
          <w:lang w:val="en-US" w:eastAsia="zh-CN"/>
        </w:rPr>
        <w:t xml:space="preserve"> </w:t>
      </w:r>
      <w:r w:rsidRPr="006B1665">
        <w:rPr>
          <w:rFonts w:ascii="Book Antiqua" w:eastAsia="SimSun" w:hAnsi="Book Antiqua" w:cs="SimSun"/>
          <w:i/>
          <w:bdr w:val="none" w:sz="0" w:space="0" w:color="auto"/>
          <w:lang w:val="en-US" w:eastAsia="zh-CN"/>
        </w:rPr>
        <w:t>Clin</w:t>
      </w:r>
      <w:r w:rsidR="001E4BBC" w:rsidRPr="001E4BBC">
        <w:rPr>
          <w:rFonts w:ascii="Book Antiqua" w:eastAsia="SimSun" w:hAnsi="Book Antiqua" w:cs="SimSun" w:hint="eastAsia"/>
          <w:i/>
          <w:bdr w:val="none" w:sz="0" w:space="0" w:color="auto"/>
          <w:lang w:val="en-US" w:eastAsia="zh-CN"/>
        </w:rPr>
        <w:t xml:space="preserve"> </w:t>
      </w:r>
      <w:r w:rsidRPr="006B1665">
        <w:rPr>
          <w:rFonts w:ascii="Book Antiqua" w:eastAsia="SimSun" w:hAnsi="Book Antiqua" w:cs="SimSun"/>
          <w:i/>
          <w:bdr w:val="none" w:sz="0" w:space="0" w:color="auto"/>
          <w:lang w:val="en-US" w:eastAsia="zh-CN"/>
        </w:rPr>
        <w:t>Oncol</w:t>
      </w:r>
      <w:r w:rsidR="001E4BBC">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dr w:val="none" w:sz="0" w:space="0" w:color="auto"/>
          <w:lang w:val="en-US" w:eastAsia="zh-CN"/>
        </w:rPr>
        <w:t xml:space="preserve">2015; </w:t>
      </w:r>
      <w:r w:rsidRPr="006B1665">
        <w:rPr>
          <w:rFonts w:ascii="Book Antiqua" w:eastAsia="SimSun" w:hAnsi="Book Antiqua" w:cs="SimSun"/>
          <w:b/>
          <w:bdr w:val="none" w:sz="0" w:space="0" w:color="auto"/>
          <w:lang w:val="en-US" w:eastAsia="zh-CN"/>
        </w:rPr>
        <w:t>33</w:t>
      </w:r>
      <w:r w:rsidR="001E4BBC">
        <w:rPr>
          <w:rFonts w:ascii="Book Antiqua" w:eastAsia="SimSun" w:hAnsi="Book Antiqua" w:cs="SimSun"/>
          <w:bdr w:val="none" w:sz="0" w:space="0" w:color="auto"/>
          <w:lang w:val="en-US" w:eastAsia="zh-CN"/>
        </w:rPr>
        <w:t>: LBA101</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48 </w:t>
      </w:r>
      <w:r w:rsidRPr="006B1665">
        <w:rPr>
          <w:rFonts w:ascii="Book Antiqua" w:eastAsia="SimSun" w:hAnsi="Book Antiqua" w:cs="SimSun"/>
          <w:b/>
          <w:bCs/>
          <w:bdr w:val="none" w:sz="0" w:space="0" w:color="auto"/>
          <w:lang w:val="en-US" w:eastAsia="zh-CN"/>
        </w:rPr>
        <w:t>Abdel-Rahman O</w:t>
      </w:r>
      <w:r w:rsidRPr="006B1665">
        <w:rPr>
          <w:rFonts w:ascii="Book Antiqua" w:eastAsia="SimSun" w:hAnsi="Book Antiqua" w:cs="SimSun"/>
          <w:bdr w:val="none" w:sz="0" w:space="0" w:color="auto"/>
          <w:lang w:val="en-US" w:eastAsia="zh-CN"/>
        </w:rPr>
        <w:t>, Fouad M. Sorafenib-based combination as a first line treatment for advanced hepatocellular carcinoma: a systematic review of the literature. </w:t>
      </w:r>
      <w:r w:rsidRPr="006B1665">
        <w:rPr>
          <w:rFonts w:ascii="Book Antiqua" w:eastAsia="SimSun" w:hAnsi="Book Antiqua" w:cs="SimSun"/>
          <w:i/>
          <w:iCs/>
          <w:bdr w:val="none" w:sz="0" w:space="0" w:color="auto"/>
          <w:lang w:val="en-US" w:eastAsia="zh-CN"/>
        </w:rPr>
        <w:t>Crit Rev Oncol Hematol</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91</w:t>
      </w:r>
      <w:r w:rsidRPr="006B1665">
        <w:rPr>
          <w:rFonts w:ascii="Book Antiqua" w:eastAsia="SimSun" w:hAnsi="Book Antiqua" w:cs="SimSun"/>
          <w:bdr w:val="none" w:sz="0" w:space="0" w:color="auto"/>
          <w:lang w:val="en-US" w:eastAsia="zh-CN"/>
        </w:rPr>
        <w:t>: 1-8 [PMID: 24457121 DOI: 10.1016/j.critrevonc.2013.12.013]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49 </w:t>
      </w:r>
      <w:r w:rsidRPr="006B1665">
        <w:rPr>
          <w:rFonts w:ascii="Book Antiqua" w:eastAsia="SimSun" w:hAnsi="Book Antiqua" w:cs="SimSun"/>
          <w:b/>
          <w:bCs/>
          <w:bdr w:val="none" w:sz="0" w:space="0" w:color="auto"/>
          <w:lang w:val="en-US" w:eastAsia="zh-CN"/>
        </w:rPr>
        <w:t>Abdel-Rahman O</w:t>
      </w:r>
      <w:r w:rsidRPr="006B1665">
        <w:rPr>
          <w:rFonts w:ascii="Book Antiqua" w:eastAsia="SimSun" w:hAnsi="Book Antiqua" w:cs="SimSun"/>
          <w:bdr w:val="none" w:sz="0" w:space="0" w:color="auto"/>
          <w:lang w:val="en-US" w:eastAsia="zh-CN"/>
        </w:rPr>
        <w:t>. Systemic therapy for hepatocellular carcinoma (HCC): from bench to bedside. </w:t>
      </w:r>
      <w:r w:rsidRPr="006B1665">
        <w:rPr>
          <w:rFonts w:ascii="Book Antiqua" w:eastAsia="SimSun" w:hAnsi="Book Antiqua" w:cs="SimSun"/>
          <w:i/>
          <w:iCs/>
          <w:bdr w:val="none" w:sz="0" w:space="0" w:color="auto"/>
          <w:lang w:val="en-US" w:eastAsia="zh-CN"/>
        </w:rPr>
        <w:t>J Egypt Natl Canc Inst</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25</w:t>
      </w:r>
      <w:r w:rsidRPr="006B1665">
        <w:rPr>
          <w:rFonts w:ascii="Book Antiqua" w:eastAsia="SimSun" w:hAnsi="Book Antiqua" w:cs="SimSun"/>
          <w:bdr w:val="none" w:sz="0" w:space="0" w:color="auto"/>
          <w:lang w:val="en-US" w:eastAsia="zh-CN"/>
        </w:rPr>
        <w:t>: 165-171 [PMID: 24207088 DOI: 10.1016/j.jnci.2013.08.002]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50 </w:t>
      </w:r>
      <w:r w:rsidRPr="006B1665">
        <w:rPr>
          <w:rFonts w:ascii="Book Antiqua" w:eastAsia="SimSun" w:hAnsi="Book Antiqua" w:cs="SimSun"/>
          <w:b/>
          <w:bCs/>
          <w:bdr w:val="none" w:sz="0" w:space="0" w:color="auto"/>
          <w:lang w:val="en-US" w:eastAsia="zh-CN"/>
        </w:rPr>
        <w:t>Kudo M</w:t>
      </w:r>
      <w:r w:rsidRPr="006B1665">
        <w:rPr>
          <w:rFonts w:ascii="Book Antiqua" w:eastAsia="SimSun" w:hAnsi="Book Antiqua" w:cs="SimSun"/>
          <w:bdr w:val="none" w:sz="0" w:space="0" w:color="auto"/>
          <w:lang w:val="en-US" w:eastAsia="zh-CN"/>
        </w:rPr>
        <w:t>, Imanaka K, Chida N, Nakachi K, Tak WY, Takayama T, Yoon JH, Hori T, Kumada H, Hayashi N, Kaneko S, Tsubouchi H, Suh DJ, Furuse J, Okusaka T, Tanaka K, Matsui O, Wada M, Yamaguchi I, Ohya T, Meinhardt G, Okita K. Phase III study of sorafenib after transarterial chemoembolisation in Japanese and Korean patients with unresectable hepatocellular carcinoma. </w:t>
      </w:r>
      <w:r w:rsidRPr="006B1665">
        <w:rPr>
          <w:rFonts w:ascii="Book Antiqua" w:eastAsia="SimSun" w:hAnsi="Book Antiqua" w:cs="SimSun"/>
          <w:i/>
          <w:iCs/>
          <w:bdr w:val="none" w:sz="0" w:space="0" w:color="auto"/>
          <w:lang w:val="en-US" w:eastAsia="zh-CN"/>
        </w:rPr>
        <w:t>Eur J Cancer</w:t>
      </w:r>
      <w:r w:rsidRPr="006B1665">
        <w:rPr>
          <w:rFonts w:ascii="Book Antiqua" w:eastAsia="SimSun" w:hAnsi="Book Antiqua" w:cs="SimSun"/>
          <w:bdr w:val="none" w:sz="0" w:space="0" w:color="auto"/>
          <w:lang w:val="en-US" w:eastAsia="zh-CN"/>
        </w:rPr>
        <w:t> 2011; </w:t>
      </w:r>
      <w:r w:rsidRPr="006B1665">
        <w:rPr>
          <w:rFonts w:ascii="Book Antiqua" w:eastAsia="SimSun" w:hAnsi="Book Antiqua" w:cs="SimSun"/>
          <w:b/>
          <w:bCs/>
          <w:bdr w:val="none" w:sz="0" w:space="0" w:color="auto"/>
          <w:lang w:val="en-US" w:eastAsia="zh-CN"/>
        </w:rPr>
        <w:t>47</w:t>
      </w:r>
      <w:r w:rsidRPr="006B1665">
        <w:rPr>
          <w:rFonts w:ascii="Book Antiqua" w:eastAsia="SimSun" w:hAnsi="Book Antiqua" w:cs="SimSun"/>
          <w:bdr w:val="none" w:sz="0" w:space="0" w:color="auto"/>
          <w:lang w:val="en-US" w:eastAsia="zh-CN"/>
        </w:rPr>
        <w:t>: 2117-2127 [PMID: 21664811 DOI: 10.1016/j.ejca.2011.05.007]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51 </w:t>
      </w:r>
      <w:r w:rsidRPr="006B1665">
        <w:rPr>
          <w:rFonts w:ascii="Book Antiqua" w:eastAsia="SimSun" w:hAnsi="Book Antiqua" w:cs="SimSun"/>
          <w:b/>
          <w:bCs/>
          <w:bdr w:val="none" w:sz="0" w:space="0" w:color="auto"/>
          <w:lang w:val="en-US" w:eastAsia="zh-CN"/>
        </w:rPr>
        <w:t>Lencioni R</w:t>
      </w:r>
      <w:r w:rsidRPr="006B1665">
        <w:rPr>
          <w:rFonts w:ascii="Book Antiqua" w:eastAsia="SimSun" w:hAnsi="Book Antiqua" w:cs="SimSun"/>
          <w:bdr w:val="none" w:sz="0" w:space="0" w:color="auto"/>
          <w:lang w:val="en-US" w:eastAsia="zh-CN"/>
        </w:rPr>
        <w:t>, Llovet JM, Han G, Tak WY, Yang J, Guglielmi A, Paik SW, Reig M, Kim do Y, Chau GY, Luca A, Del Arbol LR, Leberre MA, Niu W, Nicholson K, Meinhardt G, Bruix J. Sorafenib or placebo plus TACE with doxorubicin-eluting beads for intermediate stage HCC: The SPACE trial. </w:t>
      </w:r>
      <w:r w:rsidRPr="006B1665">
        <w:rPr>
          <w:rFonts w:ascii="Book Antiqua" w:eastAsia="SimSun" w:hAnsi="Book Antiqua" w:cs="SimSun"/>
          <w:i/>
          <w:iCs/>
          <w:bdr w:val="none" w:sz="0" w:space="0" w:color="auto"/>
          <w:lang w:val="en-US" w:eastAsia="zh-CN"/>
        </w:rPr>
        <w:t>J Hepatol</w:t>
      </w:r>
      <w:r w:rsidRPr="006B1665">
        <w:rPr>
          <w:rFonts w:ascii="Book Antiqua" w:eastAsia="SimSun" w:hAnsi="Book Antiqua" w:cs="SimSun"/>
          <w:bdr w:val="none" w:sz="0" w:space="0" w:color="auto"/>
          <w:lang w:val="en-US" w:eastAsia="zh-CN"/>
        </w:rPr>
        <w:t> 2016; </w:t>
      </w:r>
      <w:r w:rsidRPr="006B1665">
        <w:rPr>
          <w:rFonts w:ascii="Book Antiqua" w:eastAsia="SimSun" w:hAnsi="Book Antiqua" w:cs="SimSun"/>
          <w:b/>
          <w:bCs/>
          <w:bdr w:val="none" w:sz="0" w:space="0" w:color="auto"/>
          <w:lang w:val="en-US" w:eastAsia="zh-CN"/>
        </w:rPr>
        <w:t>64</w:t>
      </w:r>
      <w:r w:rsidRPr="006B1665">
        <w:rPr>
          <w:rFonts w:ascii="Book Antiqua" w:eastAsia="SimSun" w:hAnsi="Book Antiqua" w:cs="SimSun"/>
          <w:bdr w:val="none" w:sz="0" w:space="0" w:color="auto"/>
          <w:lang w:val="en-US" w:eastAsia="zh-CN"/>
        </w:rPr>
        <w:t>: 1090-1098 [PMID: 26809111 DOI: 10.1016/j.jhep.2016.01.012]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52 </w:t>
      </w:r>
      <w:r w:rsidRPr="006B1665">
        <w:rPr>
          <w:rFonts w:ascii="Book Antiqua" w:eastAsia="SimSun" w:hAnsi="Book Antiqua" w:cs="SimSun"/>
          <w:b/>
          <w:bCs/>
          <w:bdr w:val="none" w:sz="0" w:space="0" w:color="auto"/>
          <w:lang w:val="en-US" w:eastAsia="zh-CN"/>
        </w:rPr>
        <w:t>Llovet JM</w:t>
      </w:r>
      <w:r w:rsidRPr="006B1665">
        <w:rPr>
          <w:rFonts w:ascii="Book Antiqua" w:eastAsia="SimSun" w:hAnsi="Book Antiqua" w:cs="SimSun"/>
          <w:bdr w:val="none" w:sz="0" w:space="0" w:color="auto"/>
          <w:lang w:val="en-US" w:eastAsia="zh-CN"/>
        </w:rPr>
        <w:t>, Bruix J. Molecular targeted therapies in hepatocellular carcinoma.</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i/>
          <w:iCs/>
          <w:bdr w:val="none" w:sz="0" w:space="0" w:color="auto"/>
          <w:lang w:val="en-US" w:eastAsia="zh-CN"/>
        </w:rPr>
        <w:t>Hepatology</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dr w:val="none" w:sz="0" w:space="0" w:color="auto"/>
          <w:lang w:val="en-US" w:eastAsia="zh-CN"/>
        </w:rPr>
        <w:t>2008; </w:t>
      </w:r>
      <w:r w:rsidRPr="006B1665">
        <w:rPr>
          <w:rFonts w:ascii="Book Antiqua" w:eastAsia="SimSun" w:hAnsi="Book Antiqua" w:cs="SimSun"/>
          <w:b/>
          <w:bCs/>
          <w:bdr w:val="none" w:sz="0" w:space="0" w:color="auto"/>
          <w:lang w:val="en-US" w:eastAsia="zh-CN"/>
        </w:rPr>
        <w:t>48</w:t>
      </w:r>
      <w:r w:rsidRPr="006B1665">
        <w:rPr>
          <w:rFonts w:ascii="Book Antiqua" w:eastAsia="SimSun" w:hAnsi="Book Antiqua" w:cs="SimSun"/>
          <w:bdr w:val="none" w:sz="0" w:space="0" w:color="auto"/>
          <w:lang w:val="en-US" w:eastAsia="zh-CN"/>
        </w:rPr>
        <w:t>: 1312-1327 [PMID: 18821591 DOI: 10.1002/hep.22506]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53 </w:t>
      </w:r>
      <w:r w:rsidRPr="006B1665">
        <w:rPr>
          <w:rFonts w:ascii="Book Antiqua" w:eastAsia="SimSun" w:hAnsi="Book Antiqua" w:cs="SimSun"/>
          <w:b/>
          <w:bCs/>
          <w:bdr w:val="none" w:sz="0" w:space="0" w:color="auto"/>
          <w:lang w:val="en-US" w:eastAsia="zh-CN"/>
        </w:rPr>
        <w:t>Schöniger-Hekele M</w:t>
      </w:r>
      <w:r w:rsidRPr="006B1665">
        <w:rPr>
          <w:rFonts w:ascii="Book Antiqua" w:eastAsia="SimSun" w:hAnsi="Book Antiqua" w:cs="SimSun"/>
          <w:bdr w:val="none" w:sz="0" w:space="0" w:color="auto"/>
          <w:lang w:val="en-US" w:eastAsia="zh-CN"/>
        </w:rPr>
        <w:t>, Müller C, Kutilek M, Oesterreicher C, Ferenci P, Gangl A. Hepatocellular carcinoma in Central Europe: prognostic features and survival.</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i/>
          <w:iCs/>
          <w:bdr w:val="none" w:sz="0" w:space="0" w:color="auto"/>
          <w:lang w:val="en-US" w:eastAsia="zh-CN"/>
        </w:rPr>
        <w:t>Gut</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dr w:val="none" w:sz="0" w:space="0" w:color="auto"/>
          <w:lang w:val="en-US" w:eastAsia="zh-CN"/>
        </w:rPr>
        <w:t>2001;</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
          <w:bCs/>
          <w:bdr w:val="none" w:sz="0" w:space="0" w:color="auto"/>
          <w:lang w:val="en-US" w:eastAsia="zh-CN"/>
        </w:rPr>
        <w:t>48</w:t>
      </w:r>
      <w:r w:rsidRPr="006B1665">
        <w:rPr>
          <w:rFonts w:ascii="Book Antiqua" w:eastAsia="SimSun" w:hAnsi="Book Antiqua" w:cs="SimSun"/>
          <w:bdr w:val="none" w:sz="0" w:space="0" w:color="auto"/>
          <w:lang w:val="en-US" w:eastAsia="zh-CN"/>
        </w:rPr>
        <w:t>: 103-109 [PMID: 11115830]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54 </w:t>
      </w:r>
      <w:r w:rsidRPr="006B1665">
        <w:rPr>
          <w:rFonts w:ascii="Book Antiqua" w:eastAsia="SimSun" w:hAnsi="Book Antiqua" w:cs="SimSun"/>
          <w:b/>
          <w:bCs/>
          <w:bdr w:val="none" w:sz="0" w:space="0" w:color="auto"/>
          <w:lang w:val="en-US" w:eastAsia="zh-CN"/>
        </w:rPr>
        <w:t>Chen XP</w:t>
      </w:r>
      <w:r w:rsidRPr="006B1665">
        <w:rPr>
          <w:rFonts w:ascii="Book Antiqua" w:eastAsia="SimSun" w:hAnsi="Book Antiqua" w:cs="SimSun"/>
          <w:bdr w:val="none" w:sz="0" w:space="0" w:color="auto"/>
          <w:lang w:val="en-US" w:eastAsia="zh-CN"/>
        </w:rPr>
        <w:t>, Qiu FZ, Wu ZD, Zhang ZW, Huang ZY, Chen YF, Zhang BX, He SQ, Zhang WG. Effects of location and extension of portal vein tumor thrombus on long-term outcomes of surgical treatment for hepatocellular carcinoma. </w:t>
      </w:r>
      <w:r w:rsidRPr="006B1665">
        <w:rPr>
          <w:rFonts w:ascii="Book Antiqua" w:eastAsia="SimSun" w:hAnsi="Book Antiqua" w:cs="SimSun"/>
          <w:i/>
          <w:iCs/>
          <w:bdr w:val="none" w:sz="0" w:space="0" w:color="auto"/>
          <w:lang w:val="en-US" w:eastAsia="zh-CN"/>
        </w:rPr>
        <w:t>Ann Surg Oncol</w:t>
      </w:r>
      <w:r w:rsidRPr="006B1665">
        <w:rPr>
          <w:rFonts w:ascii="Book Antiqua" w:eastAsia="SimSun" w:hAnsi="Book Antiqua" w:cs="SimSun"/>
          <w:bdr w:val="none" w:sz="0" w:space="0" w:color="auto"/>
          <w:lang w:val="en-US" w:eastAsia="zh-CN"/>
        </w:rPr>
        <w:t> 2006; </w:t>
      </w:r>
      <w:r w:rsidRPr="006B1665">
        <w:rPr>
          <w:rFonts w:ascii="Book Antiqua" w:eastAsia="SimSun" w:hAnsi="Book Antiqua" w:cs="SimSun"/>
          <w:b/>
          <w:bCs/>
          <w:bdr w:val="none" w:sz="0" w:space="0" w:color="auto"/>
          <w:lang w:val="en-US" w:eastAsia="zh-CN"/>
        </w:rPr>
        <w:t>13</w:t>
      </w:r>
      <w:r w:rsidRPr="006B1665">
        <w:rPr>
          <w:rFonts w:ascii="Book Antiqua" w:eastAsia="SimSun" w:hAnsi="Book Antiqua" w:cs="SimSun"/>
          <w:bdr w:val="none" w:sz="0" w:space="0" w:color="auto"/>
          <w:lang w:val="en-US" w:eastAsia="zh-CN"/>
        </w:rPr>
        <w:t>: 940-946 [PMID: 16788755 DOI: 10.1245/ASO.2006.08.007]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55 </w:t>
      </w:r>
      <w:r w:rsidRPr="006B1665">
        <w:rPr>
          <w:rFonts w:ascii="Book Antiqua" w:eastAsia="SimSun" w:hAnsi="Book Antiqua" w:cs="SimSun"/>
          <w:b/>
          <w:bCs/>
          <w:bdr w:val="none" w:sz="0" w:space="0" w:color="auto"/>
          <w:lang w:val="en-US" w:eastAsia="zh-CN"/>
        </w:rPr>
        <w:t>Woo HY</w:t>
      </w:r>
      <w:r w:rsidRPr="006B1665">
        <w:rPr>
          <w:rFonts w:ascii="Book Antiqua" w:eastAsia="SimSun" w:hAnsi="Book Antiqua" w:cs="SimSun"/>
          <w:bdr w:val="none" w:sz="0" w:space="0" w:color="auto"/>
          <w:lang w:val="en-US" w:eastAsia="zh-CN"/>
        </w:rPr>
        <w:t>, Heo J. Transarterial chemoembolization using drug eluting beads for the treatment of hepatocellular carcinoma: Now and future. </w:t>
      </w:r>
      <w:r w:rsidRPr="006B1665">
        <w:rPr>
          <w:rFonts w:ascii="Book Antiqua" w:eastAsia="SimSun" w:hAnsi="Book Antiqua" w:cs="SimSun"/>
          <w:i/>
          <w:iCs/>
          <w:bdr w:val="none" w:sz="0" w:space="0" w:color="auto"/>
          <w:lang w:val="en-US" w:eastAsia="zh-CN"/>
        </w:rPr>
        <w:t>Clin Mol Hepatol</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21</w:t>
      </w:r>
      <w:r w:rsidRPr="006B1665">
        <w:rPr>
          <w:rFonts w:ascii="Book Antiqua" w:eastAsia="SimSun" w:hAnsi="Book Antiqua" w:cs="SimSun"/>
          <w:bdr w:val="none" w:sz="0" w:space="0" w:color="auto"/>
          <w:lang w:val="en-US" w:eastAsia="zh-CN"/>
        </w:rPr>
        <w:t>: 344-348 [PMID: 26770921 DOI: 10.3350/cmh.2015.21.4.344]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lastRenderedPageBreak/>
        <w:t>56 </w:t>
      </w:r>
      <w:r w:rsidRPr="006B1665">
        <w:rPr>
          <w:rFonts w:ascii="Book Antiqua" w:eastAsia="SimSun" w:hAnsi="Book Antiqua" w:cs="SimSun"/>
          <w:b/>
          <w:bCs/>
          <w:bdr w:val="none" w:sz="0" w:space="0" w:color="auto"/>
          <w:lang w:val="en-US" w:eastAsia="zh-CN"/>
        </w:rPr>
        <w:t>Nakazawa T</w:t>
      </w:r>
      <w:r w:rsidRPr="006B1665">
        <w:rPr>
          <w:rFonts w:ascii="Book Antiqua" w:eastAsia="SimSun" w:hAnsi="Book Antiqua" w:cs="SimSun"/>
          <w:bdr w:val="none" w:sz="0" w:space="0" w:color="auto"/>
          <w:lang w:val="en-US" w:eastAsia="zh-CN"/>
        </w:rPr>
        <w:t>, Hidaka H, Shibuya A, Okuwaki Y, Tanaka Y, Takada J, Minamino T, Watanabe M, Kokubu S, Koizumi W. Overall survival in response to sorafenib versus radiotherapy in unresectable hepatocellular carcinoma with major portal vein tumor thrombosis: propensity score analysis. </w:t>
      </w:r>
      <w:r w:rsidRPr="006B1665">
        <w:rPr>
          <w:rFonts w:ascii="Book Antiqua" w:eastAsia="SimSun" w:hAnsi="Book Antiqua" w:cs="SimSun"/>
          <w:i/>
          <w:iCs/>
          <w:bdr w:val="none" w:sz="0" w:space="0" w:color="auto"/>
          <w:lang w:val="en-US" w:eastAsia="zh-CN"/>
        </w:rPr>
        <w:t>BMC Gastroenterol</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14</w:t>
      </w:r>
      <w:r w:rsidRPr="006B1665">
        <w:rPr>
          <w:rFonts w:ascii="Book Antiqua" w:eastAsia="SimSun" w:hAnsi="Book Antiqua" w:cs="SimSun"/>
          <w:bdr w:val="none" w:sz="0" w:space="0" w:color="auto"/>
          <w:lang w:val="en-US" w:eastAsia="zh-CN"/>
        </w:rPr>
        <w:t>: 84 [PMID: 24886354 DOI: 10.1186/1471-230X-14-84]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57 </w:t>
      </w:r>
      <w:r w:rsidRPr="006B1665">
        <w:rPr>
          <w:rFonts w:ascii="Book Antiqua" w:eastAsia="SimSun" w:hAnsi="Book Antiqua" w:cs="SimSun"/>
          <w:b/>
          <w:bCs/>
          <w:bdr w:val="none" w:sz="0" w:space="0" w:color="auto"/>
          <w:lang w:val="en-US" w:eastAsia="zh-CN"/>
        </w:rPr>
        <w:t>Tang QH</w:t>
      </w:r>
      <w:r w:rsidRPr="006B1665">
        <w:rPr>
          <w:rFonts w:ascii="Book Antiqua" w:eastAsia="SimSun" w:hAnsi="Book Antiqua" w:cs="SimSun"/>
          <w:bdr w:val="none" w:sz="0" w:space="0" w:color="auto"/>
          <w:lang w:val="en-US" w:eastAsia="zh-CN"/>
        </w:rPr>
        <w:t>, Li AJ, Yang GM, Lai EC, Zhou WP, Jiang ZH, Lau WY, Wu MC. Surgical resection versus conformal radiotherapy combined with TACE for resectable hepatocellular carcinoma with portal vein tumor thrombus: a comparative study. </w:t>
      </w:r>
      <w:r w:rsidRPr="006B1665">
        <w:rPr>
          <w:rFonts w:ascii="Book Antiqua" w:eastAsia="SimSun" w:hAnsi="Book Antiqua" w:cs="SimSun"/>
          <w:i/>
          <w:iCs/>
          <w:bdr w:val="none" w:sz="0" w:space="0" w:color="auto"/>
          <w:lang w:val="en-US" w:eastAsia="zh-CN"/>
        </w:rPr>
        <w:t>World J Surg</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37</w:t>
      </w:r>
      <w:r w:rsidRPr="006B1665">
        <w:rPr>
          <w:rFonts w:ascii="Book Antiqua" w:eastAsia="SimSun" w:hAnsi="Book Antiqua" w:cs="SimSun"/>
          <w:bdr w:val="none" w:sz="0" w:space="0" w:color="auto"/>
          <w:lang w:val="en-US" w:eastAsia="zh-CN"/>
        </w:rPr>
        <w:t>: 1362-1370 [PMID: 23456227 DOI: 10.1007/s00268-013-1969-x]</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58 </w:t>
      </w:r>
      <w:r w:rsidRPr="006B1665">
        <w:rPr>
          <w:rFonts w:ascii="Book Antiqua" w:eastAsia="SimSun" w:hAnsi="Book Antiqua" w:cs="SimSun"/>
          <w:b/>
          <w:bCs/>
          <w:bdr w:val="none" w:sz="0" w:space="0" w:color="auto"/>
          <w:lang w:val="en-US" w:eastAsia="zh-CN"/>
        </w:rPr>
        <w:t>Jeong SW</w:t>
      </w:r>
      <w:r w:rsidRPr="006B1665">
        <w:rPr>
          <w:rFonts w:ascii="Book Antiqua" w:eastAsia="SimSun" w:hAnsi="Book Antiqua" w:cs="SimSun"/>
          <w:bdr w:val="none" w:sz="0" w:space="0" w:color="auto"/>
          <w:lang w:val="en-US" w:eastAsia="zh-CN"/>
        </w:rPr>
        <w:t>, Jang JY, Shim KY, Lee SH, Kim SG, Cha SW, Kim YS, Cho YD, Kim HS, Kim BS, Kim KH, Kim JH. Practical effect of sorafenib monotherapy on advanced hepatocellular carcinoma and portal vein tumor thrombosis. </w:t>
      </w:r>
      <w:r w:rsidRPr="006B1665">
        <w:rPr>
          <w:rFonts w:ascii="Book Antiqua" w:eastAsia="SimSun" w:hAnsi="Book Antiqua" w:cs="SimSun"/>
          <w:i/>
          <w:iCs/>
          <w:bdr w:val="none" w:sz="0" w:space="0" w:color="auto"/>
          <w:lang w:val="en-US" w:eastAsia="zh-CN"/>
        </w:rPr>
        <w:t>Gut Liver</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7</w:t>
      </w:r>
      <w:r w:rsidRPr="006B1665">
        <w:rPr>
          <w:rFonts w:ascii="Book Antiqua" w:eastAsia="SimSun" w:hAnsi="Book Antiqua" w:cs="SimSun"/>
          <w:bdr w:val="none" w:sz="0" w:space="0" w:color="auto"/>
          <w:lang w:val="en-US" w:eastAsia="zh-CN"/>
        </w:rPr>
        <w:t>: 696-703 [PMID: 24312711 DOI: 10.5009/gnl.2013.7.6.696]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59 </w:t>
      </w:r>
      <w:r w:rsidRPr="006B1665">
        <w:rPr>
          <w:rFonts w:ascii="Book Antiqua" w:eastAsia="SimSun" w:hAnsi="Book Antiqua" w:cs="SimSun"/>
          <w:b/>
          <w:bCs/>
          <w:bdr w:val="none" w:sz="0" w:space="0" w:color="auto"/>
          <w:lang w:val="en-US" w:eastAsia="zh-CN"/>
        </w:rPr>
        <w:t>Sangro B</w:t>
      </w:r>
      <w:r w:rsidRPr="006B1665">
        <w:rPr>
          <w:rFonts w:ascii="Book Antiqua" w:eastAsia="SimSun" w:hAnsi="Book Antiqua" w:cs="SimSun"/>
          <w:bdr w:val="none" w:sz="0" w:space="0" w:color="auto"/>
          <w:lang w:val="en-US" w:eastAsia="zh-CN"/>
        </w:rPr>
        <w:t>, Carpanese L, Cianni R, Golfieri R, Gasparini D, Ezziddin S, Paprottka PM, Fiore F, Van Buskirk M, Bilbao JI, Ettorre GM, Salvatori R, Giampalma E, Geatti O, Wilhelm K, Hoffmann RT, Izzo F, Iñarrairaegui M, Maini CL, Urigo C, Cappelli A, Vit A, Ahmadzadehfar H, Jakobs TF, Lastoria S. Survival after yttrium-90 resin microsphere radioembolization of hepatocellular carcinoma across Barcelona clinic liver cancer stages: a European evaluation. </w:t>
      </w:r>
      <w:r w:rsidRPr="006B1665">
        <w:rPr>
          <w:rFonts w:ascii="Book Antiqua" w:eastAsia="SimSun" w:hAnsi="Book Antiqua" w:cs="SimSun"/>
          <w:i/>
          <w:iCs/>
          <w:bdr w:val="none" w:sz="0" w:space="0" w:color="auto"/>
          <w:lang w:val="en-US" w:eastAsia="zh-CN"/>
        </w:rPr>
        <w:t>Hepatology</w:t>
      </w:r>
      <w:r w:rsidRPr="006B1665">
        <w:rPr>
          <w:rFonts w:ascii="Book Antiqua" w:eastAsia="SimSun" w:hAnsi="Book Antiqua" w:cs="SimSun"/>
          <w:bdr w:val="none" w:sz="0" w:space="0" w:color="auto"/>
          <w:lang w:val="en-US" w:eastAsia="zh-CN"/>
        </w:rPr>
        <w:t> 2011; </w:t>
      </w:r>
      <w:r w:rsidRPr="006B1665">
        <w:rPr>
          <w:rFonts w:ascii="Book Antiqua" w:eastAsia="SimSun" w:hAnsi="Book Antiqua" w:cs="SimSun"/>
          <w:b/>
          <w:bCs/>
          <w:bdr w:val="none" w:sz="0" w:space="0" w:color="auto"/>
          <w:lang w:val="en-US" w:eastAsia="zh-CN"/>
        </w:rPr>
        <w:t>54</w:t>
      </w:r>
      <w:r w:rsidRPr="006B1665">
        <w:rPr>
          <w:rFonts w:ascii="Book Antiqua" w:eastAsia="SimSun" w:hAnsi="Book Antiqua" w:cs="SimSun"/>
          <w:bdr w:val="none" w:sz="0" w:space="0" w:color="auto"/>
          <w:lang w:val="en-US" w:eastAsia="zh-CN"/>
        </w:rPr>
        <w:t>: 868-878 [PMID: 21618574 DOI: 10.1002/hep.24451]</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60 </w:t>
      </w:r>
      <w:r w:rsidRPr="006B1665">
        <w:rPr>
          <w:rFonts w:ascii="Book Antiqua" w:eastAsia="SimSun" w:hAnsi="Book Antiqua" w:cs="SimSun"/>
          <w:b/>
          <w:bCs/>
          <w:bdr w:val="none" w:sz="0" w:space="0" w:color="auto"/>
          <w:lang w:val="en-US" w:eastAsia="zh-CN"/>
        </w:rPr>
        <w:t>Salem R</w:t>
      </w:r>
      <w:r w:rsidRPr="006B1665">
        <w:rPr>
          <w:rFonts w:ascii="Book Antiqua" w:eastAsia="SimSun" w:hAnsi="Book Antiqua" w:cs="SimSun"/>
          <w:bdr w:val="none" w:sz="0" w:space="0" w:color="auto"/>
          <w:lang w:val="en-US" w:eastAsia="zh-CN"/>
        </w:rPr>
        <w:t>, Lewandowski R, Roberts C, Goin J, Thurston K, Abouljoud M, Courtney A. Use of Yttrium-90 glass microspheres (TheraSphere) for the treatment of unresectable hepatocellular carcinoma in patients with portal vein thrombosis. </w:t>
      </w:r>
      <w:r w:rsidRPr="006B1665">
        <w:rPr>
          <w:rFonts w:ascii="Book Antiqua" w:eastAsia="SimSun" w:hAnsi="Book Antiqua" w:cs="SimSun"/>
          <w:i/>
          <w:iCs/>
          <w:bdr w:val="none" w:sz="0" w:space="0" w:color="auto"/>
          <w:lang w:val="en-US" w:eastAsia="zh-CN"/>
        </w:rPr>
        <w:t>J Vasc Interv Radiol</w:t>
      </w:r>
      <w:r w:rsidRPr="006B1665">
        <w:rPr>
          <w:rFonts w:ascii="Book Antiqua" w:eastAsia="SimSun" w:hAnsi="Book Antiqua" w:cs="SimSun"/>
          <w:bdr w:val="none" w:sz="0" w:space="0" w:color="auto"/>
          <w:lang w:val="en-US" w:eastAsia="zh-CN"/>
        </w:rPr>
        <w:t> 2004; </w:t>
      </w:r>
      <w:r w:rsidRPr="006B1665">
        <w:rPr>
          <w:rFonts w:ascii="Book Antiqua" w:eastAsia="SimSun" w:hAnsi="Book Antiqua" w:cs="SimSun"/>
          <w:b/>
          <w:bCs/>
          <w:bdr w:val="none" w:sz="0" w:space="0" w:color="auto"/>
          <w:lang w:val="en-US" w:eastAsia="zh-CN"/>
        </w:rPr>
        <w:t>15</w:t>
      </w:r>
      <w:r w:rsidRPr="006B1665">
        <w:rPr>
          <w:rFonts w:ascii="Book Antiqua" w:eastAsia="SimSun" w:hAnsi="Book Antiqua" w:cs="SimSun"/>
          <w:bdr w:val="none" w:sz="0" w:space="0" w:color="auto"/>
          <w:lang w:val="en-US" w:eastAsia="zh-CN"/>
        </w:rPr>
        <w:t>: 335-345 [PMID: 15064336]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61 </w:t>
      </w:r>
      <w:r w:rsidRPr="006B1665">
        <w:rPr>
          <w:rFonts w:ascii="Book Antiqua" w:eastAsia="SimSun" w:hAnsi="Book Antiqua" w:cs="SimSun"/>
          <w:b/>
          <w:bCs/>
          <w:bdr w:val="none" w:sz="0" w:space="0" w:color="auto"/>
          <w:lang w:val="en-US" w:eastAsia="zh-CN"/>
        </w:rPr>
        <w:t>Salem R</w:t>
      </w:r>
      <w:r w:rsidRPr="006B1665">
        <w:rPr>
          <w:rFonts w:ascii="Book Antiqua" w:eastAsia="SimSun" w:hAnsi="Book Antiqua" w:cs="SimSun"/>
          <w:bdr w:val="none" w:sz="0" w:space="0" w:color="auto"/>
          <w:lang w:val="en-US" w:eastAsia="zh-CN"/>
        </w:rPr>
        <w:t>,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6B1665">
        <w:rPr>
          <w:rFonts w:ascii="Book Antiqua" w:eastAsia="SimSun" w:hAnsi="Book Antiqua" w:cs="SimSun"/>
          <w:i/>
          <w:iCs/>
          <w:bdr w:val="none" w:sz="0" w:space="0" w:color="auto"/>
          <w:lang w:val="en-US" w:eastAsia="zh-CN"/>
        </w:rPr>
        <w:t>Gastroenterology</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138</w:t>
      </w:r>
      <w:r w:rsidRPr="006B1665">
        <w:rPr>
          <w:rFonts w:ascii="Book Antiqua" w:eastAsia="SimSun" w:hAnsi="Book Antiqua" w:cs="SimSun"/>
          <w:bdr w:val="none" w:sz="0" w:space="0" w:color="auto"/>
          <w:lang w:val="en-US" w:eastAsia="zh-CN"/>
        </w:rPr>
        <w:t>: 52-64 [PMID: 19766639 DOI: 10.1053/j.gastro.2009.09.006PMID: ]</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62 </w:t>
      </w:r>
      <w:r w:rsidRPr="006B1665">
        <w:rPr>
          <w:rFonts w:ascii="Book Antiqua" w:eastAsia="SimSun" w:hAnsi="Book Antiqua" w:cs="SimSun"/>
          <w:b/>
          <w:bCs/>
          <w:bdr w:val="none" w:sz="0" w:space="0" w:color="auto"/>
          <w:lang w:val="en-US" w:eastAsia="zh-CN"/>
        </w:rPr>
        <w:t>Salem R</w:t>
      </w:r>
      <w:r w:rsidRPr="006B1665">
        <w:rPr>
          <w:rFonts w:ascii="Book Antiqua" w:eastAsia="SimSun" w:hAnsi="Book Antiqua" w:cs="SimSun"/>
          <w:bdr w:val="none" w:sz="0" w:space="0" w:color="auto"/>
          <w:lang w:val="en-US" w:eastAsia="zh-CN"/>
        </w:rPr>
        <w:t xml:space="preserve">, Lewandowski RJ, Kulik L, Wang E, Riaz A, Ryu RK, Sato KT, Gupta R, Nikolaidis P, Miller FH, Yaghmai V, Ibrahim SM, Senthilnathan S, Baker T, Gates VL, Atassi B, Newman S, Memon K, Chen R, Vogelzang RL, Nemcek AA, Resnick SA, </w:t>
      </w:r>
      <w:r w:rsidRPr="006B1665">
        <w:rPr>
          <w:rFonts w:ascii="Book Antiqua" w:eastAsia="SimSun" w:hAnsi="Book Antiqua" w:cs="SimSun"/>
          <w:bdr w:val="none" w:sz="0" w:space="0" w:color="auto"/>
          <w:lang w:val="en-US" w:eastAsia="zh-CN"/>
        </w:rPr>
        <w:lastRenderedPageBreak/>
        <w:t>Chrisman HB, Carr J, Omary RA, Abecassis M, Benson AB, Mulcahy MF. Radioembolization results in longer time-to-progression and reduced toxicity compared with chemoembolization in patients with hepatocellular carcinoma.</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i/>
          <w:iCs/>
          <w:bdr w:val="none" w:sz="0" w:space="0" w:color="auto"/>
          <w:lang w:val="en-US" w:eastAsia="zh-CN"/>
        </w:rPr>
        <w:t>Gastroenterology</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dr w:val="none" w:sz="0" w:space="0" w:color="auto"/>
          <w:lang w:val="en-US" w:eastAsia="zh-CN"/>
        </w:rPr>
        <w:t>2011;</w:t>
      </w:r>
      <w:r>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
          <w:bCs/>
          <w:bdr w:val="none" w:sz="0" w:space="0" w:color="auto"/>
          <w:lang w:val="en-US" w:eastAsia="zh-CN"/>
        </w:rPr>
        <w:t>140</w:t>
      </w:r>
      <w:r w:rsidRPr="006B1665">
        <w:rPr>
          <w:rFonts w:ascii="Book Antiqua" w:eastAsia="SimSun" w:hAnsi="Book Antiqua" w:cs="SimSun"/>
          <w:bdr w:val="none" w:sz="0" w:space="0" w:color="auto"/>
          <w:lang w:val="en-US" w:eastAsia="zh-CN"/>
        </w:rPr>
        <w:t>: 497-507.e2 [PMID: 21044630 DOI: 10.1053/j.gastro.2010.10.049]</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63 </w:t>
      </w:r>
      <w:r w:rsidRPr="006B1665">
        <w:rPr>
          <w:rFonts w:ascii="Book Antiqua" w:eastAsia="SimSun" w:hAnsi="Book Antiqua" w:cs="SimSun"/>
          <w:b/>
          <w:bCs/>
          <w:bdr w:val="none" w:sz="0" w:space="0" w:color="auto"/>
          <w:lang w:val="en-US" w:eastAsia="zh-CN"/>
        </w:rPr>
        <w:t>Gramenzi A</w:t>
      </w:r>
      <w:r w:rsidRPr="006B1665">
        <w:rPr>
          <w:rFonts w:ascii="Book Antiqua" w:eastAsia="SimSun" w:hAnsi="Book Antiqua" w:cs="SimSun"/>
          <w:bdr w:val="none" w:sz="0" w:space="0" w:color="auto"/>
          <w:lang w:val="en-US" w:eastAsia="zh-CN"/>
        </w:rPr>
        <w:t>, Golfieri R, Mosconi C, Cappelli A, Granito A, Cucchetti A, Marinelli S, Pettinato C, Erroi V, Fiumana S, Bolondi L, Bernardi M, Trevisani F. Yttrium-90 radioembolization vs sorafenib for intermediate-locally advanced hepatocellular carcinoma: a cohort study with propensity score analysis. </w:t>
      </w:r>
      <w:r w:rsidRPr="006B1665">
        <w:rPr>
          <w:rFonts w:ascii="Book Antiqua" w:eastAsia="SimSun" w:hAnsi="Book Antiqua" w:cs="SimSun"/>
          <w:i/>
          <w:iCs/>
          <w:bdr w:val="none" w:sz="0" w:space="0" w:color="auto"/>
          <w:lang w:val="en-US" w:eastAsia="zh-CN"/>
        </w:rPr>
        <w:t>Liver Int</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35</w:t>
      </w:r>
      <w:r w:rsidRPr="006B1665">
        <w:rPr>
          <w:rFonts w:ascii="Book Antiqua" w:eastAsia="SimSun" w:hAnsi="Book Antiqua" w:cs="SimSun"/>
          <w:bdr w:val="none" w:sz="0" w:space="0" w:color="auto"/>
          <w:lang w:val="en-US" w:eastAsia="zh-CN"/>
        </w:rPr>
        <w:t>: 1036-1047 [PMID: 24750853 DOI: 10.1111/liv.12574]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64 </w:t>
      </w:r>
      <w:r w:rsidRPr="006B1665">
        <w:rPr>
          <w:rFonts w:ascii="Book Antiqua" w:eastAsia="SimSun" w:hAnsi="Book Antiqua" w:cs="SimSun"/>
          <w:b/>
          <w:bCs/>
          <w:bdr w:val="none" w:sz="0" w:space="0" w:color="auto"/>
          <w:lang w:val="en-US" w:eastAsia="zh-CN"/>
        </w:rPr>
        <w:t>Kulik LM</w:t>
      </w:r>
      <w:r w:rsidRPr="006B1665">
        <w:rPr>
          <w:rFonts w:ascii="Book Antiqua" w:eastAsia="SimSun" w:hAnsi="Book Antiqua" w:cs="SimSun"/>
          <w:bdr w:val="none" w:sz="0" w:space="0" w:color="auto"/>
          <w:lang w:val="en-US" w:eastAsia="zh-CN"/>
        </w:rPr>
        <w:t>, Carr BI, Mulcahy MF, Lewandowski RJ, Atassi B, Ryu RK, Sato KT, Benson A, Nemcek AA, Gates VL, Abecassis M, Omary RA, Salem R. Safety and efficacy of 90Y radiotherapy for hepatocellular carcinoma with and without portal vein thrombosis. </w:t>
      </w:r>
      <w:r w:rsidRPr="006B1665">
        <w:rPr>
          <w:rFonts w:ascii="Book Antiqua" w:eastAsia="SimSun" w:hAnsi="Book Antiqua" w:cs="SimSun"/>
          <w:i/>
          <w:iCs/>
          <w:bdr w:val="none" w:sz="0" w:space="0" w:color="auto"/>
          <w:lang w:val="en-US" w:eastAsia="zh-CN"/>
        </w:rPr>
        <w:t>Hepatology</w:t>
      </w:r>
      <w:r w:rsidRPr="006B1665">
        <w:rPr>
          <w:rFonts w:ascii="Book Antiqua" w:eastAsia="SimSun" w:hAnsi="Book Antiqua" w:cs="SimSun"/>
          <w:bdr w:val="none" w:sz="0" w:space="0" w:color="auto"/>
          <w:lang w:val="en-US" w:eastAsia="zh-CN"/>
        </w:rPr>
        <w:t> 2008; </w:t>
      </w:r>
      <w:r w:rsidRPr="006B1665">
        <w:rPr>
          <w:rFonts w:ascii="Book Antiqua" w:eastAsia="SimSun" w:hAnsi="Book Antiqua" w:cs="SimSun"/>
          <w:b/>
          <w:bCs/>
          <w:bdr w:val="none" w:sz="0" w:space="0" w:color="auto"/>
          <w:lang w:val="en-US" w:eastAsia="zh-CN"/>
        </w:rPr>
        <w:t>47</w:t>
      </w:r>
      <w:r w:rsidRPr="006B1665">
        <w:rPr>
          <w:rFonts w:ascii="Book Antiqua" w:eastAsia="SimSun" w:hAnsi="Book Antiqua" w:cs="SimSun"/>
          <w:bdr w:val="none" w:sz="0" w:space="0" w:color="auto"/>
          <w:lang w:val="en-US" w:eastAsia="zh-CN"/>
        </w:rPr>
        <w:t>: 71-81 [PMID: 18027884 DOI: 10.1002/hep.21980]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65 </w:t>
      </w:r>
      <w:r w:rsidRPr="006B1665">
        <w:rPr>
          <w:rFonts w:ascii="Book Antiqua" w:eastAsia="SimSun" w:hAnsi="Book Antiqua" w:cs="SimSun"/>
          <w:b/>
          <w:bCs/>
          <w:bdr w:val="none" w:sz="0" w:space="0" w:color="auto"/>
          <w:lang w:val="en-US" w:eastAsia="zh-CN"/>
        </w:rPr>
        <w:t>Iñarrairaegui M</w:t>
      </w:r>
      <w:r w:rsidRPr="006B1665">
        <w:rPr>
          <w:rFonts w:ascii="Book Antiqua" w:eastAsia="SimSun" w:hAnsi="Book Antiqua" w:cs="SimSun"/>
          <w:bdr w:val="none" w:sz="0" w:space="0" w:color="auto"/>
          <w:lang w:val="en-US" w:eastAsia="zh-CN"/>
        </w:rPr>
        <w:t>, Thurston KG, Bilbao JI, D'Avola D, Rodriguez M, Arbizu J, Martinez-Cuesta A, Sangro B. Radioembolization with use of yttrium-90 resin microspheres in patients with hepatocellular carcinoma and portal vein thrombosis. </w:t>
      </w:r>
      <w:r w:rsidRPr="006B1665">
        <w:rPr>
          <w:rFonts w:ascii="Book Antiqua" w:eastAsia="SimSun" w:hAnsi="Book Antiqua" w:cs="SimSun"/>
          <w:i/>
          <w:iCs/>
          <w:bdr w:val="none" w:sz="0" w:space="0" w:color="auto"/>
          <w:lang w:val="en-US" w:eastAsia="zh-CN"/>
        </w:rPr>
        <w:t>J Vasc Interv Radiol</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21</w:t>
      </w:r>
      <w:r w:rsidRPr="006B1665">
        <w:rPr>
          <w:rFonts w:ascii="Book Antiqua" w:eastAsia="SimSun" w:hAnsi="Book Antiqua" w:cs="SimSun"/>
          <w:bdr w:val="none" w:sz="0" w:space="0" w:color="auto"/>
          <w:lang w:val="en-US" w:eastAsia="zh-CN"/>
        </w:rPr>
        <w:t>: 1205-1212 [PMID: 20598574 DOI: 10.1016/j.jvir.2010.04.012PMID: ]</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66 </w:t>
      </w:r>
      <w:r w:rsidRPr="006B1665">
        <w:rPr>
          <w:rFonts w:ascii="Book Antiqua" w:eastAsia="SimSun" w:hAnsi="Book Antiqua" w:cs="SimSun"/>
          <w:b/>
          <w:bCs/>
          <w:bdr w:val="none" w:sz="0" w:space="0" w:color="auto"/>
          <w:lang w:val="en-US" w:eastAsia="zh-CN"/>
        </w:rPr>
        <w:t>Edeline J</w:t>
      </w:r>
      <w:r w:rsidRPr="006B1665">
        <w:rPr>
          <w:rFonts w:ascii="Book Antiqua" w:eastAsia="SimSun" w:hAnsi="Book Antiqua" w:cs="SimSun"/>
          <w:bdr w:val="none" w:sz="0" w:space="0" w:color="auto"/>
          <w:lang w:val="en-US" w:eastAsia="zh-CN"/>
        </w:rPr>
        <w:t>, Crouzet L, Campillo-Gimenez B, Rolland Y, Pracht M, Guillygomarc'h A, Boudjema K, Lenoir L, Adhoute X, Rohou T, Boucher E, Clément B, Blanc JF, Garin E. Selective internal radiation therapy compared with sorafenib for hepatocellular carcinoma with portal vein thrombosis. </w:t>
      </w:r>
      <w:r w:rsidRPr="006B1665">
        <w:rPr>
          <w:rFonts w:ascii="Book Antiqua" w:eastAsia="SimSun" w:hAnsi="Book Antiqua" w:cs="SimSun"/>
          <w:i/>
          <w:iCs/>
          <w:bdr w:val="none" w:sz="0" w:space="0" w:color="auto"/>
          <w:lang w:val="en-US" w:eastAsia="zh-CN"/>
        </w:rPr>
        <w:t>Eur J Nucl Med Mol Imaging</w:t>
      </w:r>
      <w:r w:rsidRPr="006B1665">
        <w:rPr>
          <w:rFonts w:ascii="Book Antiqua" w:eastAsia="SimSun" w:hAnsi="Book Antiqua" w:cs="SimSun"/>
          <w:bdr w:val="none" w:sz="0" w:space="0" w:color="auto"/>
          <w:lang w:val="en-US" w:eastAsia="zh-CN"/>
        </w:rPr>
        <w:t> 2016; </w:t>
      </w:r>
      <w:r w:rsidRPr="006B1665">
        <w:rPr>
          <w:rFonts w:ascii="Book Antiqua" w:eastAsia="SimSun" w:hAnsi="Book Antiqua" w:cs="SimSun"/>
          <w:b/>
          <w:bCs/>
          <w:bdr w:val="none" w:sz="0" w:space="0" w:color="auto"/>
          <w:lang w:val="en-US" w:eastAsia="zh-CN"/>
        </w:rPr>
        <w:t>43</w:t>
      </w:r>
      <w:r w:rsidRPr="006B1665">
        <w:rPr>
          <w:rFonts w:ascii="Book Antiqua" w:eastAsia="SimSun" w:hAnsi="Book Antiqua" w:cs="SimSun"/>
          <w:bdr w:val="none" w:sz="0" w:space="0" w:color="auto"/>
          <w:lang w:val="en-US" w:eastAsia="zh-CN"/>
        </w:rPr>
        <w:t>: 635-643 [PMID: 26455499 DOI: 10.1007/s00259-015-3210-7]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67 </w:t>
      </w:r>
      <w:r w:rsidRPr="006B1665">
        <w:rPr>
          <w:rFonts w:ascii="Book Antiqua" w:eastAsia="SimSun" w:hAnsi="Book Antiqua" w:cs="SimSun"/>
          <w:b/>
          <w:bCs/>
          <w:bdr w:val="none" w:sz="0" w:space="0" w:color="auto"/>
          <w:lang w:val="en-US" w:eastAsia="zh-CN"/>
        </w:rPr>
        <w:t>Ricke J</w:t>
      </w:r>
      <w:r w:rsidRPr="006B1665">
        <w:rPr>
          <w:rFonts w:ascii="Book Antiqua" w:eastAsia="SimSun" w:hAnsi="Book Antiqua" w:cs="SimSun"/>
          <w:bdr w:val="none" w:sz="0" w:space="0" w:color="auto"/>
          <w:lang w:val="en-US" w:eastAsia="zh-CN"/>
        </w:rPr>
        <w:t>, Bulla K, Kolligs F, Peck-Radosavljevic M, Reimer P, Sangro B, Schott E, Schütte K, Verslype C, Walecki J, Malfertheiner P. Safety and toxicity of radioembolization plus Sorafenib in advanced hepatocellular carcinoma: analysis of the European multicentre trial SORAMIC. </w:t>
      </w:r>
      <w:r w:rsidRPr="006B1665">
        <w:rPr>
          <w:rFonts w:ascii="Book Antiqua" w:eastAsia="SimSun" w:hAnsi="Book Antiqua" w:cs="SimSun"/>
          <w:i/>
          <w:iCs/>
          <w:bdr w:val="none" w:sz="0" w:space="0" w:color="auto"/>
          <w:lang w:val="en-US" w:eastAsia="zh-CN"/>
        </w:rPr>
        <w:t>Liver Int</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35</w:t>
      </w:r>
      <w:r w:rsidRPr="006B1665">
        <w:rPr>
          <w:rFonts w:ascii="Book Antiqua" w:eastAsia="SimSun" w:hAnsi="Book Antiqua" w:cs="SimSun"/>
          <w:bdr w:val="none" w:sz="0" w:space="0" w:color="auto"/>
          <w:lang w:val="en-US" w:eastAsia="zh-CN"/>
        </w:rPr>
        <w:t>: 620-626 [PMID: 24930619 DOI: 10.1111/liv.12622]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68 </w:t>
      </w:r>
      <w:r w:rsidRPr="006B1665">
        <w:rPr>
          <w:rFonts w:ascii="Book Antiqua" w:eastAsia="SimSun" w:hAnsi="Book Antiqua" w:cs="SimSun"/>
          <w:b/>
          <w:bCs/>
          <w:bdr w:val="none" w:sz="0" w:space="0" w:color="auto"/>
          <w:lang w:val="en-US" w:eastAsia="zh-CN"/>
        </w:rPr>
        <w:t>Sacco R</w:t>
      </w:r>
      <w:r w:rsidRPr="006B1665">
        <w:rPr>
          <w:rFonts w:ascii="Book Antiqua" w:eastAsia="SimSun" w:hAnsi="Book Antiqua" w:cs="SimSun"/>
          <w:bdr w:val="none" w:sz="0" w:space="0" w:color="auto"/>
          <w:lang w:val="en-US" w:eastAsia="zh-CN"/>
        </w:rPr>
        <w:t>, Faggioni L, Bargellini I, Ginanni B, Battaglia V, Romano A, Bertini M, Bresci G, Bartolozzi C. Assessment of response to sorafenib in advanced hepatocellular carcinoma using perfusion computed tomography: results of a pilot study. </w:t>
      </w:r>
      <w:r w:rsidRPr="006B1665">
        <w:rPr>
          <w:rFonts w:ascii="Book Antiqua" w:eastAsia="SimSun" w:hAnsi="Book Antiqua" w:cs="SimSun"/>
          <w:i/>
          <w:iCs/>
          <w:bdr w:val="none" w:sz="0" w:space="0" w:color="auto"/>
          <w:lang w:val="en-US" w:eastAsia="zh-CN"/>
        </w:rPr>
        <w:t>Dig Liver Dis</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45</w:t>
      </w:r>
      <w:r w:rsidRPr="006B1665">
        <w:rPr>
          <w:rFonts w:ascii="Book Antiqua" w:eastAsia="SimSun" w:hAnsi="Book Antiqua" w:cs="SimSun"/>
          <w:bdr w:val="none" w:sz="0" w:space="0" w:color="auto"/>
          <w:lang w:val="en-US" w:eastAsia="zh-CN"/>
        </w:rPr>
        <w:t>: 776-781 [PMID: 23578581 DOI: 10.1016/j.dld.2013.03.004]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69 </w:t>
      </w:r>
      <w:r w:rsidRPr="006B1665">
        <w:rPr>
          <w:rFonts w:ascii="Book Antiqua" w:eastAsia="SimSun" w:hAnsi="Book Antiqua" w:cs="SimSun"/>
          <w:b/>
          <w:bCs/>
          <w:bdr w:val="none" w:sz="0" w:space="0" w:color="auto"/>
          <w:lang w:val="en-US" w:eastAsia="zh-CN"/>
        </w:rPr>
        <w:t>Lencioni R</w:t>
      </w:r>
      <w:r w:rsidRPr="006B1665">
        <w:rPr>
          <w:rFonts w:ascii="Book Antiqua" w:eastAsia="SimSun" w:hAnsi="Book Antiqua" w:cs="SimSun"/>
          <w:bdr w:val="none" w:sz="0" w:space="0" w:color="auto"/>
          <w:lang w:val="en-US" w:eastAsia="zh-CN"/>
        </w:rPr>
        <w:t>, Llovet JM. Modified RECIST (mRECIST) assessment for hepatocellular carcinoma. </w:t>
      </w:r>
      <w:r w:rsidRPr="006B1665">
        <w:rPr>
          <w:rFonts w:ascii="Book Antiqua" w:eastAsia="SimSun" w:hAnsi="Book Antiqua" w:cs="SimSun"/>
          <w:i/>
          <w:iCs/>
          <w:bdr w:val="none" w:sz="0" w:space="0" w:color="auto"/>
          <w:lang w:val="en-US" w:eastAsia="zh-CN"/>
        </w:rPr>
        <w:t>Semin Liver Dis</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30</w:t>
      </w:r>
      <w:r w:rsidRPr="006B1665">
        <w:rPr>
          <w:rFonts w:ascii="Book Antiqua" w:eastAsia="SimSun" w:hAnsi="Book Antiqua" w:cs="SimSun"/>
          <w:bdr w:val="none" w:sz="0" w:space="0" w:color="auto"/>
          <w:lang w:val="en-US" w:eastAsia="zh-CN"/>
        </w:rPr>
        <w:t>: 52-60 [PMID: 20175033 DOI: 10.1055/s-0030-1247132]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lastRenderedPageBreak/>
        <w:t>70 </w:t>
      </w:r>
      <w:r w:rsidRPr="006B1665">
        <w:rPr>
          <w:rFonts w:ascii="Book Antiqua" w:eastAsia="SimSun" w:hAnsi="Book Antiqua" w:cs="SimSun"/>
          <w:b/>
          <w:bCs/>
          <w:bdr w:val="none" w:sz="0" w:space="0" w:color="auto"/>
          <w:lang w:val="en-US" w:eastAsia="zh-CN"/>
        </w:rPr>
        <w:t>Bruix J</w:t>
      </w:r>
      <w:r w:rsidRPr="006B1665">
        <w:rPr>
          <w:rFonts w:ascii="Book Antiqua" w:eastAsia="SimSun" w:hAnsi="Book Antiqua" w:cs="SimSun"/>
          <w:bdr w:val="none" w:sz="0" w:space="0" w:color="auto"/>
          <w:lang w:val="en-US" w:eastAsia="zh-CN"/>
        </w:rPr>
        <w:t>, Gores GJ, Mazzaferro V. Hepatocellular carcinoma: clinical frontiers and perspectives. </w:t>
      </w:r>
      <w:r w:rsidRPr="006B1665">
        <w:rPr>
          <w:rFonts w:ascii="Book Antiqua" w:eastAsia="SimSun" w:hAnsi="Book Antiqua" w:cs="SimSun"/>
          <w:i/>
          <w:iCs/>
          <w:bdr w:val="none" w:sz="0" w:space="0" w:color="auto"/>
          <w:lang w:val="en-US" w:eastAsia="zh-CN"/>
        </w:rPr>
        <w:t>Gut</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63</w:t>
      </w:r>
      <w:r w:rsidRPr="006B1665">
        <w:rPr>
          <w:rFonts w:ascii="Book Antiqua" w:eastAsia="SimSun" w:hAnsi="Book Antiqua" w:cs="SimSun"/>
          <w:bdr w:val="none" w:sz="0" w:space="0" w:color="auto"/>
          <w:lang w:val="en-US" w:eastAsia="zh-CN"/>
        </w:rPr>
        <w:t>: 844-855 [PMID: 24531850 DOI: 10.1136/gutjnl-2013-306627]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71 </w:t>
      </w:r>
      <w:r w:rsidRPr="006B1665">
        <w:rPr>
          <w:rFonts w:ascii="Book Antiqua" w:eastAsia="SimSun" w:hAnsi="Book Antiqua" w:cs="SimSun"/>
          <w:b/>
          <w:bCs/>
          <w:bdr w:val="none" w:sz="0" w:space="0" w:color="auto"/>
          <w:lang w:val="en-US" w:eastAsia="zh-CN"/>
        </w:rPr>
        <w:t>Wilhelm SM</w:t>
      </w:r>
      <w:r w:rsidRPr="006B1665">
        <w:rPr>
          <w:rFonts w:ascii="Book Antiqua" w:eastAsia="SimSun" w:hAnsi="Book Antiqua" w:cs="SimSun"/>
          <w:bdr w:val="none" w:sz="0" w:space="0" w:color="auto"/>
          <w:lang w:val="en-US" w:eastAsia="zh-CN"/>
        </w:rPr>
        <w:t>, Carter C, Tang L, Wilkie D, McNabola A, Rong H, Chen C, Zhang X, Vincent P, McHugh M, Cao Y, Shujath J, Gawlak S, Eveleigh D, Rowley B, Liu L, Adnane L, Lynch M, Auclair D, Taylor I, Gedrich R, Voznesensky A, Riedl B, Post LE, Bollag G, Trail PA. BAY 43-9006 exhibits broad spectrum oral antitumor activity and targets the RAF/MEK/ERK pathway and receptor tyrosine kinases involved in tumor progression and angiogenesis. </w:t>
      </w:r>
      <w:r w:rsidRPr="006B1665">
        <w:rPr>
          <w:rFonts w:ascii="Book Antiqua" w:eastAsia="SimSun" w:hAnsi="Book Antiqua" w:cs="SimSun"/>
          <w:i/>
          <w:iCs/>
          <w:bdr w:val="none" w:sz="0" w:space="0" w:color="auto"/>
          <w:lang w:val="en-US" w:eastAsia="zh-CN"/>
        </w:rPr>
        <w:t>Cancer Res</w:t>
      </w:r>
      <w:r w:rsidRPr="006B1665">
        <w:rPr>
          <w:rFonts w:ascii="Book Antiqua" w:eastAsia="SimSun" w:hAnsi="Book Antiqua" w:cs="SimSun"/>
          <w:bdr w:val="none" w:sz="0" w:space="0" w:color="auto"/>
          <w:lang w:val="en-US" w:eastAsia="zh-CN"/>
        </w:rPr>
        <w:t> 2004; </w:t>
      </w:r>
      <w:r w:rsidRPr="006B1665">
        <w:rPr>
          <w:rFonts w:ascii="Book Antiqua" w:eastAsia="SimSun" w:hAnsi="Book Antiqua" w:cs="SimSun"/>
          <w:b/>
          <w:bCs/>
          <w:bdr w:val="none" w:sz="0" w:space="0" w:color="auto"/>
          <w:lang w:val="en-US" w:eastAsia="zh-CN"/>
        </w:rPr>
        <w:t>64</w:t>
      </w:r>
      <w:r w:rsidRPr="006B1665">
        <w:rPr>
          <w:rFonts w:ascii="Book Antiqua" w:eastAsia="SimSun" w:hAnsi="Book Antiqua" w:cs="SimSun"/>
          <w:bdr w:val="none" w:sz="0" w:space="0" w:color="auto"/>
          <w:lang w:val="en-US" w:eastAsia="zh-CN"/>
        </w:rPr>
        <w:t>: 7099-7109 [PMID: 15466206 DOI: 10.1158/0008-5472.CAN-04-1443]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72 </w:t>
      </w:r>
      <w:r w:rsidRPr="006B1665">
        <w:rPr>
          <w:rFonts w:ascii="Book Antiqua" w:eastAsia="SimSun" w:hAnsi="Book Antiqua" w:cs="SimSun"/>
          <w:b/>
          <w:bCs/>
          <w:bdr w:val="none" w:sz="0" w:space="0" w:color="auto"/>
          <w:lang w:val="en-US" w:eastAsia="zh-CN"/>
        </w:rPr>
        <w:t>Arizumi T</w:t>
      </w:r>
      <w:r w:rsidRPr="006B1665">
        <w:rPr>
          <w:rFonts w:ascii="Book Antiqua" w:eastAsia="SimSun" w:hAnsi="Book Antiqua" w:cs="SimSun"/>
          <w:bdr w:val="none" w:sz="0" w:space="0" w:color="auto"/>
          <w:lang w:val="en-US" w:eastAsia="zh-CN"/>
        </w:rPr>
        <w:t>, Ueshima K, Takeda H, Osaki Y, Takita M, Inoue T, Kitai S, Yada N, Hagiwara S, Minami Y, Sakurai T, Nishida N, Kudo M. Comparison of systems for assessment of post-therapeutic response to sorafenib for hepatocellular carcinoma. </w:t>
      </w:r>
      <w:r w:rsidRPr="006B1665">
        <w:rPr>
          <w:rFonts w:ascii="Book Antiqua" w:eastAsia="SimSun" w:hAnsi="Book Antiqua" w:cs="SimSun"/>
          <w:i/>
          <w:iCs/>
          <w:bdr w:val="none" w:sz="0" w:space="0" w:color="auto"/>
          <w:lang w:val="en-US" w:eastAsia="zh-CN"/>
        </w:rPr>
        <w:t>J Gastroenterol</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49</w:t>
      </w:r>
      <w:r w:rsidRPr="006B1665">
        <w:rPr>
          <w:rFonts w:ascii="Book Antiqua" w:eastAsia="SimSun" w:hAnsi="Book Antiqua" w:cs="SimSun"/>
          <w:bdr w:val="none" w:sz="0" w:space="0" w:color="auto"/>
          <w:lang w:val="en-US" w:eastAsia="zh-CN"/>
        </w:rPr>
        <w:t>: 1578-1587 [PMID: 24499826 DOI: 10.1007/s00535-014-0936-0]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73 </w:t>
      </w:r>
      <w:r w:rsidRPr="006B1665">
        <w:rPr>
          <w:rFonts w:ascii="Book Antiqua" w:eastAsia="SimSun" w:hAnsi="Book Antiqua" w:cs="SimSun"/>
          <w:b/>
          <w:bCs/>
          <w:bdr w:val="none" w:sz="0" w:space="0" w:color="auto"/>
          <w:lang w:val="en-US" w:eastAsia="zh-CN"/>
        </w:rPr>
        <w:t>Tirkes T</w:t>
      </w:r>
      <w:r w:rsidRPr="006B1665">
        <w:rPr>
          <w:rFonts w:ascii="Book Antiqua" w:eastAsia="SimSun" w:hAnsi="Book Antiqua" w:cs="SimSun"/>
          <w:bdr w:val="none" w:sz="0" w:space="0" w:color="auto"/>
          <w:lang w:val="en-US" w:eastAsia="zh-CN"/>
        </w:rPr>
        <w:t>, Hollar MA, Tann M, Kohli MD, Akisik F, Sandrasegaran K. Response criteria in oncologic imaging: review of traditional and new criteria. </w:t>
      </w:r>
      <w:r w:rsidRPr="006B1665">
        <w:rPr>
          <w:rFonts w:ascii="Book Antiqua" w:eastAsia="SimSun" w:hAnsi="Book Antiqua" w:cs="SimSun"/>
          <w:i/>
          <w:iCs/>
          <w:bdr w:val="none" w:sz="0" w:space="0" w:color="auto"/>
          <w:lang w:val="en-US" w:eastAsia="zh-CN"/>
        </w:rPr>
        <w:t>Radiographics</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hint="eastAsia"/>
          <w:bdr w:val="none" w:sz="0" w:space="0" w:color="auto"/>
          <w:lang w:val="en-US" w:eastAsia="zh-CN"/>
        </w:rPr>
        <w:t>2013</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b/>
          <w:bCs/>
          <w:bdr w:val="none" w:sz="0" w:space="0" w:color="auto"/>
          <w:lang w:val="en-US" w:eastAsia="zh-CN"/>
        </w:rPr>
        <w:t>33</w:t>
      </w:r>
      <w:r w:rsidRPr="006B1665">
        <w:rPr>
          <w:rFonts w:ascii="Book Antiqua" w:eastAsia="SimSun" w:hAnsi="Book Antiqua" w:cs="SimSun"/>
          <w:bdr w:val="none" w:sz="0" w:space="0" w:color="auto"/>
          <w:lang w:val="en-US" w:eastAsia="zh-CN"/>
        </w:rPr>
        <w:t>: 1323-1341 [PMID: 24025927 DOI: 10.1148/rg.335125214]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74 </w:t>
      </w:r>
      <w:r w:rsidRPr="006B1665">
        <w:rPr>
          <w:rFonts w:ascii="Book Antiqua" w:eastAsia="SimSun" w:hAnsi="Book Antiqua" w:cs="SimSun"/>
          <w:b/>
          <w:bCs/>
          <w:bdr w:val="none" w:sz="0" w:space="0" w:color="auto"/>
          <w:lang w:val="en-US" w:eastAsia="zh-CN"/>
        </w:rPr>
        <w:t>Edeline J</w:t>
      </w:r>
      <w:r w:rsidRPr="006B1665">
        <w:rPr>
          <w:rFonts w:ascii="Book Antiqua" w:eastAsia="SimSun" w:hAnsi="Book Antiqua" w:cs="SimSun"/>
          <w:bdr w:val="none" w:sz="0" w:space="0" w:color="auto"/>
          <w:lang w:val="en-US" w:eastAsia="zh-CN"/>
        </w:rPr>
        <w:t>, Boucher E, Rolland Y, Vauléon E, Pracht M, Perrin C, Le Roux C, Raoul JL. Comparison of tumor response by Response Evaluation Criteria in Solid Tumors (RECIST) and modified RECIST in patients treated with sorafenib for hepatocellular carcinoma. </w:t>
      </w:r>
      <w:r w:rsidRPr="006B1665">
        <w:rPr>
          <w:rFonts w:ascii="Book Antiqua" w:eastAsia="SimSun" w:hAnsi="Book Antiqua" w:cs="SimSun"/>
          <w:i/>
          <w:iCs/>
          <w:bdr w:val="none" w:sz="0" w:space="0" w:color="auto"/>
          <w:lang w:val="en-US" w:eastAsia="zh-CN"/>
        </w:rPr>
        <w:t>Cancer</w:t>
      </w:r>
      <w:r w:rsidRPr="006B1665">
        <w:rPr>
          <w:rFonts w:ascii="Book Antiqua" w:eastAsia="SimSun" w:hAnsi="Book Antiqua" w:cs="SimSun"/>
          <w:bdr w:val="none" w:sz="0" w:space="0" w:color="auto"/>
          <w:lang w:val="en-US" w:eastAsia="zh-CN"/>
        </w:rPr>
        <w:t> 2012; </w:t>
      </w:r>
      <w:r w:rsidRPr="006B1665">
        <w:rPr>
          <w:rFonts w:ascii="Book Antiqua" w:eastAsia="SimSun" w:hAnsi="Book Antiqua" w:cs="SimSun"/>
          <w:b/>
          <w:bCs/>
          <w:bdr w:val="none" w:sz="0" w:space="0" w:color="auto"/>
          <w:lang w:val="en-US" w:eastAsia="zh-CN"/>
        </w:rPr>
        <w:t>118</w:t>
      </w:r>
      <w:r w:rsidRPr="006B1665">
        <w:rPr>
          <w:rFonts w:ascii="Book Antiqua" w:eastAsia="SimSun" w:hAnsi="Book Antiqua" w:cs="SimSun"/>
          <w:bdr w:val="none" w:sz="0" w:space="0" w:color="auto"/>
          <w:lang w:val="en-US" w:eastAsia="zh-CN"/>
        </w:rPr>
        <w:t>: 147-156 [PMID: 21713764 DOI: 10.1002/cncr.26255]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75 </w:t>
      </w:r>
      <w:r w:rsidRPr="006B1665">
        <w:rPr>
          <w:rFonts w:ascii="Book Antiqua" w:eastAsia="SimSun" w:hAnsi="Book Antiqua" w:cs="SimSun"/>
          <w:b/>
          <w:bCs/>
          <w:bdr w:val="none" w:sz="0" w:space="0" w:color="auto"/>
          <w:lang w:val="en-US" w:eastAsia="zh-CN"/>
        </w:rPr>
        <w:t>Jung ES</w:t>
      </w:r>
      <w:r w:rsidRPr="006B1665">
        <w:rPr>
          <w:rFonts w:ascii="Book Antiqua" w:eastAsia="SimSun" w:hAnsi="Book Antiqua" w:cs="SimSun"/>
          <w:bdr w:val="none" w:sz="0" w:space="0" w:color="auto"/>
          <w:lang w:val="en-US" w:eastAsia="zh-CN"/>
        </w:rPr>
        <w:t>, Kim JH, Yoon EL, Lee HJ, Lee SJ, Suh SJ, Lee BJ, Seo YS, Yim HJ, Seo TS, Lee CH, Yeon JE, Park JJ, Kim JS, Bak YT, Byun KS. Comparison of the methods for tumor response assessment in patients with hepatocellular carcinoma undergoing transarterial chemoembolization. </w:t>
      </w:r>
      <w:r w:rsidRPr="006B1665">
        <w:rPr>
          <w:rFonts w:ascii="Book Antiqua" w:eastAsia="SimSun" w:hAnsi="Book Antiqua" w:cs="SimSun"/>
          <w:i/>
          <w:iCs/>
          <w:bdr w:val="none" w:sz="0" w:space="0" w:color="auto"/>
          <w:lang w:val="en-US" w:eastAsia="zh-CN"/>
        </w:rPr>
        <w:t>J Hepatol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58</w:t>
      </w:r>
      <w:r w:rsidRPr="006B1665">
        <w:rPr>
          <w:rFonts w:ascii="Book Antiqua" w:eastAsia="SimSun" w:hAnsi="Book Antiqua" w:cs="SimSun"/>
          <w:bdr w:val="none" w:sz="0" w:space="0" w:color="auto"/>
          <w:lang w:val="en-US" w:eastAsia="zh-CN"/>
        </w:rPr>
        <w:t>: 1181-1187 [PMID: 23395691 DOI: 10.1016/j.jhep.2013.01.039]</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76 </w:t>
      </w:r>
      <w:r w:rsidRPr="006B1665">
        <w:rPr>
          <w:rFonts w:ascii="Book Antiqua" w:eastAsia="SimSun" w:hAnsi="Book Antiqua" w:cs="SimSun"/>
          <w:b/>
          <w:bCs/>
          <w:bdr w:val="none" w:sz="0" w:space="0" w:color="auto"/>
          <w:lang w:val="en-US" w:eastAsia="zh-CN"/>
        </w:rPr>
        <w:t>Kawaoka T</w:t>
      </w:r>
      <w:r w:rsidRPr="006B1665">
        <w:rPr>
          <w:rFonts w:ascii="Book Antiqua" w:eastAsia="SimSun" w:hAnsi="Book Antiqua" w:cs="SimSun"/>
          <w:bdr w:val="none" w:sz="0" w:space="0" w:color="auto"/>
          <w:lang w:val="en-US" w:eastAsia="zh-CN"/>
        </w:rPr>
        <w:t>, Aikata H, Murakami E, Nakahara T, Naeshiro N, Tanaka M, Honda Y, Miyaki D, Nagaoki Y, Takaki S, Hiramatsu A, Waki K, Takahashi S, Chayama K. Evaluation of the mRECIST and α-fetoprotein ratio for stratification of the prognosis of advanced-hepatocellular-carcinoma patients treated with sorafenib. </w:t>
      </w:r>
      <w:r w:rsidRPr="006B1665">
        <w:rPr>
          <w:rFonts w:ascii="Book Antiqua" w:eastAsia="SimSun" w:hAnsi="Book Antiqua" w:cs="SimSun"/>
          <w:i/>
          <w:iCs/>
          <w:bdr w:val="none" w:sz="0" w:space="0" w:color="auto"/>
          <w:lang w:val="en-US" w:eastAsia="zh-CN"/>
        </w:rPr>
        <w:t>Oncology</w:t>
      </w:r>
      <w:r w:rsidRPr="006B1665">
        <w:rPr>
          <w:rFonts w:ascii="Book Antiqua" w:eastAsia="SimSun" w:hAnsi="Book Antiqua" w:cs="SimSun"/>
          <w:bdr w:val="none" w:sz="0" w:space="0" w:color="auto"/>
          <w:lang w:val="en-US" w:eastAsia="zh-CN"/>
        </w:rPr>
        <w:t> 2012; </w:t>
      </w:r>
      <w:r w:rsidRPr="006B1665">
        <w:rPr>
          <w:rFonts w:ascii="Book Antiqua" w:eastAsia="SimSun" w:hAnsi="Book Antiqua" w:cs="SimSun"/>
          <w:b/>
          <w:bCs/>
          <w:bdr w:val="none" w:sz="0" w:space="0" w:color="auto"/>
          <w:lang w:val="en-US" w:eastAsia="zh-CN"/>
        </w:rPr>
        <w:t>83</w:t>
      </w:r>
      <w:r w:rsidRPr="006B1665">
        <w:rPr>
          <w:rFonts w:ascii="Book Antiqua" w:eastAsia="SimSun" w:hAnsi="Book Antiqua" w:cs="SimSun"/>
          <w:bdr w:val="none" w:sz="0" w:space="0" w:color="auto"/>
          <w:lang w:val="en-US" w:eastAsia="zh-CN"/>
        </w:rPr>
        <w:t>: 192-200 [PMID: 22890083 DOI: 10.1159/000341347]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77 </w:t>
      </w:r>
      <w:r w:rsidRPr="006B1665">
        <w:rPr>
          <w:rFonts w:ascii="Book Antiqua" w:eastAsia="SimSun" w:hAnsi="Book Antiqua" w:cs="SimSun"/>
          <w:b/>
          <w:bCs/>
          <w:bdr w:val="none" w:sz="0" w:space="0" w:color="auto"/>
          <w:lang w:val="en-US" w:eastAsia="zh-CN"/>
        </w:rPr>
        <w:t>Horger M</w:t>
      </w:r>
      <w:r w:rsidRPr="006B1665">
        <w:rPr>
          <w:rFonts w:ascii="Book Antiqua" w:eastAsia="SimSun" w:hAnsi="Book Antiqua" w:cs="SimSun"/>
          <w:bdr w:val="none" w:sz="0" w:space="0" w:color="auto"/>
          <w:lang w:val="en-US" w:eastAsia="zh-CN"/>
        </w:rPr>
        <w:t xml:space="preserve">, Lauer UM, Schraml C, Berg CP, Koppenhöfer U, Claussen CD, Gregor M, Bitzer M. Early MRI response monitoring of patients with advanced hepatocellular </w:t>
      </w:r>
      <w:r w:rsidRPr="006B1665">
        <w:rPr>
          <w:rFonts w:ascii="Book Antiqua" w:eastAsia="SimSun" w:hAnsi="Book Antiqua" w:cs="SimSun"/>
          <w:bdr w:val="none" w:sz="0" w:space="0" w:color="auto"/>
          <w:lang w:val="en-US" w:eastAsia="zh-CN"/>
        </w:rPr>
        <w:lastRenderedPageBreak/>
        <w:t>carcinoma under treatment with the multikinase inhibitor sorafenib. </w:t>
      </w:r>
      <w:r w:rsidRPr="006B1665">
        <w:rPr>
          <w:rFonts w:ascii="Book Antiqua" w:eastAsia="SimSun" w:hAnsi="Book Antiqua" w:cs="SimSun"/>
          <w:i/>
          <w:iCs/>
          <w:bdr w:val="none" w:sz="0" w:space="0" w:color="auto"/>
          <w:lang w:val="en-US" w:eastAsia="zh-CN"/>
        </w:rPr>
        <w:t>BMC Cancer</w:t>
      </w:r>
      <w:r w:rsidRPr="006B1665">
        <w:rPr>
          <w:rFonts w:ascii="Book Antiqua" w:eastAsia="SimSun" w:hAnsi="Book Antiqua" w:cs="SimSun"/>
          <w:bdr w:val="none" w:sz="0" w:space="0" w:color="auto"/>
          <w:lang w:val="en-US" w:eastAsia="zh-CN"/>
        </w:rPr>
        <w:t> 2009; </w:t>
      </w:r>
      <w:r w:rsidRPr="006B1665">
        <w:rPr>
          <w:rFonts w:ascii="Book Antiqua" w:eastAsia="SimSun" w:hAnsi="Book Antiqua" w:cs="SimSun"/>
          <w:b/>
          <w:bCs/>
          <w:bdr w:val="none" w:sz="0" w:space="0" w:color="auto"/>
          <w:lang w:val="en-US" w:eastAsia="zh-CN"/>
        </w:rPr>
        <w:t>9</w:t>
      </w:r>
      <w:r w:rsidRPr="006B1665">
        <w:rPr>
          <w:rFonts w:ascii="Book Antiqua" w:eastAsia="SimSun" w:hAnsi="Book Antiqua" w:cs="SimSun"/>
          <w:bdr w:val="none" w:sz="0" w:space="0" w:color="auto"/>
          <w:lang w:val="en-US" w:eastAsia="zh-CN"/>
        </w:rPr>
        <w:t>: 208 [PMID: 19558720 DOI: 10.1186/1471-2407-9-208]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78 </w:t>
      </w:r>
      <w:r w:rsidRPr="006B1665">
        <w:rPr>
          <w:rFonts w:ascii="Book Antiqua" w:eastAsia="SimSun" w:hAnsi="Book Antiqua" w:cs="SimSun"/>
          <w:b/>
          <w:bCs/>
          <w:bdr w:val="none" w:sz="0" w:space="0" w:color="auto"/>
          <w:lang w:val="en-US" w:eastAsia="zh-CN"/>
        </w:rPr>
        <w:t>Choi H</w:t>
      </w:r>
      <w:r w:rsidRPr="006B1665">
        <w:rPr>
          <w:rFonts w:ascii="Book Antiqua" w:eastAsia="SimSun" w:hAnsi="Book Antiqua" w:cs="SimSun"/>
          <w:bdr w:val="none" w:sz="0" w:space="0" w:color="auto"/>
          <w:lang w:val="en-US" w:eastAsia="zh-CN"/>
        </w:rPr>
        <w:t>. Response evaluation of gastrointestinal stromal tumors. </w:t>
      </w:r>
      <w:r w:rsidRPr="006B1665">
        <w:rPr>
          <w:rFonts w:ascii="Book Antiqua" w:eastAsia="SimSun" w:hAnsi="Book Antiqua" w:cs="SimSun"/>
          <w:i/>
          <w:iCs/>
          <w:bdr w:val="none" w:sz="0" w:space="0" w:color="auto"/>
          <w:lang w:val="en-US" w:eastAsia="zh-CN"/>
        </w:rPr>
        <w:t>Oncologist</w:t>
      </w:r>
      <w:r w:rsidRPr="006B1665">
        <w:rPr>
          <w:rFonts w:ascii="Book Antiqua" w:eastAsia="SimSun" w:hAnsi="Book Antiqua" w:cs="SimSun"/>
          <w:bdr w:val="none" w:sz="0" w:space="0" w:color="auto"/>
          <w:lang w:val="en-US" w:eastAsia="zh-CN"/>
        </w:rPr>
        <w:t> 2008; </w:t>
      </w:r>
      <w:r w:rsidRPr="006B1665">
        <w:rPr>
          <w:rFonts w:ascii="Book Antiqua" w:eastAsia="SimSun" w:hAnsi="Book Antiqua" w:cs="SimSun"/>
          <w:b/>
          <w:bCs/>
          <w:bdr w:val="none" w:sz="0" w:space="0" w:color="auto"/>
          <w:lang w:val="en-US" w:eastAsia="zh-CN"/>
        </w:rPr>
        <w:t>13 Suppl 2</w:t>
      </w:r>
      <w:r w:rsidRPr="006B1665">
        <w:rPr>
          <w:rFonts w:ascii="Book Antiqua" w:eastAsia="SimSun" w:hAnsi="Book Antiqua" w:cs="SimSun"/>
          <w:bdr w:val="none" w:sz="0" w:space="0" w:color="auto"/>
          <w:lang w:val="en-US" w:eastAsia="zh-CN"/>
        </w:rPr>
        <w:t>: 4-7 [PMID: 18434631 DOI: 10.1634/theoncologist.13-S2-4]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79 </w:t>
      </w:r>
      <w:r w:rsidRPr="006B1665">
        <w:rPr>
          <w:rFonts w:ascii="Book Antiqua" w:eastAsia="SimSun" w:hAnsi="Book Antiqua" w:cs="SimSun"/>
          <w:b/>
          <w:bCs/>
          <w:bdr w:val="none" w:sz="0" w:space="0" w:color="auto"/>
          <w:lang w:val="en-US" w:eastAsia="zh-CN"/>
        </w:rPr>
        <w:t>Zhao B</w:t>
      </w:r>
      <w:r w:rsidRPr="006B1665">
        <w:rPr>
          <w:rFonts w:ascii="Book Antiqua" w:eastAsia="SimSun" w:hAnsi="Book Antiqua" w:cs="SimSun"/>
          <w:bdr w:val="none" w:sz="0" w:space="0" w:color="auto"/>
          <w:lang w:val="en-US" w:eastAsia="zh-CN"/>
        </w:rPr>
        <w:t>, Schwartz LH, Jiang L, Colville J, Moskowitz C, Wang L, Leftowitz R, Liu F, Kalaigian J. Shape-constraint region growing for delineation of hepatic metastases on contrast-enhanced computed tomograph scans. </w:t>
      </w:r>
      <w:r w:rsidRPr="006B1665">
        <w:rPr>
          <w:rFonts w:ascii="Book Antiqua" w:eastAsia="SimSun" w:hAnsi="Book Antiqua" w:cs="SimSun"/>
          <w:i/>
          <w:iCs/>
          <w:bdr w:val="none" w:sz="0" w:space="0" w:color="auto"/>
          <w:lang w:val="en-US" w:eastAsia="zh-CN"/>
        </w:rPr>
        <w:t>Invest Radiol</w:t>
      </w:r>
      <w:r w:rsidRPr="006B1665">
        <w:rPr>
          <w:rFonts w:ascii="Book Antiqua" w:eastAsia="SimSun" w:hAnsi="Book Antiqua" w:cs="SimSun"/>
          <w:bdr w:val="none" w:sz="0" w:space="0" w:color="auto"/>
          <w:lang w:val="en-US" w:eastAsia="zh-CN"/>
        </w:rPr>
        <w:t> 2006; </w:t>
      </w:r>
      <w:r w:rsidRPr="006B1665">
        <w:rPr>
          <w:rFonts w:ascii="Book Antiqua" w:eastAsia="SimSun" w:hAnsi="Book Antiqua" w:cs="SimSun"/>
          <w:b/>
          <w:bCs/>
          <w:bdr w:val="none" w:sz="0" w:space="0" w:color="auto"/>
          <w:lang w:val="en-US" w:eastAsia="zh-CN"/>
        </w:rPr>
        <w:t>41</w:t>
      </w:r>
      <w:r w:rsidRPr="006B1665">
        <w:rPr>
          <w:rFonts w:ascii="Book Antiqua" w:eastAsia="SimSun" w:hAnsi="Book Antiqua" w:cs="SimSun"/>
          <w:bdr w:val="none" w:sz="0" w:space="0" w:color="auto"/>
          <w:lang w:val="en-US" w:eastAsia="zh-CN"/>
        </w:rPr>
        <w:t>: 753-762 [PMID: 16971799 DOI: 10.1097/01.rli.0000236907.81400.18]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80 </w:t>
      </w:r>
      <w:r w:rsidRPr="006B1665">
        <w:rPr>
          <w:rFonts w:ascii="Book Antiqua" w:eastAsia="SimSun" w:hAnsi="Book Antiqua" w:cs="SimSun"/>
          <w:b/>
          <w:bCs/>
          <w:bdr w:val="none" w:sz="0" w:space="0" w:color="auto"/>
          <w:lang w:val="en-US" w:eastAsia="zh-CN"/>
        </w:rPr>
        <w:t>Sacco R</w:t>
      </w:r>
      <w:r w:rsidRPr="006B1665">
        <w:rPr>
          <w:rFonts w:ascii="Book Antiqua" w:eastAsia="SimSun" w:hAnsi="Book Antiqua" w:cs="SimSun"/>
          <w:bdr w:val="none" w:sz="0" w:space="0" w:color="auto"/>
          <w:lang w:val="en-US" w:eastAsia="zh-CN"/>
        </w:rPr>
        <w:t>. Assessment of radiologic response to targeted therapies in patients with hepatocellular carcinoma. </w:t>
      </w:r>
      <w:r w:rsidRPr="006B1665">
        <w:rPr>
          <w:rFonts w:ascii="Book Antiqua" w:eastAsia="SimSun" w:hAnsi="Book Antiqua" w:cs="SimSun"/>
          <w:i/>
          <w:iCs/>
          <w:bdr w:val="none" w:sz="0" w:space="0" w:color="auto"/>
          <w:lang w:val="en-US" w:eastAsia="zh-CN"/>
        </w:rPr>
        <w:t>Future Oncol</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10</w:t>
      </w:r>
      <w:r w:rsidRPr="006B1665">
        <w:rPr>
          <w:rFonts w:ascii="Book Antiqua" w:eastAsia="SimSun" w:hAnsi="Book Antiqua" w:cs="SimSun"/>
          <w:bdr w:val="none" w:sz="0" w:space="0" w:color="auto"/>
          <w:lang w:val="en-US" w:eastAsia="zh-CN"/>
        </w:rPr>
        <w:t>: 2073-2079 [PMID: 25396778 DOI: 10.2217/fon.14.92]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81 </w:t>
      </w:r>
      <w:r w:rsidRPr="006B1665">
        <w:rPr>
          <w:rFonts w:ascii="Book Antiqua" w:eastAsia="SimSun" w:hAnsi="Book Antiqua" w:cs="SimSun"/>
          <w:b/>
          <w:bCs/>
          <w:bdr w:val="none" w:sz="0" w:space="0" w:color="auto"/>
          <w:lang w:val="en-US" w:eastAsia="zh-CN"/>
        </w:rPr>
        <w:t>Bargellini I</w:t>
      </w:r>
      <w:r w:rsidRPr="006B1665">
        <w:rPr>
          <w:rFonts w:ascii="Book Antiqua" w:eastAsia="SimSun" w:hAnsi="Book Antiqua" w:cs="SimSun"/>
          <w:bdr w:val="none" w:sz="0" w:space="0" w:color="auto"/>
          <w:lang w:val="en-US" w:eastAsia="zh-CN"/>
        </w:rPr>
        <w:t>, Scionti A, Mismas V, Masi G, Vivaldi C, Bartolozzi C, Sacco R. Identification of responders to sorafenib in hepatocellular carcinoma: is tumor volume measurement the way forward? </w:t>
      </w:r>
      <w:r w:rsidRPr="006B1665">
        <w:rPr>
          <w:rFonts w:ascii="Book Antiqua" w:eastAsia="SimSun" w:hAnsi="Book Antiqua" w:cs="SimSun"/>
          <w:i/>
          <w:iCs/>
          <w:bdr w:val="none" w:sz="0" w:space="0" w:color="auto"/>
          <w:lang w:val="en-US" w:eastAsia="zh-CN"/>
        </w:rPr>
        <w:t>Oncology</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86</w:t>
      </w:r>
      <w:r w:rsidRPr="006B1665">
        <w:rPr>
          <w:rFonts w:ascii="Book Antiqua" w:eastAsia="SimSun" w:hAnsi="Book Antiqua" w:cs="SimSun"/>
          <w:bdr w:val="none" w:sz="0" w:space="0" w:color="auto"/>
          <w:lang w:val="en-US" w:eastAsia="zh-CN"/>
        </w:rPr>
        <w:t>: 191-198 [PMID: 24800837 DOI: 10.1159/000358599]</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82 </w:t>
      </w:r>
      <w:r w:rsidRPr="006B1665">
        <w:rPr>
          <w:rFonts w:ascii="Book Antiqua" w:eastAsia="SimSun" w:hAnsi="Book Antiqua" w:cs="SimSun"/>
          <w:b/>
          <w:bCs/>
          <w:bdr w:val="none" w:sz="0" w:space="0" w:color="auto"/>
          <w:lang w:val="en-US" w:eastAsia="zh-CN"/>
        </w:rPr>
        <w:t>Choi YA</w:t>
      </w:r>
      <w:r w:rsidRPr="006B1665">
        <w:rPr>
          <w:rFonts w:ascii="Book Antiqua" w:eastAsia="SimSun" w:hAnsi="Book Antiqua" w:cs="SimSun"/>
          <w:bdr w:val="none" w:sz="0" w:space="0" w:color="auto"/>
          <w:lang w:val="en-US" w:eastAsia="zh-CN"/>
        </w:rPr>
        <w:t>, Kim CK, Park SY, Cho SW, Park BK. Subtype differentiation of renal cell carcinoma using diffusion-weighted and blood oxygenation level-dependent MRI. </w:t>
      </w:r>
      <w:r w:rsidRPr="006B1665">
        <w:rPr>
          <w:rFonts w:ascii="Book Antiqua" w:eastAsia="SimSun" w:hAnsi="Book Antiqua" w:cs="SimSun"/>
          <w:i/>
          <w:iCs/>
          <w:bdr w:val="none" w:sz="0" w:space="0" w:color="auto"/>
          <w:lang w:val="en-US" w:eastAsia="zh-CN"/>
        </w:rPr>
        <w:t>AJR Am J Roentgenol</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203</w:t>
      </w:r>
      <w:r w:rsidRPr="006B1665">
        <w:rPr>
          <w:rFonts w:ascii="Book Antiqua" w:eastAsia="SimSun" w:hAnsi="Book Antiqua" w:cs="SimSun"/>
          <w:bdr w:val="none" w:sz="0" w:space="0" w:color="auto"/>
          <w:lang w:val="en-US" w:eastAsia="zh-CN"/>
        </w:rPr>
        <w:t>: W78-W84 [PMID: 24951231 DOI: 10.2214/AJR.13.11551]</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83 </w:t>
      </w:r>
      <w:r w:rsidRPr="006B1665">
        <w:rPr>
          <w:rFonts w:ascii="Book Antiqua" w:eastAsia="SimSun" w:hAnsi="Book Antiqua" w:cs="SimSun"/>
          <w:b/>
          <w:bCs/>
          <w:bdr w:val="none" w:sz="0" w:space="0" w:color="auto"/>
          <w:lang w:val="en-US" w:eastAsia="zh-CN"/>
        </w:rPr>
        <w:t>Taouli B</w:t>
      </w:r>
      <w:r w:rsidRPr="006B1665">
        <w:rPr>
          <w:rFonts w:ascii="Book Antiqua" w:eastAsia="SimSun" w:hAnsi="Book Antiqua" w:cs="SimSun"/>
          <w:bdr w:val="none" w:sz="0" w:space="0" w:color="auto"/>
          <w:lang w:val="en-US" w:eastAsia="zh-CN"/>
        </w:rPr>
        <w:t>, Koh DM. Diffusion-weighted MR imaging of the liver. </w:t>
      </w:r>
      <w:r w:rsidRPr="006B1665">
        <w:rPr>
          <w:rFonts w:ascii="Book Antiqua" w:eastAsia="SimSun" w:hAnsi="Book Antiqua" w:cs="SimSun"/>
          <w:i/>
          <w:iCs/>
          <w:bdr w:val="none" w:sz="0" w:space="0" w:color="auto"/>
          <w:lang w:val="en-US" w:eastAsia="zh-CN"/>
        </w:rPr>
        <w:t>Radiology</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254</w:t>
      </w:r>
      <w:r w:rsidRPr="006B1665">
        <w:rPr>
          <w:rFonts w:ascii="Book Antiqua" w:eastAsia="SimSun" w:hAnsi="Book Antiqua" w:cs="SimSun"/>
          <w:bdr w:val="none" w:sz="0" w:space="0" w:color="auto"/>
          <w:lang w:val="en-US" w:eastAsia="zh-CN"/>
        </w:rPr>
        <w:t>: 47-66 [PMID: 20032142 DOI: 10.1148/radiol.09090021]</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84 </w:t>
      </w:r>
      <w:r w:rsidRPr="006B1665">
        <w:rPr>
          <w:rFonts w:ascii="Book Antiqua" w:eastAsia="SimSun" w:hAnsi="Book Antiqua" w:cs="SimSun"/>
          <w:b/>
          <w:bCs/>
          <w:bdr w:val="none" w:sz="0" w:space="0" w:color="auto"/>
          <w:lang w:val="en-US" w:eastAsia="zh-CN"/>
        </w:rPr>
        <w:t>Sahani DV</w:t>
      </w:r>
      <w:r w:rsidRPr="006B1665">
        <w:rPr>
          <w:rFonts w:ascii="Book Antiqua" w:eastAsia="SimSun" w:hAnsi="Book Antiqua" w:cs="SimSun"/>
          <w:bdr w:val="none" w:sz="0" w:space="0" w:color="auto"/>
          <w:lang w:val="en-US" w:eastAsia="zh-CN"/>
        </w:rPr>
        <w:t>, Holalkere NS, Mueller PR, Zhu AX. Advanced hepatocellular carcinoma: CT perfusion of liver and tumor tissue--initial experience. </w:t>
      </w:r>
      <w:r w:rsidRPr="006B1665">
        <w:rPr>
          <w:rFonts w:ascii="Book Antiqua" w:eastAsia="SimSun" w:hAnsi="Book Antiqua" w:cs="SimSun"/>
          <w:i/>
          <w:iCs/>
          <w:bdr w:val="none" w:sz="0" w:space="0" w:color="auto"/>
          <w:lang w:val="en-US" w:eastAsia="zh-CN"/>
        </w:rPr>
        <w:t>Radiology</w:t>
      </w:r>
      <w:r w:rsidRPr="006B1665">
        <w:rPr>
          <w:rFonts w:ascii="Book Antiqua" w:eastAsia="SimSun" w:hAnsi="Book Antiqua" w:cs="SimSun"/>
          <w:bdr w:val="none" w:sz="0" w:space="0" w:color="auto"/>
          <w:lang w:val="en-US" w:eastAsia="zh-CN"/>
        </w:rPr>
        <w:t> 2007; </w:t>
      </w:r>
      <w:r w:rsidRPr="006B1665">
        <w:rPr>
          <w:rFonts w:ascii="Book Antiqua" w:eastAsia="SimSun" w:hAnsi="Book Antiqua" w:cs="SimSun"/>
          <w:b/>
          <w:bCs/>
          <w:bdr w:val="none" w:sz="0" w:space="0" w:color="auto"/>
          <w:lang w:val="en-US" w:eastAsia="zh-CN"/>
        </w:rPr>
        <w:t>243</w:t>
      </w:r>
      <w:r w:rsidRPr="006B1665">
        <w:rPr>
          <w:rFonts w:ascii="Book Antiqua" w:eastAsia="SimSun" w:hAnsi="Book Antiqua" w:cs="SimSun"/>
          <w:bdr w:val="none" w:sz="0" w:space="0" w:color="auto"/>
          <w:lang w:val="en-US" w:eastAsia="zh-CN"/>
        </w:rPr>
        <w:t>: 736-743 [PMID: 17517931 DOI: 10.1148/radiol.2433052020]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85 </w:t>
      </w:r>
      <w:r w:rsidRPr="006B1665">
        <w:rPr>
          <w:rFonts w:ascii="Book Antiqua" w:eastAsia="SimSun" w:hAnsi="Book Antiqua" w:cs="SimSun"/>
          <w:b/>
          <w:bCs/>
          <w:bdr w:val="none" w:sz="0" w:space="0" w:color="auto"/>
          <w:lang w:val="en-US" w:eastAsia="zh-CN"/>
        </w:rPr>
        <w:t>Zhu AX</w:t>
      </w:r>
      <w:r w:rsidRPr="006B1665">
        <w:rPr>
          <w:rFonts w:ascii="Book Antiqua" w:eastAsia="SimSun" w:hAnsi="Book Antiqua" w:cs="SimSun"/>
          <w:bdr w:val="none" w:sz="0" w:space="0" w:color="auto"/>
          <w:lang w:val="en-US" w:eastAsia="zh-CN"/>
        </w:rPr>
        <w:t>, Holalkere NS, Muzikansky A, Horgan K, Sahani DV. Early antiangiogenic activity of bevacizumab evaluated by computed tomography perfusion scan in patients with advanced hepatocellular carcinoma. </w:t>
      </w:r>
      <w:r w:rsidRPr="006B1665">
        <w:rPr>
          <w:rFonts w:ascii="Book Antiqua" w:eastAsia="SimSun" w:hAnsi="Book Antiqua" w:cs="SimSun"/>
          <w:i/>
          <w:iCs/>
          <w:bdr w:val="none" w:sz="0" w:space="0" w:color="auto"/>
          <w:lang w:val="en-US" w:eastAsia="zh-CN"/>
        </w:rPr>
        <w:t>Oncologist</w:t>
      </w:r>
      <w:r w:rsidRPr="006B1665">
        <w:rPr>
          <w:rFonts w:ascii="Book Antiqua" w:eastAsia="SimSun" w:hAnsi="Book Antiqua" w:cs="SimSun"/>
          <w:bdr w:val="none" w:sz="0" w:space="0" w:color="auto"/>
          <w:lang w:val="en-US" w:eastAsia="zh-CN"/>
        </w:rPr>
        <w:t> 2008; </w:t>
      </w:r>
      <w:r w:rsidRPr="006B1665">
        <w:rPr>
          <w:rFonts w:ascii="Book Antiqua" w:eastAsia="SimSun" w:hAnsi="Book Antiqua" w:cs="SimSun"/>
          <w:b/>
          <w:bCs/>
          <w:bdr w:val="none" w:sz="0" w:space="0" w:color="auto"/>
          <w:lang w:val="en-US" w:eastAsia="zh-CN"/>
        </w:rPr>
        <w:t>13</w:t>
      </w:r>
      <w:r w:rsidRPr="006B1665">
        <w:rPr>
          <w:rFonts w:ascii="Book Antiqua" w:eastAsia="SimSun" w:hAnsi="Book Antiqua" w:cs="SimSun"/>
          <w:bdr w:val="none" w:sz="0" w:space="0" w:color="auto"/>
          <w:lang w:val="en-US" w:eastAsia="zh-CN"/>
        </w:rPr>
        <w:t>: 120-125 [PMID: 18305056 DOI: 10.1634/theoncologist.2007-0174]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86 </w:t>
      </w:r>
      <w:r w:rsidRPr="006B1665">
        <w:rPr>
          <w:rFonts w:ascii="Book Antiqua" w:eastAsia="SimSun" w:hAnsi="Book Antiqua" w:cs="SimSun"/>
          <w:b/>
          <w:bCs/>
          <w:bdr w:val="none" w:sz="0" w:space="0" w:color="auto"/>
          <w:lang w:val="en-US" w:eastAsia="zh-CN"/>
        </w:rPr>
        <w:t>Ibrahim SM</w:t>
      </w:r>
      <w:r w:rsidRPr="006B1665">
        <w:rPr>
          <w:rFonts w:ascii="Book Antiqua" w:eastAsia="SimSun" w:hAnsi="Book Antiqua" w:cs="SimSun"/>
          <w:bdr w:val="none" w:sz="0" w:space="0" w:color="auto"/>
          <w:lang w:val="en-US" w:eastAsia="zh-CN"/>
        </w:rPr>
        <w:t>, Nikolaidis P, Miller FH, Lewandowski RJ, Ryu RK, Sato KT, Senthilnathan S, Riaz A, Kulik L, Mulcahy MF, Omary RA, Salem R. Radiologic findings following Y90 radioembolization for primary liver malignancies. </w:t>
      </w:r>
      <w:r w:rsidRPr="006B1665">
        <w:rPr>
          <w:rFonts w:ascii="Book Antiqua" w:eastAsia="SimSun" w:hAnsi="Book Antiqua" w:cs="SimSun"/>
          <w:i/>
          <w:iCs/>
          <w:bdr w:val="none" w:sz="0" w:space="0" w:color="auto"/>
          <w:lang w:val="en-US" w:eastAsia="zh-CN"/>
        </w:rPr>
        <w:t>Abdom Imaging</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hint="eastAsia"/>
          <w:bdr w:val="none" w:sz="0" w:space="0" w:color="auto"/>
          <w:lang w:val="en-US" w:eastAsia="zh-CN"/>
        </w:rPr>
        <w:t>2009</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b/>
          <w:bCs/>
          <w:bdr w:val="none" w:sz="0" w:space="0" w:color="auto"/>
          <w:lang w:val="en-US" w:eastAsia="zh-CN"/>
        </w:rPr>
        <w:t>34</w:t>
      </w:r>
      <w:r w:rsidRPr="006B1665">
        <w:rPr>
          <w:rFonts w:ascii="Book Antiqua" w:eastAsia="SimSun" w:hAnsi="Book Antiqua" w:cs="SimSun"/>
          <w:bdr w:val="none" w:sz="0" w:space="0" w:color="auto"/>
          <w:lang w:val="en-US" w:eastAsia="zh-CN"/>
        </w:rPr>
        <w:t>: 566-581 [PMID: 18777189 DOI: 10.1007/s00261-008-9454-y]</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lastRenderedPageBreak/>
        <w:t>87 </w:t>
      </w:r>
      <w:r w:rsidRPr="006B1665">
        <w:rPr>
          <w:rFonts w:ascii="Book Antiqua" w:eastAsia="SimSun" w:hAnsi="Book Antiqua" w:cs="SimSun"/>
          <w:b/>
          <w:bCs/>
          <w:bdr w:val="none" w:sz="0" w:space="0" w:color="auto"/>
          <w:lang w:val="en-US" w:eastAsia="zh-CN"/>
        </w:rPr>
        <w:t>Keppke AL</w:t>
      </w:r>
      <w:r w:rsidRPr="006B1665">
        <w:rPr>
          <w:rFonts w:ascii="Book Antiqua" w:eastAsia="SimSun" w:hAnsi="Book Antiqua" w:cs="SimSun"/>
          <w:bdr w:val="none" w:sz="0" w:space="0" w:color="auto"/>
          <w:lang w:val="en-US" w:eastAsia="zh-CN"/>
        </w:rPr>
        <w:t>, Salem R, Reddy D, Huang J, Jin J, Larson AC, Miller FH. Imaging of hepatocellular carcinoma after treatment with yttrium-90 microspheres. </w:t>
      </w:r>
      <w:r w:rsidRPr="006B1665">
        <w:rPr>
          <w:rFonts w:ascii="Book Antiqua" w:eastAsia="SimSun" w:hAnsi="Book Antiqua" w:cs="SimSun"/>
          <w:i/>
          <w:iCs/>
          <w:bdr w:val="none" w:sz="0" w:space="0" w:color="auto"/>
          <w:lang w:val="en-US" w:eastAsia="zh-CN"/>
        </w:rPr>
        <w:t>AJR Am J Roentgenol</w:t>
      </w:r>
      <w:r w:rsidRPr="006B1665">
        <w:rPr>
          <w:rFonts w:ascii="Book Antiqua" w:eastAsia="SimSun" w:hAnsi="Book Antiqua" w:cs="SimSun"/>
          <w:bdr w:val="none" w:sz="0" w:space="0" w:color="auto"/>
          <w:lang w:val="en-US" w:eastAsia="zh-CN"/>
        </w:rPr>
        <w:t> 2007; </w:t>
      </w:r>
      <w:r w:rsidRPr="006B1665">
        <w:rPr>
          <w:rFonts w:ascii="Book Antiqua" w:eastAsia="SimSun" w:hAnsi="Book Antiqua" w:cs="SimSun"/>
          <w:b/>
          <w:bCs/>
          <w:bdr w:val="none" w:sz="0" w:space="0" w:color="auto"/>
          <w:lang w:val="en-US" w:eastAsia="zh-CN"/>
        </w:rPr>
        <w:t>188</w:t>
      </w:r>
      <w:r w:rsidRPr="006B1665">
        <w:rPr>
          <w:rFonts w:ascii="Book Antiqua" w:eastAsia="SimSun" w:hAnsi="Book Antiqua" w:cs="SimSun"/>
          <w:bdr w:val="none" w:sz="0" w:space="0" w:color="auto"/>
          <w:lang w:val="en-US" w:eastAsia="zh-CN"/>
        </w:rPr>
        <w:t>: 768-775 [PMID: 17312067 DOI: 10.2214/AJR.06.0706]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88 </w:t>
      </w:r>
      <w:r w:rsidRPr="006B1665">
        <w:rPr>
          <w:rFonts w:ascii="Book Antiqua" w:eastAsia="SimSun" w:hAnsi="Book Antiqua" w:cs="SimSun"/>
          <w:b/>
          <w:bCs/>
          <w:bdr w:val="none" w:sz="0" w:space="0" w:color="auto"/>
          <w:lang w:val="en-US" w:eastAsia="zh-CN"/>
        </w:rPr>
        <w:t>Seyal AR</w:t>
      </w:r>
      <w:r w:rsidRPr="006B1665">
        <w:rPr>
          <w:rFonts w:ascii="Book Antiqua" w:eastAsia="SimSun" w:hAnsi="Book Antiqua" w:cs="SimSun"/>
          <w:bdr w:val="none" w:sz="0" w:space="0" w:color="auto"/>
          <w:lang w:val="en-US" w:eastAsia="zh-CN"/>
        </w:rPr>
        <w:t>, Gonzalez-Guindalini FD, Arslanoglu A, Harmath CB, Lewandowski RJ, Salem R, Yaghmai V. Reproducibility of mRECIST in assessing response to transarterial radioembolization therapy in hepatocellular carcinoma. </w:t>
      </w:r>
      <w:r w:rsidRPr="006B1665">
        <w:rPr>
          <w:rFonts w:ascii="Book Antiqua" w:eastAsia="SimSun" w:hAnsi="Book Antiqua" w:cs="SimSun"/>
          <w:i/>
          <w:iCs/>
          <w:bdr w:val="none" w:sz="0" w:space="0" w:color="auto"/>
          <w:lang w:val="en-US" w:eastAsia="zh-CN"/>
        </w:rPr>
        <w:t>Hepatology</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62</w:t>
      </w:r>
      <w:r w:rsidRPr="006B1665">
        <w:rPr>
          <w:rFonts w:ascii="Book Antiqua" w:eastAsia="SimSun" w:hAnsi="Book Antiqua" w:cs="SimSun"/>
          <w:bdr w:val="none" w:sz="0" w:space="0" w:color="auto"/>
          <w:lang w:val="en-US" w:eastAsia="zh-CN"/>
        </w:rPr>
        <w:t>: 1111-1121 [PMID: 25999236 DOI: 10.1002/hep.27915]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 xml:space="preserve">89 </w:t>
      </w:r>
      <w:r w:rsidRPr="006B1665">
        <w:rPr>
          <w:rFonts w:ascii="Book Antiqua" w:eastAsia="SimSun" w:hAnsi="Book Antiqua" w:cs="SimSun"/>
          <w:b/>
          <w:bdr w:val="none" w:sz="0" w:space="0" w:color="auto"/>
          <w:lang w:eastAsia="zh-CN"/>
        </w:rPr>
        <w:t>Weng Z</w:t>
      </w:r>
      <w:r w:rsidRPr="006B1665">
        <w:rPr>
          <w:rFonts w:ascii="Book Antiqua" w:eastAsia="SimSun" w:hAnsi="Book Antiqua" w:cs="SimSun"/>
          <w:bdr w:val="none" w:sz="0" w:space="0" w:color="auto"/>
          <w:lang w:eastAsia="zh-CN"/>
        </w:rPr>
        <w:t>, Ertle J, Zheng S, Lauenstein T, Mueller S, Bockisch A, Gerken G, Yang D, Schlaak JF.</w:t>
      </w:r>
      <w:r w:rsidRPr="006B1665">
        <w:rPr>
          <w:rFonts w:ascii="Book Antiqua" w:eastAsia="SimSun" w:hAnsi="Book Antiqua" w:cs="SimSun"/>
          <w:bdr w:val="none" w:sz="0" w:space="0" w:color="auto"/>
          <w:lang w:val="en-US" w:eastAsia="zh-CN"/>
        </w:rPr>
        <w:t xml:space="preserve"> Choi criteria are superior in evaluating tumor response in patients treated with transarterial radioembolization for hepatocellular carcinoma.</w:t>
      </w:r>
      <w:r w:rsidRPr="006B1665">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i/>
          <w:iCs/>
          <w:bdr w:val="none" w:sz="0" w:space="0" w:color="auto"/>
          <w:lang w:val="en-US" w:eastAsia="zh-CN"/>
        </w:rPr>
        <w:t>Oncol Lett</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6</w:t>
      </w:r>
      <w:r w:rsidRPr="006B1665">
        <w:rPr>
          <w:rFonts w:ascii="Book Antiqua" w:eastAsia="SimSun" w:hAnsi="Book Antiqua" w:cs="SimSun"/>
          <w:bdr w:val="none" w:sz="0" w:space="0" w:color="auto"/>
          <w:lang w:val="en-US" w:eastAsia="zh-CN"/>
        </w:rPr>
        <w:t>: 1707-1712 [PMID: 24260066 DOI: 10.3892/ol.2013.1612]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90 </w:t>
      </w:r>
      <w:r w:rsidRPr="006B1665">
        <w:rPr>
          <w:rFonts w:ascii="Book Antiqua" w:eastAsia="SimSun" w:hAnsi="Book Antiqua" w:cs="SimSun"/>
          <w:b/>
          <w:bCs/>
          <w:bdr w:val="none" w:sz="0" w:space="0" w:color="auto"/>
          <w:lang w:val="en-US" w:eastAsia="zh-CN"/>
        </w:rPr>
        <w:t>Goh V</w:t>
      </w:r>
      <w:r w:rsidRPr="006B1665">
        <w:rPr>
          <w:rFonts w:ascii="Book Antiqua" w:eastAsia="SimSun" w:hAnsi="Book Antiqua" w:cs="SimSun"/>
          <w:bdr w:val="none" w:sz="0" w:space="0" w:color="auto"/>
          <w:lang w:val="en-US" w:eastAsia="zh-CN"/>
        </w:rPr>
        <w:t>, Halligan S, Gharpuray A, Wellsted D, Sundin J, Bartram CI. Quantitative assessment of colorectal cancer tumor vascular parameters by using perfusion CT: influence of tumor region of interest. </w:t>
      </w:r>
      <w:r w:rsidRPr="006B1665">
        <w:rPr>
          <w:rFonts w:ascii="Book Antiqua" w:eastAsia="SimSun" w:hAnsi="Book Antiqua" w:cs="SimSun"/>
          <w:i/>
          <w:iCs/>
          <w:bdr w:val="none" w:sz="0" w:space="0" w:color="auto"/>
          <w:lang w:val="en-US" w:eastAsia="zh-CN"/>
        </w:rPr>
        <w:t>Radiology</w:t>
      </w:r>
      <w:r w:rsidRPr="006B1665">
        <w:rPr>
          <w:rFonts w:ascii="Book Antiqua" w:eastAsia="SimSun" w:hAnsi="Book Antiqua" w:cs="SimSun"/>
          <w:bdr w:val="none" w:sz="0" w:space="0" w:color="auto"/>
          <w:lang w:val="en-US" w:eastAsia="zh-CN"/>
        </w:rPr>
        <w:t> 2008; </w:t>
      </w:r>
      <w:r w:rsidRPr="006B1665">
        <w:rPr>
          <w:rFonts w:ascii="Book Antiqua" w:eastAsia="SimSun" w:hAnsi="Book Antiqua" w:cs="SimSun"/>
          <w:b/>
          <w:bCs/>
          <w:bdr w:val="none" w:sz="0" w:space="0" w:color="auto"/>
          <w:lang w:val="en-US" w:eastAsia="zh-CN"/>
        </w:rPr>
        <w:t>247</w:t>
      </w:r>
      <w:r w:rsidRPr="006B1665">
        <w:rPr>
          <w:rFonts w:ascii="Book Antiqua" w:eastAsia="SimSun" w:hAnsi="Book Antiqua" w:cs="SimSun"/>
          <w:bdr w:val="none" w:sz="0" w:space="0" w:color="auto"/>
          <w:lang w:val="en-US" w:eastAsia="zh-CN"/>
        </w:rPr>
        <w:t>: 726-732 [PMID: 18403621 DOI: 10.1148/radiol.2473070414]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91 </w:t>
      </w:r>
      <w:r w:rsidRPr="006B1665">
        <w:rPr>
          <w:rFonts w:ascii="Book Antiqua" w:eastAsia="SimSun" w:hAnsi="Book Antiqua" w:cs="SimSun"/>
          <w:b/>
          <w:bCs/>
          <w:bdr w:val="none" w:sz="0" w:space="0" w:color="auto"/>
          <w:lang w:val="en-US" w:eastAsia="zh-CN"/>
        </w:rPr>
        <w:t>Monsky WL</w:t>
      </w:r>
      <w:r w:rsidRPr="006B1665">
        <w:rPr>
          <w:rFonts w:ascii="Book Antiqua" w:eastAsia="SimSun" w:hAnsi="Book Antiqua" w:cs="SimSun"/>
          <w:bdr w:val="none" w:sz="0" w:space="0" w:color="auto"/>
          <w:lang w:val="en-US" w:eastAsia="zh-CN"/>
        </w:rPr>
        <w:t>, Garza AS, Kim I, Loh S, Lin TC, Li CS, Fisher J, Sandhu P, Sidhar V, Chaudhari AJ, Lin F, Deutsch LS, Badawi RD. Treatment planning and volumetric response assessment for Yttrium-90 radioembolization: semiautomated determination of liver volume and volume of tumor necrosis in patients with hepatic malignancy. </w:t>
      </w:r>
      <w:r w:rsidRPr="006B1665">
        <w:rPr>
          <w:rFonts w:ascii="Book Antiqua" w:eastAsia="SimSun" w:hAnsi="Book Antiqua" w:cs="SimSun"/>
          <w:i/>
          <w:iCs/>
          <w:bdr w:val="none" w:sz="0" w:space="0" w:color="auto"/>
          <w:lang w:val="en-US" w:eastAsia="zh-CN"/>
        </w:rPr>
        <w:t>Cardiovasc Intervent Radiol</w:t>
      </w:r>
      <w:r w:rsidRPr="006B1665">
        <w:rPr>
          <w:rFonts w:ascii="Book Antiqua" w:eastAsia="SimSun" w:hAnsi="Book Antiqua" w:cs="SimSun"/>
          <w:bdr w:val="none" w:sz="0" w:space="0" w:color="auto"/>
          <w:lang w:val="en-US" w:eastAsia="zh-CN"/>
        </w:rPr>
        <w:t> 2011; </w:t>
      </w:r>
      <w:r w:rsidRPr="006B1665">
        <w:rPr>
          <w:rFonts w:ascii="Book Antiqua" w:eastAsia="SimSun" w:hAnsi="Book Antiqua" w:cs="SimSun"/>
          <w:b/>
          <w:bCs/>
          <w:bdr w:val="none" w:sz="0" w:space="0" w:color="auto"/>
          <w:lang w:val="en-US" w:eastAsia="zh-CN"/>
        </w:rPr>
        <w:t>34</w:t>
      </w:r>
      <w:r w:rsidRPr="006B1665">
        <w:rPr>
          <w:rFonts w:ascii="Book Antiqua" w:eastAsia="SimSun" w:hAnsi="Book Antiqua" w:cs="SimSun"/>
          <w:bdr w:val="none" w:sz="0" w:space="0" w:color="auto"/>
          <w:lang w:val="en-US" w:eastAsia="zh-CN"/>
        </w:rPr>
        <w:t>: 306-318 [PMID: 20683722 DOI: 10.1007/s00270-010-9938-3]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92 </w:t>
      </w:r>
      <w:r w:rsidRPr="006B1665">
        <w:rPr>
          <w:rFonts w:ascii="Book Antiqua" w:eastAsia="SimSun" w:hAnsi="Book Antiqua" w:cs="SimSun"/>
          <w:b/>
          <w:bCs/>
          <w:bdr w:val="none" w:sz="0" w:space="0" w:color="auto"/>
          <w:lang w:val="en-US" w:eastAsia="zh-CN"/>
        </w:rPr>
        <w:t>Cabibbo G</w:t>
      </w:r>
      <w:r w:rsidRPr="006B1665">
        <w:rPr>
          <w:rFonts w:ascii="Book Antiqua" w:eastAsia="SimSun" w:hAnsi="Book Antiqua" w:cs="SimSun"/>
          <w:bdr w:val="none" w:sz="0" w:space="0" w:color="auto"/>
          <w:lang w:val="en-US" w:eastAsia="zh-CN"/>
        </w:rPr>
        <w:t>, Enea M, Attanasio M, Bruix J, Craxì A, Cammà C. A meta-analysis of survival rates of untreated patients in randomized clinical trials of hepatocellular carcinoma. </w:t>
      </w:r>
      <w:r w:rsidRPr="006B1665">
        <w:rPr>
          <w:rFonts w:ascii="Book Antiqua" w:eastAsia="SimSun" w:hAnsi="Book Antiqua" w:cs="SimSun"/>
          <w:i/>
          <w:iCs/>
          <w:bdr w:val="none" w:sz="0" w:space="0" w:color="auto"/>
          <w:lang w:val="en-US" w:eastAsia="zh-CN"/>
        </w:rPr>
        <w:t>Hepatology</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51</w:t>
      </w:r>
      <w:r w:rsidRPr="006B1665">
        <w:rPr>
          <w:rFonts w:ascii="Book Antiqua" w:eastAsia="SimSun" w:hAnsi="Book Antiqua" w:cs="SimSun"/>
          <w:bdr w:val="none" w:sz="0" w:space="0" w:color="auto"/>
          <w:lang w:val="en-US" w:eastAsia="zh-CN"/>
        </w:rPr>
        <w:t>: 1274-1283 [PMID: 20112254 DOI: 10.1002/hep.23485]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93 </w:t>
      </w:r>
      <w:r w:rsidRPr="006B1665">
        <w:rPr>
          <w:rFonts w:ascii="Book Antiqua" w:eastAsia="SimSun" w:hAnsi="Book Antiqua" w:cs="SimSun"/>
          <w:b/>
          <w:bCs/>
          <w:bdr w:val="none" w:sz="0" w:space="0" w:color="auto"/>
          <w:lang w:val="en-US" w:eastAsia="zh-CN"/>
        </w:rPr>
        <w:t>Cabibbo G</w:t>
      </w:r>
      <w:r w:rsidRPr="006B1665">
        <w:rPr>
          <w:rFonts w:ascii="Book Antiqua" w:eastAsia="SimSun" w:hAnsi="Book Antiqua" w:cs="SimSun"/>
          <w:bdr w:val="none" w:sz="0" w:space="0" w:color="auto"/>
          <w:lang w:val="en-US" w:eastAsia="zh-CN"/>
        </w:rPr>
        <w:t>, Maida M, Genco C, Parisi P, Peralta M, Antonucci M, Brancatelli G, Cammà C, Craxì A, Di Marco V. Natural history of untreatable hepatocellular carcinoma: A retrospective cohort study. </w:t>
      </w:r>
      <w:r w:rsidRPr="006B1665">
        <w:rPr>
          <w:rFonts w:ascii="Book Antiqua" w:eastAsia="SimSun" w:hAnsi="Book Antiqua" w:cs="SimSun"/>
          <w:i/>
          <w:iCs/>
          <w:bdr w:val="none" w:sz="0" w:space="0" w:color="auto"/>
          <w:lang w:val="en-US" w:eastAsia="zh-CN"/>
        </w:rPr>
        <w:t>World J Hepatol</w:t>
      </w:r>
      <w:r w:rsidRPr="006B1665">
        <w:rPr>
          <w:rFonts w:ascii="Book Antiqua" w:eastAsia="SimSun" w:hAnsi="Book Antiqua" w:cs="SimSun"/>
          <w:bdr w:val="none" w:sz="0" w:space="0" w:color="auto"/>
          <w:lang w:val="en-US" w:eastAsia="zh-CN"/>
        </w:rPr>
        <w:t> 2012; </w:t>
      </w:r>
      <w:r w:rsidRPr="006B1665">
        <w:rPr>
          <w:rFonts w:ascii="Book Antiqua" w:eastAsia="SimSun" w:hAnsi="Book Antiqua" w:cs="SimSun"/>
          <w:b/>
          <w:bCs/>
          <w:bdr w:val="none" w:sz="0" w:space="0" w:color="auto"/>
          <w:lang w:val="en-US" w:eastAsia="zh-CN"/>
        </w:rPr>
        <w:t>4</w:t>
      </w:r>
      <w:r w:rsidRPr="006B1665">
        <w:rPr>
          <w:rFonts w:ascii="Book Antiqua" w:eastAsia="SimSun" w:hAnsi="Book Antiqua" w:cs="SimSun"/>
          <w:bdr w:val="none" w:sz="0" w:space="0" w:color="auto"/>
          <w:lang w:val="en-US" w:eastAsia="zh-CN"/>
        </w:rPr>
        <w:t>: 256-261 [PMID: 23060970 DOI: 10.4254/wjh.v4.i9.256]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94 </w:t>
      </w:r>
      <w:r w:rsidRPr="006B1665">
        <w:rPr>
          <w:rFonts w:ascii="Book Antiqua" w:eastAsia="SimSun" w:hAnsi="Book Antiqua" w:cs="SimSun"/>
          <w:b/>
          <w:bCs/>
          <w:bdr w:val="none" w:sz="0" w:space="0" w:color="auto"/>
          <w:lang w:val="en-US" w:eastAsia="zh-CN"/>
        </w:rPr>
        <w:t>Reig M</w:t>
      </w:r>
      <w:r w:rsidRPr="006B1665">
        <w:rPr>
          <w:rFonts w:ascii="Book Antiqua" w:eastAsia="SimSun" w:hAnsi="Book Antiqua" w:cs="SimSun"/>
          <w:bdr w:val="none" w:sz="0" w:space="0" w:color="auto"/>
          <w:lang w:val="en-US" w:eastAsia="zh-CN"/>
        </w:rPr>
        <w:t>, Rimola J, Torres F, Darnell A, Rodriguez-Lope C, Forner A, Llarch N, Ríos J, Ayuso C, Bruix J. Postprogression survival of patients with advanced hepatocellular carcinoma: rationale for second-line trial design. </w:t>
      </w:r>
      <w:r w:rsidRPr="006B1665">
        <w:rPr>
          <w:rFonts w:ascii="Book Antiqua" w:eastAsia="SimSun" w:hAnsi="Book Antiqua" w:cs="SimSun"/>
          <w:i/>
          <w:iCs/>
          <w:bdr w:val="none" w:sz="0" w:space="0" w:color="auto"/>
          <w:lang w:val="en-US" w:eastAsia="zh-CN"/>
        </w:rPr>
        <w:t>Hepatology</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58</w:t>
      </w:r>
      <w:r w:rsidRPr="006B1665">
        <w:rPr>
          <w:rFonts w:ascii="Book Antiqua" w:eastAsia="SimSun" w:hAnsi="Book Antiqua" w:cs="SimSun"/>
          <w:bdr w:val="none" w:sz="0" w:space="0" w:color="auto"/>
          <w:lang w:val="en-US" w:eastAsia="zh-CN"/>
        </w:rPr>
        <w:t>: 2023-2031 [PMID: 23787822 DOI: 10.1002/hep.26586]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lastRenderedPageBreak/>
        <w:t>95 </w:t>
      </w:r>
      <w:r w:rsidRPr="006B1665">
        <w:rPr>
          <w:rFonts w:ascii="Book Antiqua" w:eastAsia="SimSun" w:hAnsi="Book Antiqua" w:cs="SimSun"/>
          <w:b/>
          <w:bCs/>
          <w:bdr w:val="none" w:sz="0" w:space="0" w:color="auto"/>
          <w:lang w:val="en-US" w:eastAsia="zh-CN"/>
        </w:rPr>
        <w:t>Ahmed N</w:t>
      </w:r>
      <w:r w:rsidRPr="006B1665">
        <w:rPr>
          <w:rFonts w:ascii="Book Antiqua" w:eastAsia="SimSun" w:hAnsi="Book Antiqua" w:cs="SimSun"/>
          <w:bdr w:val="none" w:sz="0" w:space="0" w:color="auto"/>
          <w:lang w:val="en-US" w:eastAsia="zh-CN"/>
        </w:rPr>
        <w:t>, Ahmedzai S, Vora V, Hillam S, Paz S. Supportive care for patients with gastrointestinal cancer. </w:t>
      </w:r>
      <w:r w:rsidRPr="006B1665">
        <w:rPr>
          <w:rFonts w:ascii="Book Antiqua" w:eastAsia="SimSun" w:hAnsi="Book Antiqua" w:cs="SimSun"/>
          <w:i/>
          <w:iCs/>
          <w:bdr w:val="none" w:sz="0" w:space="0" w:color="auto"/>
          <w:lang w:val="en-US" w:eastAsia="zh-CN"/>
        </w:rPr>
        <w:t>Cochrane Database Syst Rev</w:t>
      </w:r>
      <w:r w:rsidRPr="006B1665">
        <w:rPr>
          <w:rFonts w:ascii="Book Antiqua" w:eastAsia="SimSun" w:hAnsi="Book Antiqua" w:cs="SimSun"/>
          <w:bdr w:val="none" w:sz="0" w:space="0" w:color="auto"/>
          <w:lang w:val="en-US" w:eastAsia="zh-CN"/>
        </w:rPr>
        <w:t> 2004; : CD003445 [PMID: 15266485 DOI: 10.1002/14651858.CD003445.pub2]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96 </w:t>
      </w:r>
      <w:r w:rsidRPr="006B1665">
        <w:rPr>
          <w:rFonts w:ascii="Book Antiqua" w:eastAsia="SimSun" w:hAnsi="Book Antiqua" w:cs="SimSun"/>
          <w:b/>
          <w:bCs/>
          <w:bdr w:val="none" w:sz="0" w:space="0" w:color="auto"/>
          <w:lang w:val="en-US" w:eastAsia="zh-CN"/>
        </w:rPr>
        <w:t>Fan SY</w:t>
      </w:r>
      <w:r w:rsidRPr="006B1665">
        <w:rPr>
          <w:rFonts w:ascii="Book Antiqua" w:eastAsia="SimSun" w:hAnsi="Book Antiqua" w:cs="SimSun"/>
          <w:bdr w:val="none" w:sz="0" w:space="0" w:color="auto"/>
          <w:lang w:val="en-US" w:eastAsia="zh-CN"/>
        </w:rPr>
        <w:t>, Eiser C, Ho MC. Health-related quality of life in patients with hepatocellular carcinoma: a systematic review. </w:t>
      </w:r>
      <w:r w:rsidRPr="006B1665">
        <w:rPr>
          <w:rFonts w:ascii="Book Antiqua" w:eastAsia="SimSun" w:hAnsi="Book Antiqua" w:cs="SimSun"/>
          <w:i/>
          <w:iCs/>
          <w:bdr w:val="none" w:sz="0" w:space="0" w:color="auto"/>
          <w:lang w:val="en-US" w:eastAsia="zh-CN"/>
        </w:rPr>
        <w:t>Clin Gastroenterol Hepatol</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8</w:t>
      </w:r>
      <w:r w:rsidRPr="006B1665">
        <w:rPr>
          <w:rFonts w:ascii="Book Antiqua" w:eastAsia="SimSun" w:hAnsi="Book Antiqua" w:cs="SimSun"/>
          <w:bdr w:val="none" w:sz="0" w:space="0" w:color="auto"/>
          <w:lang w:val="en-US" w:eastAsia="zh-CN"/>
        </w:rPr>
        <w:t>: 559-64.e1-10 [PMID: 20304101 DOI: 10.1016/j.cgh.2010.03.008]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97 </w:t>
      </w:r>
      <w:r w:rsidRPr="006B1665">
        <w:rPr>
          <w:rFonts w:ascii="Book Antiqua" w:eastAsia="SimSun" w:hAnsi="Book Antiqua" w:cs="SimSun"/>
          <w:b/>
          <w:bCs/>
          <w:bdr w:val="none" w:sz="0" w:space="0" w:color="auto"/>
          <w:lang w:val="en-US" w:eastAsia="zh-CN"/>
        </w:rPr>
        <w:t>Abou-Alfa G</w:t>
      </w:r>
      <w:r w:rsidRPr="006B1665">
        <w:rPr>
          <w:rFonts w:ascii="Book Antiqua" w:eastAsia="SimSun" w:hAnsi="Book Antiqua" w:cs="SimSun"/>
          <w:bdr w:val="none" w:sz="0" w:space="0" w:color="auto"/>
          <w:lang w:val="en-US" w:eastAsia="zh-CN"/>
        </w:rPr>
        <w:t>, Colombo M. Shaping the future management of hepatocellular carcinoma. </w:t>
      </w:r>
      <w:r w:rsidRPr="006B1665">
        <w:rPr>
          <w:rFonts w:ascii="Book Antiqua" w:eastAsia="SimSun" w:hAnsi="Book Antiqua" w:cs="SimSun"/>
          <w:i/>
          <w:iCs/>
          <w:bdr w:val="none" w:sz="0" w:space="0" w:color="auto"/>
          <w:lang w:val="en-US" w:eastAsia="zh-CN"/>
        </w:rPr>
        <w:t>Semin Liver Dis</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33 Suppl 1</w:t>
      </w:r>
      <w:r w:rsidRPr="006B1665">
        <w:rPr>
          <w:rFonts w:ascii="Book Antiqua" w:eastAsia="SimSun" w:hAnsi="Book Antiqua" w:cs="SimSun"/>
          <w:bdr w:val="none" w:sz="0" w:space="0" w:color="auto"/>
          <w:lang w:val="en-US" w:eastAsia="zh-CN"/>
        </w:rPr>
        <w:t>: S20-S23 [PMID: 23457036 DOI: 10.1055/s-0033-1333633]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98 </w:t>
      </w:r>
      <w:r w:rsidRPr="006B1665">
        <w:rPr>
          <w:rFonts w:ascii="Book Antiqua" w:eastAsia="SimSun" w:hAnsi="Book Antiqua" w:cs="SimSun"/>
          <w:b/>
          <w:bCs/>
          <w:bdr w:val="none" w:sz="0" w:space="0" w:color="auto"/>
          <w:lang w:val="en-US" w:eastAsia="zh-CN"/>
        </w:rPr>
        <w:t>Diouf M</w:t>
      </w:r>
      <w:r w:rsidRPr="006B1665">
        <w:rPr>
          <w:rFonts w:ascii="Book Antiqua" w:eastAsia="SimSun" w:hAnsi="Book Antiqua" w:cs="SimSun"/>
          <w:bdr w:val="none" w:sz="0" w:space="0" w:color="auto"/>
          <w:lang w:val="en-US" w:eastAsia="zh-CN"/>
        </w:rPr>
        <w:t>, Filleron T, Barbare JC, Fin L, Picard C, Bouché O, Dahan L, Paoletti X, Bonnetain F. The added value of quality of life (QoL) for prognosis of overall survival in patients with palliative hepatocellular carcinoma. </w:t>
      </w:r>
      <w:r w:rsidRPr="006B1665">
        <w:rPr>
          <w:rFonts w:ascii="Book Antiqua" w:eastAsia="SimSun" w:hAnsi="Book Antiqua" w:cs="SimSun"/>
          <w:i/>
          <w:iCs/>
          <w:bdr w:val="none" w:sz="0" w:space="0" w:color="auto"/>
          <w:lang w:val="en-US" w:eastAsia="zh-CN"/>
        </w:rPr>
        <w:t>J Hepatol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58</w:t>
      </w:r>
      <w:r w:rsidRPr="006B1665">
        <w:rPr>
          <w:rFonts w:ascii="Book Antiqua" w:eastAsia="SimSun" w:hAnsi="Book Antiqua" w:cs="SimSun"/>
          <w:bdr w:val="none" w:sz="0" w:space="0" w:color="auto"/>
          <w:lang w:val="en-US" w:eastAsia="zh-CN"/>
        </w:rPr>
        <w:t>: 509-521 [PMID: 23178978 DOI: 10.1016/j.jhep.2012.11.019]</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99 </w:t>
      </w:r>
      <w:r w:rsidRPr="006B1665">
        <w:rPr>
          <w:rFonts w:ascii="Book Antiqua" w:eastAsia="SimSun" w:hAnsi="Book Antiqua" w:cs="SimSun"/>
          <w:b/>
          <w:bCs/>
          <w:bdr w:val="none" w:sz="0" w:space="0" w:color="auto"/>
          <w:lang w:val="en-US" w:eastAsia="zh-CN"/>
        </w:rPr>
        <w:t>Poonja Z</w:t>
      </w:r>
      <w:r w:rsidRPr="006B1665">
        <w:rPr>
          <w:rFonts w:ascii="Book Antiqua" w:eastAsia="SimSun" w:hAnsi="Book Antiqua" w:cs="SimSun"/>
          <w:bdr w:val="none" w:sz="0" w:space="0" w:color="auto"/>
          <w:lang w:val="en-US" w:eastAsia="zh-CN"/>
        </w:rPr>
        <w:t>, Brisebois A, van Zanten SV, Tandon P, Meeberg G, Karvellas CJ. Patients with cirrhosis and denied liver transplants rarely receive adequate palliative care or appropriate management. </w:t>
      </w:r>
      <w:r w:rsidRPr="006B1665">
        <w:rPr>
          <w:rFonts w:ascii="Book Antiqua" w:eastAsia="SimSun" w:hAnsi="Book Antiqua" w:cs="SimSun"/>
          <w:i/>
          <w:iCs/>
          <w:bdr w:val="none" w:sz="0" w:space="0" w:color="auto"/>
          <w:lang w:val="en-US" w:eastAsia="zh-CN"/>
        </w:rPr>
        <w:t>Clin Gastroenterol Hepatol</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12</w:t>
      </w:r>
      <w:r w:rsidRPr="006B1665">
        <w:rPr>
          <w:rFonts w:ascii="Book Antiqua" w:eastAsia="SimSun" w:hAnsi="Book Antiqua" w:cs="SimSun"/>
          <w:bdr w:val="none" w:sz="0" w:space="0" w:color="auto"/>
          <w:lang w:val="en-US" w:eastAsia="zh-CN"/>
        </w:rPr>
        <w:t>: 692-698 [PMID: 23978345 DOI: 10.1016/j.cgh.2013.08.027]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100 </w:t>
      </w:r>
      <w:r w:rsidRPr="006B1665">
        <w:rPr>
          <w:rFonts w:ascii="Book Antiqua" w:eastAsia="SimSun" w:hAnsi="Book Antiqua" w:cs="SimSun"/>
          <w:b/>
          <w:bCs/>
          <w:bdr w:val="none" w:sz="0" w:space="0" w:color="auto"/>
          <w:lang w:val="en-US" w:eastAsia="zh-CN"/>
        </w:rPr>
        <w:t>Kaiser K</w:t>
      </w:r>
      <w:r w:rsidRPr="006B1665">
        <w:rPr>
          <w:rFonts w:ascii="Book Antiqua" w:eastAsia="SimSun" w:hAnsi="Book Antiqua" w:cs="SimSun"/>
          <w:bdr w:val="none" w:sz="0" w:space="0" w:color="auto"/>
          <w:lang w:val="en-US" w:eastAsia="zh-CN"/>
        </w:rPr>
        <w:t>, Mallick R, Butt Z, Mulcahy MF, Benson AB, Cella D. Important and relevant symptoms including pain concerns in hepatocellular carcinoma (HCC): a patient interview study. </w:t>
      </w:r>
      <w:r w:rsidRPr="006B1665">
        <w:rPr>
          <w:rFonts w:ascii="Book Antiqua" w:eastAsia="SimSun" w:hAnsi="Book Antiqua" w:cs="SimSun"/>
          <w:i/>
          <w:iCs/>
          <w:bdr w:val="none" w:sz="0" w:space="0" w:color="auto"/>
          <w:lang w:val="en-US" w:eastAsia="zh-CN"/>
        </w:rPr>
        <w:t>Support Care Cancer</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22</w:t>
      </w:r>
      <w:r w:rsidRPr="006B1665">
        <w:rPr>
          <w:rFonts w:ascii="Book Antiqua" w:eastAsia="SimSun" w:hAnsi="Book Antiqua" w:cs="SimSun"/>
          <w:bdr w:val="none" w:sz="0" w:space="0" w:color="auto"/>
          <w:lang w:val="en-US" w:eastAsia="zh-CN"/>
        </w:rPr>
        <w:t>: 919-926 [PMID: 24258355 DOI: 10.1007/s00520-013-2039-5]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101 </w:t>
      </w:r>
      <w:r w:rsidRPr="006B1665">
        <w:rPr>
          <w:rFonts w:ascii="Book Antiqua" w:eastAsia="SimSun" w:hAnsi="Book Antiqua" w:cs="SimSun"/>
          <w:b/>
          <w:bCs/>
          <w:bdr w:val="none" w:sz="0" w:space="0" w:color="auto"/>
          <w:lang w:val="en-US" w:eastAsia="zh-CN"/>
        </w:rPr>
        <w:t>Lin MH</w:t>
      </w:r>
      <w:r w:rsidRPr="006B1665">
        <w:rPr>
          <w:rFonts w:ascii="Book Antiqua" w:eastAsia="SimSun" w:hAnsi="Book Antiqua" w:cs="SimSun"/>
          <w:bdr w:val="none" w:sz="0" w:space="0" w:color="auto"/>
          <w:lang w:val="en-US" w:eastAsia="zh-CN"/>
        </w:rPr>
        <w:t>, Wu PY, Tsai ST, Lin CL, Chen TW, Hwang SJ. Hospice palliative care for patients with hepatocellular carcinoma in Taiwan. </w:t>
      </w:r>
      <w:r w:rsidRPr="006B1665">
        <w:rPr>
          <w:rFonts w:ascii="Book Antiqua" w:eastAsia="SimSun" w:hAnsi="Book Antiqua" w:cs="SimSun"/>
          <w:i/>
          <w:iCs/>
          <w:bdr w:val="none" w:sz="0" w:space="0" w:color="auto"/>
          <w:lang w:val="en-US" w:eastAsia="zh-CN"/>
        </w:rPr>
        <w:t>Palliat Med</w:t>
      </w:r>
      <w:r w:rsidRPr="006B1665">
        <w:rPr>
          <w:rFonts w:ascii="Book Antiqua" w:eastAsia="SimSun" w:hAnsi="Book Antiqua" w:cs="SimSun"/>
          <w:bdr w:val="none" w:sz="0" w:space="0" w:color="auto"/>
          <w:lang w:val="en-US" w:eastAsia="zh-CN"/>
        </w:rPr>
        <w:t> 2004; </w:t>
      </w:r>
      <w:r w:rsidRPr="006B1665">
        <w:rPr>
          <w:rFonts w:ascii="Book Antiqua" w:eastAsia="SimSun" w:hAnsi="Book Antiqua" w:cs="SimSun"/>
          <w:b/>
          <w:bCs/>
          <w:bdr w:val="none" w:sz="0" w:space="0" w:color="auto"/>
          <w:lang w:val="en-US" w:eastAsia="zh-CN"/>
        </w:rPr>
        <w:t>18</w:t>
      </w:r>
      <w:r w:rsidRPr="006B1665">
        <w:rPr>
          <w:rFonts w:ascii="Book Antiqua" w:eastAsia="SimSun" w:hAnsi="Book Antiqua" w:cs="SimSun"/>
          <w:bdr w:val="none" w:sz="0" w:space="0" w:color="auto"/>
          <w:lang w:val="en-US" w:eastAsia="zh-CN"/>
        </w:rPr>
        <w:t>: 93-99 [PMID: 15046405]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102 </w:t>
      </w:r>
      <w:r w:rsidRPr="006B1665">
        <w:rPr>
          <w:rFonts w:ascii="Book Antiqua" w:eastAsia="SimSun" w:hAnsi="Book Antiqua" w:cs="SimSun"/>
          <w:b/>
          <w:bCs/>
          <w:bdr w:val="none" w:sz="0" w:space="0" w:color="auto"/>
          <w:lang w:val="en-US" w:eastAsia="zh-CN"/>
        </w:rPr>
        <w:t>Ko FY</w:t>
      </w:r>
      <w:r w:rsidRPr="006B1665">
        <w:rPr>
          <w:rFonts w:ascii="Book Antiqua" w:eastAsia="SimSun" w:hAnsi="Book Antiqua" w:cs="SimSun"/>
          <w:bdr w:val="none" w:sz="0" w:space="0" w:color="auto"/>
          <w:lang w:val="en-US" w:eastAsia="zh-CN"/>
        </w:rPr>
        <w:t>, Yang AC, Tsai SJ, Zhou Y, Xu LM. Physiologic and laboratory correlates of depression, anxiety, and poor sleep in liver cirrhosis. </w:t>
      </w:r>
      <w:r w:rsidRPr="006B1665">
        <w:rPr>
          <w:rFonts w:ascii="Book Antiqua" w:eastAsia="SimSun" w:hAnsi="Book Antiqua" w:cs="SimSun"/>
          <w:i/>
          <w:iCs/>
          <w:bdr w:val="none" w:sz="0" w:space="0" w:color="auto"/>
          <w:lang w:val="en-US" w:eastAsia="zh-CN"/>
        </w:rPr>
        <w:t>BMC Gastroenterol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13</w:t>
      </w:r>
      <w:r w:rsidRPr="006B1665">
        <w:rPr>
          <w:rFonts w:ascii="Book Antiqua" w:eastAsia="SimSun" w:hAnsi="Book Antiqua" w:cs="SimSun"/>
          <w:bdr w:val="none" w:sz="0" w:space="0" w:color="auto"/>
          <w:lang w:val="en-US" w:eastAsia="zh-CN"/>
        </w:rPr>
        <w:t>: 18 [PMID: 23339829 DOI: 10.1186/1471-230X-13-18]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103 </w:t>
      </w:r>
      <w:r w:rsidRPr="006B1665">
        <w:rPr>
          <w:rFonts w:ascii="Book Antiqua" w:eastAsia="SimSun" w:hAnsi="Book Antiqua" w:cs="SimSun"/>
          <w:b/>
          <w:bCs/>
          <w:bdr w:val="none" w:sz="0" w:space="0" w:color="auto"/>
          <w:lang w:val="en-US" w:eastAsia="zh-CN"/>
        </w:rPr>
        <w:t>Chu TL</w:t>
      </w:r>
      <w:r w:rsidRPr="006B1665">
        <w:rPr>
          <w:rFonts w:ascii="Book Antiqua" w:eastAsia="SimSun" w:hAnsi="Book Antiqua" w:cs="SimSun"/>
          <w:bdr w:val="none" w:sz="0" w:space="0" w:color="auto"/>
          <w:lang w:val="en-US" w:eastAsia="zh-CN"/>
        </w:rPr>
        <w:t>, Yu WP, Chen SC, Peng HL, Wu MJ. Comparison of differences and determinants between presence and absence of sleep disturbance in hepatocellular carcinoma patients. </w:t>
      </w:r>
      <w:r w:rsidRPr="006B1665">
        <w:rPr>
          <w:rFonts w:ascii="Book Antiqua" w:eastAsia="SimSun" w:hAnsi="Book Antiqua" w:cs="SimSun"/>
          <w:i/>
          <w:iCs/>
          <w:bdr w:val="none" w:sz="0" w:space="0" w:color="auto"/>
          <w:lang w:val="en-US" w:eastAsia="zh-CN"/>
        </w:rPr>
        <w:t>Cancer Nurs</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hint="eastAsia"/>
          <w:bdr w:val="none" w:sz="0" w:space="0" w:color="auto"/>
          <w:lang w:val="en-US" w:eastAsia="zh-CN"/>
        </w:rPr>
        <w:t>2011</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b/>
          <w:bCs/>
          <w:bdr w:val="none" w:sz="0" w:space="0" w:color="auto"/>
          <w:lang w:val="en-US" w:eastAsia="zh-CN"/>
        </w:rPr>
        <w:t>34</w:t>
      </w:r>
      <w:r w:rsidRPr="006B1665">
        <w:rPr>
          <w:rFonts w:ascii="Book Antiqua" w:eastAsia="SimSun" w:hAnsi="Book Antiqua" w:cs="SimSun"/>
          <w:bdr w:val="none" w:sz="0" w:space="0" w:color="auto"/>
          <w:lang w:val="en-US" w:eastAsia="zh-CN"/>
        </w:rPr>
        <w:t>: 354-360 [PMID: 21242769 DOI: 10.1097/]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lastRenderedPageBreak/>
        <w:t>104 </w:t>
      </w:r>
      <w:r w:rsidRPr="006B1665">
        <w:rPr>
          <w:rFonts w:ascii="Book Antiqua" w:eastAsia="SimSun" w:hAnsi="Book Antiqua" w:cs="SimSun"/>
          <w:b/>
          <w:bCs/>
          <w:bdr w:val="none" w:sz="0" w:space="0" w:color="auto"/>
          <w:lang w:val="en-US" w:eastAsia="zh-CN"/>
        </w:rPr>
        <w:t>Huang TW</w:t>
      </w:r>
      <w:r w:rsidRPr="006B1665">
        <w:rPr>
          <w:rFonts w:ascii="Book Antiqua" w:eastAsia="SimSun" w:hAnsi="Book Antiqua" w:cs="SimSun"/>
          <w:bdr w:val="none" w:sz="0" w:space="0" w:color="auto"/>
          <w:lang w:val="en-US" w:eastAsia="zh-CN"/>
        </w:rPr>
        <w:t>, Lin CC. The mediating effects of depression on sleep disturbance and fatigue: symptom clusters in patients with hepatocellular carcinoma. </w:t>
      </w:r>
      <w:r w:rsidRPr="006B1665">
        <w:rPr>
          <w:rFonts w:ascii="Book Antiqua" w:eastAsia="SimSun" w:hAnsi="Book Antiqua" w:cs="SimSun"/>
          <w:i/>
          <w:iCs/>
          <w:bdr w:val="none" w:sz="0" w:space="0" w:color="auto"/>
          <w:lang w:val="en-US" w:eastAsia="zh-CN"/>
        </w:rPr>
        <w:t>Cancer Nurs</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hint="eastAsia"/>
          <w:bdr w:val="none" w:sz="0" w:space="0" w:color="auto"/>
          <w:lang w:val="en-US" w:eastAsia="zh-CN"/>
        </w:rPr>
        <w:t>2009</w:t>
      </w:r>
      <w:r w:rsidRPr="006B1665">
        <w:rPr>
          <w:rFonts w:ascii="Book Antiqua" w:eastAsia="SimSun" w:hAnsi="Book Antiqua" w:cs="SimSun"/>
          <w:bdr w:val="none" w:sz="0" w:space="0" w:color="auto"/>
          <w:lang w:val="en-US" w:eastAsia="zh-CN"/>
        </w:rPr>
        <w:t>; </w:t>
      </w:r>
      <w:r w:rsidRPr="006B1665">
        <w:rPr>
          <w:rFonts w:ascii="Book Antiqua" w:eastAsia="SimSun" w:hAnsi="Book Antiqua" w:cs="SimSun"/>
          <w:b/>
          <w:bCs/>
          <w:bdr w:val="none" w:sz="0" w:space="0" w:color="auto"/>
          <w:lang w:val="en-US" w:eastAsia="zh-CN"/>
        </w:rPr>
        <w:t>32</w:t>
      </w:r>
      <w:r w:rsidRPr="006B1665">
        <w:rPr>
          <w:rFonts w:ascii="Book Antiqua" w:eastAsia="SimSun" w:hAnsi="Book Antiqua" w:cs="SimSun"/>
          <w:bdr w:val="none" w:sz="0" w:space="0" w:color="auto"/>
          <w:lang w:val="en-US" w:eastAsia="zh-CN"/>
        </w:rPr>
        <w:t>: 398-403 [PMID: 19661795 DOI: 10.1097/NCC.0b013e3181ac6248]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105 </w:t>
      </w:r>
      <w:r w:rsidRPr="006B1665">
        <w:rPr>
          <w:rFonts w:ascii="Book Antiqua" w:eastAsia="SimSun" w:hAnsi="Book Antiqua" w:cs="SimSun"/>
          <w:b/>
          <w:bCs/>
          <w:bdr w:val="none" w:sz="0" w:space="0" w:color="auto"/>
          <w:lang w:val="en-US" w:eastAsia="zh-CN"/>
        </w:rPr>
        <w:t>Montagnese S</w:t>
      </w:r>
      <w:r w:rsidRPr="006B1665">
        <w:rPr>
          <w:rFonts w:ascii="Book Antiqua" w:eastAsia="SimSun" w:hAnsi="Book Antiqua" w:cs="SimSun"/>
          <w:bdr w:val="none" w:sz="0" w:space="0" w:color="auto"/>
          <w:lang w:val="en-US" w:eastAsia="zh-CN"/>
        </w:rPr>
        <w:t>, De Pittà C, De Rui M, Corrias M, Turco M, Merkel C, Amodio P, Costa R, Skene DJ, Gatta A. Sleep-wake abnormalities in patients with cirrhosis. </w:t>
      </w:r>
      <w:r w:rsidRPr="006B1665">
        <w:rPr>
          <w:rFonts w:ascii="Book Antiqua" w:eastAsia="SimSun" w:hAnsi="Book Antiqua" w:cs="SimSun"/>
          <w:i/>
          <w:iCs/>
          <w:bdr w:val="none" w:sz="0" w:space="0" w:color="auto"/>
          <w:lang w:val="en-US" w:eastAsia="zh-CN"/>
        </w:rPr>
        <w:t>Hepatology</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59</w:t>
      </w:r>
      <w:r w:rsidRPr="006B1665">
        <w:rPr>
          <w:rFonts w:ascii="Book Antiqua" w:eastAsia="SimSun" w:hAnsi="Book Antiqua" w:cs="SimSun"/>
          <w:bdr w:val="none" w:sz="0" w:space="0" w:color="auto"/>
          <w:lang w:val="en-US" w:eastAsia="zh-CN"/>
        </w:rPr>
        <w:t>: 705-712 [PMID: 23744627 DOI: 10.1002/hep.26555]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106 </w:t>
      </w:r>
      <w:r w:rsidRPr="006B1665">
        <w:rPr>
          <w:rFonts w:ascii="Book Antiqua" w:eastAsia="SimSun" w:hAnsi="Book Antiqua" w:cs="SimSun"/>
          <w:b/>
          <w:bCs/>
          <w:bdr w:val="none" w:sz="0" w:space="0" w:color="auto"/>
          <w:lang w:val="en-US" w:eastAsia="zh-CN"/>
        </w:rPr>
        <w:t>Heeren M</w:t>
      </w:r>
      <w:r w:rsidRPr="006B1665">
        <w:rPr>
          <w:rFonts w:ascii="Book Antiqua" w:eastAsia="SimSun" w:hAnsi="Book Antiqua" w:cs="SimSun"/>
          <w:bdr w:val="none" w:sz="0" w:space="0" w:color="auto"/>
          <w:lang w:val="en-US" w:eastAsia="zh-CN"/>
        </w:rPr>
        <w:t>, Sojref F, Schuppner R, Worthmann H, Pflugrad H, Tryc AB, Pasedag T, Weissenborn K. Active at night, sleepy all day--sleep disturbances in patients with hepatitis C virus infection. </w:t>
      </w:r>
      <w:r w:rsidRPr="006B1665">
        <w:rPr>
          <w:rFonts w:ascii="Book Antiqua" w:eastAsia="SimSun" w:hAnsi="Book Antiqua" w:cs="SimSun"/>
          <w:i/>
          <w:iCs/>
          <w:bdr w:val="none" w:sz="0" w:space="0" w:color="auto"/>
          <w:lang w:val="en-US" w:eastAsia="zh-CN"/>
        </w:rPr>
        <w:t>J Hepatol</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60</w:t>
      </w:r>
      <w:r w:rsidRPr="006B1665">
        <w:rPr>
          <w:rFonts w:ascii="Book Antiqua" w:eastAsia="SimSun" w:hAnsi="Book Antiqua" w:cs="SimSun"/>
          <w:bdr w:val="none" w:sz="0" w:space="0" w:color="auto"/>
          <w:lang w:val="en-US" w:eastAsia="zh-CN"/>
        </w:rPr>
        <w:t>: 732-740 [PMID: 24308991 DOI: 10.1016/j.jhep.2013.11.030]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107 </w:t>
      </w:r>
      <w:r w:rsidRPr="006B1665">
        <w:rPr>
          <w:rFonts w:ascii="Book Antiqua" w:eastAsia="SimSun" w:hAnsi="Book Antiqua" w:cs="SimSun"/>
          <w:b/>
          <w:bCs/>
          <w:bdr w:val="none" w:sz="0" w:space="0" w:color="auto"/>
          <w:lang w:val="en-US" w:eastAsia="zh-CN"/>
        </w:rPr>
        <w:t>Spahr L</w:t>
      </w:r>
      <w:r w:rsidRPr="006B1665">
        <w:rPr>
          <w:rFonts w:ascii="Book Antiqua" w:eastAsia="SimSun" w:hAnsi="Book Antiqua" w:cs="SimSun"/>
          <w:bdr w:val="none" w:sz="0" w:space="0" w:color="auto"/>
          <w:lang w:val="en-US" w:eastAsia="zh-CN"/>
        </w:rPr>
        <w:t>, Coeytaux A, Giostra E, Hadengue A, Annoni JM. Histamine H1 blocker hydroxyzine improves sleep in patients with cirrhosis and minimal hepatic encephalopathy: a randomized controlled pilot trial. </w:t>
      </w:r>
      <w:r w:rsidRPr="006B1665">
        <w:rPr>
          <w:rFonts w:ascii="Book Antiqua" w:eastAsia="SimSun" w:hAnsi="Book Antiqua" w:cs="SimSun"/>
          <w:i/>
          <w:iCs/>
          <w:bdr w:val="none" w:sz="0" w:space="0" w:color="auto"/>
          <w:lang w:val="en-US" w:eastAsia="zh-CN"/>
        </w:rPr>
        <w:t>Am J Gastroenterol</w:t>
      </w:r>
      <w:r w:rsidRPr="006B1665">
        <w:rPr>
          <w:rFonts w:ascii="Book Antiqua" w:eastAsia="SimSun" w:hAnsi="Book Antiqua" w:cs="SimSun" w:hint="eastAsia"/>
          <w:bdr w:val="none" w:sz="0" w:space="0" w:color="auto"/>
          <w:lang w:val="en-US" w:eastAsia="zh-CN"/>
        </w:rPr>
        <w:t xml:space="preserve"> </w:t>
      </w:r>
      <w:r w:rsidRPr="006B1665">
        <w:rPr>
          <w:rFonts w:ascii="Book Antiqua" w:eastAsia="SimSun" w:hAnsi="Book Antiqua" w:cs="SimSun"/>
          <w:bdr w:val="none" w:sz="0" w:space="0" w:color="auto"/>
          <w:lang w:val="en-US" w:eastAsia="zh-CN"/>
        </w:rPr>
        <w:t>2007; </w:t>
      </w:r>
      <w:r w:rsidRPr="006B1665">
        <w:rPr>
          <w:rFonts w:ascii="Book Antiqua" w:eastAsia="SimSun" w:hAnsi="Book Antiqua" w:cs="SimSun"/>
          <w:b/>
          <w:bCs/>
          <w:bdr w:val="none" w:sz="0" w:space="0" w:color="auto"/>
          <w:lang w:val="en-US" w:eastAsia="zh-CN"/>
        </w:rPr>
        <w:t>102</w:t>
      </w:r>
      <w:r w:rsidRPr="006B1665">
        <w:rPr>
          <w:rFonts w:ascii="Book Antiqua" w:eastAsia="SimSun" w:hAnsi="Book Antiqua" w:cs="SimSun"/>
          <w:bdr w:val="none" w:sz="0" w:space="0" w:color="auto"/>
          <w:lang w:val="en-US" w:eastAsia="zh-CN"/>
        </w:rPr>
        <w:t>: 744-753 [PMID: 17222324 DOI: 10.1111/j.1572-0241.2006.01028.x]</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108 </w:t>
      </w:r>
      <w:r w:rsidRPr="006B1665">
        <w:rPr>
          <w:rFonts w:ascii="Book Antiqua" w:eastAsia="SimSun" w:hAnsi="Book Antiqua" w:cs="SimSun"/>
          <w:b/>
          <w:bCs/>
          <w:bdr w:val="none" w:sz="0" w:space="0" w:color="auto"/>
          <w:lang w:val="en-US" w:eastAsia="zh-CN"/>
        </w:rPr>
        <w:t>Schenker S</w:t>
      </w:r>
      <w:r w:rsidRPr="006B1665">
        <w:rPr>
          <w:rFonts w:ascii="Book Antiqua" w:eastAsia="SimSun" w:hAnsi="Book Antiqua" w:cs="SimSun"/>
          <w:bdr w:val="none" w:sz="0" w:space="0" w:color="auto"/>
          <w:lang w:val="en-US" w:eastAsia="zh-CN"/>
        </w:rPr>
        <w:t>, Bergstrom RF, Wolen RL, Lemberger L. Fluoxetine disposition and elimination in cirrhosis. </w:t>
      </w:r>
      <w:r w:rsidRPr="006B1665">
        <w:rPr>
          <w:rFonts w:ascii="Book Antiqua" w:eastAsia="SimSun" w:hAnsi="Book Antiqua" w:cs="SimSun"/>
          <w:i/>
          <w:iCs/>
          <w:bdr w:val="none" w:sz="0" w:space="0" w:color="auto"/>
          <w:lang w:val="en-US" w:eastAsia="zh-CN"/>
        </w:rPr>
        <w:t>Clin Pharmacol Ther</w:t>
      </w:r>
      <w:r w:rsidRPr="006B1665">
        <w:rPr>
          <w:rFonts w:ascii="Book Antiqua" w:eastAsia="SimSun" w:hAnsi="Book Antiqua" w:cs="SimSun"/>
          <w:bdr w:val="none" w:sz="0" w:space="0" w:color="auto"/>
          <w:lang w:val="en-US" w:eastAsia="zh-CN"/>
        </w:rPr>
        <w:t> 1988; </w:t>
      </w:r>
      <w:r w:rsidRPr="006B1665">
        <w:rPr>
          <w:rFonts w:ascii="Book Antiqua" w:eastAsia="SimSun" w:hAnsi="Book Antiqua" w:cs="SimSun"/>
          <w:b/>
          <w:bCs/>
          <w:bdr w:val="none" w:sz="0" w:space="0" w:color="auto"/>
          <w:lang w:val="en-US" w:eastAsia="zh-CN"/>
        </w:rPr>
        <w:t>44</w:t>
      </w:r>
      <w:r w:rsidRPr="006B1665">
        <w:rPr>
          <w:rFonts w:ascii="Book Antiqua" w:eastAsia="SimSun" w:hAnsi="Book Antiqua" w:cs="SimSun"/>
          <w:bdr w:val="none" w:sz="0" w:space="0" w:color="auto"/>
          <w:lang w:val="en-US" w:eastAsia="zh-CN"/>
        </w:rPr>
        <w:t>: 353-359 [PMID: 3262026]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109 </w:t>
      </w:r>
      <w:r w:rsidRPr="006B1665">
        <w:rPr>
          <w:rFonts w:ascii="Book Antiqua" w:eastAsia="SimSun" w:hAnsi="Book Antiqua" w:cs="SimSun"/>
          <w:b/>
          <w:bCs/>
          <w:bdr w:val="none" w:sz="0" w:space="0" w:color="auto"/>
          <w:lang w:val="en-US" w:eastAsia="zh-CN"/>
        </w:rPr>
        <w:t>Dalhoff K</w:t>
      </w:r>
      <w:r w:rsidRPr="006B1665">
        <w:rPr>
          <w:rFonts w:ascii="Book Antiqua" w:eastAsia="SimSun" w:hAnsi="Book Antiqua" w:cs="SimSun"/>
          <w:bdr w:val="none" w:sz="0" w:space="0" w:color="auto"/>
          <w:lang w:val="en-US" w:eastAsia="zh-CN"/>
        </w:rPr>
        <w:t>, Almdal TP, Bjerrum K, Keiding S, Mengel H, Lund J. Pharmacokinetics of paroxetine in patients with cirrhosis. </w:t>
      </w:r>
      <w:r w:rsidRPr="006B1665">
        <w:rPr>
          <w:rFonts w:ascii="Book Antiqua" w:eastAsia="SimSun" w:hAnsi="Book Antiqua" w:cs="SimSun"/>
          <w:i/>
          <w:iCs/>
          <w:bdr w:val="none" w:sz="0" w:space="0" w:color="auto"/>
          <w:lang w:val="en-US" w:eastAsia="zh-CN"/>
        </w:rPr>
        <w:t>Eur J Clin Pharmacol</w:t>
      </w:r>
      <w:r w:rsidRPr="006B1665">
        <w:rPr>
          <w:rFonts w:ascii="Book Antiqua" w:eastAsia="SimSun" w:hAnsi="Book Antiqua" w:cs="SimSun"/>
          <w:bdr w:val="none" w:sz="0" w:space="0" w:color="auto"/>
          <w:lang w:val="en-US" w:eastAsia="zh-CN"/>
        </w:rPr>
        <w:t> 1991; </w:t>
      </w:r>
      <w:r w:rsidRPr="006B1665">
        <w:rPr>
          <w:rFonts w:ascii="Book Antiqua" w:eastAsia="SimSun" w:hAnsi="Book Antiqua" w:cs="SimSun"/>
          <w:b/>
          <w:bCs/>
          <w:bdr w:val="none" w:sz="0" w:space="0" w:color="auto"/>
          <w:lang w:val="en-US" w:eastAsia="zh-CN"/>
        </w:rPr>
        <w:t>41</w:t>
      </w:r>
      <w:r w:rsidRPr="006B1665">
        <w:rPr>
          <w:rFonts w:ascii="Book Antiqua" w:eastAsia="SimSun" w:hAnsi="Book Antiqua" w:cs="SimSun"/>
          <w:bdr w:val="none" w:sz="0" w:space="0" w:color="auto"/>
          <w:lang w:val="en-US" w:eastAsia="zh-CN"/>
        </w:rPr>
        <w:t>: 351-354 [PMID: 1839532 DOI: 10.1007/BF00314966]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110 </w:t>
      </w:r>
      <w:r w:rsidRPr="006B1665">
        <w:rPr>
          <w:rFonts w:ascii="Book Antiqua" w:eastAsia="SimSun" w:hAnsi="Book Antiqua" w:cs="SimSun"/>
          <w:b/>
          <w:bCs/>
          <w:bdr w:val="none" w:sz="0" w:space="0" w:color="auto"/>
          <w:lang w:val="en-US" w:eastAsia="zh-CN"/>
        </w:rPr>
        <w:t>Puetz TW</w:t>
      </w:r>
      <w:r w:rsidRPr="006B1665">
        <w:rPr>
          <w:rFonts w:ascii="Book Antiqua" w:eastAsia="SimSun" w:hAnsi="Book Antiqua" w:cs="SimSun"/>
          <w:bdr w:val="none" w:sz="0" w:space="0" w:color="auto"/>
          <w:lang w:val="en-US" w:eastAsia="zh-CN"/>
        </w:rPr>
        <w:t>, Herring MP. Differential effects of exercise on cancer-related fatigue during and following treatment: a meta-analysis. </w:t>
      </w:r>
      <w:r w:rsidRPr="006B1665">
        <w:rPr>
          <w:rFonts w:ascii="Book Antiqua" w:eastAsia="SimSun" w:hAnsi="Book Antiqua" w:cs="SimSun"/>
          <w:i/>
          <w:iCs/>
          <w:bdr w:val="none" w:sz="0" w:space="0" w:color="auto"/>
          <w:lang w:val="en-US" w:eastAsia="zh-CN"/>
        </w:rPr>
        <w:t>Am J Prev Med</w:t>
      </w:r>
      <w:r w:rsidRPr="006B1665">
        <w:rPr>
          <w:rFonts w:ascii="Book Antiqua" w:eastAsia="SimSun" w:hAnsi="Book Antiqua" w:cs="SimSun"/>
          <w:bdr w:val="none" w:sz="0" w:space="0" w:color="auto"/>
          <w:lang w:val="en-US" w:eastAsia="zh-CN"/>
        </w:rPr>
        <w:t> 2012; </w:t>
      </w:r>
      <w:r w:rsidRPr="006B1665">
        <w:rPr>
          <w:rFonts w:ascii="Book Antiqua" w:eastAsia="SimSun" w:hAnsi="Book Antiqua" w:cs="SimSun"/>
          <w:b/>
          <w:bCs/>
          <w:bdr w:val="none" w:sz="0" w:space="0" w:color="auto"/>
          <w:lang w:val="en-US" w:eastAsia="zh-CN"/>
        </w:rPr>
        <w:t>43</w:t>
      </w:r>
      <w:r w:rsidRPr="006B1665">
        <w:rPr>
          <w:rFonts w:ascii="Book Antiqua" w:eastAsia="SimSun" w:hAnsi="Book Antiqua" w:cs="SimSun"/>
          <w:bdr w:val="none" w:sz="0" w:space="0" w:color="auto"/>
          <w:lang w:val="en-US" w:eastAsia="zh-CN"/>
        </w:rPr>
        <w:t>: e1-24 [PMID: 22813691 DOI: 10.1016/j.amepre.2012.04.027]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111 </w:t>
      </w:r>
      <w:r w:rsidRPr="006B1665">
        <w:rPr>
          <w:rFonts w:ascii="Book Antiqua" w:eastAsia="SimSun" w:hAnsi="Book Antiqua" w:cs="SimSun"/>
          <w:b/>
          <w:bCs/>
          <w:bdr w:val="none" w:sz="0" w:space="0" w:color="auto"/>
          <w:lang w:val="en-US" w:eastAsia="zh-CN"/>
        </w:rPr>
        <w:t>Jean-Pierre P</w:t>
      </w:r>
      <w:r w:rsidRPr="006B1665">
        <w:rPr>
          <w:rFonts w:ascii="Book Antiqua" w:eastAsia="SimSun" w:hAnsi="Book Antiqua" w:cs="SimSun"/>
          <w:bdr w:val="none" w:sz="0" w:space="0" w:color="auto"/>
          <w:lang w:val="en-US" w:eastAsia="zh-CN"/>
        </w:rPr>
        <w:t>, Morrow GR, Roscoe JA, Heckler C, Mohile S, Janelsins M, Peppone L, Hemstad A, Esparaz BT, Hopkins JO. A phase 3 randomized, placebo-controlled, double-blind, clinical trial of the effect of modafinil on cancer-related fatigue among 631 patients receiving chemotherapy: a University of Rochester Cancer Center Community Clinical Oncology Program Research base study. </w:t>
      </w:r>
      <w:r w:rsidRPr="006B1665">
        <w:rPr>
          <w:rFonts w:ascii="Book Antiqua" w:eastAsia="SimSun" w:hAnsi="Book Antiqua" w:cs="SimSun"/>
          <w:i/>
          <w:iCs/>
          <w:bdr w:val="none" w:sz="0" w:space="0" w:color="auto"/>
          <w:lang w:val="en-US" w:eastAsia="zh-CN"/>
        </w:rPr>
        <w:t>Cancer</w:t>
      </w:r>
      <w:r w:rsidRPr="006B1665">
        <w:rPr>
          <w:rFonts w:ascii="Book Antiqua" w:eastAsia="SimSun" w:hAnsi="Book Antiqua" w:cs="SimSun"/>
          <w:bdr w:val="none" w:sz="0" w:space="0" w:color="auto"/>
          <w:lang w:val="en-US" w:eastAsia="zh-CN"/>
        </w:rPr>
        <w:t> 2010; </w:t>
      </w:r>
      <w:r w:rsidRPr="006B1665">
        <w:rPr>
          <w:rFonts w:ascii="Book Antiqua" w:eastAsia="SimSun" w:hAnsi="Book Antiqua" w:cs="SimSun"/>
          <w:b/>
          <w:bCs/>
          <w:bdr w:val="none" w:sz="0" w:space="0" w:color="auto"/>
          <w:lang w:val="en-US" w:eastAsia="zh-CN"/>
        </w:rPr>
        <w:t>116</w:t>
      </w:r>
      <w:r w:rsidRPr="006B1665">
        <w:rPr>
          <w:rFonts w:ascii="Book Antiqua" w:eastAsia="SimSun" w:hAnsi="Book Antiqua" w:cs="SimSun"/>
          <w:bdr w:val="none" w:sz="0" w:space="0" w:color="auto"/>
          <w:lang w:val="en-US" w:eastAsia="zh-CN"/>
        </w:rPr>
        <w:t>: 3513-3520 [PMID: 20564068 DOI: 10.1002/cncr.25083]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112 </w:t>
      </w:r>
      <w:r w:rsidRPr="006B1665">
        <w:rPr>
          <w:rFonts w:ascii="Book Antiqua" w:eastAsia="SimSun" w:hAnsi="Book Antiqua" w:cs="SimSun"/>
          <w:b/>
          <w:bCs/>
          <w:bdr w:val="none" w:sz="0" w:space="0" w:color="auto"/>
          <w:lang w:val="en-US" w:eastAsia="zh-CN"/>
        </w:rPr>
        <w:t>Koretz RL</w:t>
      </w:r>
      <w:r w:rsidRPr="006B1665">
        <w:rPr>
          <w:rFonts w:ascii="Book Antiqua" w:eastAsia="SimSun" w:hAnsi="Book Antiqua" w:cs="SimSun"/>
          <w:bdr w:val="none" w:sz="0" w:space="0" w:color="auto"/>
          <w:lang w:val="en-US" w:eastAsia="zh-CN"/>
        </w:rPr>
        <w:t>, Avenell A, Lipman TO. Nutritional support for liver disease. </w:t>
      </w:r>
      <w:r w:rsidRPr="006B1665">
        <w:rPr>
          <w:rFonts w:ascii="Book Antiqua" w:eastAsia="SimSun" w:hAnsi="Book Antiqua" w:cs="SimSun"/>
          <w:i/>
          <w:iCs/>
          <w:bdr w:val="none" w:sz="0" w:space="0" w:color="auto"/>
          <w:lang w:val="en-US" w:eastAsia="zh-CN"/>
        </w:rPr>
        <w:t>Cochrane Database Syst Rev</w:t>
      </w:r>
      <w:r w:rsidRPr="006B1665">
        <w:rPr>
          <w:rFonts w:ascii="Book Antiqua" w:eastAsia="SimSun" w:hAnsi="Book Antiqua" w:cs="SimSun"/>
          <w:bdr w:val="none" w:sz="0" w:space="0" w:color="auto"/>
          <w:lang w:val="en-US" w:eastAsia="zh-CN"/>
        </w:rPr>
        <w:t> 2012; : CD008344 [PMID: 22592729 DOI: 10.1002/14651858.CD008344.pub2]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lastRenderedPageBreak/>
        <w:t>113 </w:t>
      </w:r>
      <w:r w:rsidRPr="006B1665">
        <w:rPr>
          <w:rFonts w:ascii="Book Antiqua" w:eastAsia="SimSun" w:hAnsi="Book Antiqua" w:cs="SimSun"/>
          <w:b/>
          <w:bCs/>
          <w:bdr w:val="none" w:sz="0" w:space="0" w:color="auto"/>
          <w:lang w:val="en-US" w:eastAsia="zh-CN"/>
        </w:rPr>
        <w:t>Chow PK</w:t>
      </w:r>
      <w:r w:rsidRPr="006B1665">
        <w:rPr>
          <w:rFonts w:ascii="Book Antiqua" w:eastAsia="SimSun" w:hAnsi="Book Antiqua" w:cs="SimSun"/>
          <w:bdr w:val="none" w:sz="0" w:space="0" w:color="auto"/>
          <w:lang w:val="en-US" w:eastAsia="zh-CN"/>
        </w:rPr>
        <w:t>, Machin D, Chen Y, Zhang X, Win KM, Hoang HH, Nguyen BD, Jin MY, Lobo R, Findlay M, Lim CH, Tan SB, Gandhi M, Soo KC. Randomised double-blind trial of megestrol acetate vs placebo in treatment-naive advanced hepatocellular carcinoma. </w:t>
      </w:r>
      <w:r w:rsidRPr="006B1665">
        <w:rPr>
          <w:rFonts w:ascii="Book Antiqua" w:eastAsia="SimSun" w:hAnsi="Book Antiqua" w:cs="SimSun"/>
          <w:i/>
          <w:iCs/>
          <w:bdr w:val="none" w:sz="0" w:space="0" w:color="auto"/>
          <w:lang w:val="en-US" w:eastAsia="zh-CN"/>
        </w:rPr>
        <w:t>Br J Cancer</w:t>
      </w:r>
      <w:r w:rsidRPr="006B1665">
        <w:rPr>
          <w:rFonts w:ascii="Book Antiqua" w:eastAsia="SimSun" w:hAnsi="Book Antiqua" w:cs="SimSun"/>
          <w:bdr w:val="none" w:sz="0" w:space="0" w:color="auto"/>
          <w:lang w:val="en-US" w:eastAsia="zh-CN"/>
        </w:rPr>
        <w:t> 2011; </w:t>
      </w:r>
      <w:r w:rsidRPr="006B1665">
        <w:rPr>
          <w:rFonts w:ascii="Book Antiqua" w:eastAsia="SimSun" w:hAnsi="Book Antiqua" w:cs="SimSun"/>
          <w:b/>
          <w:bCs/>
          <w:bdr w:val="none" w:sz="0" w:space="0" w:color="auto"/>
          <w:lang w:val="en-US" w:eastAsia="zh-CN"/>
        </w:rPr>
        <w:t>105</w:t>
      </w:r>
      <w:r w:rsidRPr="006B1665">
        <w:rPr>
          <w:rFonts w:ascii="Book Antiqua" w:eastAsia="SimSun" w:hAnsi="Book Antiqua" w:cs="SimSun"/>
          <w:bdr w:val="none" w:sz="0" w:space="0" w:color="auto"/>
          <w:lang w:val="en-US" w:eastAsia="zh-CN"/>
        </w:rPr>
        <w:t>: 945-952 [PMID: 21863030 DOI: 10.1038/bjc.2011.333]</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114 </w:t>
      </w:r>
      <w:r w:rsidRPr="006B1665">
        <w:rPr>
          <w:rFonts w:ascii="Book Antiqua" w:eastAsia="SimSun" w:hAnsi="Book Antiqua" w:cs="SimSun"/>
          <w:b/>
          <w:bCs/>
          <w:bdr w:val="none" w:sz="0" w:space="0" w:color="auto"/>
          <w:lang w:val="en-US" w:eastAsia="zh-CN"/>
        </w:rPr>
        <w:t>Poon RT</w:t>
      </w:r>
      <w:r w:rsidRPr="006B1665">
        <w:rPr>
          <w:rFonts w:ascii="Book Antiqua" w:eastAsia="SimSun" w:hAnsi="Book Antiqua" w:cs="SimSun"/>
          <w:bdr w:val="none" w:sz="0" w:space="0" w:color="auto"/>
          <w:lang w:val="en-US" w:eastAsia="zh-CN"/>
        </w:rPr>
        <w:t>, Yu WC, Fan ST, Wong J. Long-term oral branched chain amino acids in patients undergoing chemoembolization for hepatocellular carcinoma: a randomized trial. </w:t>
      </w:r>
      <w:r w:rsidRPr="006B1665">
        <w:rPr>
          <w:rFonts w:ascii="Book Antiqua" w:eastAsia="SimSun" w:hAnsi="Book Antiqua" w:cs="SimSun"/>
          <w:i/>
          <w:iCs/>
          <w:bdr w:val="none" w:sz="0" w:space="0" w:color="auto"/>
          <w:lang w:val="en-US" w:eastAsia="zh-CN"/>
        </w:rPr>
        <w:t>Aliment Pharmacol Ther</w:t>
      </w:r>
      <w:r w:rsidRPr="006B1665">
        <w:rPr>
          <w:rFonts w:ascii="Book Antiqua" w:eastAsia="SimSun" w:hAnsi="Book Antiqua" w:cs="SimSun"/>
          <w:bdr w:val="none" w:sz="0" w:space="0" w:color="auto"/>
          <w:lang w:val="en-US" w:eastAsia="zh-CN"/>
        </w:rPr>
        <w:t> 2004; </w:t>
      </w:r>
      <w:r w:rsidRPr="006B1665">
        <w:rPr>
          <w:rFonts w:ascii="Book Antiqua" w:eastAsia="SimSun" w:hAnsi="Book Antiqua" w:cs="SimSun"/>
          <w:b/>
          <w:bCs/>
          <w:bdr w:val="none" w:sz="0" w:space="0" w:color="auto"/>
          <w:lang w:val="en-US" w:eastAsia="zh-CN"/>
        </w:rPr>
        <w:t>19</w:t>
      </w:r>
      <w:r w:rsidRPr="006B1665">
        <w:rPr>
          <w:rFonts w:ascii="Book Antiqua" w:eastAsia="SimSun" w:hAnsi="Book Antiqua" w:cs="SimSun"/>
          <w:bdr w:val="none" w:sz="0" w:space="0" w:color="auto"/>
          <w:lang w:val="en-US" w:eastAsia="zh-CN"/>
        </w:rPr>
        <w:t>: 779-788 [PMID: 15043519 DOI: 10.1111/j.1365-2036.2004.01920.x]</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115 </w:t>
      </w:r>
      <w:r w:rsidRPr="006B1665">
        <w:rPr>
          <w:rFonts w:ascii="Book Antiqua" w:eastAsia="SimSun" w:hAnsi="Book Antiqua" w:cs="SimSun"/>
          <w:b/>
          <w:bCs/>
          <w:bdr w:val="none" w:sz="0" w:space="0" w:color="auto"/>
          <w:lang w:val="en-US" w:eastAsia="zh-CN"/>
        </w:rPr>
        <w:t>Takeshita S</w:t>
      </w:r>
      <w:r w:rsidRPr="006B1665">
        <w:rPr>
          <w:rFonts w:ascii="Book Antiqua" w:eastAsia="SimSun" w:hAnsi="Book Antiqua" w:cs="SimSun"/>
          <w:bdr w:val="none" w:sz="0" w:space="0" w:color="auto"/>
          <w:lang w:val="en-US" w:eastAsia="zh-CN"/>
        </w:rPr>
        <w:t>, Ichikawa T, Nakao K, Miyaaki H, Shibata H, Matsuzaki T, Muraoka T, Honda T, Otani M, Akiyama M, Miuma S, Ozawa E, Fujimito M, Eguchi K. A snack enriched with oral branched-chain amino acids prevents a fall in albumin in patients with liver cirrhosis undergoing chemoembolization for hepatocellular carcinoma. </w:t>
      </w:r>
      <w:r w:rsidRPr="006B1665">
        <w:rPr>
          <w:rFonts w:ascii="Book Antiqua" w:eastAsia="SimSun" w:hAnsi="Book Antiqua" w:cs="SimSun"/>
          <w:i/>
          <w:iCs/>
          <w:bdr w:val="none" w:sz="0" w:space="0" w:color="auto"/>
          <w:lang w:val="en-US" w:eastAsia="zh-CN"/>
        </w:rPr>
        <w:t>Nutr Res</w:t>
      </w:r>
      <w:r w:rsidRPr="006B1665">
        <w:rPr>
          <w:rFonts w:ascii="Book Antiqua" w:eastAsia="SimSun" w:hAnsi="Book Antiqua" w:cs="SimSun"/>
          <w:bdr w:val="none" w:sz="0" w:space="0" w:color="auto"/>
          <w:lang w:val="en-US" w:eastAsia="zh-CN"/>
        </w:rPr>
        <w:t> 2009; </w:t>
      </w:r>
      <w:r w:rsidRPr="006B1665">
        <w:rPr>
          <w:rFonts w:ascii="Book Antiqua" w:eastAsia="SimSun" w:hAnsi="Book Antiqua" w:cs="SimSun"/>
          <w:b/>
          <w:bCs/>
          <w:bdr w:val="none" w:sz="0" w:space="0" w:color="auto"/>
          <w:lang w:val="en-US" w:eastAsia="zh-CN"/>
        </w:rPr>
        <w:t>29</w:t>
      </w:r>
      <w:r w:rsidRPr="006B1665">
        <w:rPr>
          <w:rFonts w:ascii="Book Antiqua" w:eastAsia="SimSun" w:hAnsi="Book Antiqua" w:cs="SimSun"/>
          <w:bdr w:val="none" w:sz="0" w:space="0" w:color="auto"/>
          <w:lang w:val="en-US" w:eastAsia="zh-CN"/>
        </w:rPr>
        <w:t>: 89-93 [PMID: 19285598 DOI: 10.1016/j.nutres.2008.12.005]</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116 </w:t>
      </w:r>
      <w:r w:rsidRPr="006B1665">
        <w:rPr>
          <w:rFonts w:ascii="Book Antiqua" w:eastAsia="SimSun" w:hAnsi="Book Antiqua" w:cs="SimSun"/>
          <w:b/>
          <w:bCs/>
          <w:bdr w:val="none" w:sz="0" w:space="0" w:color="auto"/>
          <w:lang w:val="en-US" w:eastAsia="zh-CN"/>
        </w:rPr>
        <w:t>Nishikawa H</w:t>
      </w:r>
      <w:r w:rsidRPr="006B1665">
        <w:rPr>
          <w:rFonts w:ascii="Book Antiqua" w:eastAsia="SimSun" w:hAnsi="Book Antiqua" w:cs="SimSun"/>
          <w:bdr w:val="none" w:sz="0" w:space="0" w:color="auto"/>
          <w:lang w:val="en-US" w:eastAsia="zh-CN"/>
        </w:rPr>
        <w:t>, Osaki Y, Iguchi E, Koshikawa Y, Ako S, Inuzuka T, Takeda H, Nakajima J, Matsuda F, Sakamoto A, Henmi S, Hatamaru K, Ishikawa T, Saito S, Nasu A, Kita R, Kimura T. The effect of long-term supplementation with branched-chain amino acid granules in patients with hepatitis C virus-related hepatocellular carcinoma after radiofrequency thermal ablation. </w:t>
      </w:r>
      <w:r w:rsidRPr="006B1665">
        <w:rPr>
          <w:rFonts w:ascii="Book Antiqua" w:eastAsia="SimSun" w:hAnsi="Book Antiqua" w:cs="SimSun"/>
          <w:i/>
          <w:iCs/>
          <w:bdr w:val="none" w:sz="0" w:space="0" w:color="auto"/>
          <w:lang w:val="en-US" w:eastAsia="zh-CN"/>
        </w:rPr>
        <w:t>J Clin Gastroenterol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47</w:t>
      </w:r>
      <w:r w:rsidRPr="006B1665">
        <w:rPr>
          <w:rFonts w:ascii="Book Antiqua" w:eastAsia="SimSun" w:hAnsi="Book Antiqua" w:cs="SimSun"/>
          <w:bdr w:val="none" w:sz="0" w:space="0" w:color="auto"/>
          <w:lang w:val="en-US" w:eastAsia="zh-CN"/>
        </w:rPr>
        <w:t>: 359-366 [PMID: 23090049 DOI: 10.1097/MCG.0b013e31826be9ad]</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117 </w:t>
      </w:r>
      <w:r w:rsidRPr="006B1665">
        <w:rPr>
          <w:rFonts w:ascii="Book Antiqua" w:eastAsia="SimSun" w:hAnsi="Book Antiqua" w:cs="SimSun"/>
          <w:b/>
          <w:bCs/>
          <w:bdr w:val="none" w:sz="0" w:space="0" w:color="auto"/>
          <w:lang w:val="en-US" w:eastAsia="zh-CN"/>
        </w:rPr>
        <w:t>Meng J</w:t>
      </w:r>
      <w:r w:rsidRPr="006B1665">
        <w:rPr>
          <w:rFonts w:ascii="Book Antiqua" w:eastAsia="SimSun" w:hAnsi="Book Antiqua" w:cs="SimSun"/>
          <w:bdr w:val="none" w:sz="0" w:space="0" w:color="auto"/>
          <w:lang w:val="en-US" w:eastAsia="zh-CN"/>
        </w:rPr>
        <w:t>, Zhong J, Zhang H, Zhong W, Huang Z, Jin Y, Xu J. Pre-, peri-, and postoperative oral administration of branched-chain amino acids for primary liver cancer patients for hepatic resection: a systematic review. </w:t>
      </w:r>
      <w:r w:rsidRPr="006B1665">
        <w:rPr>
          <w:rFonts w:ascii="Book Antiqua" w:eastAsia="SimSun" w:hAnsi="Book Antiqua" w:cs="SimSun"/>
          <w:i/>
          <w:iCs/>
          <w:bdr w:val="none" w:sz="0" w:space="0" w:color="auto"/>
          <w:lang w:val="en-US" w:eastAsia="zh-CN"/>
        </w:rPr>
        <w:t>Nutr Cancer</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66</w:t>
      </w:r>
      <w:r w:rsidRPr="006B1665">
        <w:rPr>
          <w:rFonts w:ascii="Book Antiqua" w:eastAsia="SimSun" w:hAnsi="Book Antiqua" w:cs="SimSun"/>
          <w:bdr w:val="none" w:sz="0" w:space="0" w:color="auto"/>
          <w:lang w:val="en-US" w:eastAsia="zh-CN"/>
        </w:rPr>
        <w:t>: 517-522 [PMID: 24033366 DOI: 10.1080/01635581.2013.780628]</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118 </w:t>
      </w:r>
      <w:r w:rsidRPr="006B1665">
        <w:rPr>
          <w:rFonts w:ascii="Book Antiqua" w:eastAsia="SimSun" w:hAnsi="Book Antiqua" w:cs="SimSun"/>
          <w:b/>
          <w:bCs/>
          <w:bdr w:val="none" w:sz="0" w:space="0" w:color="auto"/>
          <w:lang w:val="en-US" w:eastAsia="zh-CN"/>
        </w:rPr>
        <w:t>Chen L</w:t>
      </w:r>
      <w:r w:rsidRPr="006B1665">
        <w:rPr>
          <w:rFonts w:ascii="Book Antiqua" w:eastAsia="SimSun" w:hAnsi="Book Antiqua" w:cs="SimSun"/>
          <w:bdr w:val="none" w:sz="0" w:space="0" w:color="auto"/>
          <w:lang w:val="en-US" w:eastAsia="zh-CN"/>
        </w:rPr>
        <w:t>, Chen Y, Wang X, Li H, Zhang H, Gong J, Shen S, Yin W, Hu H. Efficacy and safety of oral branched-chain amino acid supplementation in patients undergoing interventions for hepatocellular carcinoma: a meta-analysis. </w:t>
      </w:r>
      <w:r w:rsidRPr="006B1665">
        <w:rPr>
          <w:rFonts w:ascii="Book Antiqua" w:eastAsia="SimSun" w:hAnsi="Book Antiqua" w:cs="SimSun"/>
          <w:i/>
          <w:iCs/>
          <w:bdr w:val="none" w:sz="0" w:space="0" w:color="auto"/>
          <w:lang w:val="en-US" w:eastAsia="zh-CN"/>
        </w:rPr>
        <w:t>Nutr J</w:t>
      </w:r>
      <w:r w:rsidRPr="006B1665">
        <w:rPr>
          <w:rFonts w:ascii="Book Antiqua" w:eastAsia="SimSun" w:hAnsi="Book Antiqua" w:cs="SimSun"/>
          <w:bdr w:val="none" w:sz="0" w:space="0" w:color="auto"/>
          <w:lang w:val="en-US" w:eastAsia="zh-CN"/>
        </w:rPr>
        <w:t> 2015; </w:t>
      </w:r>
      <w:r w:rsidRPr="006B1665">
        <w:rPr>
          <w:rFonts w:ascii="Book Antiqua" w:eastAsia="SimSun" w:hAnsi="Book Antiqua" w:cs="SimSun"/>
          <w:b/>
          <w:bCs/>
          <w:bdr w:val="none" w:sz="0" w:space="0" w:color="auto"/>
          <w:lang w:val="en-US" w:eastAsia="zh-CN"/>
        </w:rPr>
        <w:t>14</w:t>
      </w:r>
      <w:r w:rsidRPr="006B1665">
        <w:rPr>
          <w:rFonts w:ascii="Book Antiqua" w:eastAsia="SimSun" w:hAnsi="Book Antiqua" w:cs="SimSun"/>
          <w:bdr w:val="none" w:sz="0" w:space="0" w:color="auto"/>
          <w:lang w:val="en-US" w:eastAsia="zh-CN"/>
        </w:rPr>
        <w:t>: 67 [PMID: 26155840 DOI: 10.1186/s12937-015-0056-6]</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119 </w:t>
      </w:r>
      <w:r w:rsidRPr="006B1665">
        <w:rPr>
          <w:rFonts w:ascii="Book Antiqua" w:eastAsia="SimSun" w:hAnsi="Book Antiqua" w:cs="SimSun"/>
          <w:b/>
          <w:bCs/>
          <w:bdr w:val="none" w:sz="0" w:space="0" w:color="auto"/>
          <w:lang w:val="en-US" w:eastAsia="zh-CN"/>
        </w:rPr>
        <w:t>Kodama H</w:t>
      </w:r>
      <w:r w:rsidRPr="006B1665">
        <w:rPr>
          <w:rFonts w:ascii="Book Antiqua" w:eastAsia="SimSun" w:hAnsi="Book Antiqua" w:cs="SimSun"/>
          <w:bdr w:val="none" w:sz="0" w:space="0" w:color="auto"/>
          <w:lang w:val="en-US" w:eastAsia="zh-CN"/>
        </w:rPr>
        <w:t>, Aikata H, Uka K, Takaki S, Mori N, Waki K, Jeong SC, Kawakami Y, Shirakawa H, Takahashi S, Toyota N, Ito K, Chayama K. Efficacy of percutaneous cementoplasty for bone metastasis from hepatocellular carcinoma. </w:t>
      </w:r>
      <w:r w:rsidRPr="006B1665">
        <w:rPr>
          <w:rFonts w:ascii="Book Antiqua" w:eastAsia="SimSun" w:hAnsi="Book Antiqua" w:cs="SimSun"/>
          <w:i/>
          <w:iCs/>
          <w:bdr w:val="none" w:sz="0" w:space="0" w:color="auto"/>
          <w:lang w:val="en-US" w:eastAsia="zh-CN"/>
        </w:rPr>
        <w:t>Oncology</w:t>
      </w:r>
      <w:r w:rsidRPr="006B1665">
        <w:rPr>
          <w:rFonts w:ascii="Book Antiqua" w:eastAsia="SimSun" w:hAnsi="Book Antiqua" w:cs="SimSun"/>
          <w:bdr w:val="none" w:sz="0" w:space="0" w:color="auto"/>
          <w:lang w:val="en-US" w:eastAsia="zh-CN"/>
        </w:rPr>
        <w:t> 2007; </w:t>
      </w:r>
      <w:r w:rsidRPr="006B1665">
        <w:rPr>
          <w:rFonts w:ascii="Book Antiqua" w:eastAsia="SimSun" w:hAnsi="Book Antiqua" w:cs="SimSun"/>
          <w:b/>
          <w:bCs/>
          <w:bdr w:val="none" w:sz="0" w:space="0" w:color="auto"/>
          <w:lang w:val="en-US" w:eastAsia="zh-CN"/>
        </w:rPr>
        <w:t>72</w:t>
      </w:r>
      <w:r w:rsidRPr="006B1665">
        <w:rPr>
          <w:rFonts w:ascii="Book Antiqua" w:eastAsia="SimSun" w:hAnsi="Book Antiqua" w:cs="SimSun"/>
          <w:bdr w:val="none" w:sz="0" w:space="0" w:color="auto"/>
          <w:lang w:val="en-US" w:eastAsia="zh-CN"/>
        </w:rPr>
        <w:t>: 285-292 [PMID: 18187950 DOI: 10.1159/000113040]</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lastRenderedPageBreak/>
        <w:t>120 </w:t>
      </w:r>
      <w:r w:rsidRPr="006B1665">
        <w:rPr>
          <w:rFonts w:ascii="Book Antiqua" w:eastAsia="SimSun" w:hAnsi="Book Antiqua" w:cs="SimSun"/>
          <w:b/>
          <w:bCs/>
          <w:bdr w:val="none" w:sz="0" w:space="0" w:color="auto"/>
          <w:lang w:val="en-US" w:eastAsia="zh-CN"/>
        </w:rPr>
        <w:t>Soliman H</w:t>
      </w:r>
      <w:r w:rsidRPr="006B1665">
        <w:rPr>
          <w:rFonts w:ascii="Book Antiqua" w:eastAsia="SimSun" w:hAnsi="Book Antiqua" w:cs="SimSun"/>
          <w:bdr w:val="none" w:sz="0" w:space="0" w:color="auto"/>
          <w:lang w:val="en-US" w:eastAsia="zh-CN"/>
        </w:rPr>
        <w:t>, Ringash J, Jiang H, Singh K, Kim J, Dinniwell R, Brade A, Wong R, Brierley J, Cummings B, Zimmermann C, Dawson LA. Phase II trial of palliative radiotherapy for hepatocellular carcinoma and liver metastases. </w:t>
      </w:r>
      <w:r w:rsidRPr="006B1665">
        <w:rPr>
          <w:rFonts w:ascii="Book Antiqua" w:eastAsia="SimSun" w:hAnsi="Book Antiqua" w:cs="SimSun"/>
          <w:i/>
          <w:iCs/>
          <w:bdr w:val="none" w:sz="0" w:space="0" w:color="auto"/>
          <w:lang w:val="en-US" w:eastAsia="zh-CN"/>
        </w:rPr>
        <w:t>J Clin Oncol</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31</w:t>
      </w:r>
      <w:r w:rsidRPr="006B1665">
        <w:rPr>
          <w:rFonts w:ascii="Book Antiqua" w:eastAsia="SimSun" w:hAnsi="Book Antiqua" w:cs="SimSun"/>
          <w:bdr w:val="none" w:sz="0" w:space="0" w:color="auto"/>
          <w:lang w:val="en-US" w:eastAsia="zh-CN"/>
        </w:rPr>
        <w:t>: 3980-3986 [PMID: 24062394 DOI: 10.1200/JCO.2013.49.9202]</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121 </w:t>
      </w:r>
      <w:r w:rsidRPr="006B1665">
        <w:rPr>
          <w:rFonts w:ascii="Book Antiqua" w:eastAsia="SimSun" w:hAnsi="Book Antiqua" w:cs="SimSun"/>
          <w:b/>
          <w:bCs/>
          <w:bdr w:val="none" w:sz="0" w:space="0" w:color="auto"/>
          <w:lang w:val="en-US" w:eastAsia="zh-CN"/>
        </w:rPr>
        <w:t>Lewis JH</w:t>
      </w:r>
      <w:r w:rsidRPr="006B1665">
        <w:rPr>
          <w:rFonts w:ascii="Book Antiqua" w:eastAsia="SimSun" w:hAnsi="Book Antiqua" w:cs="SimSun"/>
          <w:bdr w:val="none" w:sz="0" w:space="0" w:color="auto"/>
          <w:lang w:val="en-US" w:eastAsia="zh-CN"/>
        </w:rPr>
        <w:t>, Stine JG. Review article: prescribing medications in patients with cirrhosis - a practical guide. </w:t>
      </w:r>
      <w:r w:rsidRPr="006B1665">
        <w:rPr>
          <w:rFonts w:ascii="Book Antiqua" w:eastAsia="SimSun" w:hAnsi="Book Antiqua" w:cs="SimSun"/>
          <w:i/>
          <w:iCs/>
          <w:bdr w:val="none" w:sz="0" w:space="0" w:color="auto"/>
          <w:lang w:val="en-US" w:eastAsia="zh-CN"/>
        </w:rPr>
        <w:t>Aliment Pharmacol Ther</w:t>
      </w:r>
      <w:r w:rsidRPr="006B1665">
        <w:rPr>
          <w:rFonts w:ascii="Book Antiqua" w:eastAsia="SimSun" w:hAnsi="Book Antiqua" w:cs="SimSun"/>
          <w:bdr w:val="none" w:sz="0" w:space="0" w:color="auto"/>
          <w:lang w:val="en-US" w:eastAsia="zh-CN"/>
        </w:rPr>
        <w:t> 2013; </w:t>
      </w:r>
      <w:r w:rsidRPr="006B1665">
        <w:rPr>
          <w:rFonts w:ascii="Book Antiqua" w:eastAsia="SimSun" w:hAnsi="Book Antiqua" w:cs="SimSun"/>
          <w:b/>
          <w:bCs/>
          <w:bdr w:val="none" w:sz="0" w:space="0" w:color="auto"/>
          <w:lang w:val="en-US" w:eastAsia="zh-CN"/>
        </w:rPr>
        <w:t>37</w:t>
      </w:r>
      <w:r w:rsidRPr="006B1665">
        <w:rPr>
          <w:rFonts w:ascii="Book Antiqua" w:eastAsia="SimSun" w:hAnsi="Book Antiqua" w:cs="SimSun"/>
          <w:bdr w:val="none" w:sz="0" w:space="0" w:color="auto"/>
          <w:lang w:val="en-US" w:eastAsia="zh-CN"/>
        </w:rPr>
        <w:t>: 1132-1156 [PMID: 23638982 DOI: 10.1111/apt.12324]</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122 </w:t>
      </w:r>
      <w:r w:rsidRPr="006B1665">
        <w:rPr>
          <w:rFonts w:ascii="Book Antiqua" w:eastAsia="SimSun" w:hAnsi="Book Antiqua" w:cs="SimSun"/>
          <w:b/>
          <w:bCs/>
          <w:bdr w:val="none" w:sz="0" w:space="0" w:color="auto"/>
          <w:lang w:val="en-US" w:eastAsia="zh-CN"/>
        </w:rPr>
        <w:t>Vidot H</w:t>
      </w:r>
      <w:r w:rsidRPr="006B1665">
        <w:rPr>
          <w:rFonts w:ascii="Book Antiqua" w:eastAsia="SimSun" w:hAnsi="Book Antiqua" w:cs="SimSun"/>
          <w:bdr w:val="none" w:sz="0" w:space="0" w:color="auto"/>
          <w:lang w:val="en-US" w:eastAsia="zh-CN"/>
        </w:rPr>
        <w:t>, Carey S, Allman-Farinelli M, Shackel N. Systematic review: the treatment of muscle cramps in patients with cirrhosis. </w:t>
      </w:r>
      <w:r w:rsidRPr="006B1665">
        <w:rPr>
          <w:rFonts w:ascii="Book Antiqua" w:eastAsia="SimSun" w:hAnsi="Book Antiqua" w:cs="SimSun"/>
          <w:i/>
          <w:iCs/>
          <w:bdr w:val="none" w:sz="0" w:space="0" w:color="auto"/>
          <w:lang w:val="en-US" w:eastAsia="zh-CN"/>
        </w:rPr>
        <w:t>Aliment Pharmacol Ther</w:t>
      </w:r>
      <w:r w:rsidRPr="006B1665">
        <w:rPr>
          <w:rFonts w:ascii="Book Antiqua" w:eastAsia="SimSun" w:hAnsi="Book Antiqua" w:cs="SimSun"/>
          <w:bdr w:val="none" w:sz="0" w:space="0" w:color="auto"/>
          <w:lang w:val="en-US" w:eastAsia="zh-CN"/>
        </w:rPr>
        <w:t> 2014; </w:t>
      </w:r>
      <w:r w:rsidRPr="006B1665">
        <w:rPr>
          <w:rFonts w:ascii="Book Antiqua" w:eastAsia="SimSun" w:hAnsi="Book Antiqua" w:cs="SimSun"/>
          <w:b/>
          <w:bCs/>
          <w:bdr w:val="none" w:sz="0" w:space="0" w:color="auto"/>
          <w:lang w:val="en-US" w:eastAsia="zh-CN"/>
        </w:rPr>
        <w:t>40</w:t>
      </w:r>
      <w:r w:rsidRPr="006B1665">
        <w:rPr>
          <w:rFonts w:ascii="Book Antiqua" w:eastAsia="SimSun" w:hAnsi="Book Antiqua" w:cs="SimSun"/>
          <w:bdr w:val="none" w:sz="0" w:space="0" w:color="auto"/>
          <w:lang w:val="en-US" w:eastAsia="zh-CN"/>
        </w:rPr>
        <w:t>: 221-232 [PMID: 24942957 DOI: 10.1111/apt.12827]</w:t>
      </w:r>
    </w:p>
    <w:p w:rsidR="006B1665" w:rsidRPr="006B1665" w:rsidRDefault="006B1665" w:rsidP="006B16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val="en-US" w:eastAsia="zh-CN"/>
        </w:rPr>
      </w:pPr>
      <w:r w:rsidRPr="006B1665">
        <w:rPr>
          <w:rFonts w:ascii="Book Antiqua" w:eastAsia="SimSun" w:hAnsi="Book Antiqua" w:cs="SimSun"/>
          <w:bdr w:val="none" w:sz="0" w:space="0" w:color="auto"/>
          <w:lang w:val="en-US" w:eastAsia="zh-CN"/>
        </w:rPr>
        <w:t>123 </w:t>
      </w:r>
      <w:r w:rsidRPr="006B1665">
        <w:rPr>
          <w:rFonts w:ascii="Book Antiqua" w:eastAsia="SimSun" w:hAnsi="Book Antiqua" w:cs="SimSun"/>
          <w:b/>
          <w:bCs/>
          <w:bdr w:val="none" w:sz="0" w:space="0" w:color="auto"/>
          <w:lang w:val="en-US" w:eastAsia="zh-CN"/>
        </w:rPr>
        <w:t>Henry ZH</w:t>
      </w:r>
      <w:r w:rsidRPr="006B1665">
        <w:rPr>
          <w:rFonts w:ascii="Book Antiqua" w:eastAsia="SimSun" w:hAnsi="Book Antiqua" w:cs="SimSun"/>
          <w:bdr w:val="none" w:sz="0" w:space="0" w:color="auto"/>
          <w:lang w:val="en-US" w:eastAsia="zh-CN"/>
        </w:rPr>
        <w:t>, Northup PG. Baclofen for the treatment of muscle cramps in patients with cirrhosis: A new alternative. </w:t>
      </w:r>
      <w:r w:rsidRPr="006B1665">
        <w:rPr>
          <w:rFonts w:ascii="Book Antiqua" w:eastAsia="SimSun" w:hAnsi="Book Antiqua" w:cs="SimSun"/>
          <w:i/>
          <w:iCs/>
          <w:bdr w:val="none" w:sz="0" w:space="0" w:color="auto"/>
          <w:lang w:val="en-US" w:eastAsia="zh-CN"/>
        </w:rPr>
        <w:t>Hepatology</w:t>
      </w:r>
      <w:r w:rsidRPr="006B1665">
        <w:rPr>
          <w:rFonts w:ascii="Book Antiqua" w:eastAsia="SimSun" w:hAnsi="Book Antiqua" w:cs="SimSun"/>
          <w:bdr w:val="none" w:sz="0" w:space="0" w:color="auto"/>
          <w:lang w:val="en-US" w:eastAsia="zh-CN"/>
        </w:rPr>
        <w:t> 2016; </w:t>
      </w:r>
      <w:r w:rsidRPr="006B1665">
        <w:rPr>
          <w:rFonts w:ascii="Book Antiqua" w:eastAsia="SimSun" w:hAnsi="Book Antiqua" w:cs="SimSun"/>
          <w:b/>
          <w:bCs/>
          <w:bdr w:val="none" w:sz="0" w:space="0" w:color="auto"/>
          <w:lang w:val="en-US" w:eastAsia="zh-CN"/>
        </w:rPr>
        <w:t>64</w:t>
      </w:r>
      <w:r w:rsidRPr="006B1665">
        <w:rPr>
          <w:rFonts w:ascii="Book Antiqua" w:eastAsia="SimSun" w:hAnsi="Book Antiqua" w:cs="SimSun"/>
          <w:bdr w:val="none" w:sz="0" w:space="0" w:color="auto"/>
          <w:lang w:val="en-US" w:eastAsia="zh-CN"/>
        </w:rPr>
        <w:t>: 695-696 [PMID: 26175073 DOI: 10.1002/hep.27988]</w:t>
      </w:r>
    </w:p>
    <w:p w:rsidR="006B1665" w:rsidRPr="006B1665" w:rsidRDefault="006B1665" w:rsidP="006B166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line="360" w:lineRule="auto"/>
        <w:jc w:val="right"/>
        <w:rPr>
          <w:rFonts w:ascii="Book Antiqua" w:eastAsia="SimSun" w:hAnsi="Book Antiqua" w:cs="Times New Roman"/>
          <w:color w:val="auto"/>
          <w:kern w:val="2"/>
          <w:bdr w:val="none" w:sz="0" w:space="0" w:color="auto"/>
          <w:lang w:val="en-US"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r w:rsidRPr="006B1665">
        <w:rPr>
          <w:rFonts w:ascii="Book Antiqua" w:eastAsia="SimSun" w:hAnsi="Book Antiqua" w:cs="Times New Roman"/>
          <w:b/>
          <w:bCs/>
          <w:color w:val="auto"/>
          <w:kern w:val="2"/>
          <w:bdr w:val="none" w:sz="0" w:space="0" w:color="auto"/>
          <w:lang w:val="en-US" w:eastAsia="zh-CN"/>
        </w:rPr>
        <w:t>P-Reviewer:</w:t>
      </w:r>
      <w:r w:rsidRPr="006B1665">
        <w:rPr>
          <w:rFonts w:ascii="Book Antiqua" w:eastAsia="SimSun" w:hAnsi="Book Antiqua" w:cs="Times New Roman" w:hint="eastAsia"/>
          <w:b/>
          <w:bCs/>
          <w:color w:val="auto"/>
          <w:kern w:val="2"/>
          <w:bdr w:val="none" w:sz="0" w:space="0" w:color="auto"/>
          <w:lang w:val="en-US" w:eastAsia="zh-CN"/>
        </w:rPr>
        <w:t xml:space="preserve"> </w:t>
      </w:r>
      <w:r w:rsidRPr="006B1665">
        <w:rPr>
          <w:rFonts w:ascii="Book Antiqua" w:eastAsia="SimSun" w:hAnsi="Book Antiqua" w:cs="Times New Roman"/>
          <w:bCs/>
          <w:color w:val="auto"/>
          <w:kern w:val="2"/>
          <w:bdr w:val="none" w:sz="0" w:space="0" w:color="auto"/>
          <w:lang w:val="en-US" w:eastAsia="zh-CN"/>
        </w:rPr>
        <w:t>Cao</w:t>
      </w:r>
      <w:r w:rsidRPr="006B1665">
        <w:rPr>
          <w:rFonts w:ascii="Book Antiqua" w:eastAsia="SimSun" w:hAnsi="Book Antiqua" w:cs="Times New Roman" w:hint="eastAsia"/>
          <w:bCs/>
          <w:color w:val="auto"/>
          <w:kern w:val="2"/>
          <w:bdr w:val="none" w:sz="0" w:space="0" w:color="auto"/>
          <w:lang w:val="en-US" w:eastAsia="zh-CN"/>
        </w:rPr>
        <w:t xml:space="preserve"> </w:t>
      </w:r>
      <w:r w:rsidRPr="006B1665">
        <w:rPr>
          <w:rFonts w:ascii="Book Antiqua" w:eastAsia="SimSun" w:hAnsi="Book Antiqua" w:cs="Times New Roman"/>
          <w:bCs/>
          <w:color w:val="auto"/>
          <w:kern w:val="2"/>
          <w:bdr w:val="none" w:sz="0" w:space="0" w:color="auto"/>
          <w:lang w:val="en-US" w:eastAsia="zh-CN"/>
        </w:rPr>
        <w:t>GW</w:t>
      </w:r>
      <w:r w:rsidRPr="006B1665">
        <w:rPr>
          <w:rFonts w:ascii="Book Antiqua" w:eastAsia="SimSun" w:hAnsi="Book Antiqua" w:cs="Times New Roman" w:hint="eastAsia"/>
          <w:bCs/>
          <w:color w:val="auto"/>
          <w:kern w:val="2"/>
          <w:bdr w:val="none" w:sz="0" w:space="0" w:color="auto"/>
          <w:lang w:val="en-US" w:eastAsia="zh-CN"/>
        </w:rPr>
        <w:t xml:space="preserve">, </w:t>
      </w:r>
      <w:r w:rsidRPr="006B1665">
        <w:rPr>
          <w:rFonts w:ascii="Book Antiqua" w:eastAsia="SimSun" w:hAnsi="Book Antiqua" w:cs="Times New Roman"/>
          <w:bCs/>
          <w:color w:val="auto"/>
          <w:kern w:val="2"/>
          <w:bdr w:val="none" w:sz="0" w:space="0" w:color="auto"/>
          <w:lang w:val="en-US" w:eastAsia="zh-CN"/>
        </w:rPr>
        <w:t>Edeline</w:t>
      </w:r>
      <w:r w:rsidRPr="006B1665">
        <w:rPr>
          <w:rFonts w:ascii="Book Antiqua" w:eastAsia="SimSun" w:hAnsi="Book Antiqua" w:cs="Times New Roman" w:hint="eastAsia"/>
          <w:bCs/>
          <w:color w:val="auto"/>
          <w:kern w:val="2"/>
          <w:bdr w:val="none" w:sz="0" w:space="0" w:color="auto"/>
          <w:lang w:val="en-US" w:eastAsia="zh-CN"/>
        </w:rPr>
        <w:t xml:space="preserve"> </w:t>
      </w:r>
      <w:r w:rsidRPr="006B1665">
        <w:rPr>
          <w:rFonts w:ascii="Book Antiqua" w:eastAsia="SimSun" w:hAnsi="Book Antiqua" w:cs="Times New Roman"/>
          <w:bCs/>
          <w:color w:val="auto"/>
          <w:kern w:val="2"/>
          <w:bdr w:val="none" w:sz="0" w:space="0" w:color="auto"/>
          <w:lang w:val="en-US" w:eastAsia="zh-CN"/>
        </w:rPr>
        <w:t>J</w:t>
      </w:r>
      <w:r w:rsidRPr="006B1665">
        <w:rPr>
          <w:rFonts w:ascii="Book Antiqua" w:eastAsia="SimSun" w:hAnsi="Book Antiqua" w:cs="Times New Roman" w:hint="eastAsia"/>
          <w:bCs/>
          <w:color w:val="auto"/>
          <w:kern w:val="2"/>
          <w:bdr w:val="none" w:sz="0" w:space="0" w:color="auto"/>
          <w:lang w:val="en-US" w:eastAsia="zh-CN"/>
        </w:rPr>
        <w:t xml:space="preserve">, </w:t>
      </w:r>
      <w:r w:rsidRPr="006B1665">
        <w:rPr>
          <w:rFonts w:ascii="Book Antiqua" w:eastAsia="SimSun" w:hAnsi="Book Antiqua" w:cs="Times New Roman"/>
          <w:bCs/>
          <w:color w:val="auto"/>
          <w:kern w:val="2"/>
          <w:bdr w:val="none" w:sz="0" w:space="0" w:color="auto"/>
          <w:lang w:val="en-US" w:eastAsia="zh-CN"/>
        </w:rPr>
        <w:t>Tai DI</w:t>
      </w:r>
      <w:r w:rsidRPr="006B1665">
        <w:rPr>
          <w:rFonts w:ascii="Book Antiqua" w:eastAsia="SimSun" w:hAnsi="Book Antiqua" w:cs="Times New Roman" w:hint="eastAsia"/>
          <w:b/>
          <w:bCs/>
          <w:color w:val="auto"/>
          <w:kern w:val="2"/>
          <w:bdr w:val="none" w:sz="0" w:space="0" w:color="auto"/>
          <w:lang w:val="en-US" w:eastAsia="zh-CN"/>
        </w:rPr>
        <w:t xml:space="preserve"> </w:t>
      </w:r>
      <w:r w:rsidRPr="006B1665">
        <w:rPr>
          <w:rFonts w:ascii="Book Antiqua" w:eastAsia="SimSun" w:hAnsi="Book Antiqua" w:cs="Times New Roman"/>
          <w:b/>
          <w:bCs/>
          <w:color w:val="auto"/>
          <w:kern w:val="2"/>
          <w:bdr w:val="none" w:sz="0" w:space="0" w:color="auto"/>
          <w:lang w:val="en-US" w:eastAsia="zh-CN"/>
        </w:rPr>
        <w:t>S-Editor:</w:t>
      </w:r>
      <w:r w:rsidRPr="006B1665">
        <w:rPr>
          <w:rFonts w:ascii="Book Antiqua" w:eastAsia="SimSun" w:hAnsi="Book Antiqua" w:cs="Times New Roman" w:hint="eastAsia"/>
          <w:color w:val="auto"/>
          <w:kern w:val="2"/>
          <w:bdr w:val="none" w:sz="0" w:space="0" w:color="auto"/>
          <w:lang w:val="en-US" w:eastAsia="zh-CN"/>
        </w:rPr>
        <w:t xml:space="preserve"> Gong ZM</w:t>
      </w:r>
    </w:p>
    <w:p w:rsidR="006B1665" w:rsidRPr="000127F4" w:rsidRDefault="006B1665" w:rsidP="006B166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Book Antiqua" w:eastAsia="SimSun" w:hAnsi="Book Antiqua" w:cs="Times New Roman"/>
          <w:color w:val="000000" w:themeColor="text1"/>
          <w:kern w:val="2"/>
          <w:bdr w:val="none" w:sz="0" w:space="0" w:color="auto"/>
          <w:lang w:val="en-US" w:eastAsia="zh-CN"/>
        </w:rPr>
      </w:pPr>
      <w:r w:rsidRPr="000127F4">
        <w:rPr>
          <w:rFonts w:ascii="Book Antiqua" w:eastAsia="SimSun" w:hAnsi="Book Antiqua" w:cs="Times New Roman"/>
          <w:b/>
          <w:bCs/>
          <w:color w:val="000000" w:themeColor="text1"/>
          <w:kern w:val="2"/>
          <w:bdr w:val="none" w:sz="0" w:space="0" w:color="auto"/>
          <w:lang w:val="en-US" w:eastAsia="zh-CN"/>
        </w:rPr>
        <w:t>L-Editor:</w:t>
      </w:r>
      <w:r w:rsidRPr="000127F4">
        <w:rPr>
          <w:rFonts w:ascii="Book Antiqua" w:eastAsia="SimSun" w:hAnsi="Book Antiqua" w:cs="Times New Roman"/>
          <w:color w:val="000000" w:themeColor="text1"/>
          <w:kern w:val="2"/>
          <w:bdr w:val="none" w:sz="0" w:space="0" w:color="auto"/>
          <w:lang w:val="en-US" w:eastAsia="zh-CN"/>
        </w:rPr>
        <w:t xml:space="preserve"> </w:t>
      </w:r>
      <w:r w:rsidRPr="000127F4">
        <w:rPr>
          <w:rFonts w:ascii="Book Antiqua" w:eastAsia="SimSun" w:hAnsi="Book Antiqua" w:cs="Times New Roman"/>
          <w:b/>
          <w:bCs/>
          <w:color w:val="000000" w:themeColor="text1"/>
          <w:kern w:val="2"/>
          <w:bdr w:val="none" w:sz="0" w:space="0" w:color="auto"/>
          <w:lang w:val="en-US" w:eastAsia="zh-CN"/>
        </w:rPr>
        <w:t>E-Editor:</w:t>
      </w:r>
    </w:p>
    <w:p w:rsidR="00B563C2" w:rsidRPr="000127F4" w:rsidRDefault="00B563C2" w:rsidP="00B563C2">
      <w:pPr>
        <w:shd w:val="clear" w:color="auto" w:fill="FFFFFF"/>
        <w:snapToGrid w:val="0"/>
        <w:spacing w:line="360" w:lineRule="auto"/>
        <w:rPr>
          <w:rFonts w:ascii="Book Antiqua" w:hAnsi="Book Antiqua" w:cs="Helvetica"/>
          <w:b/>
          <w:color w:val="000000" w:themeColor="text1"/>
        </w:rPr>
      </w:pPr>
      <w:bookmarkStart w:id="134" w:name="OLE_LINK497"/>
      <w:bookmarkStart w:id="135"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0127F4">
        <w:rPr>
          <w:rFonts w:ascii="Book Antiqua" w:hAnsi="Book Antiqua" w:cs="Helvetica"/>
          <w:b/>
          <w:color w:val="000000" w:themeColor="text1"/>
        </w:rPr>
        <w:t xml:space="preserve">Specialty </w:t>
      </w:r>
      <w:r w:rsidR="000127F4" w:rsidRPr="000127F4">
        <w:rPr>
          <w:rFonts w:ascii="Book Antiqua" w:hAnsi="Book Antiqua" w:cs="Helvetica"/>
          <w:b/>
          <w:color w:val="000000" w:themeColor="text1"/>
        </w:rPr>
        <w:t>type</w:t>
      </w:r>
      <w:r w:rsidRPr="000127F4">
        <w:rPr>
          <w:rFonts w:ascii="Book Antiqua" w:hAnsi="Book Antiqua" w:cs="Helvetica"/>
          <w:b/>
          <w:color w:val="000000" w:themeColor="text1"/>
        </w:rPr>
        <w:t xml:space="preserve">: </w:t>
      </w:r>
      <w:r w:rsidRPr="000127F4">
        <w:rPr>
          <w:rFonts w:ascii="Book Antiqua" w:hAnsi="Book Antiqua" w:cs="Helvetica"/>
          <w:color w:val="000000" w:themeColor="text1"/>
        </w:rPr>
        <w:t>Gastroenterology and</w:t>
      </w:r>
      <w:r w:rsidRPr="000127F4">
        <w:rPr>
          <w:rFonts w:ascii="Book Antiqua" w:hAnsi="Book Antiqua" w:cs="Helvetica" w:hint="eastAsia"/>
          <w:color w:val="000000" w:themeColor="text1"/>
        </w:rPr>
        <w:t xml:space="preserve"> </w:t>
      </w:r>
      <w:r w:rsidR="000127F4" w:rsidRPr="000127F4">
        <w:rPr>
          <w:rFonts w:ascii="Book Antiqua" w:hAnsi="Book Antiqua" w:cs="Helvetica"/>
          <w:color w:val="000000" w:themeColor="text1"/>
        </w:rPr>
        <w:t>hepatology</w:t>
      </w:r>
    </w:p>
    <w:p w:rsidR="00B563C2" w:rsidRPr="000127F4" w:rsidRDefault="00B563C2" w:rsidP="00B563C2">
      <w:pPr>
        <w:shd w:val="clear" w:color="auto" w:fill="FFFFFF"/>
        <w:snapToGrid w:val="0"/>
        <w:spacing w:line="360" w:lineRule="auto"/>
        <w:rPr>
          <w:rFonts w:ascii="Book Antiqua" w:hAnsi="Book Antiqua" w:cs="Helvetica"/>
          <w:b/>
          <w:color w:val="000000" w:themeColor="text1"/>
          <w:lang w:eastAsia="zh-CN"/>
        </w:rPr>
      </w:pPr>
      <w:r w:rsidRPr="000127F4">
        <w:rPr>
          <w:rFonts w:ascii="Book Antiqua" w:hAnsi="Book Antiqua" w:cs="Helvetica"/>
          <w:b/>
          <w:color w:val="000000" w:themeColor="text1"/>
        </w:rPr>
        <w:t xml:space="preserve">Country of </w:t>
      </w:r>
      <w:r w:rsidR="000127F4" w:rsidRPr="000127F4">
        <w:rPr>
          <w:rFonts w:ascii="Book Antiqua" w:hAnsi="Book Antiqua" w:cs="Helvetica"/>
          <w:b/>
          <w:color w:val="000000" w:themeColor="text1"/>
        </w:rPr>
        <w:t>origin</w:t>
      </w:r>
      <w:r w:rsidRPr="000127F4">
        <w:rPr>
          <w:rFonts w:ascii="Book Antiqua" w:hAnsi="Book Antiqua" w:cs="Helvetica"/>
          <w:b/>
          <w:color w:val="000000" w:themeColor="text1"/>
        </w:rPr>
        <w:t xml:space="preserve">: </w:t>
      </w:r>
      <w:r w:rsidRPr="000127F4">
        <w:rPr>
          <w:rFonts w:ascii="Book Antiqua" w:hAnsi="Book Antiqua" w:cs="Helvetica" w:hint="eastAsia"/>
          <w:caps/>
          <w:color w:val="000000" w:themeColor="text1"/>
          <w:lang w:val="en-CA" w:eastAsia="zh-CN"/>
        </w:rPr>
        <w:t>i</w:t>
      </w:r>
      <w:r w:rsidRPr="000127F4">
        <w:rPr>
          <w:rFonts w:ascii="Book Antiqua" w:hAnsi="Book Antiqua" w:cs="Helvetica"/>
          <w:color w:val="000000" w:themeColor="text1"/>
          <w:lang w:val="en-CA" w:eastAsia="zh-CN"/>
        </w:rPr>
        <w:t>taly</w:t>
      </w:r>
    </w:p>
    <w:p w:rsidR="00B563C2" w:rsidRPr="000127F4" w:rsidRDefault="00B563C2" w:rsidP="00B563C2">
      <w:pPr>
        <w:shd w:val="clear" w:color="auto" w:fill="FFFFFF"/>
        <w:snapToGrid w:val="0"/>
        <w:spacing w:line="360" w:lineRule="auto"/>
        <w:rPr>
          <w:rFonts w:ascii="Book Antiqua" w:hAnsi="Book Antiqua" w:cs="Helvetica"/>
          <w:b/>
          <w:color w:val="000000" w:themeColor="text1"/>
        </w:rPr>
      </w:pPr>
      <w:r w:rsidRPr="000127F4">
        <w:rPr>
          <w:rFonts w:ascii="Book Antiqua" w:hAnsi="Book Antiqua" w:cs="Helvetica"/>
          <w:b/>
          <w:color w:val="000000" w:themeColor="text1"/>
        </w:rPr>
        <w:t>Peer-</w:t>
      </w:r>
      <w:r w:rsidR="000127F4" w:rsidRPr="000127F4">
        <w:rPr>
          <w:rFonts w:ascii="Book Antiqua" w:hAnsi="Book Antiqua" w:cs="Helvetica"/>
          <w:b/>
          <w:color w:val="000000" w:themeColor="text1"/>
        </w:rPr>
        <w:t>review report classification</w:t>
      </w:r>
    </w:p>
    <w:p w:rsidR="00B563C2" w:rsidRPr="000127F4" w:rsidRDefault="00B563C2" w:rsidP="00B563C2">
      <w:pPr>
        <w:shd w:val="clear" w:color="auto" w:fill="FFFFFF"/>
        <w:snapToGrid w:val="0"/>
        <w:spacing w:line="360" w:lineRule="auto"/>
        <w:rPr>
          <w:rFonts w:ascii="Book Antiqua" w:hAnsi="Book Antiqua" w:cs="Helvetica"/>
          <w:color w:val="000000" w:themeColor="text1"/>
        </w:rPr>
      </w:pPr>
      <w:r w:rsidRPr="000127F4">
        <w:rPr>
          <w:rFonts w:ascii="Book Antiqua" w:hAnsi="Book Antiqua" w:cs="Helvetica"/>
          <w:color w:val="000000" w:themeColor="text1"/>
        </w:rPr>
        <w:t xml:space="preserve">Grade A (Excellent): </w:t>
      </w:r>
      <w:r w:rsidRPr="000127F4">
        <w:rPr>
          <w:rFonts w:ascii="Book Antiqua" w:hAnsi="Book Antiqua" w:cs="Helvetica" w:hint="eastAsia"/>
          <w:color w:val="000000" w:themeColor="text1"/>
        </w:rPr>
        <w:t>0</w:t>
      </w:r>
    </w:p>
    <w:p w:rsidR="00B563C2" w:rsidRPr="000127F4" w:rsidRDefault="00B563C2" w:rsidP="00B563C2">
      <w:pPr>
        <w:shd w:val="clear" w:color="auto" w:fill="FFFFFF"/>
        <w:snapToGrid w:val="0"/>
        <w:spacing w:line="360" w:lineRule="auto"/>
        <w:rPr>
          <w:rFonts w:ascii="Book Antiqua" w:hAnsi="Book Antiqua" w:cs="Helvetica"/>
          <w:color w:val="000000" w:themeColor="text1"/>
          <w:lang w:eastAsia="zh-CN"/>
        </w:rPr>
      </w:pPr>
      <w:r w:rsidRPr="000127F4">
        <w:rPr>
          <w:rFonts w:ascii="Book Antiqua" w:hAnsi="Book Antiqua" w:cs="Helvetica"/>
          <w:color w:val="000000" w:themeColor="text1"/>
        </w:rPr>
        <w:t>Grade B (Very good):</w:t>
      </w:r>
      <w:r w:rsidR="00325D78" w:rsidRPr="000127F4">
        <w:rPr>
          <w:rFonts w:ascii="Book Antiqua" w:hAnsi="Book Antiqua" w:cs="Helvetica" w:hint="eastAsia"/>
          <w:color w:val="000000" w:themeColor="text1"/>
          <w:lang w:eastAsia="zh-CN"/>
        </w:rPr>
        <w:t xml:space="preserve"> </w:t>
      </w:r>
      <w:r w:rsidRPr="000127F4">
        <w:rPr>
          <w:rFonts w:ascii="Book Antiqua" w:hAnsi="Book Antiqua" w:cs="Helvetica" w:hint="eastAsia"/>
          <w:color w:val="000000" w:themeColor="text1"/>
          <w:lang w:eastAsia="zh-CN"/>
        </w:rPr>
        <w:t>B</w:t>
      </w:r>
    </w:p>
    <w:p w:rsidR="00B563C2" w:rsidRPr="000127F4" w:rsidRDefault="00B563C2" w:rsidP="00B563C2">
      <w:pPr>
        <w:shd w:val="clear" w:color="auto" w:fill="FFFFFF"/>
        <w:snapToGrid w:val="0"/>
        <w:spacing w:line="360" w:lineRule="auto"/>
        <w:rPr>
          <w:rFonts w:ascii="Book Antiqua" w:hAnsi="Book Antiqua" w:cs="Helvetica"/>
          <w:color w:val="000000" w:themeColor="text1"/>
          <w:lang w:eastAsia="zh-CN"/>
        </w:rPr>
      </w:pPr>
      <w:r w:rsidRPr="000127F4">
        <w:rPr>
          <w:rFonts w:ascii="Book Antiqua" w:hAnsi="Book Antiqua" w:cs="Helvetica"/>
          <w:color w:val="000000" w:themeColor="text1"/>
        </w:rPr>
        <w:t xml:space="preserve">Grade C (Good): </w:t>
      </w:r>
      <w:r w:rsidRPr="000127F4">
        <w:rPr>
          <w:rFonts w:ascii="Book Antiqua" w:hAnsi="Book Antiqua" w:cs="Helvetica" w:hint="eastAsia"/>
          <w:color w:val="000000" w:themeColor="text1"/>
        </w:rPr>
        <w:t>C, C</w:t>
      </w:r>
    </w:p>
    <w:p w:rsidR="00B563C2" w:rsidRPr="000127F4" w:rsidRDefault="00B563C2" w:rsidP="00B563C2">
      <w:pPr>
        <w:shd w:val="clear" w:color="auto" w:fill="FFFFFF"/>
        <w:snapToGrid w:val="0"/>
        <w:spacing w:line="360" w:lineRule="auto"/>
        <w:rPr>
          <w:rFonts w:ascii="Book Antiqua" w:hAnsi="Book Antiqua" w:cs="Helvetica"/>
          <w:color w:val="000000" w:themeColor="text1"/>
        </w:rPr>
      </w:pPr>
      <w:r w:rsidRPr="000127F4">
        <w:rPr>
          <w:rFonts w:ascii="Book Antiqua" w:hAnsi="Book Antiqua" w:cs="Helvetica"/>
          <w:color w:val="000000" w:themeColor="text1"/>
        </w:rPr>
        <w:t xml:space="preserve">Grade D (Fair): </w:t>
      </w:r>
      <w:r w:rsidRPr="000127F4">
        <w:rPr>
          <w:rFonts w:ascii="Book Antiqua" w:hAnsi="Book Antiqua" w:cs="Helvetica" w:hint="eastAsia"/>
          <w:color w:val="000000" w:themeColor="text1"/>
        </w:rPr>
        <w:t>0</w:t>
      </w:r>
    </w:p>
    <w:p w:rsidR="00B563C2" w:rsidRPr="000127F4" w:rsidRDefault="00B563C2" w:rsidP="00B563C2">
      <w:pPr>
        <w:shd w:val="clear" w:color="auto" w:fill="FFFFFF"/>
        <w:snapToGrid w:val="0"/>
        <w:spacing w:line="360" w:lineRule="auto"/>
        <w:rPr>
          <w:rFonts w:ascii="Book Antiqua" w:hAnsi="Book Antiqua" w:cs="Helvetica"/>
          <w:color w:val="000000" w:themeColor="text1"/>
        </w:rPr>
      </w:pPr>
      <w:r w:rsidRPr="000127F4">
        <w:rPr>
          <w:rFonts w:ascii="Book Antiqua" w:hAnsi="Book Antiqua" w:cs="Helvetica"/>
          <w:color w:val="000000" w:themeColor="text1"/>
        </w:rPr>
        <w:t xml:space="preserve">Grade E (Poor): </w:t>
      </w:r>
      <w:r w:rsidRPr="000127F4">
        <w:rPr>
          <w:rFonts w:ascii="Book Antiqua" w:hAnsi="Book Antiqua" w:cs="Helvetica" w:hint="eastAsia"/>
          <w:color w:val="000000" w:themeColor="text1"/>
        </w:rPr>
        <w:t>0</w:t>
      </w:r>
    </w:p>
    <w:bookmarkEnd w:id="134"/>
    <w:bookmarkEnd w:id="135"/>
    <w:p w:rsidR="00951AB4" w:rsidRPr="00B563C2" w:rsidRDefault="00951AB4" w:rsidP="00B563C2">
      <w:pPr>
        <w:spacing w:line="360" w:lineRule="auto"/>
        <w:jc w:val="both"/>
        <w:rPr>
          <w:rFonts w:ascii="Book Antiqua" w:hAnsi="Book Antiqua"/>
          <w:color w:val="auto"/>
        </w:rPr>
      </w:pPr>
    </w:p>
    <w:p w:rsidR="00FA46AB" w:rsidRPr="00B01FC5" w:rsidRDefault="00FA46AB" w:rsidP="009352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auto"/>
          <w:lang w:val="en-US"/>
        </w:rPr>
      </w:pPr>
      <w:r w:rsidRPr="00B01FC5">
        <w:rPr>
          <w:rFonts w:ascii="Book Antiqua" w:hAnsi="Book Antiqua"/>
          <w:color w:val="auto"/>
          <w:lang w:val="en-US"/>
        </w:rPr>
        <w:br w:type="page"/>
      </w:r>
    </w:p>
    <w:p w:rsidR="00FA46AB" w:rsidRPr="005F51B8" w:rsidRDefault="00FA46AB" w:rsidP="009352FD">
      <w:pPr>
        <w:spacing w:line="360" w:lineRule="auto"/>
        <w:jc w:val="both"/>
        <w:rPr>
          <w:rFonts w:ascii="Book Antiqua" w:hAnsi="Book Antiqua" w:cs="Times New Roman"/>
          <w:b/>
          <w:color w:val="auto"/>
          <w:lang w:val="en-US" w:eastAsia="zh-CN"/>
        </w:rPr>
      </w:pPr>
      <w:r w:rsidRPr="005F51B8">
        <w:rPr>
          <w:rFonts w:ascii="Book Antiqua" w:hAnsi="Book Antiqua" w:cs="Times New Roman"/>
          <w:b/>
          <w:color w:val="auto"/>
          <w:lang w:val="en-US"/>
        </w:rPr>
        <w:lastRenderedPageBreak/>
        <w:t>Table 1</w:t>
      </w:r>
      <w:r w:rsidR="005F51B8" w:rsidRPr="005F51B8">
        <w:rPr>
          <w:rFonts w:ascii="Book Antiqua" w:hAnsi="Book Antiqua" w:cs="Times New Roman" w:hint="eastAsia"/>
          <w:b/>
          <w:color w:val="auto"/>
          <w:lang w:val="en-US" w:eastAsia="zh-CN"/>
        </w:rPr>
        <w:t xml:space="preserve"> </w:t>
      </w:r>
      <w:r w:rsidRPr="005F51B8">
        <w:rPr>
          <w:rFonts w:ascii="Book Antiqua" w:hAnsi="Book Antiqua" w:cs="Times New Roman"/>
          <w:b/>
          <w:color w:val="auto"/>
          <w:lang w:val="en-US"/>
        </w:rPr>
        <w:t xml:space="preserve">Variables included in the most widely used </w:t>
      </w:r>
      <w:r w:rsidR="005F51B8" w:rsidRPr="005F51B8">
        <w:rPr>
          <w:rFonts w:ascii="Book Antiqua" w:hAnsi="Book Antiqua" w:cs="Times New Roman"/>
          <w:b/>
          <w:color w:val="auto"/>
        </w:rPr>
        <w:t>hepatocellular carcinoma</w:t>
      </w:r>
      <w:r w:rsidRPr="005F51B8">
        <w:rPr>
          <w:rFonts w:ascii="Book Antiqua" w:hAnsi="Book Antiqua" w:cs="Times New Roman"/>
          <w:b/>
          <w:color w:val="auto"/>
          <w:lang w:val="en-US"/>
        </w:rPr>
        <w:t xml:space="preserve"> </w:t>
      </w:r>
      <w:r w:rsidR="005F51B8" w:rsidRPr="005F51B8">
        <w:rPr>
          <w:rFonts w:ascii="Book Antiqua" w:hAnsi="Book Antiqua" w:cs="Times New Roman"/>
          <w:b/>
          <w:color w:val="auto"/>
          <w:lang w:val="en-US"/>
        </w:rPr>
        <w:t>staging systems</w:t>
      </w:r>
    </w:p>
    <w:tbl>
      <w:tblPr>
        <w:tblW w:w="5259" w:type="pct"/>
        <w:jc w:val="center"/>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1384"/>
        <w:gridCol w:w="954"/>
        <w:gridCol w:w="966"/>
        <w:gridCol w:w="1176"/>
        <w:gridCol w:w="1188"/>
        <w:gridCol w:w="627"/>
        <w:gridCol w:w="580"/>
        <w:gridCol w:w="650"/>
        <w:gridCol w:w="656"/>
        <w:gridCol w:w="656"/>
        <w:gridCol w:w="701"/>
        <w:gridCol w:w="740"/>
      </w:tblGrid>
      <w:tr w:rsidR="005F51B8" w:rsidRPr="00B01FC5" w:rsidTr="005F51B8">
        <w:trPr>
          <w:trHeight w:val="677"/>
          <w:jc w:val="center"/>
        </w:trPr>
        <w:tc>
          <w:tcPr>
            <w:tcW w:w="673" w:type="pct"/>
            <w:tcBorders>
              <w:top w:val="single" w:sz="4" w:space="0" w:color="000000"/>
              <w:bottom w:val="single" w:sz="4" w:space="0" w:color="000000"/>
            </w:tcBorders>
            <w:shd w:val="clear" w:color="auto" w:fill="auto"/>
          </w:tcPr>
          <w:p w:rsidR="00FA46AB" w:rsidRPr="005F51B8" w:rsidRDefault="00FA46AB" w:rsidP="005F51B8">
            <w:pPr>
              <w:tabs>
                <w:tab w:val="center" w:pos="434"/>
              </w:tabs>
              <w:spacing w:before="2" w:after="2" w:line="360" w:lineRule="auto"/>
              <w:rPr>
                <w:rFonts w:ascii="Book Antiqua" w:hAnsi="Book Antiqua"/>
                <w:b/>
                <w:bCs/>
                <w:color w:val="auto"/>
                <w:lang w:val="en-US" w:eastAsia="it-IT"/>
              </w:rPr>
            </w:pPr>
            <w:r w:rsidRPr="005F51B8">
              <w:rPr>
                <w:rFonts w:ascii="Book Antiqua" w:hAnsi="Book Antiqua"/>
                <w:b/>
                <w:bCs/>
                <w:color w:val="auto"/>
                <w:lang w:val="en-US" w:eastAsia="it-IT"/>
              </w:rPr>
              <w:t>Staging system</w:t>
            </w:r>
          </w:p>
        </w:tc>
        <w:tc>
          <w:tcPr>
            <w:tcW w:w="464" w:type="pct"/>
            <w:tcBorders>
              <w:top w:val="single" w:sz="4" w:space="0" w:color="000000"/>
              <w:bottom w:val="single" w:sz="4" w:space="0" w:color="000000"/>
            </w:tcBorders>
            <w:shd w:val="clear" w:color="auto" w:fill="auto"/>
          </w:tcPr>
          <w:p w:rsidR="00FA46AB" w:rsidRPr="005F51B8" w:rsidRDefault="00FA46AB" w:rsidP="005F51B8">
            <w:pPr>
              <w:tabs>
                <w:tab w:val="center" w:pos="434"/>
              </w:tabs>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Ascites</w:t>
            </w:r>
          </w:p>
        </w:tc>
        <w:tc>
          <w:tcPr>
            <w:tcW w:w="470" w:type="pct"/>
            <w:tcBorders>
              <w:top w:val="single" w:sz="4" w:space="0" w:color="000000"/>
              <w:bottom w:val="single" w:sz="4" w:space="0" w:color="000000"/>
            </w:tcBorders>
            <w:shd w:val="clear" w:color="auto" w:fill="auto"/>
          </w:tcPr>
          <w:p w:rsidR="00FA46AB" w:rsidRPr="005F51B8" w:rsidRDefault="00FA46AB" w:rsidP="005F51B8">
            <w:pPr>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Tumor burden</w:t>
            </w:r>
          </w:p>
        </w:tc>
        <w:tc>
          <w:tcPr>
            <w:tcW w:w="572" w:type="pct"/>
            <w:tcBorders>
              <w:top w:val="single" w:sz="4" w:space="0" w:color="000000"/>
              <w:bottom w:val="single" w:sz="4" w:space="0" w:color="000000"/>
            </w:tcBorders>
            <w:shd w:val="clear" w:color="auto" w:fill="auto"/>
          </w:tcPr>
          <w:p w:rsidR="00FA46AB" w:rsidRPr="005F51B8" w:rsidRDefault="00FA46AB" w:rsidP="005F51B8">
            <w:pPr>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Albumin</w:t>
            </w:r>
          </w:p>
        </w:tc>
        <w:tc>
          <w:tcPr>
            <w:tcW w:w="578" w:type="pct"/>
            <w:tcBorders>
              <w:top w:val="single" w:sz="4" w:space="0" w:color="000000"/>
              <w:bottom w:val="single" w:sz="4" w:space="0" w:color="000000"/>
            </w:tcBorders>
            <w:shd w:val="clear" w:color="auto" w:fill="auto"/>
          </w:tcPr>
          <w:p w:rsidR="00FA46AB" w:rsidRPr="005F51B8" w:rsidRDefault="00FA46AB" w:rsidP="005F51B8">
            <w:pPr>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Bilirubin</w:t>
            </w:r>
          </w:p>
        </w:tc>
        <w:tc>
          <w:tcPr>
            <w:tcW w:w="305" w:type="pct"/>
            <w:tcBorders>
              <w:top w:val="single" w:sz="4" w:space="0" w:color="000000"/>
              <w:bottom w:val="single" w:sz="4" w:space="0" w:color="000000"/>
            </w:tcBorders>
            <w:shd w:val="clear" w:color="auto" w:fill="auto"/>
          </w:tcPr>
          <w:p w:rsidR="00FA46AB" w:rsidRPr="005F51B8" w:rsidRDefault="00FA46AB" w:rsidP="005F51B8">
            <w:pPr>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INR</w:t>
            </w:r>
          </w:p>
        </w:tc>
        <w:tc>
          <w:tcPr>
            <w:tcW w:w="282" w:type="pct"/>
            <w:tcBorders>
              <w:top w:val="single" w:sz="4" w:space="0" w:color="000000"/>
              <w:bottom w:val="single" w:sz="4" w:space="0" w:color="000000"/>
            </w:tcBorders>
            <w:shd w:val="clear" w:color="auto" w:fill="auto"/>
          </w:tcPr>
          <w:p w:rsidR="00FA46AB" w:rsidRPr="005F51B8" w:rsidRDefault="00FA46AB" w:rsidP="005F51B8">
            <w:pPr>
              <w:tabs>
                <w:tab w:val="left" w:pos="2039"/>
              </w:tabs>
              <w:spacing w:before="2" w:after="2" w:line="360" w:lineRule="auto"/>
              <w:ind w:right="-70"/>
              <w:jc w:val="center"/>
              <w:rPr>
                <w:rFonts w:ascii="Book Antiqua" w:hAnsi="Book Antiqua"/>
                <w:b/>
                <w:bCs/>
                <w:color w:val="auto"/>
                <w:lang w:eastAsia="it-IT"/>
              </w:rPr>
            </w:pPr>
            <w:r w:rsidRPr="005F51B8">
              <w:rPr>
                <w:rFonts w:ascii="Book Antiqua" w:hAnsi="Book Antiqua"/>
                <w:b/>
                <w:bCs/>
                <w:color w:val="auto"/>
                <w:lang w:eastAsia="it-IT"/>
              </w:rPr>
              <w:t>HE</w:t>
            </w:r>
          </w:p>
        </w:tc>
        <w:tc>
          <w:tcPr>
            <w:tcW w:w="316" w:type="pct"/>
            <w:tcBorders>
              <w:top w:val="single" w:sz="4" w:space="0" w:color="000000"/>
              <w:bottom w:val="single" w:sz="4" w:space="0" w:color="000000"/>
            </w:tcBorders>
            <w:shd w:val="clear" w:color="auto" w:fill="auto"/>
          </w:tcPr>
          <w:p w:rsidR="00FA46AB" w:rsidRPr="005F51B8" w:rsidRDefault="00FA46AB" w:rsidP="005F51B8">
            <w:pPr>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AFP</w:t>
            </w:r>
          </w:p>
        </w:tc>
        <w:tc>
          <w:tcPr>
            <w:tcW w:w="319" w:type="pct"/>
            <w:tcBorders>
              <w:top w:val="single" w:sz="4" w:space="0" w:color="000000"/>
              <w:bottom w:val="single" w:sz="4" w:space="0" w:color="000000"/>
            </w:tcBorders>
            <w:shd w:val="clear" w:color="auto" w:fill="auto"/>
          </w:tcPr>
          <w:p w:rsidR="00FA46AB" w:rsidRPr="005F51B8" w:rsidRDefault="00FA46AB" w:rsidP="005F51B8">
            <w:pPr>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PVT</w:t>
            </w:r>
          </w:p>
        </w:tc>
        <w:tc>
          <w:tcPr>
            <w:tcW w:w="319" w:type="pct"/>
            <w:tcBorders>
              <w:top w:val="single" w:sz="4" w:space="0" w:color="000000"/>
              <w:bottom w:val="single" w:sz="4" w:space="0" w:color="000000"/>
            </w:tcBorders>
            <w:shd w:val="clear" w:color="auto" w:fill="auto"/>
          </w:tcPr>
          <w:p w:rsidR="00FA46AB" w:rsidRPr="005F51B8" w:rsidRDefault="00FA46AB" w:rsidP="005F51B8">
            <w:pPr>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EHS</w:t>
            </w:r>
          </w:p>
        </w:tc>
        <w:tc>
          <w:tcPr>
            <w:tcW w:w="341" w:type="pct"/>
            <w:tcBorders>
              <w:top w:val="single" w:sz="4" w:space="0" w:color="000000"/>
              <w:bottom w:val="single" w:sz="4" w:space="0" w:color="000000"/>
            </w:tcBorders>
            <w:shd w:val="clear" w:color="auto" w:fill="auto"/>
          </w:tcPr>
          <w:p w:rsidR="00FA46AB" w:rsidRPr="005F51B8" w:rsidRDefault="00FA46AB" w:rsidP="005F51B8">
            <w:pPr>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PS</w:t>
            </w:r>
          </w:p>
        </w:tc>
        <w:tc>
          <w:tcPr>
            <w:tcW w:w="360" w:type="pct"/>
            <w:tcBorders>
              <w:top w:val="single" w:sz="4" w:space="0" w:color="000000"/>
              <w:bottom w:val="single" w:sz="4" w:space="0" w:color="000000"/>
            </w:tcBorders>
            <w:shd w:val="clear" w:color="auto" w:fill="auto"/>
          </w:tcPr>
          <w:p w:rsidR="00FA46AB" w:rsidRPr="005F51B8" w:rsidRDefault="00FA46AB" w:rsidP="005F51B8">
            <w:pPr>
              <w:spacing w:before="2" w:after="2" w:line="360" w:lineRule="auto"/>
              <w:jc w:val="center"/>
              <w:rPr>
                <w:rFonts w:ascii="Book Antiqua" w:hAnsi="Book Antiqua"/>
                <w:b/>
                <w:bCs/>
                <w:color w:val="auto"/>
                <w:lang w:eastAsia="it-IT"/>
              </w:rPr>
            </w:pPr>
            <w:r w:rsidRPr="005F51B8">
              <w:rPr>
                <w:rFonts w:ascii="Book Antiqua" w:hAnsi="Book Antiqua"/>
                <w:b/>
                <w:bCs/>
                <w:color w:val="auto"/>
                <w:lang w:eastAsia="it-IT"/>
              </w:rPr>
              <w:t>ALP</w:t>
            </w:r>
          </w:p>
        </w:tc>
      </w:tr>
      <w:tr w:rsidR="005F51B8" w:rsidRPr="00B01FC5" w:rsidTr="005F51B8">
        <w:trPr>
          <w:trHeight w:val="423"/>
          <w:jc w:val="center"/>
        </w:trPr>
        <w:tc>
          <w:tcPr>
            <w:tcW w:w="673" w:type="pct"/>
            <w:tcBorders>
              <w:top w:val="single" w:sz="4" w:space="0" w:color="000000"/>
            </w:tcBorders>
            <w:shd w:val="clear" w:color="auto" w:fill="auto"/>
          </w:tcPr>
          <w:p w:rsidR="005F51B8" w:rsidRPr="005F51B8" w:rsidRDefault="005F51B8" w:rsidP="005F51B8">
            <w:pPr>
              <w:spacing w:before="2" w:after="2" w:line="360" w:lineRule="auto"/>
              <w:rPr>
                <w:rFonts w:ascii="Book Antiqua" w:hAnsi="Book Antiqua"/>
                <w:color w:val="auto"/>
                <w:lang w:eastAsia="it-IT"/>
              </w:rPr>
            </w:pPr>
            <w:r w:rsidRPr="005F51B8">
              <w:rPr>
                <w:rFonts w:ascii="Book Antiqua" w:hAnsi="Book Antiqua"/>
                <w:color w:val="auto"/>
                <w:lang w:eastAsia="it-IT"/>
              </w:rPr>
              <w:t>Okuda</w:t>
            </w:r>
          </w:p>
        </w:tc>
        <w:tc>
          <w:tcPr>
            <w:tcW w:w="464" w:type="pct"/>
            <w:tcBorders>
              <w:top w:val="single" w:sz="4" w:space="0" w:color="000000"/>
            </w:tcBorders>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aps/>
                <w:color w:val="auto"/>
                <w:lang w:eastAsia="it-IT"/>
              </w:rPr>
              <w:t>y</w:t>
            </w:r>
            <w:r w:rsidRPr="005F51B8">
              <w:rPr>
                <w:rFonts w:ascii="Book Antiqua" w:hAnsi="Book Antiqua"/>
                <w:color w:val="auto"/>
                <w:lang w:eastAsia="it-IT"/>
              </w:rPr>
              <w:t>es</w:t>
            </w:r>
          </w:p>
        </w:tc>
        <w:tc>
          <w:tcPr>
            <w:tcW w:w="470" w:type="pct"/>
            <w:tcBorders>
              <w:top w:val="single" w:sz="4" w:space="0" w:color="000000"/>
            </w:tcBorders>
            <w:shd w:val="clear" w:color="auto" w:fill="auto"/>
          </w:tcPr>
          <w:p w:rsidR="005F51B8" w:rsidRDefault="005F51B8" w:rsidP="005F51B8">
            <w:pPr>
              <w:jc w:val="center"/>
            </w:pPr>
            <w:r w:rsidRPr="002253E8">
              <w:rPr>
                <w:rFonts w:ascii="Book Antiqua" w:hAnsi="Book Antiqua"/>
                <w:caps/>
                <w:color w:val="auto"/>
                <w:lang w:eastAsia="it-IT"/>
              </w:rPr>
              <w:t>y</w:t>
            </w:r>
            <w:r w:rsidRPr="002253E8">
              <w:rPr>
                <w:rFonts w:ascii="Book Antiqua" w:hAnsi="Book Antiqua"/>
                <w:color w:val="auto"/>
                <w:lang w:eastAsia="it-IT"/>
              </w:rPr>
              <w:t>es</w:t>
            </w:r>
          </w:p>
        </w:tc>
        <w:tc>
          <w:tcPr>
            <w:tcW w:w="572" w:type="pct"/>
            <w:tcBorders>
              <w:top w:val="single" w:sz="4" w:space="0" w:color="000000"/>
            </w:tcBorders>
            <w:shd w:val="clear" w:color="auto" w:fill="auto"/>
          </w:tcPr>
          <w:p w:rsidR="005F51B8" w:rsidRDefault="005F51B8" w:rsidP="005F51B8">
            <w:pPr>
              <w:jc w:val="center"/>
            </w:pPr>
            <w:r w:rsidRPr="005A28E4">
              <w:rPr>
                <w:rFonts w:ascii="Book Antiqua" w:hAnsi="Book Antiqua"/>
                <w:caps/>
                <w:color w:val="auto"/>
                <w:lang w:eastAsia="it-IT"/>
              </w:rPr>
              <w:t>y</w:t>
            </w:r>
            <w:r w:rsidRPr="005A28E4">
              <w:rPr>
                <w:rFonts w:ascii="Book Antiqua" w:hAnsi="Book Antiqua"/>
                <w:color w:val="auto"/>
                <w:lang w:eastAsia="it-IT"/>
              </w:rPr>
              <w:t>es</w:t>
            </w:r>
          </w:p>
        </w:tc>
        <w:tc>
          <w:tcPr>
            <w:tcW w:w="578" w:type="pct"/>
            <w:tcBorders>
              <w:top w:val="single" w:sz="4" w:space="0" w:color="000000"/>
            </w:tcBorders>
            <w:shd w:val="clear" w:color="auto" w:fill="auto"/>
          </w:tcPr>
          <w:p w:rsidR="005F51B8" w:rsidRDefault="005F51B8" w:rsidP="005F51B8">
            <w:pPr>
              <w:jc w:val="center"/>
            </w:pPr>
            <w:r w:rsidRPr="00AE4D5A">
              <w:rPr>
                <w:rFonts w:ascii="Book Antiqua" w:hAnsi="Book Antiqua"/>
                <w:caps/>
                <w:color w:val="auto"/>
                <w:lang w:eastAsia="it-IT"/>
              </w:rPr>
              <w:t>y</w:t>
            </w:r>
            <w:r w:rsidRPr="00AE4D5A">
              <w:rPr>
                <w:rFonts w:ascii="Book Antiqua" w:hAnsi="Book Antiqua"/>
                <w:color w:val="auto"/>
                <w:lang w:eastAsia="it-IT"/>
              </w:rPr>
              <w:t>es</w:t>
            </w:r>
          </w:p>
        </w:tc>
        <w:tc>
          <w:tcPr>
            <w:tcW w:w="305" w:type="pct"/>
            <w:tcBorders>
              <w:top w:val="single" w:sz="4" w:space="0" w:color="000000"/>
            </w:tcBorders>
            <w:shd w:val="clear" w:color="auto" w:fill="auto"/>
          </w:tcPr>
          <w:p w:rsidR="005F51B8" w:rsidRDefault="005F51B8" w:rsidP="005F51B8">
            <w:pPr>
              <w:jc w:val="center"/>
            </w:pPr>
            <w:r w:rsidRPr="000E332E">
              <w:rPr>
                <w:rFonts w:ascii="Book Antiqua" w:hAnsi="Book Antiqua"/>
                <w:caps/>
                <w:color w:val="auto"/>
                <w:lang w:eastAsia="it-IT"/>
              </w:rPr>
              <w:t>n</w:t>
            </w:r>
            <w:r w:rsidRPr="000E332E">
              <w:rPr>
                <w:rFonts w:ascii="Book Antiqua" w:hAnsi="Book Antiqua"/>
                <w:color w:val="auto"/>
                <w:lang w:eastAsia="it-IT"/>
              </w:rPr>
              <w:t>o</w:t>
            </w:r>
          </w:p>
        </w:tc>
        <w:tc>
          <w:tcPr>
            <w:tcW w:w="282" w:type="pct"/>
            <w:tcBorders>
              <w:top w:val="single" w:sz="4" w:space="0" w:color="000000"/>
            </w:tcBorders>
            <w:shd w:val="clear" w:color="auto" w:fill="auto"/>
          </w:tcPr>
          <w:p w:rsidR="005F51B8" w:rsidRDefault="005F51B8" w:rsidP="005F51B8">
            <w:pPr>
              <w:jc w:val="center"/>
            </w:pPr>
            <w:r w:rsidRPr="000E332E">
              <w:rPr>
                <w:rFonts w:ascii="Book Antiqua" w:hAnsi="Book Antiqua"/>
                <w:caps/>
                <w:color w:val="auto"/>
                <w:lang w:eastAsia="it-IT"/>
              </w:rPr>
              <w:t>n</w:t>
            </w:r>
            <w:r w:rsidRPr="000E332E">
              <w:rPr>
                <w:rFonts w:ascii="Book Antiqua" w:hAnsi="Book Antiqua"/>
                <w:color w:val="auto"/>
                <w:lang w:eastAsia="it-IT"/>
              </w:rPr>
              <w:t>o</w:t>
            </w:r>
          </w:p>
        </w:tc>
        <w:tc>
          <w:tcPr>
            <w:tcW w:w="316" w:type="pct"/>
            <w:tcBorders>
              <w:top w:val="single" w:sz="4" w:space="0" w:color="000000"/>
            </w:tcBorders>
            <w:shd w:val="clear" w:color="auto" w:fill="auto"/>
          </w:tcPr>
          <w:p w:rsidR="005F51B8" w:rsidRDefault="005F51B8" w:rsidP="005F51B8">
            <w:pPr>
              <w:jc w:val="center"/>
            </w:pPr>
            <w:r w:rsidRPr="000E332E">
              <w:rPr>
                <w:rFonts w:ascii="Book Antiqua" w:hAnsi="Book Antiqua"/>
                <w:caps/>
                <w:color w:val="auto"/>
                <w:lang w:eastAsia="it-IT"/>
              </w:rPr>
              <w:t>n</w:t>
            </w:r>
            <w:r w:rsidRPr="000E332E">
              <w:rPr>
                <w:rFonts w:ascii="Book Antiqua" w:hAnsi="Book Antiqua"/>
                <w:color w:val="auto"/>
                <w:lang w:eastAsia="it-IT"/>
              </w:rPr>
              <w:t>o</w:t>
            </w:r>
          </w:p>
        </w:tc>
        <w:tc>
          <w:tcPr>
            <w:tcW w:w="319" w:type="pct"/>
            <w:tcBorders>
              <w:top w:val="single" w:sz="4" w:space="0" w:color="000000"/>
            </w:tcBorders>
            <w:shd w:val="clear" w:color="auto" w:fill="auto"/>
          </w:tcPr>
          <w:p w:rsidR="005F51B8" w:rsidRDefault="005F51B8" w:rsidP="005F51B8">
            <w:pPr>
              <w:jc w:val="center"/>
            </w:pPr>
            <w:r w:rsidRPr="000E332E">
              <w:rPr>
                <w:rFonts w:ascii="Book Antiqua" w:hAnsi="Book Antiqua"/>
                <w:caps/>
                <w:color w:val="auto"/>
                <w:lang w:eastAsia="it-IT"/>
              </w:rPr>
              <w:t>n</w:t>
            </w:r>
            <w:r w:rsidRPr="000E332E">
              <w:rPr>
                <w:rFonts w:ascii="Book Antiqua" w:hAnsi="Book Antiqua"/>
                <w:color w:val="auto"/>
                <w:lang w:eastAsia="it-IT"/>
              </w:rPr>
              <w:t>o</w:t>
            </w:r>
          </w:p>
        </w:tc>
        <w:tc>
          <w:tcPr>
            <w:tcW w:w="319" w:type="pct"/>
            <w:tcBorders>
              <w:top w:val="single" w:sz="4" w:space="0" w:color="000000"/>
            </w:tcBorders>
            <w:shd w:val="clear" w:color="auto" w:fill="auto"/>
          </w:tcPr>
          <w:p w:rsidR="005F51B8" w:rsidRDefault="005F51B8" w:rsidP="005F51B8">
            <w:pPr>
              <w:jc w:val="center"/>
            </w:pPr>
            <w:r w:rsidRPr="00DD5FB1">
              <w:rPr>
                <w:rFonts w:ascii="Book Antiqua" w:hAnsi="Book Antiqua"/>
                <w:caps/>
                <w:color w:val="auto"/>
                <w:lang w:eastAsia="it-IT"/>
              </w:rPr>
              <w:t>n</w:t>
            </w:r>
            <w:r w:rsidRPr="00DD5FB1">
              <w:rPr>
                <w:rFonts w:ascii="Book Antiqua" w:hAnsi="Book Antiqua"/>
                <w:color w:val="auto"/>
                <w:lang w:eastAsia="it-IT"/>
              </w:rPr>
              <w:t>o</w:t>
            </w:r>
          </w:p>
        </w:tc>
        <w:tc>
          <w:tcPr>
            <w:tcW w:w="341" w:type="pct"/>
            <w:tcBorders>
              <w:top w:val="single" w:sz="4" w:space="0" w:color="000000"/>
            </w:tcBorders>
            <w:shd w:val="clear" w:color="auto" w:fill="auto"/>
          </w:tcPr>
          <w:p w:rsidR="005F51B8" w:rsidRDefault="005F51B8" w:rsidP="005F51B8">
            <w:pPr>
              <w:jc w:val="center"/>
            </w:pPr>
            <w:r w:rsidRPr="00DD5FB1">
              <w:rPr>
                <w:rFonts w:ascii="Book Antiqua" w:hAnsi="Book Antiqua"/>
                <w:caps/>
                <w:color w:val="auto"/>
                <w:lang w:eastAsia="it-IT"/>
              </w:rPr>
              <w:t>n</w:t>
            </w:r>
            <w:r w:rsidRPr="00DD5FB1">
              <w:rPr>
                <w:rFonts w:ascii="Book Antiqua" w:hAnsi="Book Antiqua"/>
                <w:color w:val="auto"/>
                <w:lang w:eastAsia="it-IT"/>
              </w:rPr>
              <w:t>o</w:t>
            </w:r>
          </w:p>
        </w:tc>
        <w:tc>
          <w:tcPr>
            <w:tcW w:w="360" w:type="pct"/>
            <w:tcBorders>
              <w:top w:val="single" w:sz="4" w:space="0" w:color="000000"/>
            </w:tcBorders>
            <w:shd w:val="clear" w:color="auto" w:fill="auto"/>
          </w:tcPr>
          <w:p w:rsidR="005F51B8" w:rsidRDefault="005F51B8" w:rsidP="005F51B8">
            <w:pPr>
              <w:jc w:val="center"/>
            </w:pPr>
            <w:r w:rsidRPr="00A72883">
              <w:rPr>
                <w:rFonts w:ascii="Book Antiqua" w:hAnsi="Book Antiqua"/>
                <w:caps/>
                <w:color w:val="auto"/>
                <w:lang w:eastAsia="it-IT"/>
              </w:rPr>
              <w:t>n</w:t>
            </w:r>
            <w:r w:rsidRPr="00A72883">
              <w:rPr>
                <w:rFonts w:ascii="Book Antiqua" w:hAnsi="Book Antiqua"/>
                <w:color w:val="auto"/>
                <w:lang w:eastAsia="it-IT"/>
              </w:rPr>
              <w:t>o</w:t>
            </w:r>
          </w:p>
        </w:tc>
      </w:tr>
      <w:tr w:rsidR="005F51B8" w:rsidRPr="00B01FC5" w:rsidTr="005F51B8">
        <w:trPr>
          <w:trHeight w:val="423"/>
          <w:jc w:val="center"/>
        </w:trPr>
        <w:tc>
          <w:tcPr>
            <w:tcW w:w="673" w:type="pct"/>
            <w:shd w:val="clear" w:color="auto" w:fill="auto"/>
          </w:tcPr>
          <w:p w:rsidR="005F51B8" w:rsidRPr="005F51B8" w:rsidRDefault="005F51B8" w:rsidP="005F51B8">
            <w:pPr>
              <w:spacing w:before="2" w:after="2" w:line="360" w:lineRule="auto"/>
              <w:rPr>
                <w:rFonts w:ascii="Book Antiqua" w:hAnsi="Book Antiqua"/>
                <w:color w:val="auto"/>
                <w:lang w:eastAsia="it-IT"/>
              </w:rPr>
            </w:pPr>
            <w:r w:rsidRPr="005F51B8">
              <w:rPr>
                <w:rFonts w:ascii="Book Antiqua" w:hAnsi="Book Antiqua"/>
                <w:color w:val="auto"/>
                <w:lang w:eastAsia="it-IT"/>
              </w:rPr>
              <w:t>CLIP</w:t>
            </w:r>
          </w:p>
        </w:tc>
        <w:tc>
          <w:tcPr>
            <w:tcW w:w="464" w:type="pct"/>
            <w:shd w:val="clear" w:color="auto" w:fill="auto"/>
          </w:tcPr>
          <w:p w:rsidR="005F51B8" w:rsidRDefault="005F51B8" w:rsidP="005F51B8">
            <w:pPr>
              <w:jc w:val="center"/>
            </w:pPr>
            <w:r w:rsidRPr="00797A60">
              <w:rPr>
                <w:rFonts w:ascii="Book Antiqua" w:hAnsi="Book Antiqua"/>
                <w:caps/>
                <w:color w:val="auto"/>
                <w:lang w:eastAsia="it-IT"/>
              </w:rPr>
              <w:t>y</w:t>
            </w:r>
            <w:r w:rsidRPr="00797A60">
              <w:rPr>
                <w:rFonts w:ascii="Book Antiqua" w:hAnsi="Book Antiqua"/>
                <w:color w:val="auto"/>
                <w:lang w:eastAsia="it-IT"/>
              </w:rPr>
              <w:t>es</w:t>
            </w:r>
          </w:p>
        </w:tc>
        <w:tc>
          <w:tcPr>
            <w:tcW w:w="470" w:type="pct"/>
            <w:shd w:val="clear" w:color="auto" w:fill="auto"/>
          </w:tcPr>
          <w:p w:rsidR="005F51B8" w:rsidRDefault="005F51B8" w:rsidP="005F51B8">
            <w:pPr>
              <w:jc w:val="center"/>
            </w:pPr>
            <w:r w:rsidRPr="002253E8">
              <w:rPr>
                <w:rFonts w:ascii="Book Antiqua" w:hAnsi="Book Antiqua"/>
                <w:caps/>
                <w:color w:val="auto"/>
                <w:lang w:eastAsia="it-IT"/>
              </w:rPr>
              <w:t>y</w:t>
            </w:r>
            <w:r w:rsidRPr="002253E8">
              <w:rPr>
                <w:rFonts w:ascii="Book Antiqua" w:hAnsi="Book Antiqua"/>
                <w:color w:val="auto"/>
                <w:lang w:eastAsia="it-IT"/>
              </w:rPr>
              <w:t>es</w:t>
            </w:r>
          </w:p>
        </w:tc>
        <w:tc>
          <w:tcPr>
            <w:tcW w:w="572" w:type="pct"/>
            <w:shd w:val="clear" w:color="auto" w:fill="auto"/>
          </w:tcPr>
          <w:p w:rsidR="005F51B8" w:rsidRDefault="005F51B8" w:rsidP="005F51B8">
            <w:pPr>
              <w:jc w:val="center"/>
            </w:pPr>
            <w:r w:rsidRPr="005A28E4">
              <w:rPr>
                <w:rFonts w:ascii="Book Antiqua" w:hAnsi="Book Antiqua"/>
                <w:caps/>
                <w:color w:val="auto"/>
                <w:lang w:eastAsia="it-IT"/>
              </w:rPr>
              <w:t>y</w:t>
            </w:r>
            <w:r w:rsidRPr="005A28E4">
              <w:rPr>
                <w:rFonts w:ascii="Book Antiqua" w:hAnsi="Book Antiqua"/>
                <w:color w:val="auto"/>
                <w:lang w:eastAsia="it-IT"/>
              </w:rPr>
              <w:t>es</w:t>
            </w:r>
          </w:p>
        </w:tc>
        <w:tc>
          <w:tcPr>
            <w:tcW w:w="578" w:type="pct"/>
            <w:shd w:val="clear" w:color="auto" w:fill="auto"/>
          </w:tcPr>
          <w:p w:rsidR="005F51B8" w:rsidRDefault="005F51B8" w:rsidP="005F51B8">
            <w:pPr>
              <w:jc w:val="center"/>
            </w:pPr>
            <w:r w:rsidRPr="00AE4D5A">
              <w:rPr>
                <w:rFonts w:ascii="Book Antiqua" w:hAnsi="Book Antiqua"/>
                <w:caps/>
                <w:color w:val="auto"/>
                <w:lang w:eastAsia="it-IT"/>
              </w:rPr>
              <w:t>y</w:t>
            </w:r>
            <w:r w:rsidRPr="00AE4D5A">
              <w:rPr>
                <w:rFonts w:ascii="Book Antiqua" w:hAnsi="Book Antiqua"/>
                <w:color w:val="auto"/>
                <w:lang w:eastAsia="it-IT"/>
              </w:rPr>
              <w:t>es</w:t>
            </w:r>
          </w:p>
        </w:tc>
        <w:tc>
          <w:tcPr>
            <w:tcW w:w="305" w:type="pct"/>
            <w:shd w:val="clear" w:color="auto" w:fill="auto"/>
          </w:tcPr>
          <w:p w:rsidR="005F51B8" w:rsidRDefault="005F51B8" w:rsidP="005F51B8">
            <w:pPr>
              <w:jc w:val="center"/>
            </w:pPr>
            <w:r w:rsidRPr="00422B8D">
              <w:rPr>
                <w:rFonts w:ascii="Book Antiqua" w:hAnsi="Book Antiqua"/>
                <w:caps/>
                <w:color w:val="auto"/>
                <w:lang w:eastAsia="it-IT"/>
              </w:rPr>
              <w:t>y</w:t>
            </w:r>
            <w:r w:rsidRPr="00422B8D">
              <w:rPr>
                <w:rFonts w:ascii="Book Antiqua" w:hAnsi="Book Antiqua"/>
                <w:color w:val="auto"/>
                <w:lang w:eastAsia="it-IT"/>
              </w:rPr>
              <w:t>es</w:t>
            </w:r>
          </w:p>
        </w:tc>
        <w:tc>
          <w:tcPr>
            <w:tcW w:w="282" w:type="pct"/>
            <w:shd w:val="clear" w:color="auto" w:fill="auto"/>
          </w:tcPr>
          <w:p w:rsidR="005F51B8" w:rsidRDefault="005F51B8" w:rsidP="005F51B8">
            <w:pPr>
              <w:jc w:val="center"/>
            </w:pPr>
            <w:r w:rsidRPr="00390747">
              <w:rPr>
                <w:rFonts w:ascii="Book Antiqua" w:hAnsi="Book Antiqua"/>
                <w:caps/>
                <w:color w:val="auto"/>
                <w:lang w:eastAsia="it-IT"/>
              </w:rPr>
              <w:t>y</w:t>
            </w:r>
            <w:r w:rsidRPr="00390747">
              <w:rPr>
                <w:rFonts w:ascii="Book Antiqua" w:hAnsi="Book Antiqua"/>
                <w:color w:val="auto"/>
                <w:lang w:eastAsia="it-IT"/>
              </w:rPr>
              <w:t>es</w:t>
            </w:r>
          </w:p>
        </w:tc>
        <w:tc>
          <w:tcPr>
            <w:tcW w:w="316" w:type="pct"/>
            <w:shd w:val="clear" w:color="auto" w:fill="auto"/>
          </w:tcPr>
          <w:p w:rsidR="005F51B8" w:rsidRDefault="005F51B8" w:rsidP="005F51B8">
            <w:pPr>
              <w:jc w:val="center"/>
            </w:pPr>
            <w:r w:rsidRPr="00B56A56">
              <w:rPr>
                <w:rFonts w:ascii="Book Antiqua" w:hAnsi="Book Antiqua"/>
                <w:caps/>
                <w:color w:val="auto"/>
                <w:lang w:eastAsia="it-IT"/>
              </w:rPr>
              <w:t>y</w:t>
            </w:r>
            <w:r w:rsidRPr="00B56A56">
              <w:rPr>
                <w:rFonts w:ascii="Book Antiqua" w:hAnsi="Book Antiqua"/>
                <w:color w:val="auto"/>
                <w:lang w:eastAsia="it-IT"/>
              </w:rPr>
              <w:t>es</w:t>
            </w:r>
          </w:p>
        </w:tc>
        <w:tc>
          <w:tcPr>
            <w:tcW w:w="319" w:type="pct"/>
            <w:shd w:val="clear" w:color="auto" w:fill="auto"/>
          </w:tcPr>
          <w:p w:rsidR="005F51B8" w:rsidRDefault="005F51B8" w:rsidP="005F51B8">
            <w:pPr>
              <w:jc w:val="center"/>
            </w:pPr>
            <w:r w:rsidRPr="00B56A56">
              <w:rPr>
                <w:rFonts w:ascii="Book Antiqua" w:hAnsi="Book Antiqua"/>
                <w:caps/>
                <w:color w:val="auto"/>
                <w:lang w:eastAsia="it-IT"/>
              </w:rPr>
              <w:t>y</w:t>
            </w:r>
            <w:r w:rsidRPr="00B56A56">
              <w:rPr>
                <w:rFonts w:ascii="Book Antiqua" w:hAnsi="Book Antiqua"/>
                <w:color w:val="auto"/>
                <w:lang w:eastAsia="it-IT"/>
              </w:rPr>
              <w:t>es</w:t>
            </w:r>
          </w:p>
        </w:tc>
        <w:tc>
          <w:tcPr>
            <w:tcW w:w="319" w:type="pct"/>
            <w:shd w:val="clear" w:color="auto" w:fill="auto"/>
          </w:tcPr>
          <w:p w:rsidR="005F51B8" w:rsidRDefault="005F51B8" w:rsidP="005F51B8">
            <w:pPr>
              <w:jc w:val="center"/>
            </w:pPr>
            <w:r w:rsidRPr="00DD5FB1">
              <w:rPr>
                <w:rFonts w:ascii="Book Antiqua" w:hAnsi="Book Antiqua"/>
                <w:caps/>
                <w:color w:val="auto"/>
                <w:lang w:eastAsia="it-IT"/>
              </w:rPr>
              <w:t>n</w:t>
            </w:r>
            <w:r w:rsidRPr="00DD5FB1">
              <w:rPr>
                <w:rFonts w:ascii="Book Antiqua" w:hAnsi="Book Antiqua"/>
                <w:color w:val="auto"/>
                <w:lang w:eastAsia="it-IT"/>
              </w:rPr>
              <w:t>o</w:t>
            </w:r>
          </w:p>
        </w:tc>
        <w:tc>
          <w:tcPr>
            <w:tcW w:w="341" w:type="pct"/>
            <w:shd w:val="clear" w:color="auto" w:fill="auto"/>
          </w:tcPr>
          <w:p w:rsidR="005F51B8" w:rsidRDefault="005F51B8" w:rsidP="005F51B8">
            <w:pPr>
              <w:jc w:val="center"/>
            </w:pPr>
            <w:r w:rsidRPr="00DD5FB1">
              <w:rPr>
                <w:rFonts w:ascii="Book Antiqua" w:hAnsi="Book Antiqua"/>
                <w:caps/>
                <w:color w:val="auto"/>
                <w:lang w:eastAsia="it-IT"/>
              </w:rPr>
              <w:t>n</w:t>
            </w:r>
            <w:r w:rsidRPr="00DD5FB1">
              <w:rPr>
                <w:rFonts w:ascii="Book Antiqua" w:hAnsi="Book Antiqua"/>
                <w:color w:val="auto"/>
                <w:lang w:eastAsia="it-IT"/>
              </w:rPr>
              <w:t>o</w:t>
            </w:r>
          </w:p>
        </w:tc>
        <w:tc>
          <w:tcPr>
            <w:tcW w:w="360" w:type="pct"/>
            <w:shd w:val="clear" w:color="auto" w:fill="auto"/>
          </w:tcPr>
          <w:p w:rsidR="005F51B8" w:rsidRDefault="005F51B8" w:rsidP="005F51B8">
            <w:pPr>
              <w:jc w:val="center"/>
            </w:pPr>
            <w:r w:rsidRPr="00A72883">
              <w:rPr>
                <w:rFonts w:ascii="Book Antiqua" w:hAnsi="Book Antiqua"/>
                <w:caps/>
                <w:color w:val="auto"/>
                <w:lang w:eastAsia="it-IT"/>
              </w:rPr>
              <w:t>n</w:t>
            </w:r>
            <w:r w:rsidRPr="00A72883">
              <w:rPr>
                <w:rFonts w:ascii="Book Antiqua" w:hAnsi="Book Antiqua"/>
                <w:color w:val="auto"/>
                <w:lang w:eastAsia="it-IT"/>
              </w:rPr>
              <w:t>o</w:t>
            </w:r>
          </w:p>
        </w:tc>
      </w:tr>
      <w:tr w:rsidR="005F51B8" w:rsidRPr="00B01FC5" w:rsidTr="005F51B8">
        <w:trPr>
          <w:trHeight w:val="423"/>
          <w:jc w:val="center"/>
        </w:trPr>
        <w:tc>
          <w:tcPr>
            <w:tcW w:w="673" w:type="pct"/>
            <w:shd w:val="clear" w:color="auto" w:fill="auto"/>
          </w:tcPr>
          <w:p w:rsidR="005F51B8" w:rsidRPr="005F51B8" w:rsidRDefault="005F51B8" w:rsidP="005F51B8">
            <w:pPr>
              <w:spacing w:before="2" w:after="2" w:line="360" w:lineRule="auto"/>
              <w:rPr>
                <w:rFonts w:ascii="Book Antiqua" w:hAnsi="Book Antiqua"/>
                <w:color w:val="auto"/>
                <w:lang w:eastAsia="it-IT"/>
              </w:rPr>
            </w:pPr>
            <w:r w:rsidRPr="005F51B8">
              <w:rPr>
                <w:rFonts w:ascii="Book Antiqua" w:hAnsi="Book Antiqua"/>
                <w:color w:val="auto"/>
                <w:lang w:eastAsia="it-IT"/>
              </w:rPr>
              <w:t>BCLC</w:t>
            </w:r>
          </w:p>
        </w:tc>
        <w:tc>
          <w:tcPr>
            <w:tcW w:w="464" w:type="pct"/>
            <w:shd w:val="clear" w:color="auto" w:fill="auto"/>
          </w:tcPr>
          <w:p w:rsidR="005F51B8" w:rsidRDefault="005F51B8" w:rsidP="005F51B8">
            <w:pPr>
              <w:jc w:val="center"/>
            </w:pPr>
            <w:r w:rsidRPr="00797A60">
              <w:rPr>
                <w:rFonts w:ascii="Book Antiqua" w:hAnsi="Book Antiqua"/>
                <w:caps/>
                <w:color w:val="auto"/>
                <w:lang w:eastAsia="it-IT"/>
              </w:rPr>
              <w:t>y</w:t>
            </w:r>
            <w:r w:rsidRPr="00797A60">
              <w:rPr>
                <w:rFonts w:ascii="Book Antiqua" w:hAnsi="Book Antiqua"/>
                <w:color w:val="auto"/>
                <w:lang w:eastAsia="it-IT"/>
              </w:rPr>
              <w:t>es</w:t>
            </w:r>
          </w:p>
        </w:tc>
        <w:tc>
          <w:tcPr>
            <w:tcW w:w="470" w:type="pct"/>
            <w:shd w:val="clear" w:color="auto" w:fill="auto"/>
          </w:tcPr>
          <w:p w:rsidR="005F51B8" w:rsidRDefault="005F51B8" w:rsidP="005F51B8">
            <w:pPr>
              <w:jc w:val="center"/>
            </w:pPr>
            <w:r w:rsidRPr="002253E8">
              <w:rPr>
                <w:rFonts w:ascii="Book Antiqua" w:hAnsi="Book Antiqua"/>
                <w:caps/>
                <w:color w:val="auto"/>
                <w:lang w:eastAsia="it-IT"/>
              </w:rPr>
              <w:t>y</w:t>
            </w:r>
            <w:r w:rsidRPr="002253E8">
              <w:rPr>
                <w:rFonts w:ascii="Book Antiqua" w:hAnsi="Book Antiqua"/>
                <w:color w:val="auto"/>
                <w:lang w:eastAsia="it-IT"/>
              </w:rPr>
              <w:t>es</w:t>
            </w:r>
          </w:p>
        </w:tc>
        <w:tc>
          <w:tcPr>
            <w:tcW w:w="572" w:type="pct"/>
            <w:shd w:val="clear" w:color="auto" w:fill="auto"/>
          </w:tcPr>
          <w:p w:rsidR="005F51B8" w:rsidRDefault="005F51B8" w:rsidP="005F51B8">
            <w:pPr>
              <w:jc w:val="center"/>
            </w:pPr>
            <w:r w:rsidRPr="005A28E4">
              <w:rPr>
                <w:rFonts w:ascii="Book Antiqua" w:hAnsi="Book Antiqua"/>
                <w:caps/>
                <w:color w:val="auto"/>
                <w:lang w:eastAsia="it-IT"/>
              </w:rPr>
              <w:t>y</w:t>
            </w:r>
            <w:r w:rsidRPr="005A28E4">
              <w:rPr>
                <w:rFonts w:ascii="Book Antiqua" w:hAnsi="Book Antiqua"/>
                <w:color w:val="auto"/>
                <w:lang w:eastAsia="it-IT"/>
              </w:rPr>
              <w:t>es</w:t>
            </w:r>
          </w:p>
        </w:tc>
        <w:tc>
          <w:tcPr>
            <w:tcW w:w="578" w:type="pct"/>
            <w:shd w:val="clear" w:color="auto" w:fill="auto"/>
          </w:tcPr>
          <w:p w:rsidR="005F51B8" w:rsidRDefault="005F51B8" w:rsidP="005F51B8">
            <w:pPr>
              <w:jc w:val="center"/>
            </w:pPr>
            <w:r w:rsidRPr="00AE4D5A">
              <w:rPr>
                <w:rFonts w:ascii="Book Antiqua" w:hAnsi="Book Antiqua"/>
                <w:caps/>
                <w:color w:val="auto"/>
                <w:lang w:eastAsia="it-IT"/>
              </w:rPr>
              <w:t>y</w:t>
            </w:r>
            <w:r w:rsidRPr="00AE4D5A">
              <w:rPr>
                <w:rFonts w:ascii="Book Antiqua" w:hAnsi="Book Antiqua"/>
                <w:color w:val="auto"/>
                <w:lang w:eastAsia="it-IT"/>
              </w:rPr>
              <w:t>es</w:t>
            </w:r>
          </w:p>
        </w:tc>
        <w:tc>
          <w:tcPr>
            <w:tcW w:w="305" w:type="pct"/>
            <w:shd w:val="clear" w:color="auto" w:fill="auto"/>
          </w:tcPr>
          <w:p w:rsidR="005F51B8" w:rsidRDefault="005F51B8" w:rsidP="005F51B8">
            <w:pPr>
              <w:jc w:val="center"/>
            </w:pPr>
            <w:r w:rsidRPr="00422B8D">
              <w:rPr>
                <w:rFonts w:ascii="Book Antiqua" w:hAnsi="Book Antiqua"/>
                <w:caps/>
                <w:color w:val="auto"/>
                <w:lang w:eastAsia="it-IT"/>
              </w:rPr>
              <w:t>y</w:t>
            </w:r>
            <w:r w:rsidRPr="00422B8D">
              <w:rPr>
                <w:rFonts w:ascii="Book Antiqua" w:hAnsi="Book Antiqua"/>
                <w:color w:val="auto"/>
                <w:lang w:eastAsia="it-IT"/>
              </w:rPr>
              <w:t>es</w:t>
            </w:r>
          </w:p>
        </w:tc>
        <w:tc>
          <w:tcPr>
            <w:tcW w:w="282" w:type="pct"/>
            <w:shd w:val="clear" w:color="auto" w:fill="auto"/>
          </w:tcPr>
          <w:p w:rsidR="005F51B8" w:rsidRDefault="005F51B8" w:rsidP="005F51B8">
            <w:pPr>
              <w:jc w:val="center"/>
            </w:pPr>
            <w:r w:rsidRPr="00390747">
              <w:rPr>
                <w:rFonts w:ascii="Book Antiqua" w:hAnsi="Book Antiqua"/>
                <w:caps/>
                <w:color w:val="auto"/>
                <w:lang w:eastAsia="it-IT"/>
              </w:rPr>
              <w:t>y</w:t>
            </w:r>
            <w:r w:rsidRPr="00390747">
              <w:rPr>
                <w:rFonts w:ascii="Book Antiqua" w:hAnsi="Book Antiqua"/>
                <w:color w:val="auto"/>
                <w:lang w:eastAsia="it-IT"/>
              </w:rPr>
              <w:t>es</w:t>
            </w:r>
          </w:p>
        </w:tc>
        <w:tc>
          <w:tcPr>
            <w:tcW w:w="316"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olor w:val="auto"/>
                <w:lang w:eastAsia="it-IT"/>
              </w:rPr>
              <w:t>no</w:t>
            </w:r>
          </w:p>
        </w:tc>
        <w:tc>
          <w:tcPr>
            <w:tcW w:w="319" w:type="pct"/>
            <w:shd w:val="clear" w:color="auto" w:fill="auto"/>
          </w:tcPr>
          <w:p w:rsidR="005F51B8" w:rsidRDefault="005F51B8" w:rsidP="005F51B8">
            <w:pPr>
              <w:jc w:val="center"/>
            </w:pPr>
            <w:r w:rsidRPr="00CD6735">
              <w:rPr>
                <w:rFonts w:ascii="Book Antiqua" w:hAnsi="Book Antiqua"/>
                <w:caps/>
                <w:color w:val="auto"/>
                <w:lang w:eastAsia="it-IT"/>
              </w:rPr>
              <w:t>y</w:t>
            </w:r>
            <w:r w:rsidRPr="00CD6735">
              <w:rPr>
                <w:rFonts w:ascii="Book Antiqua" w:hAnsi="Book Antiqua"/>
                <w:color w:val="auto"/>
                <w:lang w:eastAsia="it-IT"/>
              </w:rPr>
              <w:t>es</w:t>
            </w:r>
          </w:p>
        </w:tc>
        <w:tc>
          <w:tcPr>
            <w:tcW w:w="319"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aps/>
                <w:color w:val="auto"/>
                <w:lang w:eastAsia="it-IT"/>
              </w:rPr>
              <w:t>y</w:t>
            </w:r>
            <w:r w:rsidRPr="005F51B8">
              <w:rPr>
                <w:rFonts w:ascii="Book Antiqua" w:hAnsi="Book Antiqua"/>
                <w:color w:val="auto"/>
                <w:lang w:eastAsia="it-IT"/>
              </w:rPr>
              <w:t>es</w:t>
            </w:r>
          </w:p>
        </w:tc>
        <w:tc>
          <w:tcPr>
            <w:tcW w:w="341" w:type="pct"/>
            <w:shd w:val="clear" w:color="auto" w:fill="auto"/>
          </w:tcPr>
          <w:p w:rsidR="005F51B8" w:rsidRDefault="005F51B8" w:rsidP="005F51B8">
            <w:pPr>
              <w:jc w:val="center"/>
            </w:pPr>
            <w:r w:rsidRPr="00515D93">
              <w:rPr>
                <w:rFonts w:ascii="Book Antiqua" w:hAnsi="Book Antiqua"/>
                <w:caps/>
                <w:color w:val="auto"/>
                <w:lang w:eastAsia="it-IT"/>
              </w:rPr>
              <w:t>y</w:t>
            </w:r>
            <w:r w:rsidRPr="00515D93">
              <w:rPr>
                <w:rFonts w:ascii="Book Antiqua" w:hAnsi="Book Antiqua"/>
                <w:color w:val="auto"/>
                <w:lang w:eastAsia="it-IT"/>
              </w:rPr>
              <w:t>es</w:t>
            </w:r>
          </w:p>
        </w:tc>
        <w:tc>
          <w:tcPr>
            <w:tcW w:w="360" w:type="pct"/>
            <w:shd w:val="clear" w:color="auto" w:fill="auto"/>
          </w:tcPr>
          <w:p w:rsidR="005F51B8" w:rsidRDefault="005F51B8" w:rsidP="005F51B8">
            <w:pPr>
              <w:jc w:val="center"/>
            </w:pPr>
            <w:r w:rsidRPr="00A72883">
              <w:rPr>
                <w:rFonts w:ascii="Book Antiqua" w:hAnsi="Book Antiqua"/>
                <w:caps/>
                <w:color w:val="auto"/>
                <w:lang w:eastAsia="it-IT"/>
              </w:rPr>
              <w:t>n</w:t>
            </w:r>
            <w:r w:rsidRPr="00A72883">
              <w:rPr>
                <w:rFonts w:ascii="Book Antiqua" w:hAnsi="Book Antiqua"/>
                <w:color w:val="auto"/>
                <w:lang w:eastAsia="it-IT"/>
              </w:rPr>
              <w:t>o</w:t>
            </w:r>
          </w:p>
        </w:tc>
      </w:tr>
      <w:tr w:rsidR="005F51B8" w:rsidRPr="00B01FC5" w:rsidTr="005F51B8">
        <w:trPr>
          <w:trHeight w:val="423"/>
          <w:jc w:val="center"/>
        </w:trPr>
        <w:tc>
          <w:tcPr>
            <w:tcW w:w="673" w:type="pct"/>
            <w:shd w:val="clear" w:color="auto" w:fill="auto"/>
          </w:tcPr>
          <w:p w:rsidR="005F51B8" w:rsidRPr="005F51B8" w:rsidRDefault="005F51B8" w:rsidP="005F51B8">
            <w:pPr>
              <w:spacing w:before="2" w:after="2" w:line="360" w:lineRule="auto"/>
              <w:rPr>
                <w:rFonts w:ascii="Book Antiqua" w:hAnsi="Book Antiqua"/>
                <w:color w:val="auto"/>
                <w:lang w:eastAsia="it-IT"/>
              </w:rPr>
            </w:pPr>
            <w:r w:rsidRPr="005F51B8">
              <w:rPr>
                <w:rFonts w:ascii="Book Antiqua" w:hAnsi="Book Antiqua"/>
                <w:color w:val="auto"/>
                <w:lang w:eastAsia="it-IT"/>
              </w:rPr>
              <w:t>GRETCH</w:t>
            </w:r>
          </w:p>
        </w:tc>
        <w:tc>
          <w:tcPr>
            <w:tcW w:w="464" w:type="pct"/>
            <w:shd w:val="clear" w:color="auto" w:fill="auto"/>
          </w:tcPr>
          <w:p w:rsidR="005F51B8" w:rsidRDefault="005F51B8" w:rsidP="005F51B8">
            <w:pPr>
              <w:jc w:val="center"/>
            </w:pPr>
            <w:r w:rsidRPr="00572646">
              <w:rPr>
                <w:rFonts w:ascii="Book Antiqua" w:hAnsi="Book Antiqua"/>
                <w:caps/>
                <w:color w:val="auto"/>
                <w:lang w:eastAsia="it-IT"/>
              </w:rPr>
              <w:t>n</w:t>
            </w:r>
            <w:r w:rsidRPr="00572646">
              <w:rPr>
                <w:rFonts w:ascii="Book Antiqua" w:hAnsi="Book Antiqua"/>
                <w:color w:val="auto"/>
                <w:lang w:eastAsia="it-IT"/>
              </w:rPr>
              <w:t>o</w:t>
            </w:r>
          </w:p>
        </w:tc>
        <w:tc>
          <w:tcPr>
            <w:tcW w:w="470" w:type="pct"/>
            <w:shd w:val="clear" w:color="auto" w:fill="auto"/>
          </w:tcPr>
          <w:p w:rsidR="005F51B8" w:rsidRDefault="005F51B8" w:rsidP="005F51B8">
            <w:pPr>
              <w:jc w:val="center"/>
            </w:pPr>
            <w:r w:rsidRPr="00572646">
              <w:rPr>
                <w:rFonts w:ascii="Book Antiqua" w:hAnsi="Book Antiqua"/>
                <w:caps/>
                <w:color w:val="auto"/>
                <w:lang w:eastAsia="it-IT"/>
              </w:rPr>
              <w:t>n</w:t>
            </w:r>
            <w:r w:rsidRPr="00572646">
              <w:rPr>
                <w:rFonts w:ascii="Book Antiqua" w:hAnsi="Book Antiqua"/>
                <w:color w:val="auto"/>
                <w:lang w:eastAsia="it-IT"/>
              </w:rPr>
              <w:t>o</w:t>
            </w:r>
          </w:p>
        </w:tc>
        <w:tc>
          <w:tcPr>
            <w:tcW w:w="572" w:type="pct"/>
            <w:shd w:val="clear" w:color="auto" w:fill="auto"/>
          </w:tcPr>
          <w:p w:rsidR="005F51B8" w:rsidRDefault="005F51B8" w:rsidP="005F51B8">
            <w:pPr>
              <w:jc w:val="center"/>
            </w:pPr>
            <w:r w:rsidRPr="00572646">
              <w:rPr>
                <w:rFonts w:ascii="Book Antiqua" w:hAnsi="Book Antiqua"/>
                <w:caps/>
                <w:color w:val="auto"/>
                <w:lang w:eastAsia="it-IT"/>
              </w:rPr>
              <w:t>n</w:t>
            </w:r>
            <w:r w:rsidRPr="00572646">
              <w:rPr>
                <w:rFonts w:ascii="Book Antiqua" w:hAnsi="Book Antiqua"/>
                <w:color w:val="auto"/>
                <w:lang w:eastAsia="it-IT"/>
              </w:rPr>
              <w:t>o</w:t>
            </w:r>
          </w:p>
        </w:tc>
        <w:tc>
          <w:tcPr>
            <w:tcW w:w="578" w:type="pct"/>
            <w:shd w:val="clear" w:color="auto" w:fill="auto"/>
          </w:tcPr>
          <w:p w:rsidR="005F51B8" w:rsidRDefault="005F51B8" w:rsidP="005F51B8">
            <w:pPr>
              <w:jc w:val="center"/>
            </w:pPr>
            <w:r w:rsidRPr="00AE4D5A">
              <w:rPr>
                <w:rFonts w:ascii="Book Antiqua" w:hAnsi="Book Antiqua"/>
                <w:caps/>
                <w:color w:val="auto"/>
                <w:lang w:eastAsia="it-IT"/>
              </w:rPr>
              <w:t>y</w:t>
            </w:r>
            <w:r w:rsidRPr="00AE4D5A">
              <w:rPr>
                <w:rFonts w:ascii="Book Antiqua" w:hAnsi="Book Antiqua"/>
                <w:color w:val="auto"/>
                <w:lang w:eastAsia="it-IT"/>
              </w:rPr>
              <w:t>es</w:t>
            </w:r>
          </w:p>
        </w:tc>
        <w:tc>
          <w:tcPr>
            <w:tcW w:w="305" w:type="pct"/>
            <w:shd w:val="clear" w:color="auto" w:fill="auto"/>
          </w:tcPr>
          <w:p w:rsidR="005F51B8" w:rsidRDefault="005F51B8" w:rsidP="005F51B8">
            <w:pPr>
              <w:jc w:val="center"/>
            </w:pPr>
            <w:r w:rsidRPr="004C00BC">
              <w:rPr>
                <w:rFonts w:ascii="Book Antiqua" w:hAnsi="Book Antiqua"/>
                <w:caps/>
                <w:color w:val="auto"/>
                <w:lang w:eastAsia="it-IT"/>
              </w:rPr>
              <w:t>n</w:t>
            </w:r>
            <w:r w:rsidRPr="004C00BC">
              <w:rPr>
                <w:rFonts w:ascii="Book Antiqua" w:hAnsi="Book Antiqua"/>
                <w:color w:val="auto"/>
                <w:lang w:eastAsia="it-IT"/>
              </w:rPr>
              <w:t>o</w:t>
            </w:r>
          </w:p>
        </w:tc>
        <w:tc>
          <w:tcPr>
            <w:tcW w:w="282" w:type="pct"/>
            <w:shd w:val="clear" w:color="auto" w:fill="auto"/>
          </w:tcPr>
          <w:p w:rsidR="005F51B8" w:rsidRDefault="005F51B8" w:rsidP="005F51B8">
            <w:pPr>
              <w:jc w:val="center"/>
            </w:pPr>
            <w:r w:rsidRPr="004C00BC">
              <w:rPr>
                <w:rFonts w:ascii="Book Antiqua" w:hAnsi="Book Antiqua"/>
                <w:caps/>
                <w:color w:val="auto"/>
                <w:lang w:eastAsia="it-IT"/>
              </w:rPr>
              <w:t>n</w:t>
            </w:r>
            <w:r w:rsidRPr="004C00BC">
              <w:rPr>
                <w:rFonts w:ascii="Book Antiqua" w:hAnsi="Book Antiqua"/>
                <w:color w:val="auto"/>
                <w:lang w:eastAsia="it-IT"/>
              </w:rPr>
              <w:t>o</w:t>
            </w:r>
          </w:p>
        </w:tc>
        <w:tc>
          <w:tcPr>
            <w:tcW w:w="316"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aps/>
                <w:color w:val="auto"/>
                <w:lang w:eastAsia="it-IT"/>
              </w:rPr>
              <w:t>y</w:t>
            </w:r>
            <w:r w:rsidRPr="005F51B8">
              <w:rPr>
                <w:rFonts w:ascii="Book Antiqua" w:hAnsi="Book Antiqua"/>
                <w:color w:val="auto"/>
                <w:lang w:eastAsia="it-IT"/>
              </w:rPr>
              <w:t>es</w:t>
            </w:r>
          </w:p>
        </w:tc>
        <w:tc>
          <w:tcPr>
            <w:tcW w:w="319" w:type="pct"/>
            <w:shd w:val="clear" w:color="auto" w:fill="auto"/>
          </w:tcPr>
          <w:p w:rsidR="005F51B8" w:rsidRDefault="005F51B8" w:rsidP="005F51B8">
            <w:pPr>
              <w:jc w:val="center"/>
            </w:pPr>
            <w:r w:rsidRPr="00CD6735">
              <w:rPr>
                <w:rFonts w:ascii="Book Antiqua" w:hAnsi="Book Antiqua"/>
                <w:caps/>
                <w:color w:val="auto"/>
                <w:lang w:eastAsia="it-IT"/>
              </w:rPr>
              <w:t>y</w:t>
            </w:r>
            <w:r w:rsidRPr="00CD6735">
              <w:rPr>
                <w:rFonts w:ascii="Book Antiqua" w:hAnsi="Book Antiqua"/>
                <w:color w:val="auto"/>
                <w:lang w:eastAsia="it-IT"/>
              </w:rPr>
              <w:t>es</w:t>
            </w:r>
          </w:p>
        </w:tc>
        <w:tc>
          <w:tcPr>
            <w:tcW w:w="319"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olor w:val="auto"/>
                <w:lang w:eastAsia="it-IT"/>
              </w:rPr>
              <w:t>no</w:t>
            </w:r>
          </w:p>
        </w:tc>
        <w:tc>
          <w:tcPr>
            <w:tcW w:w="341" w:type="pct"/>
            <w:shd w:val="clear" w:color="auto" w:fill="auto"/>
          </w:tcPr>
          <w:p w:rsidR="005F51B8" w:rsidRDefault="005F51B8" w:rsidP="005F51B8">
            <w:pPr>
              <w:jc w:val="center"/>
            </w:pPr>
            <w:r w:rsidRPr="00515D93">
              <w:rPr>
                <w:rFonts w:ascii="Book Antiqua" w:hAnsi="Book Antiqua"/>
                <w:caps/>
                <w:color w:val="auto"/>
                <w:lang w:eastAsia="it-IT"/>
              </w:rPr>
              <w:t>y</w:t>
            </w:r>
            <w:r w:rsidRPr="00515D93">
              <w:rPr>
                <w:rFonts w:ascii="Book Antiqua" w:hAnsi="Book Antiqua"/>
                <w:color w:val="auto"/>
                <w:lang w:eastAsia="it-IT"/>
              </w:rPr>
              <w:t>es</w:t>
            </w:r>
          </w:p>
        </w:tc>
        <w:tc>
          <w:tcPr>
            <w:tcW w:w="360"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aps/>
                <w:color w:val="auto"/>
                <w:lang w:eastAsia="it-IT"/>
              </w:rPr>
              <w:t>y</w:t>
            </w:r>
            <w:r w:rsidRPr="005F51B8">
              <w:rPr>
                <w:rFonts w:ascii="Book Antiqua" w:hAnsi="Book Antiqua"/>
                <w:color w:val="auto"/>
                <w:lang w:eastAsia="it-IT"/>
              </w:rPr>
              <w:t>es</w:t>
            </w:r>
          </w:p>
        </w:tc>
      </w:tr>
      <w:tr w:rsidR="005F51B8" w:rsidRPr="00B01FC5" w:rsidTr="005F51B8">
        <w:trPr>
          <w:trHeight w:val="423"/>
          <w:jc w:val="center"/>
        </w:trPr>
        <w:tc>
          <w:tcPr>
            <w:tcW w:w="673" w:type="pct"/>
            <w:shd w:val="clear" w:color="auto" w:fill="auto"/>
          </w:tcPr>
          <w:p w:rsidR="005F51B8" w:rsidRPr="005F51B8" w:rsidRDefault="005F51B8" w:rsidP="005F51B8">
            <w:pPr>
              <w:spacing w:before="2" w:after="2" w:line="360" w:lineRule="auto"/>
              <w:rPr>
                <w:rFonts w:ascii="Book Antiqua" w:hAnsi="Book Antiqua"/>
                <w:color w:val="auto"/>
                <w:lang w:eastAsia="it-IT"/>
              </w:rPr>
            </w:pPr>
            <w:r w:rsidRPr="005F51B8">
              <w:rPr>
                <w:rFonts w:ascii="Book Antiqua" w:hAnsi="Book Antiqua"/>
                <w:color w:val="auto"/>
                <w:lang w:eastAsia="it-IT"/>
              </w:rPr>
              <w:t>TNM 7</w:t>
            </w:r>
            <w:r w:rsidRPr="005F51B8">
              <w:rPr>
                <w:rFonts w:ascii="Book Antiqua" w:hAnsi="Book Antiqua"/>
                <w:color w:val="auto"/>
                <w:vertAlign w:val="superscript"/>
                <w:lang w:eastAsia="it-IT"/>
              </w:rPr>
              <w:t>th</w:t>
            </w:r>
            <w:r w:rsidRPr="005F51B8">
              <w:rPr>
                <w:rFonts w:ascii="Book Antiqua" w:hAnsi="Book Antiqua"/>
                <w:color w:val="auto"/>
                <w:lang w:eastAsia="it-IT"/>
              </w:rPr>
              <w:t xml:space="preserve"> edition</w:t>
            </w:r>
          </w:p>
        </w:tc>
        <w:tc>
          <w:tcPr>
            <w:tcW w:w="464"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aps/>
                <w:color w:val="auto"/>
                <w:lang w:eastAsia="it-IT"/>
              </w:rPr>
              <w:t>n</w:t>
            </w:r>
            <w:r w:rsidRPr="005F51B8">
              <w:rPr>
                <w:rFonts w:ascii="Book Antiqua" w:hAnsi="Book Antiqua"/>
                <w:color w:val="auto"/>
                <w:lang w:eastAsia="it-IT"/>
              </w:rPr>
              <w:t>o</w:t>
            </w:r>
          </w:p>
        </w:tc>
        <w:tc>
          <w:tcPr>
            <w:tcW w:w="470"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aps/>
                <w:color w:val="auto"/>
                <w:lang w:eastAsia="it-IT"/>
              </w:rPr>
              <w:t>y</w:t>
            </w:r>
            <w:r w:rsidRPr="005F51B8">
              <w:rPr>
                <w:rFonts w:ascii="Book Antiqua" w:hAnsi="Book Antiqua"/>
                <w:color w:val="auto"/>
                <w:lang w:eastAsia="it-IT"/>
              </w:rPr>
              <w:t>es</w:t>
            </w:r>
          </w:p>
        </w:tc>
        <w:tc>
          <w:tcPr>
            <w:tcW w:w="572" w:type="pct"/>
            <w:shd w:val="clear" w:color="auto" w:fill="auto"/>
          </w:tcPr>
          <w:p w:rsidR="005F51B8" w:rsidRDefault="005F51B8" w:rsidP="005F51B8">
            <w:pPr>
              <w:jc w:val="center"/>
            </w:pPr>
            <w:r w:rsidRPr="00766013">
              <w:rPr>
                <w:rFonts w:ascii="Book Antiqua" w:hAnsi="Book Antiqua"/>
                <w:caps/>
                <w:color w:val="auto"/>
                <w:lang w:eastAsia="it-IT"/>
              </w:rPr>
              <w:t>n</w:t>
            </w:r>
            <w:r w:rsidRPr="00766013">
              <w:rPr>
                <w:rFonts w:ascii="Book Antiqua" w:hAnsi="Book Antiqua"/>
                <w:color w:val="auto"/>
                <w:lang w:eastAsia="it-IT"/>
              </w:rPr>
              <w:t>o</w:t>
            </w:r>
          </w:p>
        </w:tc>
        <w:tc>
          <w:tcPr>
            <w:tcW w:w="578" w:type="pct"/>
            <w:shd w:val="clear" w:color="auto" w:fill="auto"/>
          </w:tcPr>
          <w:p w:rsidR="005F51B8" w:rsidRDefault="005F51B8" w:rsidP="005F51B8">
            <w:pPr>
              <w:jc w:val="center"/>
            </w:pPr>
            <w:r w:rsidRPr="00766013">
              <w:rPr>
                <w:rFonts w:ascii="Book Antiqua" w:hAnsi="Book Antiqua"/>
                <w:caps/>
                <w:color w:val="auto"/>
                <w:lang w:eastAsia="it-IT"/>
              </w:rPr>
              <w:t>n</w:t>
            </w:r>
            <w:r w:rsidRPr="00766013">
              <w:rPr>
                <w:rFonts w:ascii="Book Antiqua" w:hAnsi="Book Antiqua"/>
                <w:color w:val="auto"/>
                <w:lang w:eastAsia="it-IT"/>
              </w:rPr>
              <w:t>o</w:t>
            </w:r>
          </w:p>
        </w:tc>
        <w:tc>
          <w:tcPr>
            <w:tcW w:w="305" w:type="pct"/>
            <w:shd w:val="clear" w:color="auto" w:fill="auto"/>
          </w:tcPr>
          <w:p w:rsidR="005F51B8" w:rsidRDefault="005F51B8" w:rsidP="005F51B8">
            <w:pPr>
              <w:jc w:val="center"/>
            </w:pPr>
            <w:r w:rsidRPr="00BE19FD">
              <w:rPr>
                <w:rFonts w:ascii="Book Antiqua" w:hAnsi="Book Antiqua"/>
                <w:caps/>
                <w:color w:val="auto"/>
                <w:lang w:eastAsia="it-IT"/>
              </w:rPr>
              <w:t>n</w:t>
            </w:r>
            <w:r w:rsidRPr="00BE19FD">
              <w:rPr>
                <w:rFonts w:ascii="Book Antiqua" w:hAnsi="Book Antiqua"/>
                <w:color w:val="auto"/>
                <w:lang w:eastAsia="it-IT"/>
              </w:rPr>
              <w:t>o</w:t>
            </w:r>
          </w:p>
        </w:tc>
        <w:tc>
          <w:tcPr>
            <w:tcW w:w="282" w:type="pct"/>
            <w:shd w:val="clear" w:color="auto" w:fill="auto"/>
          </w:tcPr>
          <w:p w:rsidR="005F51B8" w:rsidRDefault="005F51B8" w:rsidP="005F51B8">
            <w:pPr>
              <w:jc w:val="center"/>
            </w:pPr>
            <w:r w:rsidRPr="00BE19FD">
              <w:rPr>
                <w:rFonts w:ascii="Book Antiqua" w:hAnsi="Book Antiqua"/>
                <w:caps/>
                <w:color w:val="auto"/>
                <w:lang w:eastAsia="it-IT"/>
              </w:rPr>
              <w:t>n</w:t>
            </w:r>
            <w:r w:rsidRPr="00BE19FD">
              <w:rPr>
                <w:rFonts w:ascii="Book Antiqua" w:hAnsi="Book Antiqua"/>
                <w:color w:val="auto"/>
                <w:lang w:eastAsia="it-IT"/>
              </w:rPr>
              <w:t>o</w:t>
            </w:r>
          </w:p>
        </w:tc>
        <w:tc>
          <w:tcPr>
            <w:tcW w:w="316" w:type="pct"/>
            <w:shd w:val="clear" w:color="auto" w:fill="auto"/>
          </w:tcPr>
          <w:p w:rsidR="005F51B8" w:rsidRDefault="005F51B8" w:rsidP="005F51B8">
            <w:pPr>
              <w:jc w:val="center"/>
            </w:pPr>
            <w:r w:rsidRPr="00BE19FD">
              <w:rPr>
                <w:rFonts w:ascii="Book Antiqua" w:hAnsi="Book Antiqua"/>
                <w:caps/>
                <w:color w:val="auto"/>
                <w:lang w:eastAsia="it-IT"/>
              </w:rPr>
              <w:t>n</w:t>
            </w:r>
            <w:r w:rsidRPr="00BE19FD">
              <w:rPr>
                <w:rFonts w:ascii="Book Antiqua" w:hAnsi="Book Antiqua"/>
                <w:color w:val="auto"/>
                <w:lang w:eastAsia="it-IT"/>
              </w:rPr>
              <w:t>o</w:t>
            </w:r>
          </w:p>
        </w:tc>
        <w:tc>
          <w:tcPr>
            <w:tcW w:w="319" w:type="pct"/>
            <w:shd w:val="clear" w:color="auto" w:fill="auto"/>
          </w:tcPr>
          <w:p w:rsidR="005F51B8" w:rsidRDefault="005F51B8" w:rsidP="005F51B8">
            <w:pPr>
              <w:jc w:val="center"/>
            </w:pPr>
            <w:r w:rsidRPr="00CD6735">
              <w:rPr>
                <w:rFonts w:ascii="Book Antiqua" w:hAnsi="Book Antiqua"/>
                <w:caps/>
                <w:color w:val="auto"/>
                <w:lang w:eastAsia="it-IT"/>
              </w:rPr>
              <w:t>y</w:t>
            </w:r>
            <w:r w:rsidRPr="00CD6735">
              <w:rPr>
                <w:rFonts w:ascii="Book Antiqua" w:hAnsi="Book Antiqua"/>
                <w:color w:val="auto"/>
                <w:lang w:eastAsia="it-IT"/>
              </w:rPr>
              <w:t>es</w:t>
            </w:r>
          </w:p>
        </w:tc>
        <w:tc>
          <w:tcPr>
            <w:tcW w:w="319"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aps/>
                <w:color w:val="auto"/>
                <w:lang w:eastAsia="it-IT"/>
              </w:rPr>
              <w:t>y</w:t>
            </w:r>
            <w:r w:rsidRPr="005F51B8">
              <w:rPr>
                <w:rFonts w:ascii="Book Antiqua" w:hAnsi="Book Antiqua"/>
                <w:color w:val="auto"/>
                <w:lang w:eastAsia="it-IT"/>
              </w:rPr>
              <w:t>es</w:t>
            </w:r>
          </w:p>
        </w:tc>
        <w:tc>
          <w:tcPr>
            <w:tcW w:w="341"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aps/>
                <w:color w:val="auto"/>
                <w:lang w:eastAsia="it-IT"/>
              </w:rPr>
              <w:t>n</w:t>
            </w:r>
            <w:r w:rsidRPr="005F51B8">
              <w:rPr>
                <w:rFonts w:ascii="Book Antiqua" w:hAnsi="Book Antiqua"/>
                <w:color w:val="auto"/>
                <w:lang w:eastAsia="it-IT"/>
              </w:rPr>
              <w:t>o</w:t>
            </w:r>
          </w:p>
        </w:tc>
        <w:tc>
          <w:tcPr>
            <w:tcW w:w="360" w:type="pct"/>
            <w:shd w:val="clear" w:color="auto" w:fill="auto"/>
          </w:tcPr>
          <w:p w:rsidR="005F51B8" w:rsidRPr="005F51B8" w:rsidRDefault="005F51B8" w:rsidP="005F51B8">
            <w:pPr>
              <w:spacing w:before="2" w:after="2" w:line="360" w:lineRule="auto"/>
              <w:jc w:val="center"/>
              <w:rPr>
                <w:rFonts w:ascii="Book Antiqua" w:hAnsi="Book Antiqua"/>
                <w:color w:val="auto"/>
                <w:lang w:eastAsia="it-IT"/>
              </w:rPr>
            </w:pPr>
            <w:r w:rsidRPr="005F51B8">
              <w:rPr>
                <w:rFonts w:ascii="Book Antiqua" w:hAnsi="Book Antiqua"/>
                <w:caps/>
                <w:color w:val="auto"/>
                <w:lang w:eastAsia="it-IT"/>
              </w:rPr>
              <w:t>n</w:t>
            </w:r>
            <w:r w:rsidRPr="005F51B8">
              <w:rPr>
                <w:rFonts w:ascii="Book Antiqua" w:hAnsi="Book Antiqua"/>
                <w:color w:val="auto"/>
                <w:lang w:eastAsia="it-IT"/>
              </w:rPr>
              <w:t>o</w:t>
            </w:r>
          </w:p>
        </w:tc>
      </w:tr>
    </w:tbl>
    <w:p w:rsidR="00FA46AB" w:rsidRPr="005F51B8" w:rsidRDefault="00FA46AB" w:rsidP="009352FD">
      <w:pPr>
        <w:spacing w:line="360" w:lineRule="auto"/>
        <w:jc w:val="both"/>
        <w:rPr>
          <w:rFonts w:ascii="Book Antiqua" w:hAnsi="Book Antiqua"/>
          <w:color w:val="auto"/>
          <w:lang w:val="en-US"/>
        </w:rPr>
      </w:pPr>
      <w:r w:rsidRPr="005F51B8">
        <w:rPr>
          <w:rFonts w:ascii="Book Antiqua" w:hAnsi="Book Antiqua"/>
          <w:color w:val="auto"/>
          <w:lang w:val="en-US"/>
        </w:rPr>
        <w:t>AFP</w:t>
      </w:r>
      <w:r w:rsidR="00623C8F" w:rsidRPr="005F51B8">
        <w:rPr>
          <w:rFonts w:ascii="Book Antiqua" w:hAnsi="Book Antiqua"/>
          <w:color w:val="auto"/>
          <w:lang w:val="en-US"/>
        </w:rPr>
        <w:t>:</w:t>
      </w:r>
      <w:r w:rsidRPr="005F51B8">
        <w:rPr>
          <w:rFonts w:ascii="Book Antiqua" w:hAnsi="Book Antiqua"/>
          <w:color w:val="auto"/>
          <w:lang w:val="en-US"/>
        </w:rPr>
        <w:t xml:space="preserve"> </w:t>
      </w:r>
      <w:r w:rsidRPr="005F51B8">
        <w:rPr>
          <w:rFonts w:ascii="Book Antiqua" w:hAnsi="Book Antiqua"/>
          <w:caps/>
          <w:color w:val="auto"/>
          <w:lang w:val="en-US"/>
        </w:rPr>
        <w:t>a</w:t>
      </w:r>
      <w:r w:rsidRPr="005F51B8">
        <w:rPr>
          <w:rFonts w:ascii="Book Antiqua" w:hAnsi="Book Antiqua"/>
          <w:color w:val="auto"/>
          <w:lang w:val="en-US"/>
        </w:rPr>
        <w:t>lpha</w:t>
      </w:r>
      <w:r w:rsidR="005F51B8">
        <w:rPr>
          <w:rFonts w:ascii="Book Antiqua" w:hAnsi="Book Antiqua" w:hint="eastAsia"/>
          <w:color w:val="auto"/>
          <w:lang w:val="en-US" w:eastAsia="zh-CN"/>
        </w:rPr>
        <w:t xml:space="preserve"> </w:t>
      </w:r>
      <w:r w:rsidRPr="005F51B8">
        <w:rPr>
          <w:rFonts w:ascii="Book Antiqua" w:hAnsi="Book Antiqua"/>
          <w:color w:val="auto"/>
          <w:lang w:val="en-US"/>
        </w:rPr>
        <w:t>fetoprotein; ALP</w:t>
      </w:r>
      <w:r w:rsidR="00623C8F" w:rsidRPr="005F51B8">
        <w:rPr>
          <w:rFonts w:ascii="Book Antiqua" w:hAnsi="Book Antiqua"/>
          <w:color w:val="auto"/>
          <w:lang w:val="en-US"/>
        </w:rPr>
        <w:t>:</w:t>
      </w:r>
      <w:r w:rsidRPr="005F51B8">
        <w:rPr>
          <w:rFonts w:ascii="Book Antiqua" w:hAnsi="Book Antiqua"/>
          <w:color w:val="auto"/>
          <w:lang w:val="en-US"/>
        </w:rPr>
        <w:t xml:space="preserve"> </w:t>
      </w:r>
      <w:r w:rsidRPr="005F51B8">
        <w:rPr>
          <w:rFonts w:ascii="Book Antiqua" w:hAnsi="Book Antiqua"/>
          <w:caps/>
          <w:color w:val="auto"/>
          <w:lang w:val="en-US"/>
        </w:rPr>
        <w:t>a</w:t>
      </w:r>
      <w:r w:rsidRPr="005F51B8">
        <w:rPr>
          <w:rFonts w:ascii="Book Antiqua" w:hAnsi="Book Antiqua"/>
          <w:color w:val="auto"/>
          <w:lang w:val="en-US"/>
        </w:rPr>
        <w:t>lkaline phosphatase; EHS</w:t>
      </w:r>
      <w:r w:rsidR="00623C8F" w:rsidRPr="005F51B8">
        <w:rPr>
          <w:rFonts w:ascii="Book Antiqua" w:hAnsi="Book Antiqua"/>
          <w:color w:val="auto"/>
          <w:lang w:val="en-US"/>
        </w:rPr>
        <w:t>:</w:t>
      </w:r>
      <w:r w:rsidR="005F51B8">
        <w:rPr>
          <w:rFonts w:ascii="Book Antiqua" w:hAnsi="Book Antiqua" w:hint="eastAsia"/>
          <w:color w:val="auto"/>
          <w:lang w:val="en-US" w:eastAsia="zh-CN"/>
        </w:rPr>
        <w:t xml:space="preserve"> </w:t>
      </w:r>
      <w:r w:rsidRPr="005F51B8">
        <w:rPr>
          <w:rFonts w:ascii="Book Antiqua" w:hAnsi="Book Antiqua"/>
          <w:caps/>
          <w:color w:val="auto"/>
          <w:lang w:val="en-US"/>
        </w:rPr>
        <w:t>e</w:t>
      </w:r>
      <w:r w:rsidRPr="005F51B8">
        <w:rPr>
          <w:rFonts w:ascii="Book Antiqua" w:hAnsi="Book Antiqua"/>
          <w:color w:val="auto"/>
          <w:lang w:val="en-US"/>
        </w:rPr>
        <w:t>xtrahepatic spread; HE</w:t>
      </w:r>
      <w:r w:rsidR="00623C8F" w:rsidRPr="005F51B8">
        <w:rPr>
          <w:rFonts w:ascii="Book Antiqua" w:hAnsi="Book Antiqua"/>
          <w:color w:val="auto"/>
          <w:lang w:val="en-US"/>
        </w:rPr>
        <w:t>:</w:t>
      </w:r>
      <w:r w:rsidRPr="005F51B8">
        <w:rPr>
          <w:rFonts w:ascii="Book Antiqua" w:hAnsi="Book Antiqua"/>
          <w:color w:val="auto"/>
          <w:lang w:val="en-US"/>
        </w:rPr>
        <w:t xml:space="preserve"> </w:t>
      </w:r>
      <w:r w:rsidRPr="005F51B8">
        <w:rPr>
          <w:rFonts w:ascii="Book Antiqua" w:hAnsi="Book Antiqua"/>
          <w:caps/>
          <w:color w:val="auto"/>
          <w:lang w:val="en-US"/>
        </w:rPr>
        <w:t>h</w:t>
      </w:r>
      <w:r w:rsidRPr="005F51B8">
        <w:rPr>
          <w:rFonts w:ascii="Book Antiqua" w:hAnsi="Book Antiqua"/>
          <w:color w:val="auto"/>
          <w:lang w:val="en-US"/>
        </w:rPr>
        <w:t>epatic encephalopathy; INR</w:t>
      </w:r>
      <w:r w:rsidR="00623C8F" w:rsidRPr="005F51B8">
        <w:rPr>
          <w:rFonts w:ascii="Book Antiqua" w:hAnsi="Book Antiqua"/>
          <w:color w:val="auto"/>
          <w:lang w:val="en-US"/>
        </w:rPr>
        <w:t xml:space="preserve">: </w:t>
      </w:r>
      <w:r w:rsidR="00623C8F" w:rsidRPr="005F51B8">
        <w:rPr>
          <w:rFonts w:ascii="Book Antiqua" w:hAnsi="Book Antiqua"/>
          <w:caps/>
          <w:color w:val="auto"/>
          <w:lang w:val="en-US"/>
        </w:rPr>
        <w:t>i</w:t>
      </w:r>
      <w:r w:rsidRPr="005F51B8">
        <w:rPr>
          <w:rFonts w:ascii="Book Antiqua" w:hAnsi="Book Antiqua"/>
          <w:color w:val="auto"/>
          <w:lang w:val="en-US"/>
        </w:rPr>
        <w:t xml:space="preserve">nternational </w:t>
      </w:r>
      <w:r w:rsidR="00623C8F" w:rsidRPr="005F51B8">
        <w:rPr>
          <w:rFonts w:ascii="Book Antiqua" w:hAnsi="Book Antiqua"/>
          <w:color w:val="auto"/>
          <w:lang w:val="en-US"/>
        </w:rPr>
        <w:t>n</w:t>
      </w:r>
      <w:r w:rsidRPr="005F51B8">
        <w:rPr>
          <w:rFonts w:ascii="Book Antiqua" w:hAnsi="Book Antiqua"/>
          <w:color w:val="auto"/>
          <w:lang w:val="en-US"/>
        </w:rPr>
        <w:t xml:space="preserve">ormalized </w:t>
      </w:r>
      <w:r w:rsidR="00623C8F" w:rsidRPr="005F51B8">
        <w:rPr>
          <w:rFonts w:ascii="Book Antiqua" w:hAnsi="Book Antiqua"/>
          <w:color w:val="auto"/>
          <w:lang w:val="en-US"/>
        </w:rPr>
        <w:t>r</w:t>
      </w:r>
      <w:r w:rsidRPr="005F51B8">
        <w:rPr>
          <w:rFonts w:ascii="Book Antiqua" w:hAnsi="Book Antiqua"/>
          <w:color w:val="auto"/>
          <w:lang w:val="en-US"/>
        </w:rPr>
        <w:t>atio; PS</w:t>
      </w:r>
      <w:r w:rsidR="00623C8F" w:rsidRPr="005F51B8">
        <w:rPr>
          <w:rFonts w:ascii="Book Antiqua" w:hAnsi="Book Antiqua"/>
          <w:color w:val="auto"/>
          <w:lang w:val="en-US"/>
        </w:rPr>
        <w:t>:</w:t>
      </w:r>
      <w:r w:rsidRPr="005F51B8">
        <w:rPr>
          <w:rFonts w:ascii="Book Antiqua" w:hAnsi="Book Antiqua"/>
          <w:color w:val="auto"/>
          <w:lang w:val="en-US"/>
        </w:rPr>
        <w:t xml:space="preserve"> </w:t>
      </w:r>
      <w:r w:rsidRPr="005F51B8">
        <w:rPr>
          <w:rFonts w:ascii="Book Antiqua" w:hAnsi="Book Antiqua"/>
          <w:caps/>
          <w:color w:val="auto"/>
          <w:lang w:val="en-US"/>
        </w:rPr>
        <w:t>p</w:t>
      </w:r>
      <w:r w:rsidRPr="005F51B8">
        <w:rPr>
          <w:rFonts w:ascii="Book Antiqua" w:hAnsi="Book Antiqua"/>
          <w:color w:val="auto"/>
          <w:lang w:val="en-US"/>
        </w:rPr>
        <w:t>erformance status; PVT</w:t>
      </w:r>
      <w:r w:rsidR="00623C8F" w:rsidRPr="005F51B8">
        <w:rPr>
          <w:rFonts w:ascii="Book Antiqua" w:hAnsi="Book Antiqua"/>
          <w:color w:val="auto"/>
          <w:lang w:val="en-US"/>
        </w:rPr>
        <w:t>:</w:t>
      </w:r>
      <w:r w:rsidRPr="005F51B8">
        <w:rPr>
          <w:rFonts w:ascii="Book Antiqua" w:hAnsi="Book Antiqua"/>
          <w:caps/>
          <w:color w:val="auto"/>
          <w:lang w:val="en-US"/>
        </w:rPr>
        <w:t xml:space="preserve"> p</w:t>
      </w:r>
      <w:r w:rsidRPr="005F51B8">
        <w:rPr>
          <w:rFonts w:ascii="Book Antiqua" w:hAnsi="Book Antiqua"/>
          <w:color w:val="auto"/>
          <w:lang w:val="en-US"/>
        </w:rPr>
        <w:t>ortal vein thrombosis.</w:t>
      </w:r>
    </w:p>
    <w:p w:rsidR="001F2C9C" w:rsidRPr="00B01FC5" w:rsidRDefault="001F2C9C" w:rsidP="009352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auto"/>
          <w:lang w:val="en-US"/>
        </w:rPr>
      </w:pPr>
      <w:r w:rsidRPr="00B01FC5">
        <w:rPr>
          <w:rFonts w:ascii="Book Antiqua" w:hAnsi="Book Antiqua"/>
          <w:color w:val="auto"/>
          <w:lang w:val="en-US"/>
        </w:rPr>
        <w:br w:type="page"/>
      </w:r>
    </w:p>
    <w:p w:rsidR="001F2C9C" w:rsidRPr="00B01FC5" w:rsidRDefault="001F2C9C" w:rsidP="009352FD">
      <w:pPr>
        <w:spacing w:line="360" w:lineRule="auto"/>
        <w:jc w:val="both"/>
        <w:rPr>
          <w:rFonts w:ascii="Book Antiqua" w:hAnsi="Book Antiqua"/>
          <w:color w:val="auto"/>
          <w:lang w:val="en-US"/>
        </w:rPr>
        <w:sectPr w:rsidR="001F2C9C" w:rsidRPr="00B01FC5" w:rsidSect="00B96BD4">
          <w:pgSz w:w="11900" w:h="16840"/>
          <w:pgMar w:top="1417" w:right="1134" w:bottom="1134" w:left="1134" w:header="708" w:footer="708" w:gutter="0"/>
          <w:cols w:space="708"/>
        </w:sectPr>
      </w:pPr>
    </w:p>
    <w:tbl>
      <w:tblPr>
        <w:tblStyle w:val="Grigliachiara-Colore11"/>
        <w:tblpPr w:leftFromText="141" w:rightFromText="141" w:vertAnchor="page" w:horzAnchor="margin" w:tblpY="1829"/>
        <w:tblW w:w="13716"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10"/>
        <w:gridCol w:w="3727"/>
        <w:gridCol w:w="3402"/>
        <w:gridCol w:w="3827"/>
        <w:gridCol w:w="850"/>
      </w:tblGrid>
      <w:tr w:rsidR="005F51B8" w:rsidRPr="00B01FC5" w:rsidTr="00C1527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0" w:type="dxa"/>
            <w:tcBorders>
              <w:left w:val="none" w:sz="0" w:space="0" w:color="auto"/>
              <w:right w:val="none" w:sz="0" w:space="0" w:color="auto"/>
            </w:tcBorders>
            <w:shd w:val="clear" w:color="auto" w:fill="auto"/>
          </w:tcPr>
          <w:p w:rsidR="005F51B8" w:rsidRPr="005F51B8" w:rsidRDefault="005F51B8" w:rsidP="005F51B8">
            <w:pPr>
              <w:spacing w:line="360" w:lineRule="auto"/>
              <w:jc w:val="both"/>
              <w:rPr>
                <w:rFonts w:ascii="Book Antiqua" w:hAnsi="Book Antiqua" w:cstheme="majorBidi"/>
                <w:b/>
                <w:color w:val="auto"/>
                <w:sz w:val="24"/>
                <w:szCs w:val="24"/>
              </w:rPr>
            </w:pPr>
            <w:r w:rsidRPr="005F51B8">
              <w:rPr>
                <w:rFonts w:ascii="Book Antiqua" w:hAnsi="Book Antiqua" w:cstheme="majorBidi"/>
                <w:b/>
                <w:color w:val="auto"/>
                <w:sz w:val="24"/>
                <w:szCs w:val="24"/>
              </w:rPr>
              <w:lastRenderedPageBreak/>
              <w:t xml:space="preserve">Treatment </w:t>
            </w:r>
          </w:p>
        </w:tc>
        <w:tc>
          <w:tcPr>
            <w:tcW w:w="3727" w:type="dxa"/>
            <w:tcBorders>
              <w:left w:val="none" w:sz="0" w:space="0" w:color="auto"/>
              <w:right w:val="none" w:sz="0" w:space="0" w:color="auto"/>
            </w:tcBorders>
            <w:shd w:val="clear" w:color="auto" w:fill="auto"/>
          </w:tcPr>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
                <w:color w:val="auto"/>
                <w:sz w:val="24"/>
                <w:szCs w:val="24"/>
              </w:rPr>
            </w:pPr>
            <w:r w:rsidRPr="005F51B8">
              <w:rPr>
                <w:rFonts w:ascii="Book Antiqua" w:hAnsi="Book Antiqua" w:cstheme="majorBidi"/>
                <w:b/>
                <w:color w:val="auto"/>
                <w:sz w:val="24"/>
                <w:szCs w:val="24"/>
              </w:rPr>
              <w:t>Trial</w:t>
            </w:r>
          </w:p>
        </w:tc>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b/>
                <w:color w:val="auto"/>
                <w:sz w:val="24"/>
                <w:szCs w:val="24"/>
                <w:lang w:val="en-GB"/>
              </w:rPr>
            </w:pPr>
            <w:r w:rsidRPr="005F51B8">
              <w:rPr>
                <w:rFonts w:ascii="Book Antiqua" w:hAnsi="Book Antiqua" w:cstheme="majorBidi"/>
                <w:b/>
                <w:color w:val="auto"/>
                <w:sz w:val="24"/>
                <w:szCs w:val="24"/>
                <w:lang w:val="en-GB"/>
              </w:rPr>
              <w:t>OS (mo)</w:t>
            </w:r>
          </w:p>
        </w:tc>
        <w:tc>
          <w:tcPr>
            <w:tcW w:w="3827" w:type="dxa"/>
            <w:tcBorders>
              <w:left w:val="none" w:sz="0" w:space="0" w:color="auto"/>
              <w:right w:val="none" w:sz="0" w:space="0" w:color="auto"/>
            </w:tcBorders>
            <w:shd w:val="clear" w:color="auto" w:fill="auto"/>
          </w:tcPr>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
                <w:color w:val="auto"/>
                <w:sz w:val="24"/>
                <w:szCs w:val="24"/>
                <w:lang w:val="en-GB"/>
              </w:rPr>
            </w:pPr>
            <w:r w:rsidRPr="005F51B8">
              <w:rPr>
                <w:rFonts w:ascii="Book Antiqua" w:hAnsi="Book Antiqua" w:cstheme="majorBidi"/>
                <w:b/>
                <w:color w:val="auto"/>
                <w:sz w:val="24"/>
                <w:szCs w:val="24"/>
                <w:lang w:val="en-GB"/>
              </w:rPr>
              <w:t>TTP (mo)</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shd w:val="clear" w:color="auto" w:fill="auto"/>
          </w:tcPr>
          <w:p w:rsidR="005F51B8" w:rsidRPr="005F51B8" w:rsidRDefault="00C1527F" w:rsidP="00C1527F">
            <w:pPr>
              <w:autoSpaceDE w:val="0"/>
              <w:autoSpaceDN w:val="0"/>
              <w:adjustRightInd w:val="0"/>
              <w:spacing w:line="360" w:lineRule="auto"/>
              <w:jc w:val="center"/>
              <w:rPr>
                <w:rFonts w:ascii="Book Antiqua" w:hAnsi="Book Antiqua" w:cstheme="majorBidi"/>
                <w:b/>
                <w:color w:val="auto"/>
                <w:sz w:val="24"/>
                <w:szCs w:val="24"/>
                <w:lang w:eastAsia="zh-CN"/>
              </w:rPr>
            </w:pPr>
            <w:r>
              <w:rPr>
                <w:rFonts w:ascii="Book Antiqua" w:hAnsi="Book Antiqua" w:cstheme="majorBidi"/>
                <w:b/>
                <w:color w:val="auto"/>
                <w:sz w:val="24"/>
                <w:szCs w:val="24"/>
              </w:rPr>
              <w:t>Ref.</w:t>
            </w:r>
          </w:p>
        </w:tc>
      </w:tr>
      <w:tr w:rsidR="005F51B8" w:rsidRPr="00B01FC5" w:rsidTr="00C1527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0" w:type="dxa"/>
            <w:tcBorders>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both"/>
              <w:rPr>
                <w:rFonts w:ascii="Book Antiqua" w:hAnsi="Book Antiqua" w:cstheme="majorBidi"/>
                <w:color w:val="auto"/>
                <w:sz w:val="24"/>
                <w:szCs w:val="24"/>
              </w:rPr>
            </w:pPr>
            <w:r w:rsidRPr="005F51B8">
              <w:rPr>
                <w:rFonts w:ascii="Book Antiqua" w:hAnsi="Book Antiqua" w:cstheme="majorBidi"/>
                <w:color w:val="auto"/>
                <w:sz w:val="24"/>
                <w:szCs w:val="24"/>
              </w:rPr>
              <w:t>Sorafenib</w:t>
            </w:r>
          </w:p>
        </w:tc>
        <w:tc>
          <w:tcPr>
            <w:tcW w:w="3727" w:type="dxa"/>
            <w:tcBorders>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 xml:space="preserve">Sorafenib Phase III </w:t>
            </w:r>
            <w:r w:rsidRPr="005F51B8">
              <w:rPr>
                <w:rFonts w:ascii="Book Antiqua" w:hAnsi="Book Antiqua" w:cstheme="majorBidi"/>
                <w:i/>
                <w:color w:val="auto"/>
                <w:sz w:val="24"/>
                <w:szCs w:val="24"/>
                <w:lang w:val="en-GB"/>
              </w:rPr>
              <w:t>vs</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placebo</w:t>
            </w:r>
          </w:p>
          <w:p w:rsidR="005F51B8" w:rsidRPr="005F51B8" w:rsidRDefault="005F51B8" w:rsidP="005F51B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(SHARP)</w:t>
            </w:r>
          </w:p>
        </w:tc>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10.7</w:t>
            </w:r>
            <w:r w:rsidR="00C1527F">
              <w:rPr>
                <w:rFonts w:ascii="Book Antiqua" w:hAnsi="Book Antiqua" w:cstheme="majorBidi"/>
                <w:color w:val="auto"/>
                <w:sz w:val="24"/>
                <w:szCs w:val="24"/>
                <w:lang w:val="en-GB"/>
              </w:rPr>
              <w:t xml:space="preserve"> </w:t>
            </w:r>
            <w:r w:rsidRPr="005F51B8">
              <w:rPr>
                <w:rFonts w:ascii="Book Antiqua" w:hAnsi="Book Antiqua" w:cstheme="majorBidi"/>
                <w:color w:val="auto"/>
                <w:sz w:val="24"/>
                <w:szCs w:val="24"/>
                <w:lang w:val="en-GB"/>
              </w:rPr>
              <w:t>mo</w:t>
            </w:r>
            <w:r w:rsidR="00C1527F">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sidRPr="005F51B8">
              <w:rPr>
                <w:rFonts w:ascii="Book Antiqua" w:hAnsi="Book Antiqua" w:cstheme="majorBidi"/>
                <w:color w:val="auto"/>
                <w:sz w:val="24"/>
                <w:szCs w:val="24"/>
                <w:lang w:val="en-GB"/>
              </w:rPr>
              <w:t xml:space="preserve"> 7.9 mo,</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 xml:space="preserve">p </w:t>
            </w:r>
            <w:r w:rsidRPr="005F51B8">
              <w:rPr>
                <w:rFonts w:ascii="Book Antiqua" w:hAnsi="Book Antiqua" w:cstheme="majorBidi"/>
                <w:color w:val="auto"/>
                <w:sz w:val="24"/>
                <w:szCs w:val="24"/>
                <w:lang w:val="en-GB"/>
              </w:rPr>
              <w:t>&lt; 0.001;</w:t>
            </w:r>
          </w:p>
          <w:p w:rsidR="005F51B8" w:rsidRPr="005F51B8" w:rsidRDefault="005F51B8" w:rsidP="00C1527F">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HR</w:t>
            </w:r>
            <w:r w:rsidR="00C1527F">
              <w:rPr>
                <w:rFonts w:ascii="Book Antiqua" w:hAnsi="Book Antiqua" w:cstheme="majorBidi" w:hint="eastAsia"/>
                <w:color w:val="auto"/>
                <w:sz w:val="24"/>
                <w:szCs w:val="24"/>
                <w:lang w:val="en-GB" w:eastAsia="zh-CN"/>
              </w:rPr>
              <w:t xml:space="preserve"> = </w:t>
            </w:r>
            <w:r w:rsidR="00C1527F">
              <w:rPr>
                <w:rFonts w:ascii="Book Antiqua" w:hAnsi="Book Antiqua" w:cstheme="majorBidi"/>
                <w:color w:val="auto"/>
                <w:sz w:val="24"/>
                <w:szCs w:val="24"/>
                <w:lang w:val="en-GB"/>
              </w:rPr>
              <w:t>0.69; 95%</w:t>
            </w:r>
            <w:r w:rsidRPr="005F51B8">
              <w:rPr>
                <w:rFonts w:ascii="Book Antiqua" w:hAnsi="Book Antiqua" w:cstheme="majorBidi"/>
                <w:color w:val="auto"/>
                <w:sz w:val="24"/>
                <w:szCs w:val="24"/>
                <w:lang w:val="en-GB"/>
              </w:rPr>
              <w:t>CI: 0.55-0.87</w:t>
            </w:r>
          </w:p>
        </w:tc>
        <w:tc>
          <w:tcPr>
            <w:tcW w:w="3827" w:type="dxa"/>
            <w:tcBorders>
              <w:left w:val="none" w:sz="0" w:space="0" w:color="auto"/>
              <w:bottom w:val="none" w:sz="0" w:space="0" w:color="auto"/>
              <w:right w:val="none" w:sz="0" w:space="0" w:color="auto"/>
            </w:tcBorders>
            <w:shd w:val="clear" w:color="auto" w:fill="auto"/>
          </w:tcPr>
          <w:p w:rsidR="005F51B8" w:rsidRPr="005F51B8" w:rsidRDefault="005F51B8" w:rsidP="00C1527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eastAsia="zh-CN"/>
              </w:rPr>
            </w:pPr>
            <w:r w:rsidRPr="005F51B8">
              <w:rPr>
                <w:rFonts w:ascii="Book Antiqua" w:hAnsi="Book Antiqua" w:cstheme="majorBidi"/>
                <w:color w:val="auto"/>
                <w:sz w:val="24"/>
                <w:szCs w:val="24"/>
                <w:lang w:val="en-GB"/>
              </w:rPr>
              <w:t>5.5</w:t>
            </w:r>
            <w:r w:rsidR="00C1527F">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mo</w:t>
            </w:r>
            <w:r w:rsidR="00C1527F">
              <w:rPr>
                <w:rFonts w:ascii="Book Antiqua" w:hAnsi="Book Antiqua" w:cstheme="majorBidi"/>
                <w:color w:val="auto"/>
                <w:sz w:val="24"/>
                <w:szCs w:val="24"/>
                <w:lang w:val="en-GB"/>
              </w:rPr>
              <w:t xml:space="preserve"> </w:t>
            </w:r>
            <w:r w:rsidR="00C1527F" w:rsidRPr="005F51B8">
              <w:rPr>
                <w:rFonts w:ascii="Book Antiqua" w:hAnsi="Book Antiqua" w:cstheme="majorBidi"/>
                <w:i/>
                <w:color w:val="auto"/>
                <w:sz w:val="24"/>
                <w:szCs w:val="24"/>
                <w:lang w:val="en-GB"/>
              </w:rPr>
              <w:t>vs</w:t>
            </w:r>
            <w:r w:rsidR="00C1527F">
              <w:rPr>
                <w:rFonts w:ascii="Book Antiqua" w:hAnsi="Book Antiqua" w:cstheme="majorBidi"/>
                <w:color w:val="auto"/>
                <w:sz w:val="24"/>
                <w:szCs w:val="24"/>
                <w:lang w:val="en-GB"/>
              </w:rPr>
              <w:t xml:space="preserve"> </w:t>
            </w:r>
            <w:r w:rsidRPr="005F51B8">
              <w:rPr>
                <w:rFonts w:ascii="Book Antiqua" w:hAnsi="Book Antiqua" w:cstheme="majorBidi"/>
                <w:color w:val="auto"/>
                <w:sz w:val="24"/>
                <w:szCs w:val="24"/>
                <w:lang w:val="en-GB"/>
              </w:rPr>
              <w:t>2.8 mo,</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p</w:t>
            </w:r>
            <w:r>
              <w:rPr>
                <w:rFonts w:ascii="Book Antiqua" w:hAnsi="Book Antiqua" w:cstheme="majorBidi" w:hint="eastAsia"/>
                <w:i/>
                <w:caps/>
                <w:color w:val="auto"/>
                <w:sz w:val="24"/>
                <w:szCs w:val="24"/>
                <w:lang w:val="en-GB" w:eastAsia="zh-CN"/>
              </w:rPr>
              <w:t xml:space="preserve"> </w:t>
            </w:r>
            <w:r w:rsidR="00C1527F">
              <w:rPr>
                <w:rFonts w:ascii="Book Antiqua" w:hAnsi="Book Antiqua" w:cstheme="majorBidi"/>
                <w:color w:val="auto"/>
                <w:sz w:val="24"/>
                <w:szCs w:val="24"/>
                <w:lang w:val="en-GB"/>
              </w:rPr>
              <w:t>&lt; 0.001</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bottom w:val="none" w:sz="0" w:space="0" w:color="auto"/>
              <w:right w:val="none" w:sz="0" w:space="0" w:color="auto"/>
            </w:tcBorders>
            <w:shd w:val="clear" w:color="auto" w:fill="auto"/>
          </w:tcPr>
          <w:p w:rsidR="005F51B8" w:rsidRPr="005F51B8" w:rsidRDefault="005F51B8" w:rsidP="005F51B8">
            <w:pPr>
              <w:spacing w:before="240"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[10]</w:t>
            </w:r>
          </w:p>
        </w:tc>
      </w:tr>
      <w:tr w:rsidR="005F51B8" w:rsidRPr="00B01FC5" w:rsidTr="00C1527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both"/>
              <w:rPr>
                <w:rFonts w:ascii="Book Antiqua" w:hAnsi="Book Antiqua" w:cstheme="majorBidi"/>
                <w:color w:val="auto"/>
                <w:sz w:val="24"/>
                <w:szCs w:val="24"/>
              </w:rPr>
            </w:pPr>
            <w:r w:rsidRPr="005F51B8">
              <w:rPr>
                <w:rFonts w:ascii="Book Antiqua" w:hAnsi="Book Antiqua" w:cstheme="majorBidi"/>
                <w:color w:val="auto"/>
                <w:sz w:val="24"/>
                <w:szCs w:val="24"/>
              </w:rPr>
              <w:t>Sorafenib</w:t>
            </w:r>
          </w:p>
        </w:tc>
        <w:tc>
          <w:tcPr>
            <w:tcW w:w="37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Phase III</w:t>
            </w:r>
            <w:r w:rsidR="00C1527F">
              <w:rPr>
                <w:rFonts w:ascii="Book Antiqua" w:hAnsi="Book Antiqua" w:cstheme="majorBidi" w:hint="eastAsia"/>
                <w:color w:val="auto"/>
                <w:sz w:val="24"/>
                <w:szCs w:val="24"/>
                <w:lang w:val="en-GB" w:eastAsia="zh-CN"/>
              </w:rPr>
              <w:t xml:space="preserve"> </w:t>
            </w:r>
            <w:r w:rsidR="00C1527F" w:rsidRPr="00C1527F">
              <w:rPr>
                <w:rFonts w:ascii="Book Antiqua" w:hAnsi="Book Antiqua" w:cstheme="majorBidi"/>
                <w:i/>
                <w:color w:val="auto"/>
                <w:sz w:val="24"/>
                <w:szCs w:val="24"/>
                <w:lang w:val="en-US"/>
              </w:rPr>
              <w:t>vs</w:t>
            </w:r>
            <w:r w:rsidR="00C1527F">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placebo</w:t>
            </w:r>
          </w:p>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(Asia-Pacific)</w:t>
            </w:r>
          </w:p>
        </w:tc>
        <w:tc>
          <w:tcPr>
            <w:cnfStyle w:val="000010000000" w:firstRow="0" w:lastRow="0" w:firstColumn="0" w:lastColumn="0" w:oddVBand="1"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6.5</w:t>
            </w:r>
            <w:r w:rsidR="00C1527F">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mo</w:t>
            </w:r>
            <w:r w:rsidR="00C1527F">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sidR="00C1527F">
              <w:rPr>
                <w:rFonts w:ascii="Book Antiqua" w:hAnsi="Book Antiqua" w:cstheme="majorBidi"/>
                <w:color w:val="auto"/>
                <w:sz w:val="24"/>
                <w:szCs w:val="24"/>
                <w:lang w:val="en-GB"/>
              </w:rPr>
              <w:t xml:space="preserve"> </w:t>
            </w:r>
            <w:r w:rsidRPr="005F51B8">
              <w:rPr>
                <w:rFonts w:ascii="Book Antiqua" w:hAnsi="Book Antiqua" w:cstheme="majorBidi"/>
                <w:color w:val="auto"/>
                <w:sz w:val="24"/>
                <w:szCs w:val="24"/>
                <w:lang w:val="en-GB"/>
              </w:rPr>
              <w:t>4.2</w:t>
            </w:r>
            <w:r w:rsidR="00C1527F">
              <w:rPr>
                <w:rFonts w:ascii="Book Antiqua" w:hAnsi="Book Antiqua" w:cstheme="majorBidi"/>
                <w:color w:val="auto"/>
                <w:sz w:val="24"/>
                <w:szCs w:val="24"/>
                <w:lang w:val="en-GB"/>
              </w:rPr>
              <w:t xml:space="preserve"> </w:t>
            </w:r>
            <w:r w:rsidRPr="005F51B8">
              <w:rPr>
                <w:rFonts w:ascii="Book Antiqua" w:hAnsi="Book Antiqua" w:cstheme="majorBidi"/>
                <w:color w:val="auto"/>
                <w:sz w:val="24"/>
                <w:szCs w:val="24"/>
                <w:lang w:val="en-GB"/>
              </w:rPr>
              <w:t>mo ,</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p</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 0.014;</w:t>
            </w:r>
          </w:p>
          <w:p w:rsidR="005F51B8" w:rsidRPr="005F51B8" w:rsidRDefault="005F51B8" w:rsidP="00C1527F">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HR</w:t>
            </w:r>
            <w:r w:rsidR="00C1527F">
              <w:rPr>
                <w:rFonts w:ascii="Book Antiqua" w:hAnsi="Book Antiqua" w:cstheme="majorBidi" w:hint="eastAsia"/>
                <w:color w:val="auto"/>
                <w:sz w:val="24"/>
                <w:szCs w:val="24"/>
                <w:lang w:val="en-GB" w:eastAsia="zh-CN"/>
              </w:rPr>
              <w:t xml:space="preserve"> = </w:t>
            </w:r>
            <w:r w:rsidR="00C1527F">
              <w:rPr>
                <w:rFonts w:ascii="Book Antiqua" w:hAnsi="Book Antiqua" w:cstheme="majorBidi"/>
                <w:color w:val="auto"/>
                <w:sz w:val="24"/>
                <w:szCs w:val="24"/>
                <w:lang w:val="en-GB"/>
              </w:rPr>
              <w:t>0.68; 95%</w:t>
            </w:r>
            <w:r w:rsidRPr="005F51B8">
              <w:rPr>
                <w:rFonts w:ascii="Book Antiqua" w:hAnsi="Book Antiqua" w:cstheme="majorBidi"/>
                <w:color w:val="auto"/>
                <w:sz w:val="24"/>
                <w:szCs w:val="24"/>
                <w:lang w:val="en-GB"/>
              </w:rPr>
              <w:t>CI: 0.50-0.93</w:t>
            </w:r>
          </w:p>
        </w:tc>
        <w:tc>
          <w:tcPr>
            <w:tcW w:w="38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2.8</w:t>
            </w:r>
            <w:r w:rsidR="00C1527F">
              <w:rPr>
                <w:rFonts w:ascii="Book Antiqua" w:hAnsi="Book Antiqua" w:cstheme="majorBidi"/>
                <w:color w:val="auto"/>
                <w:sz w:val="24"/>
                <w:szCs w:val="24"/>
                <w:lang w:val="en-GB"/>
              </w:rPr>
              <w:t xml:space="preserve"> </w:t>
            </w:r>
            <w:r w:rsidR="00C1527F" w:rsidRPr="005F51B8">
              <w:rPr>
                <w:rFonts w:ascii="Book Antiqua" w:hAnsi="Book Antiqua" w:cstheme="majorBidi"/>
                <w:color w:val="auto"/>
                <w:sz w:val="24"/>
                <w:szCs w:val="24"/>
                <w:lang w:val="en-GB"/>
              </w:rPr>
              <w:t>mo</w:t>
            </w:r>
            <w:r w:rsidR="00C1527F" w:rsidRPr="005F51B8">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sidR="00C1527F">
              <w:rPr>
                <w:rFonts w:ascii="Book Antiqua" w:hAnsi="Book Antiqua" w:cstheme="majorBidi"/>
                <w:color w:val="auto"/>
                <w:sz w:val="24"/>
                <w:szCs w:val="24"/>
                <w:lang w:val="en-GB"/>
              </w:rPr>
              <w:t xml:space="preserve"> </w:t>
            </w:r>
            <w:r w:rsidRPr="005F51B8">
              <w:rPr>
                <w:rFonts w:ascii="Book Antiqua" w:hAnsi="Book Antiqua" w:cstheme="majorBidi"/>
                <w:color w:val="auto"/>
                <w:sz w:val="24"/>
                <w:szCs w:val="24"/>
                <w:lang w:val="en-GB"/>
              </w:rPr>
              <w:t>1.4 mo,</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p</w:t>
            </w:r>
            <w:r>
              <w:rPr>
                <w:rFonts w:ascii="Book Antiqua" w:hAnsi="Book Antiqua" w:cstheme="majorBidi" w:hint="eastAsia"/>
                <w:i/>
                <w:caps/>
                <w:color w:val="auto"/>
                <w:sz w:val="24"/>
                <w:szCs w:val="24"/>
                <w:lang w:val="en-GB" w:eastAsia="zh-CN"/>
              </w:rPr>
              <w:t xml:space="preserve"> </w:t>
            </w:r>
            <w:r w:rsidRPr="005F51B8">
              <w:rPr>
                <w:rFonts w:ascii="Book Antiqua" w:hAnsi="Book Antiqua" w:cstheme="majorBidi"/>
                <w:color w:val="auto"/>
                <w:sz w:val="24"/>
                <w:szCs w:val="24"/>
                <w:lang w:val="en-GB"/>
              </w:rPr>
              <w:t>=</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0.0005;</w:t>
            </w:r>
          </w:p>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HR</w:t>
            </w:r>
            <w:r w:rsidR="00C1527F">
              <w:rPr>
                <w:rFonts w:ascii="Book Antiqua" w:hAnsi="Book Antiqua" w:cstheme="majorBidi" w:hint="eastAsia"/>
                <w:color w:val="auto"/>
                <w:sz w:val="24"/>
                <w:szCs w:val="24"/>
                <w:lang w:val="en-GB" w:eastAsia="zh-CN"/>
              </w:rPr>
              <w:t xml:space="preserve"> = </w:t>
            </w:r>
            <w:r w:rsidR="00C1527F">
              <w:rPr>
                <w:rFonts w:ascii="Book Antiqua" w:hAnsi="Book Antiqua" w:cstheme="majorBidi"/>
                <w:color w:val="auto"/>
                <w:sz w:val="24"/>
                <w:szCs w:val="24"/>
                <w:lang w:val="en-GB"/>
              </w:rPr>
              <w:t>0.57; 95%</w:t>
            </w:r>
            <w:r w:rsidRPr="005F51B8">
              <w:rPr>
                <w:rFonts w:ascii="Book Antiqua" w:hAnsi="Book Antiqua" w:cstheme="majorBidi"/>
                <w:color w:val="auto"/>
                <w:sz w:val="24"/>
                <w:szCs w:val="24"/>
                <w:lang w:val="en-GB"/>
              </w:rPr>
              <w:t>CI: 0.42-0.79</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[11]</w:t>
            </w:r>
          </w:p>
        </w:tc>
      </w:tr>
      <w:tr w:rsidR="005F51B8" w:rsidRPr="00B01FC5" w:rsidTr="00C1527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autoSpaceDE w:val="0"/>
              <w:autoSpaceDN w:val="0"/>
              <w:adjustRightInd w:val="0"/>
              <w:spacing w:line="360" w:lineRule="auto"/>
              <w:jc w:val="both"/>
              <w:rPr>
                <w:rFonts w:ascii="Book Antiqua" w:hAnsi="Book Antiqua" w:cstheme="majorBidi"/>
                <w:color w:val="auto"/>
                <w:sz w:val="24"/>
                <w:szCs w:val="24"/>
              </w:rPr>
            </w:pPr>
            <w:r w:rsidRPr="005F51B8">
              <w:rPr>
                <w:rFonts w:ascii="Book Antiqua" w:hAnsi="Book Antiqua" w:cstheme="majorBidi"/>
                <w:color w:val="auto"/>
                <w:sz w:val="24"/>
                <w:szCs w:val="24"/>
              </w:rPr>
              <w:t>Sunitinib</w:t>
            </w:r>
          </w:p>
        </w:tc>
        <w:tc>
          <w:tcPr>
            <w:tcW w:w="37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Phase III</w:t>
            </w:r>
            <w:r w:rsidR="00C1527F">
              <w:rPr>
                <w:rFonts w:ascii="Book Antiqua" w:hAnsi="Book Antiqua" w:cstheme="majorBidi" w:hint="eastAsia"/>
                <w:color w:val="auto"/>
                <w:sz w:val="24"/>
                <w:szCs w:val="24"/>
                <w:lang w:val="en-GB" w:eastAsia="zh-CN"/>
              </w:rPr>
              <w:t xml:space="preserve"> </w:t>
            </w:r>
            <w:r w:rsidR="00C1527F" w:rsidRPr="00C1527F">
              <w:rPr>
                <w:rFonts w:ascii="Book Antiqua" w:hAnsi="Book Antiqua" w:cstheme="majorBidi"/>
                <w:i/>
                <w:color w:val="auto"/>
                <w:sz w:val="24"/>
                <w:szCs w:val="24"/>
                <w:lang w:val="en-US"/>
              </w:rPr>
              <w:t>vs</w:t>
            </w:r>
            <w:r w:rsidR="00C1527F">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sorafenib</w:t>
            </w:r>
          </w:p>
          <w:p w:rsidR="005F51B8" w:rsidRPr="005F51B8" w:rsidRDefault="005F51B8" w:rsidP="005F51B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(SUN)</w:t>
            </w:r>
          </w:p>
        </w:tc>
        <w:tc>
          <w:tcPr>
            <w:cnfStyle w:val="000010000000" w:firstRow="0" w:lastRow="0" w:firstColumn="0" w:lastColumn="0" w:oddVBand="1"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C1527F">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7.9</w:t>
            </w:r>
            <w:r w:rsidR="00C1527F">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mo</w:t>
            </w:r>
            <w:r w:rsidRPr="005F51B8">
              <w:rPr>
                <w:rFonts w:ascii="Book Antiqua" w:hAnsi="Book Antiqua" w:cstheme="majorBidi"/>
                <w:i/>
                <w:color w:val="auto"/>
                <w:sz w:val="24"/>
                <w:szCs w:val="24"/>
                <w:lang w:val="en-GB"/>
              </w:rPr>
              <w:t xml:space="preserve"> vs</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10.2 mo,</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p</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 0.0019; HR</w:t>
            </w:r>
            <w:r w:rsidR="00C1527F">
              <w:rPr>
                <w:rFonts w:ascii="Book Antiqua" w:hAnsi="Book Antiqua" w:cstheme="majorBidi" w:hint="eastAsia"/>
                <w:color w:val="auto"/>
                <w:sz w:val="24"/>
                <w:szCs w:val="24"/>
                <w:lang w:val="en-GB" w:eastAsia="zh-CN"/>
              </w:rPr>
              <w:t xml:space="preserve"> = </w:t>
            </w:r>
            <w:r>
              <w:rPr>
                <w:rFonts w:ascii="Book Antiqua" w:hAnsi="Book Antiqua" w:cstheme="majorBidi"/>
                <w:color w:val="auto"/>
                <w:sz w:val="24"/>
                <w:szCs w:val="24"/>
                <w:lang w:val="en-GB"/>
              </w:rPr>
              <w:t>1.30; 95%</w:t>
            </w:r>
            <w:r w:rsidRPr="005F51B8">
              <w:rPr>
                <w:rFonts w:ascii="Book Antiqua" w:hAnsi="Book Antiqua" w:cstheme="majorBidi"/>
                <w:color w:val="auto"/>
                <w:sz w:val="24"/>
                <w:szCs w:val="24"/>
                <w:lang w:val="en-GB"/>
              </w:rPr>
              <w:t>CI: 1.13-1.50</w:t>
            </w:r>
          </w:p>
        </w:tc>
        <w:tc>
          <w:tcPr>
            <w:tcW w:w="38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4.1</w:t>
            </w:r>
            <w:r w:rsidR="00C1527F">
              <w:rPr>
                <w:rFonts w:ascii="Book Antiqua" w:hAnsi="Book Antiqua" w:cstheme="majorBidi"/>
                <w:color w:val="auto"/>
                <w:sz w:val="24"/>
                <w:szCs w:val="24"/>
                <w:lang w:val="en-GB"/>
              </w:rPr>
              <w:t xml:space="preserve"> </w:t>
            </w:r>
            <w:r w:rsidR="00C1527F" w:rsidRPr="005F51B8">
              <w:rPr>
                <w:rFonts w:ascii="Book Antiqua" w:hAnsi="Book Antiqua" w:cstheme="majorBidi"/>
                <w:color w:val="auto"/>
                <w:sz w:val="24"/>
                <w:szCs w:val="24"/>
                <w:lang w:val="en-GB"/>
              </w:rPr>
              <w:t>mo</w:t>
            </w:r>
            <w:r w:rsidR="00C1527F" w:rsidRPr="005F51B8">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sidRPr="005F51B8">
              <w:rPr>
                <w:rFonts w:ascii="Book Antiqua" w:hAnsi="Book Antiqua" w:cstheme="majorBidi"/>
                <w:color w:val="auto"/>
                <w:sz w:val="24"/>
                <w:szCs w:val="24"/>
                <w:lang w:val="en-GB"/>
              </w:rPr>
              <w:t xml:space="preserve"> 3.8 mo, one-sided</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 xml:space="preserve">p </w:t>
            </w:r>
            <w:r w:rsidRPr="005F51B8">
              <w:rPr>
                <w:rFonts w:ascii="Book Antiqua" w:hAnsi="Book Antiqua" w:cstheme="majorBidi"/>
                <w:color w:val="auto"/>
                <w:sz w:val="24"/>
                <w:szCs w:val="24"/>
                <w:lang w:val="en-GB"/>
              </w:rPr>
              <w:t>=</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0.8312;</w:t>
            </w:r>
          </w:p>
          <w:p w:rsidR="005F51B8" w:rsidRPr="005F51B8" w:rsidRDefault="005F51B8" w:rsidP="005F51B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eastAsia="zh-CN"/>
              </w:rPr>
            </w:pPr>
            <w:r w:rsidRPr="005F51B8">
              <w:rPr>
                <w:rFonts w:ascii="Book Antiqua" w:hAnsi="Book Antiqua" w:cstheme="majorBidi"/>
                <w:color w:val="auto"/>
                <w:sz w:val="24"/>
                <w:szCs w:val="24"/>
                <w:lang w:val="en-GB"/>
              </w:rPr>
              <w:t>two-sided</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 xml:space="preserve">p </w:t>
            </w:r>
            <w:r w:rsidRPr="005F51B8">
              <w:rPr>
                <w:rFonts w:ascii="Book Antiqua" w:hAnsi="Book Antiqua" w:cstheme="majorBidi"/>
                <w:color w:val="auto"/>
                <w:sz w:val="24"/>
                <w:szCs w:val="24"/>
                <w:lang w:val="en-GB"/>
              </w:rPr>
              <w:t>= 0.3082; HR</w:t>
            </w:r>
            <w:r w:rsidR="00C1527F">
              <w:rPr>
                <w:rFonts w:ascii="Book Antiqua" w:hAnsi="Book Antiqua" w:cstheme="majorBidi" w:hint="eastAsia"/>
                <w:color w:val="auto"/>
                <w:sz w:val="24"/>
                <w:szCs w:val="24"/>
                <w:lang w:val="en-GB" w:eastAsia="zh-CN"/>
              </w:rPr>
              <w:t xml:space="preserve"> =</w:t>
            </w:r>
            <w:r w:rsidR="00C1527F">
              <w:rPr>
                <w:rFonts w:ascii="Book Antiqua" w:hAnsi="Book Antiqua" w:cstheme="majorBidi"/>
                <w:color w:val="auto"/>
                <w:sz w:val="24"/>
                <w:szCs w:val="24"/>
                <w:lang w:val="en-GB"/>
              </w:rPr>
              <w:t>1.13</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[31]</w:t>
            </w:r>
          </w:p>
        </w:tc>
      </w:tr>
      <w:tr w:rsidR="005F51B8" w:rsidRPr="00B01FC5" w:rsidTr="00C1527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autoSpaceDE w:val="0"/>
              <w:autoSpaceDN w:val="0"/>
              <w:adjustRightInd w:val="0"/>
              <w:spacing w:line="360" w:lineRule="auto"/>
              <w:jc w:val="both"/>
              <w:rPr>
                <w:rFonts w:ascii="Book Antiqua" w:hAnsi="Book Antiqua" w:cstheme="majorBidi"/>
                <w:color w:val="auto"/>
                <w:sz w:val="24"/>
                <w:szCs w:val="24"/>
              </w:rPr>
            </w:pPr>
            <w:r w:rsidRPr="005F51B8">
              <w:rPr>
                <w:rFonts w:ascii="Book Antiqua" w:hAnsi="Book Antiqua" w:cstheme="majorBidi"/>
                <w:color w:val="auto"/>
                <w:sz w:val="24"/>
                <w:szCs w:val="24"/>
              </w:rPr>
              <w:t>Brivanib</w:t>
            </w:r>
          </w:p>
        </w:tc>
        <w:tc>
          <w:tcPr>
            <w:tcW w:w="37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Phase III</w:t>
            </w:r>
            <w:r w:rsidR="00C1527F">
              <w:rPr>
                <w:rFonts w:ascii="Book Antiqua" w:hAnsi="Book Antiqua" w:cstheme="majorBidi" w:hint="eastAsia"/>
                <w:color w:val="auto"/>
                <w:sz w:val="24"/>
                <w:szCs w:val="24"/>
                <w:lang w:val="en-GB" w:eastAsia="zh-CN"/>
              </w:rPr>
              <w:t xml:space="preserve"> </w:t>
            </w:r>
            <w:r w:rsidR="00C1527F" w:rsidRPr="00C1527F">
              <w:rPr>
                <w:rFonts w:ascii="Book Antiqua" w:hAnsi="Book Antiqua" w:cstheme="majorBidi"/>
                <w:i/>
                <w:color w:val="auto"/>
                <w:sz w:val="24"/>
                <w:szCs w:val="24"/>
                <w:lang w:val="en-US"/>
              </w:rPr>
              <w:t>vs</w:t>
            </w:r>
            <w:r w:rsidR="00C1527F">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sorafenib</w:t>
            </w:r>
          </w:p>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(BRISK-FL)</w:t>
            </w:r>
          </w:p>
        </w:tc>
        <w:tc>
          <w:tcPr>
            <w:cnfStyle w:val="000010000000" w:firstRow="0" w:lastRow="0" w:firstColumn="0" w:lastColumn="0" w:oddVBand="1"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9.5</w:t>
            </w:r>
            <w:r w:rsidR="00C1527F">
              <w:rPr>
                <w:rFonts w:ascii="Book Antiqua" w:hAnsi="Book Antiqua" w:cstheme="majorBidi" w:hint="eastAsia"/>
                <w:color w:val="auto"/>
                <w:sz w:val="24"/>
                <w:szCs w:val="24"/>
                <w:lang w:val="en-GB" w:eastAsia="zh-CN"/>
              </w:rPr>
              <w:t xml:space="preserve"> </w:t>
            </w:r>
            <w:r w:rsidR="00C1527F" w:rsidRPr="005F51B8">
              <w:rPr>
                <w:rFonts w:ascii="Book Antiqua" w:hAnsi="Book Antiqua" w:cstheme="majorBidi"/>
                <w:color w:val="auto"/>
                <w:sz w:val="24"/>
                <w:szCs w:val="24"/>
                <w:lang w:val="en-GB"/>
              </w:rPr>
              <w:t>mo</w:t>
            </w:r>
            <w:r w:rsidR="00C1527F" w:rsidRPr="005F51B8">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9.9 mo,</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p</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 0.3116;</w:t>
            </w:r>
          </w:p>
          <w:p w:rsidR="005F51B8" w:rsidRPr="005F51B8" w:rsidRDefault="005F51B8" w:rsidP="00C1527F">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HR</w:t>
            </w:r>
            <w:r w:rsidR="00C1527F">
              <w:rPr>
                <w:rFonts w:ascii="Book Antiqua" w:hAnsi="Book Antiqua" w:cstheme="majorBidi" w:hint="eastAsia"/>
                <w:color w:val="auto"/>
                <w:sz w:val="24"/>
                <w:szCs w:val="24"/>
                <w:lang w:val="en-GB" w:eastAsia="zh-CN"/>
              </w:rPr>
              <w:t xml:space="preserve"> = </w:t>
            </w:r>
            <w:r w:rsidR="00C1527F">
              <w:rPr>
                <w:rFonts w:ascii="Book Antiqua" w:hAnsi="Book Antiqua" w:cstheme="majorBidi"/>
                <w:color w:val="auto"/>
                <w:sz w:val="24"/>
                <w:szCs w:val="24"/>
                <w:lang w:val="en-GB"/>
              </w:rPr>
              <w:t>1.07; 95%</w:t>
            </w:r>
            <w:r w:rsidRPr="005F51B8">
              <w:rPr>
                <w:rFonts w:ascii="Book Antiqua" w:hAnsi="Book Antiqua" w:cstheme="majorBidi"/>
                <w:color w:val="auto"/>
                <w:sz w:val="24"/>
                <w:szCs w:val="24"/>
                <w:lang w:val="en-GB"/>
              </w:rPr>
              <w:t>CI: 0.94-1.23</w:t>
            </w:r>
          </w:p>
        </w:tc>
        <w:tc>
          <w:tcPr>
            <w:tcW w:w="38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4.2</w:t>
            </w:r>
            <w:r w:rsidR="00C1527F">
              <w:rPr>
                <w:rFonts w:ascii="Book Antiqua" w:hAnsi="Book Antiqua" w:cstheme="majorBidi"/>
                <w:color w:val="auto"/>
                <w:sz w:val="24"/>
                <w:szCs w:val="24"/>
                <w:lang w:val="en-GB"/>
              </w:rPr>
              <w:t xml:space="preserve"> </w:t>
            </w:r>
            <w:r w:rsidR="00C1527F" w:rsidRPr="005F51B8">
              <w:rPr>
                <w:rFonts w:ascii="Book Antiqua" w:hAnsi="Book Antiqua" w:cstheme="majorBidi"/>
                <w:color w:val="auto"/>
                <w:sz w:val="24"/>
                <w:szCs w:val="24"/>
                <w:lang w:val="en-GB"/>
              </w:rPr>
              <w:t>mo</w:t>
            </w:r>
            <w:r w:rsidR="00C1527F" w:rsidRPr="005F51B8">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sidR="00C1527F">
              <w:rPr>
                <w:rFonts w:ascii="Book Antiqua" w:hAnsi="Book Antiqua" w:cstheme="majorBidi"/>
                <w:color w:val="auto"/>
                <w:sz w:val="24"/>
                <w:szCs w:val="24"/>
                <w:lang w:val="en-GB"/>
              </w:rPr>
              <w:t xml:space="preserve"> </w:t>
            </w:r>
            <w:r w:rsidRPr="005F51B8">
              <w:rPr>
                <w:rFonts w:ascii="Book Antiqua" w:hAnsi="Book Antiqua" w:cstheme="majorBidi"/>
                <w:color w:val="auto"/>
                <w:sz w:val="24"/>
                <w:szCs w:val="24"/>
                <w:lang w:val="en-GB"/>
              </w:rPr>
              <w:t>4.1 mo,</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p</w:t>
            </w:r>
            <w:r>
              <w:rPr>
                <w:rFonts w:ascii="Book Antiqua" w:hAnsi="Book Antiqua" w:cstheme="majorBidi" w:hint="eastAsia"/>
                <w:i/>
                <w:caps/>
                <w:color w:val="auto"/>
                <w:sz w:val="24"/>
                <w:szCs w:val="24"/>
                <w:lang w:val="en-GB" w:eastAsia="zh-CN"/>
              </w:rPr>
              <w:t xml:space="preserve"> </w:t>
            </w:r>
            <w:r w:rsidRPr="005F51B8">
              <w:rPr>
                <w:rFonts w:ascii="Book Antiqua" w:hAnsi="Book Antiqua" w:cstheme="majorBidi"/>
                <w:color w:val="auto"/>
                <w:sz w:val="24"/>
                <w:szCs w:val="24"/>
                <w:lang w:val="en-GB"/>
              </w:rPr>
              <w:t>= 0.853;</w:t>
            </w:r>
          </w:p>
          <w:p w:rsidR="005F51B8" w:rsidRPr="005F51B8" w:rsidRDefault="005F51B8" w:rsidP="00C1527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Pr>
                <w:rFonts w:ascii="Book Antiqua" w:hAnsi="Book Antiqua" w:cstheme="majorBidi"/>
                <w:color w:val="auto"/>
                <w:sz w:val="24"/>
                <w:szCs w:val="24"/>
                <w:lang w:val="en-GB"/>
              </w:rPr>
              <w:t>HR</w:t>
            </w:r>
            <w:r w:rsidR="00C1527F">
              <w:rPr>
                <w:rFonts w:ascii="Book Antiqua" w:hAnsi="Book Antiqua" w:cstheme="majorBidi" w:hint="eastAsia"/>
                <w:color w:val="auto"/>
                <w:sz w:val="24"/>
                <w:szCs w:val="24"/>
                <w:lang w:val="en-GB" w:eastAsia="zh-CN"/>
              </w:rPr>
              <w:t xml:space="preserve"> = </w:t>
            </w:r>
            <w:r>
              <w:rPr>
                <w:rFonts w:ascii="Book Antiqua" w:hAnsi="Book Antiqua" w:cstheme="majorBidi"/>
                <w:color w:val="auto"/>
                <w:sz w:val="24"/>
                <w:szCs w:val="24"/>
                <w:lang w:val="en-GB"/>
              </w:rPr>
              <w:t>1.01; 95%</w:t>
            </w:r>
            <w:r w:rsidRPr="005F51B8">
              <w:rPr>
                <w:rFonts w:ascii="Book Antiqua" w:hAnsi="Book Antiqua" w:cstheme="majorBidi"/>
                <w:color w:val="auto"/>
                <w:sz w:val="24"/>
                <w:szCs w:val="24"/>
                <w:lang w:val="en-GB"/>
              </w:rPr>
              <w:t>CI: 0.88-1.16</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[32]</w:t>
            </w:r>
          </w:p>
        </w:tc>
      </w:tr>
      <w:tr w:rsidR="005F51B8" w:rsidRPr="00B01FC5" w:rsidTr="00C1527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both"/>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Linifanib</w:t>
            </w:r>
          </w:p>
        </w:tc>
        <w:tc>
          <w:tcPr>
            <w:tcW w:w="37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C1527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Phase III</w:t>
            </w:r>
            <w:r w:rsidR="00C1527F">
              <w:rPr>
                <w:rFonts w:ascii="Book Antiqua" w:hAnsi="Book Antiqua" w:cstheme="majorBidi" w:hint="eastAsia"/>
                <w:color w:val="auto"/>
                <w:sz w:val="24"/>
                <w:szCs w:val="24"/>
                <w:lang w:val="en-GB" w:eastAsia="zh-CN"/>
              </w:rPr>
              <w:t xml:space="preserve"> </w:t>
            </w:r>
            <w:r w:rsidR="00C1527F" w:rsidRPr="00C1527F">
              <w:rPr>
                <w:rFonts w:ascii="Book Antiqua" w:hAnsi="Book Antiqua" w:cstheme="majorBidi"/>
                <w:i/>
                <w:color w:val="auto"/>
                <w:sz w:val="24"/>
                <w:szCs w:val="24"/>
                <w:lang w:val="en-US"/>
              </w:rPr>
              <w:t>vs</w:t>
            </w:r>
            <w:r w:rsidR="00C1527F">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sorafenib</w:t>
            </w:r>
          </w:p>
        </w:tc>
        <w:tc>
          <w:tcPr>
            <w:cnfStyle w:val="000010000000" w:firstRow="0" w:lastRow="0" w:firstColumn="0" w:lastColumn="0" w:oddVBand="1"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9.1</w:t>
            </w:r>
            <w:r w:rsidR="00C1527F">
              <w:rPr>
                <w:rFonts w:ascii="Book Antiqua" w:hAnsi="Book Antiqua" w:cstheme="majorBidi" w:hint="eastAsia"/>
                <w:i/>
                <w:color w:val="auto"/>
                <w:sz w:val="24"/>
                <w:szCs w:val="24"/>
                <w:lang w:val="en-GB" w:eastAsia="zh-CN"/>
              </w:rPr>
              <w:t xml:space="preserve"> </w:t>
            </w:r>
            <w:r w:rsidR="00C1527F" w:rsidRPr="005F51B8">
              <w:rPr>
                <w:rFonts w:ascii="Book Antiqua" w:hAnsi="Book Antiqua" w:cstheme="majorBidi"/>
                <w:color w:val="auto"/>
                <w:sz w:val="24"/>
                <w:szCs w:val="24"/>
                <w:lang w:val="en-GB"/>
              </w:rPr>
              <w:t>mo</w:t>
            </w:r>
            <w:r w:rsidR="00C1527F" w:rsidRPr="005F51B8">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sidRPr="005F51B8">
              <w:rPr>
                <w:rFonts w:ascii="Book Antiqua" w:hAnsi="Book Antiqua" w:cstheme="majorBidi"/>
                <w:color w:val="auto"/>
                <w:sz w:val="24"/>
                <w:szCs w:val="24"/>
                <w:lang w:val="en-GB"/>
              </w:rPr>
              <w:t xml:space="preserve"> 9.8 mo,</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p</w:t>
            </w:r>
            <w:r>
              <w:rPr>
                <w:rFonts w:ascii="Book Antiqua" w:hAnsi="Book Antiqua" w:cstheme="majorBidi" w:hint="eastAsia"/>
                <w:i/>
                <w:caps/>
                <w:color w:val="auto"/>
                <w:sz w:val="24"/>
                <w:szCs w:val="24"/>
                <w:lang w:val="en-GB" w:eastAsia="zh-CN"/>
              </w:rPr>
              <w:t xml:space="preserve"> </w:t>
            </w:r>
            <w:r w:rsidRPr="005F51B8">
              <w:rPr>
                <w:rFonts w:ascii="Book Antiqua" w:hAnsi="Book Antiqua" w:cstheme="majorBidi"/>
                <w:color w:val="auto"/>
                <w:sz w:val="24"/>
                <w:szCs w:val="24"/>
                <w:lang w:val="en-GB"/>
              </w:rPr>
              <w:t>= NS;</w:t>
            </w:r>
          </w:p>
          <w:p w:rsidR="005F51B8" w:rsidRPr="005F51B8" w:rsidRDefault="00C1527F" w:rsidP="00C1527F">
            <w:pPr>
              <w:spacing w:line="360" w:lineRule="auto"/>
              <w:jc w:val="center"/>
              <w:rPr>
                <w:rFonts w:ascii="Book Antiqua" w:hAnsi="Book Antiqua" w:cstheme="majorBidi"/>
                <w:color w:val="auto"/>
                <w:sz w:val="24"/>
                <w:szCs w:val="24"/>
                <w:lang w:val="en-GB"/>
              </w:rPr>
            </w:pPr>
            <w:r>
              <w:rPr>
                <w:rFonts w:ascii="Book Antiqua" w:hAnsi="Book Antiqua" w:cstheme="majorBidi"/>
                <w:color w:val="auto"/>
                <w:sz w:val="24"/>
                <w:szCs w:val="24"/>
                <w:lang w:val="en-GB"/>
              </w:rPr>
              <w:t>HR</w:t>
            </w:r>
            <w:r>
              <w:rPr>
                <w:rFonts w:ascii="Book Antiqua" w:hAnsi="Book Antiqua" w:cstheme="majorBidi" w:hint="eastAsia"/>
                <w:color w:val="auto"/>
                <w:sz w:val="24"/>
                <w:szCs w:val="24"/>
                <w:lang w:val="en-GB" w:eastAsia="zh-CN"/>
              </w:rPr>
              <w:t xml:space="preserve"> = </w:t>
            </w:r>
            <w:r>
              <w:rPr>
                <w:rFonts w:ascii="Book Antiqua" w:hAnsi="Book Antiqua" w:cstheme="majorBidi"/>
                <w:color w:val="auto"/>
                <w:sz w:val="24"/>
                <w:szCs w:val="24"/>
                <w:lang w:val="en-GB"/>
              </w:rPr>
              <w:t>1.05; 95%</w:t>
            </w:r>
            <w:r w:rsidR="005F51B8" w:rsidRPr="005F51B8">
              <w:rPr>
                <w:rFonts w:ascii="Book Antiqua" w:hAnsi="Book Antiqua" w:cstheme="majorBidi"/>
                <w:color w:val="auto"/>
                <w:sz w:val="24"/>
                <w:szCs w:val="24"/>
                <w:lang w:val="en-GB"/>
              </w:rPr>
              <w:t>CI: 0.90-1.22</w:t>
            </w:r>
          </w:p>
        </w:tc>
        <w:tc>
          <w:tcPr>
            <w:tcW w:w="38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5.4</w:t>
            </w:r>
            <w:r w:rsidR="00C1527F">
              <w:rPr>
                <w:rFonts w:ascii="Book Antiqua" w:hAnsi="Book Antiqua" w:cstheme="majorBidi"/>
                <w:color w:val="auto"/>
                <w:sz w:val="24"/>
                <w:szCs w:val="24"/>
                <w:lang w:val="en-GB"/>
              </w:rPr>
              <w:t xml:space="preserve"> </w:t>
            </w:r>
            <w:r w:rsidR="00C1527F" w:rsidRPr="005F51B8">
              <w:rPr>
                <w:rFonts w:ascii="Book Antiqua" w:hAnsi="Book Antiqua" w:cstheme="majorBidi"/>
                <w:color w:val="auto"/>
                <w:sz w:val="24"/>
                <w:szCs w:val="24"/>
                <w:lang w:val="en-GB"/>
              </w:rPr>
              <w:t>mo</w:t>
            </w:r>
            <w:r w:rsidR="00C1527F" w:rsidRPr="005F51B8">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sidRPr="005F51B8">
              <w:rPr>
                <w:rFonts w:ascii="Book Antiqua" w:hAnsi="Book Antiqua" w:cstheme="majorBidi"/>
                <w:color w:val="auto"/>
                <w:sz w:val="24"/>
                <w:szCs w:val="24"/>
                <w:lang w:val="en-GB"/>
              </w:rPr>
              <w:t xml:space="preserve"> 4.0 mo,</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 xml:space="preserve">p </w:t>
            </w:r>
            <w:r w:rsidRPr="005F51B8">
              <w:rPr>
                <w:rFonts w:ascii="Book Antiqua" w:hAnsi="Book Antiqua" w:cstheme="majorBidi"/>
                <w:color w:val="auto"/>
                <w:sz w:val="24"/>
                <w:szCs w:val="24"/>
                <w:lang w:val="en-GB"/>
              </w:rPr>
              <w:t>=</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0.001;</w:t>
            </w:r>
          </w:p>
          <w:p w:rsidR="005F51B8" w:rsidRPr="005F51B8" w:rsidRDefault="005F51B8" w:rsidP="005F51B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Pr>
                <w:rFonts w:ascii="Book Antiqua" w:hAnsi="Book Antiqua" w:cstheme="majorBidi"/>
                <w:color w:val="auto"/>
                <w:sz w:val="24"/>
                <w:szCs w:val="24"/>
                <w:lang w:val="en-GB"/>
              </w:rPr>
              <w:t>HR</w:t>
            </w:r>
            <w:r w:rsidR="00C1527F">
              <w:rPr>
                <w:rFonts w:ascii="Book Antiqua" w:hAnsi="Book Antiqua" w:cstheme="majorBidi" w:hint="eastAsia"/>
                <w:color w:val="auto"/>
                <w:sz w:val="24"/>
                <w:szCs w:val="24"/>
                <w:lang w:val="en-GB" w:eastAsia="zh-CN"/>
              </w:rPr>
              <w:t xml:space="preserve"> =</w:t>
            </w:r>
            <w:r>
              <w:rPr>
                <w:rFonts w:ascii="Book Antiqua" w:hAnsi="Book Antiqua" w:cstheme="majorBidi"/>
                <w:color w:val="auto"/>
                <w:sz w:val="24"/>
                <w:szCs w:val="24"/>
                <w:lang w:val="en-GB"/>
              </w:rPr>
              <w:t xml:space="preserve"> 0.759; 95%</w:t>
            </w:r>
            <w:r w:rsidRPr="005F51B8">
              <w:rPr>
                <w:rFonts w:ascii="Book Antiqua" w:hAnsi="Book Antiqua" w:cstheme="majorBidi"/>
                <w:color w:val="auto"/>
                <w:sz w:val="24"/>
                <w:szCs w:val="24"/>
                <w:lang w:val="en-GB"/>
              </w:rPr>
              <w:t>CI: 0.64-0.895</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[33]</w:t>
            </w:r>
          </w:p>
        </w:tc>
      </w:tr>
      <w:tr w:rsidR="005F51B8" w:rsidRPr="00B01FC5" w:rsidTr="00C1527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both"/>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Erlotinib</w:t>
            </w:r>
          </w:p>
        </w:tc>
        <w:tc>
          <w:tcPr>
            <w:tcW w:w="37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Phase IIIErlotinib plus sorafenib and Sorafenib plus placebo (SEARCH)</w:t>
            </w:r>
          </w:p>
        </w:tc>
        <w:tc>
          <w:tcPr>
            <w:cnfStyle w:val="000010000000" w:firstRow="0" w:lastRow="0" w:firstColumn="0" w:lastColumn="0" w:oddVBand="1"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9.5</w:t>
            </w:r>
            <w:r w:rsidR="00C1527F">
              <w:rPr>
                <w:rFonts w:ascii="Book Antiqua" w:hAnsi="Book Antiqua" w:cstheme="majorBidi" w:hint="eastAsia"/>
                <w:color w:val="auto"/>
                <w:sz w:val="24"/>
                <w:szCs w:val="24"/>
                <w:lang w:val="en-GB" w:eastAsia="zh-CN"/>
              </w:rPr>
              <w:t xml:space="preserve"> </w:t>
            </w:r>
            <w:r w:rsidR="00C1527F" w:rsidRPr="005F51B8">
              <w:rPr>
                <w:rFonts w:ascii="Book Antiqua" w:hAnsi="Book Antiqua" w:cstheme="majorBidi"/>
                <w:color w:val="auto"/>
                <w:sz w:val="24"/>
                <w:szCs w:val="24"/>
                <w:lang w:val="en-GB"/>
              </w:rPr>
              <w:t>mo</w:t>
            </w:r>
            <w:r w:rsidR="00C1527F" w:rsidRPr="005F51B8">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sidR="00C1527F">
              <w:rPr>
                <w:rFonts w:ascii="Book Antiqua" w:hAnsi="Book Antiqua" w:cstheme="majorBidi"/>
                <w:color w:val="auto"/>
                <w:sz w:val="24"/>
                <w:szCs w:val="24"/>
                <w:lang w:val="en-GB"/>
              </w:rPr>
              <w:t xml:space="preserve"> </w:t>
            </w:r>
            <w:r w:rsidRPr="005F51B8">
              <w:rPr>
                <w:rFonts w:ascii="Book Antiqua" w:hAnsi="Book Antiqua" w:cstheme="majorBidi"/>
                <w:color w:val="auto"/>
                <w:sz w:val="24"/>
                <w:szCs w:val="24"/>
                <w:lang w:val="en-GB"/>
              </w:rPr>
              <w:t xml:space="preserve">8.5 mo, </w:t>
            </w:r>
            <w:r w:rsidRPr="00C1527F">
              <w:rPr>
                <w:rFonts w:ascii="Book Antiqua" w:hAnsi="Book Antiqua" w:cstheme="majorBidi"/>
                <w:i/>
                <w:caps/>
                <w:color w:val="auto"/>
                <w:sz w:val="24"/>
                <w:szCs w:val="24"/>
                <w:lang w:val="en-GB"/>
              </w:rPr>
              <w:t>p</w:t>
            </w:r>
            <w:r w:rsidRPr="005F51B8">
              <w:rPr>
                <w:rFonts w:ascii="Book Antiqua" w:hAnsi="Book Antiqua" w:cstheme="majorBidi"/>
                <w:color w:val="auto"/>
                <w:sz w:val="24"/>
                <w:szCs w:val="24"/>
                <w:lang w:val="en-GB"/>
              </w:rPr>
              <w:t xml:space="preserve"> = 0.408;</w:t>
            </w:r>
          </w:p>
          <w:p w:rsidR="005F51B8" w:rsidRPr="005F51B8" w:rsidRDefault="005F51B8" w:rsidP="00C1527F">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HR</w:t>
            </w:r>
            <w:r w:rsidR="00C1527F">
              <w:rPr>
                <w:rFonts w:ascii="Book Antiqua" w:hAnsi="Book Antiqua" w:cstheme="majorBidi" w:hint="eastAsia"/>
                <w:color w:val="auto"/>
                <w:sz w:val="24"/>
                <w:szCs w:val="24"/>
                <w:lang w:val="en-GB" w:eastAsia="zh-CN"/>
              </w:rPr>
              <w:t xml:space="preserve"> = </w:t>
            </w:r>
            <w:r w:rsidRPr="005F51B8">
              <w:rPr>
                <w:rFonts w:ascii="Book Antiqua" w:hAnsi="Book Antiqua" w:cstheme="majorBidi"/>
                <w:color w:val="auto"/>
                <w:sz w:val="24"/>
                <w:szCs w:val="24"/>
                <w:lang w:val="en-GB"/>
              </w:rPr>
              <w:t>0.929</w:t>
            </w:r>
          </w:p>
        </w:tc>
        <w:tc>
          <w:tcPr>
            <w:tcW w:w="3827"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3.2</w:t>
            </w:r>
            <w:r w:rsidR="00C1527F">
              <w:rPr>
                <w:rFonts w:ascii="Book Antiqua" w:hAnsi="Book Antiqua" w:cstheme="majorBidi"/>
                <w:color w:val="auto"/>
                <w:sz w:val="24"/>
                <w:szCs w:val="24"/>
                <w:lang w:val="en-GB"/>
              </w:rPr>
              <w:t xml:space="preserve"> </w:t>
            </w:r>
            <w:r w:rsidR="00C1527F" w:rsidRPr="005F51B8">
              <w:rPr>
                <w:rFonts w:ascii="Book Antiqua" w:hAnsi="Book Antiqua" w:cstheme="majorBidi"/>
                <w:color w:val="auto"/>
                <w:sz w:val="24"/>
                <w:szCs w:val="24"/>
                <w:lang w:val="en-GB"/>
              </w:rPr>
              <w:t>mo</w:t>
            </w:r>
            <w:r w:rsidR="00C1527F" w:rsidRPr="005F51B8">
              <w:rPr>
                <w:rFonts w:ascii="Book Antiqua" w:hAnsi="Book Antiqua" w:cstheme="majorBidi"/>
                <w:i/>
                <w:color w:val="auto"/>
                <w:sz w:val="24"/>
                <w:szCs w:val="24"/>
                <w:lang w:val="en-GB"/>
              </w:rPr>
              <w:t xml:space="preserve"> </w:t>
            </w:r>
            <w:r w:rsidRPr="005F51B8">
              <w:rPr>
                <w:rFonts w:ascii="Book Antiqua" w:hAnsi="Book Antiqua" w:cstheme="majorBidi"/>
                <w:i/>
                <w:color w:val="auto"/>
                <w:sz w:val="24"/>
                <w:szCs w:val="24"/>
                <w:lang w:val="en-GB"/>
              </w:rPr>
              <w:t>vs</w:t>
            </w:r>
            <w:r w:rsidR="00C1527F">
              <w:rPr>
                <w:rFonts w:ascii="Book Antiqua" w:hAnsi="Book Antiqua" w:cstheme="majorBidi"/>
                <w:color w:val="auto"/>
                <w:sz w:val="24"/>
                <w:szCs w:val="24"/>
                <w:lang w:val="en-GB"/>
              </w:rPr>
              <w:t xml:space="preserve"> </w:t>
            </w:r>
            <w:r w:rsidRPr="005F51B8">
              <w:rPr>
                <w:rFonts w:ascii="Book Antiqua" w:hAnsi="Book Antiqua" w:cstheme="majorBidi"/>
                <w:color w:val="auto"/>
                <w:sz w:val="24"/>
                <w:szCs w:val="24"/>
                <w:lang w:val="en-GB"/>
              </w:rPr>
              <w:t>4.0 mo,</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p</w:t>
            </w:r>
            <w:r w:rsidR="00C1527F">
              <w:rPr>
                <w:rFonts w:ascii="Book Antiqua" w:hAnsi="Book Antiqua" w:cstheme="majorBidi"/>
                <w:i/>
                <w:caps/>
                <w:color w:val="auto"/>
                <w:sz w:val="24"/>
                <w:szCs w:val="24"/>
                <w:lang w:val="en-GB"/>
              </w:rPr>
              <w:t xml:space="preserve"> </w:t>
            </w:r>
            <w:r w:rsidRPr="005F51B8">
              <w:rPr>
                <w:rFonts w:ascii="Book Antiqua" w:hAnsi="Book Antiqua" w:cstheme="majorBidi"/>
                <w:color w:val="auto"/>
                <w:sz w:val="24"/>
                <w:szCs w:val="24"/>
                <w:lang w:val="en-GB"/>
              </w:rPr>
              <w:t>= NS;</w:t>
            </w:r>
          </w:p>
          <w:p w:rsidR="005F51B8" w:rsidRPr="005F51B8" w:rsidRDefault="005F51B8" w:rsidP="005F5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HR</w:t>
            </w:r>
            <w:r w:rsidR="00C1527F">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 xml:space="preserve"> 1.135;</w:t>
            </w:r>
            <w:r w:rsidR="00C1527F">
              <w:rPr>
                <w:rFonts w:ascii="Book Antiqua" w:hAnsi="Book Antiqua" w:cstheme="majorBidi"/>
                <w:color w:val="auto"/>
                <w:sz w:val="24"/>
                <w:szCs w:val="24"/>
                <w:lang w:val="en-GB"/>
              </w:rPr>
              <w:t xml:space="preserve"> </w:t>
            </w:r>
            <w:r w:rsidRPr="005F51B8">
              <w:rPr>
                <w:rFonts w:ascii="Book Antiqua" w:hAnsi="Book Antiqua" w:cstheme="majorBidi"/>
                <w:i/>
                <w:caps/>
                <w:color w:val="auto"/>
                <w:sz w:val="24"/>
                <w:szCs w:val="24"/>
                <w:lang w:val="en-GB"/>
              </w:rPr>
              <w:t>p</w:t>
            </w:r>
            <w:r>
              <w:rPr>
                <w:rFonts w:ascii="Book Antiqua" w:hAnsi="Book Antiqua" w:cstheme="majorBidi" w:hint="eastAsia"/>
                <w:i/>
                <w:caps/>
                <w:color w:val="auto"/>
                <w:sz w:val="24"/>
                <w:szCs w:val="24"/>
                <w:lang w:val="en-GB" w:eastAsia="zh-CN"/>
              </w:rPr>
              <w:t xml:space="preserve"> </w:t>
            </w:r>
            <w:r w:rsidRPr="005F51B8">
              <w:rPr>
                <w:rFonts w:ascii="Book Antiqua" w:hAnsi="Book Antiqua" w:cstheme="majorBidi"/>
                <w:color w:val="auto"/>
                <w:sz w:val="24"/>
                <w:szCs w:val="24"/>
                <w:lang w:val="en-GB"/>
              </w:rPr>
              <w:t>=</w:t>
            </w:r>
            <w:r>
              <w:rPr>
                <w:rFonts w:ascii="Book Antiqua" w:hAnsi="Book Antiqua" w:cstheme="majorBidi" w:hint="eastAsia"/>
                <w:color w:val="auto"/>
                <w:sz w:val="24"/>
                <w:szCs w:val="24"/>
                <w:lang w:val="en-GB" w:eastAsia="zh-CN"/>
              </w:rPr>
              <w:t xml:space="preserve"> </w:t>
            </w:r>
            <w:r w:rsidRPr="005F51B8">
              <w:rPr>
                <w:rFonts w:ascii="Book Antiqua" w:hAnsi="Book Antiqua" w:cstheme="majorBidi"/>
                <w:color w:val="auto"/>
                <w:sz w:val="24"/>
                <w:szCs w:val="24"/>
                <w:lang w:val="en-GB"/>
              </w:rPr>
              <w:t>0.18</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shd w:val="clear" w:color="auto" w:fill="auto"/>
          </w:tcPr>
          <w:p w:rsidR="005F51B8" w:rsidRPr="005F51B8" w:rsidRDefault="005F51B8" w:rsidP="005F51B8">
            <w:pPr>
              <w:spacing w:line="360" w:lineRule="auto"/>
              <w:jc w:val="center"/>
              <w:rPr>
                <w:rFonts w:ascii="Book Antiqua" w:hAnsi="Book Antiqua" w:cstheme="majorBidi"/>
                <w:color w:val="auto"/>
                <w:sz w:val="24"/>
                <w:szCs w:val="24"/>
                <w:lang w:val="en-GB"/>
              </w:rPr>
            </w:pPr>
            <w:r w:rsidRPr="005F51B8">
              <w:rPr>
                <w:rFonts w:ascii="Book Antiqua" w:hAnsi="Book Antiqua" w:cstheme="majorBidi"/>
                <w:color w:val="auto"/>
                <w:sz w:val="24"/>
                <w:szCs w:val="24"/>
                <w:lang w:val="en-GB"/>
              </w:rPr>
              <w:t>[36]</w:t>
            </w:r>
          </w:p>
        </w:tc>
      </w:tr>
    </w:tbl>
    <w:p w:rsidR="005F51B8" w:rsidRPr="005F51B8" w:rsidRDefault="005F51B8" w:rsidP="005F51B8">
      <w:pPr>
        <w:spacing w:line="360" w:lineRule="auto"/>
        <w:jc w:val="both"/>
        <w:rPr>
          <w:rFonts w:ascii="Book Antiqua" w:hAnsi="Book Antiqua" w:cstheme="majorBidi"/>
          <w:b/>
          <w:color w:val="auto"/>
          <w:lang w:val="en-GB" w:eastAsia="zh-CN"/>
        </w:rPr>
      </w:pPr>
      <w:r w:rsidRPr="005F51B8">
        <w:rPr>
          <w:rFonts w:ascii="Book Antiqua" w:hAnsi="Book Antiqua" w:cstheme="majorBidi"/>
          <w:b/>
          <w:bCs/>
          <w:color w:val="auto"/>
          <w:lang w:val="en-GB"/>
        </w:rPr>
        <w:t>Table 2</w:t>
      </w:r>
      <w:r w:rsidRPr="005F51B8">
        <w:rPr>
          <w:rFonts w:ascii="Book Antiqua" w:hAnsi="Book Antiqua" w:cstheme="majorBidi" w:hint="eastAsia"/>
          <w:b/>
          <w:bCs/>
          <w:color w:val="auto"/>
          <w:lang w:val="en-GB" w:eastAsia="zh-CN"/>
        </w:rPr>
        <w:t xml:space="preserve"> </w:t>
      </w:r>
      <w:r w:rsidRPr="005F51B8">
        <w:rPr>
          <w:rFonts w:ascii="Book Antiqua" w:hAnsi="Book Antiqua" w:cstheme="majorBidi"/>
          <w:b/>
          <w:bCs/>
          <w:color w:val="auto"/>
          <w:lang w:val="en-GB"/>
        </w:rPr>
        <w:t>Results of studies with molecular targeted therapies as first line in advanced hepatocellular carcinoma</w:t>
      </w:r>
    </w:p>
    <w:p w:rsidR="001F2C9C" w:rsidRPr="005F51B8" w:rsidRDefault="001F2C9C" w:rsidP="009352FD">
      <w:pPr>
        <w:spacing w:line="360" w:lineRule="auto"/>
        <w:jc w:val="both"/>
        <w:rPr>
          <w:rFonts w:ascii="Book Antiqua" w:hAnsi="Book Antiqua" w:cstheme="majorBidi"/>
          <w:color w:val="auto"/>
          <w:sz w:val="20"/>
          <w:szCs w:val="20"/>
          <w:lang w:val="en-GB"/>
        </w:rPr>
      </w:pPr>
    </w:p>
    <w:p w:rsidR="001F2C9C" w:rsidRPr="00B01FC5" w:rsidRDefault="001F2C9C" w:rsidP="009352FD">
      <w:pPr>
        <w:autoSpaceDE w:val="0"/>
        <w:autoSpaceDN w:val="0"/>
        <w:adjustRightInd w:val="0"/>
        <w:spacing w:line="360" w:lineRule="auto"/>
        <w:jc w:val="both"/>
        <w:rPr>
          <w:rFonts w:ascii="Book Antiqua" w:hAnsi="Book Antiqua" w:cstheme="majorBidi"/>
          <w:color w:val="auto"/>
          <w:sz w:val="20"/>
          <w:szCs w:val="20"/>
          <w:lang w:val="en-GB"/>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5F51B8" w:rsidRDefault="005F51B8" w:rsidP="009352FD">
      <w:pPr>
        <w:autoSpaceDE w:val="0"/>
        <w:autoSpaceDN w:val="0"/>
        <w:adjustRightInd w:val="0"/>
        <w:spacing w:line="360" w:lineRule="auto"/>
        <w:jc w:val="both"/>
        <w:rPr>
          <w:rFonts w:ascii="Book Antiqua" w:hAnsi="Book Antiqua" w:cstheme="majorBidi"/>
          <w:color w:val="auto"/>
          <w:sz w:val="20"/>
          <w:szCs w:val="20"/>
          <w:lang w:val="en-GB" w:eastAsia="zh-CN"/>
        </w:rPr>
      </w:pPr>
    </w:p>
    <w:p w:rsidR="001F2C9C" w:rsidRPr="00B01FC5" w:rsidRDefault="001F2C9C" w:rsidP="009352FD">
      <w:pPr>
        <w:autoSpaceDE w:val="0"/>
        <w:autoSpaceDN w:val="0"/>
        <w:adjustRightInd w:val="0"/>
        <w:spacing w:line="360" w:lineRule="auto"/>
        <w:jc w:val="both"/>
        <w:rPr>
          <w:rFonts w:asciiTheme="majorBidi" w:hAnsiTheme="majorBidi" w:cstheme="majorBidi"/>
          <w:color w:val="auto"/>
          <w:lang w:val="en-GB"/>
        </w:rPr>
      </w:pPr>
    </w:p>
    <w:p w:rsidR="001F2C9C" w:rsidRPr="00B01FC5" w:rsidRDefault="001F2C9C" w:rsidP="009352FD">
      <w:pPr>
        <w:autoSpaceDE w:val="0"/>
        <w:autoSpaceDN w:val="0"/>
        <w:adjustRightInd w:val="0"/>
        <w:spacing w:line="360" w:lineRule="auto"/>
        <w:jc w:val="both"/>
        <w:rPr>
          <w:rFonts w:asciiTheme="majorBidi" w:hAnsiTheme="majorBidi" w:cstheme="majorBidi"/>
          <w:color w:val="auto"/>
          <w:lang w:val="en-GB"/>
        </w:rPr>
      </w:pPr>
    </w:p>
    <w:p w:rsidR="001F2C9C" w:rsidRPr="00B01FC5" w:rsidRDefault="001F2C9C" w:rsidP="009352FD">
      <w:pPr>
        <w:autoSpaceDE w:val="0"/>
        <w:autoSpaceDN w:val="0"/>
        <w:adjustRightInd w:val="0"/>
        <w:spacing w:line="360" w:lineRule="auto"/>
        <w:jc w:val="both"/>
        <w:rPr>
          <w:rFonts w:asciiTheme="majorBidi" w:hAnsiTheme="majorBidi" w:cstheme="majorBidi"/>
          <w:color w:val="auto"/>
          <w:lang w:val="en-GB"/>
        </w:rPr>
      </w:pPr>
    </w:p>
    <w:p w:rsidR="005F51B8" w:rsidRDefault="005F51B8" w:rsidP="005F51B8">
      <w:pPr>
        <w:autoSpaceDE w:val="0"/>
        <w:autoSpaceDN w:val="0"/>
        <w:adjustRightInd w:val="0"/>
        <w:spacing w:line="360" w:lineRule="auto"/>
        <w:jc w:val="both"/>
        <w:rPr>
          <w:rFonts w:ascii="Book Antiqua" w:hAnsi="Book Antiqua" w:cstheme="majorBidi"/>
          <w:color w:val="auto"/>
          <w:lang w:val="en-GB" w:eastAsia="zh-CN"/>
        </w:rPr>
      </w:pPr>
      <w:r w:rsidRPr="005F51B8">
        <w:rPr>
          <w:rFonts w:ascii="Book Antiqua" w:hAnsi="Book Antiqua" w:cstheme="majorBidi"/>
          <w:color w:val="auto"/>
          <w:lang w:val="en-GB"/>
        </w:rPr>
        <w:t xml:space="preserve">OS: </w:t>
      </w:r>
      <w:r w:rsidRPr="005F51B8">
        <w:rPr>
          <w:rFonts w:ascii="Book Antiqua" w:hAnsi="Book Antiqua" w:cstheme="majorBidi"/>
          <w:caps/>
          <w:color w:val="auto"/>
          <w:lang w:val="en-GB"/>
        </w:rPr>
        <w:t>o</w:t>
      </w:r>
      <w:r w:rsidRPr="005F51B8">
        <w:rPr>
          <w:rFonts w:ascii="Book Antiqua" w:hAnsi="Book Antiqua" w:cstheme="majorBidi"/>
          <w:color w:val="auto"/>
          <w:lang w:val="en-GB"/>
        </w:rPr>
        <w:t xml:space="preserve">verall survival; PFS: </w:t>
      </w:r>
      <w:r w:rsidRPr="005F51B8">
        <w:rPr>
          <w:rFonts w:ascii="Book Antiqua" w:hAnsi="Book Antiqua" w:cstheme="majorBidi"/>
          <w:caps/>
          <w:color w:val="auto"/>
          <w:lang w:val="en-GB"/>
        </w:rPr>
        <w:t>p</w:t>
      </w:r>
      <w:r w:rsidRPr="005F51B8">
        <w:rPr>
          <w:rFonts w:ascii="Book Antiqua" w:hAnsi="Book Antiqua" w:cstheme="majorBidi"/>
          <w:color w:val="auto"/>
          <w:lang w:val="en-GB"/>
        </w:rPr>
        <w:t xml:space="preserve">rogression-free survival; TTP: </w:t>
      </w:r>
      <w:r w:rsidRPr="005F51B8">
        <w:rPr>
          <w:rFonts w:ascii="Book Antiqua" w:hAnsi="Book Antiqua" w:cstheme="majorBidi"/>
          <w:caps/>
          <w:color w:val="auto"/>
          <w:lang w:val="en-GB"/>
        </w:rPr>
        <w:t>t</w:t>
      </w:r>
      <w:r w:rsidRPr="005F51B8">
        <w:rPr>
          <w:rFonts w:ascii="Book Antiqua" w:hAnsi="Book Antiqua" w:cstheme="majorBidi"/>
          <w:color w:val="auto"/>
          <w:lang w:val="en-GB"/>
        </w:rPr>
        <w:t xml:space="preserve">ime to progression; CI: </w:t>
      </w:r>
      <w:r w:rsidRPr="005F51B8">
        <w:rPr>
          <w:rFonts w:ascii="Book Antiqua" w:hAnsi="Book Antiqua" w:cstheme="majorBidi"/>
          <w:caps/>
          <w:color w:val="auto"/>
          <w:lang w:val="en-GB"/>
        </w:rPr>
        <w:t>c</w:t>
      </w:r>
      <w:r w:rsidRPr="005F51B8">
        <w:rPr>
          <w:rFonts w:ascii="Book Antiqua" w:hAnsi="Book Antiqua" w:cstheme="majorBidi"/>
          <w:color w:val="auto"/>
          <w:lang w:val="en-GB"/>
        </w:rPr>
        <w:t>on</w:t>
      </w:r>
      <w:r w:rsidRPr="005F51B8">
        <w:rPr>
          <w:rFonts w:ascii="Book Antiqua" w:hAnsi="Book Antiqua" w:cstheme="majorBidi"/>
          <w:color w:val="auto"/>
        </w:rPr>
        <w:t>ﬁ</w:t>
      </w:r>
      <w:r w:rsidRPr="005F51B8">
        <w:rPr>
          <w:rFonts w:ascii="Book Antiqua" w:hAnsi="Book Antiqua" w:cstheme="majorBidi"/>
          <w:color w:val="auto"/>
          <w:lang w:val="en-GB"/>
        </w:rPr>
        <w:t xml:space="preserve">dence interval; HR: </w:t>
      </w:r>
      <w:r w:rsidRPr="005F51B8">
        <w:rPr>
          <w:rFonts w:ascii="Book Antiqua" w:hAnsi="Book Antiqua" w:cstheme="majorBidi"/>
          <w:caps/>
          <w:color w:val="auto"/>
          <w:lang w:val="en-GB"/>
        </w:rPr>
        <w:t>h</w:t>
      </w:r>
      <w:r w:rsidRPr="005F51B8">
        <w:rPr>
          <w:rFonts w:ascii="Book Antiqua" w:hAnsi="Book Antiqua" w:cstheme="majorBidi"/>
          <w:color w:val="auto"/>
          <w:lang w:val="en-GB"/>
        </w:rPr>
        <w:t xml:space="preserve">azard ratio; NS: </w:t>
      </w:r>
      <w:r w:rsidRPr="005F51B8">
        <w:rPr>
          <w:rFonts w:ascii="Book Antiqua" w:hAnsi="Book Antiqua" w:cstheme="majorBidi"/>
          <w:caps/>
          <w:color w:val="auto"/>
          <w:lang w:val="en-GB"/>
        </w:rPr>
        <w:t>n</w:t>
      </w:r>
      <w:r w:rsidRPr="005F51B8">
        <w:rPr>
          <w:rFonts w:ascii="Book Antiqua" w:hAnsi="Book Antiqua" w:cstheme="majorBidi"/>
          <w:color w:val="auto"/>
          <w:lang w:val="en-GB"/>
        </w:rPr>
        <w:t>ot significant</w:t>
      </w:r>
      <w:r>
        <w:rPr>
          <w:rFonts w:ascii="Book Antiqua" w:hAnsi="Book Antiqua" w:cstheme="majorBidi" w:hint="eastAsia"/>
          <w:color w:val="auto"/>
          <w:lang w:val="en-GB" w:eastAsia="zh-CN"/>
        </w:rPr>
        <w:t>.</w:t>
      </w:r>
    </w:p>
    <w:p w:rsidR="005F51B8" w:rsidRPr="00C1527F" w:rsidRDefault="005F51B8" w:rsidP="005F51B8">
      <w:pPr>
        <w:autoSpaceDE w:val="0"/>
        <w:autoSpaceDN w:val="0"/>
        <w:adjustRightInd w:val="0"/>
        <w:spacing w:line="360" w:lineRule="auto"/>
        <w:jc w:val="both"/>
        <w:rPr>
          <w:rFonts w:ascii="Book Antiqua" w:hAnsi="Book Antiqua" w:cstheme="majorBidi"/>
          <w:color w:val="auto"/>
          <w:lang w:val="en-GB" w:eastAsia="zh-CN"/>
        </w:rPr>
      </w:pPr>
    </w:p>
    <w:p w:rsidR="001F2C9C" w:rsidRPr="005F51B8" w:rsidRDefault="001F2C9C" w:rsidP="005F51B8">
      <w:pPr>
        <w:autoSpaceDE w:val="0"/>
        <w:autoSpaceDN w:val="0"/>
        <w:adjustRightInd w:val="0"/>
        <w:spacing w:line="360" w:lineRule="auto"/>
        <w:jc w:val="both"/>
        <w:rPr>
          <w:rFonts w:ascii="Book Antiqua" w:hAnsi="Book Antiqua" w:cstheme="majorBidi"/>
          <w:color w:val="auto"/>
          <w:lang w:val="en-GB" w:eastAsia="zh-CN"/>
        </w:rPr>
        <w:sectPr w:rsidR="001F2C9C" w:rsidRPr="005F51B8" w:rsidSect="001F2C9C">
          <w:pgSz w:w="16840" w:h="11900" w:orient="landscape"/>
          <w:pgMar w:top="1134" w:right="1417" w:bottom="1134" w:left="1134" w:header="708" w:footer="708" w:gutter="0"/>
          <w:cols w:space="708"/>
          <w:docGrid w:linePitch="326"/>
        </w:sectPr>
      </w:pPr>
    </w:p>
    <w:p w:rsidR="00C40AE6" w:rsidRPr="00C1527F" w:rsidRDefault="00C40AE6" w:rsidP="009352FD">
      <w:pPr>
        <w:spacing w:line="360" w:lineRule="auto"/>
        <w:jc w:val="both"/>
        <w:rPr>
          <w:rFonts w:asciiTheme="majorBidi" w:hAnsiTheme="majorBidi" w:cstheme="majorBidi"/>
          <w:b/>
          <w:color w:val="auto"/>
          <w:lang w:val="en-GB" w:eastAsia="zh-CN"/>
        </w:rPr>
      </w:pPr>
      <w:r w:rsidRPr="00C1527F">
        <w:rPr>
          <w:rFonts w:ascii="Book Antiqua" w:hAnsi="Book Antiqua" w:cstheme="majorBidi"/>
          <w:b/>
          <w:bCs/>
          <w:color w:val="auto"/>
          <w:lang w:val="en-GB"/>
        </w:rPr>
        <w:lastRenderedPageBreak/>
        <w:t>Table 3</w:t>
      </w:r>
      <w:r w:rsidR="00C1527F">
        <w:rPr>
          <w:rFonts w:ascii="Book Antiqua" w:hAnsi="Book Antiqua" w:cstheme="majorBidi" w:hint="eastAsia"/>
          <w:b/>
          <w:bCs/>
          <w:color w:val="auto"/>
          <w:lang w:val="en-GB" w:eastAsia="zh-CN"/>
        </w:rPr>
        <w:t xml:space="preserve"> </w:t>
      </w:r>
      <w:r w:rsidRPr="00C1527F">
        <w:rPr>
          <w:rFonts w:ascii="Book Antiqua" w:hAnsi="Book Antiqua" w:cstheme="majorBidi"/>
          <w:b/>
          <w:bCs/>
          <w:color w:val="auto"/>
          <w:lang w:val="en-GB"/>
        </w:rPr>
        <w:t>Results of studies with molecular targeted therapies as second line in ad</w:t>
      </w:r>
      <w:r w:rsidR="00C1527F" w:rsidRPr="00C1527F">
        <w:rPr>
          <w:rFonts w:ascii="Book Antiqua" w:hAnsi="Book Antiqua" w:cstheme="majorBidi"/>
          <w:b/>
          <w:bCs/>
          <w:color w:val="auto"/>
          <w:lang w:val="en-GB"/>
        </w:rPr>
        <w:t>vanced hepatocellular carcinoma</w:t>
      </w:r>
    </w:p>
    <w:tbl>
      <w:tblPr>
        <w:tblStyle w:val="LightGrid-Accent5"/>
        <w:tblW w:w="11267" w:type="dxa"/>
        <w:tblInd w:w="-601"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53"/>
        <w:gridCol w:w="2634"/>
        <w:gridCol w:w="3062"/>
        <w:gridCol w:w="2940"/>
        <w:gridCol w:w="878"/>
      </w:tblGrid>
      <w:tr w:rsidR="00B01FC5" w:rsidRPr="00C1527F" w:rsidTr="00C1527F">
        <w:trPr>
          <w:cnfStyle w:val="000000100000" w:firstRow="0" w:lastRow="0" w:firstColumn="0" w:lastColumn="0" w:oddVBand="0" w:evenVBand="0" w:oddHBand="1"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1753" w:type="dxa"/>
            <w:tcBorders>
              <w:left w:val="none" w:sz="0" w:space="0" w:color="auto"/>
              <w:right w:val="none" w:sz="0" w:space="0" w:color="auto"/>
            </w:tcBorders>
            <w:shd w:val="clear" w:color="auto" w:fill="auto"/>
          </w:tcPr>
          <w:p w:rsidR="001F2C9C" w:rsidRPr="00C1527F" w:rsidRDefault="001F2C9C" w:rsidP="00C1527F">
            <w:pPr>
              <w:spacing w:line="360" w:lineRule="auto"/>
              <w:rPr>
                <w:rFonts w:ascii="Book Antiqua" w:hAnsi="Book Antiqua" w:cstheme="majorBidi"/>
                <w:b/>
                <w:color w:val="auto"/>
                <w:sz w:val="24"/>
                <w:szCs w:val="24"/>
              </w:rPr>
            </w:pPr>
            <w:r w:rsidRPr="00C1527F">
              <w:rPr>
                <w:rFonts w:ascii="Book Antiqua" w:hAnsi="Book Antiqua" w:cstheme="majorBidi"/>
                <w:b/>
                <w:color w:val="auto"/>
                <w:sz w:val="24"/>
                <w:szCs w:val="24"/>
              </w:rPr>
              <w:t xml:space="preserve">Treatment </w:t>
            </w:r>
          </w:p>
        </w:tc>
        <w:tc>
          <w:tcPr>
            <w:tcW w:w="2634" w:type="dxa"/>
            <w:tcBorders>
              <w:left w:val="none" w:sz="0" w:space="0" w:color="auto"/>
              <w:right w:val="none" w:sz="0" w:space="0" w:color="auto"/>
            </w:tcBorders>
            <w:shd w:val="clear" w:color="auto" w:fill="auto"/>
          </w:tcPr>
          <w:p w:rsidR="001F2C9C" w:rsidRPr="00C1527F" w:rsidRDefault="001F2C9C" w:rsidP="00C1527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
                <w:color w:val="auto"/>
                <w:sz w:val="24"/>
                <w:szCs w:val="24"/>
              </w:rPr>
            </w:pPr>
            <w:r w:rsidRPr="00C1527F">
              <w:rPr>
                <w:rFonts w:ascii="Book Antiqua" w:hAnsi="Book Antiqua" w:cstheme="majorBidi"/>
                <w:b/>
                <w:color w:val="auto"/>
                <w:sz w:val="24"/>
                <w:szCs w:val="24"/>
              </w:rPr>
              <w:t>Trial</w:t>
            </w:r>
          </w:p>
        </w:tc>
        <w:tc>
          <w:tcPr>
            <w:cnfStyle w:val="000010000000" w:firstRow="0" w:lastRow="0" w:firstColumn="0" w:lastColumn="0" w:oddVBand="1" w:evenVBand="0" w:oddHBand="0" w:evenHBand="0" w:firstRowFirstColumn="0" w:firstRowLastColumn="0" w:lastRowFirstColumn="0" w:lastRowLastColumn="0"/>
            <w:tcW w:w="3062" w:type="dxa"/>
            <w:tcBorders>
              <w:left w:val="none" w:sz="0" w:space="0" w:color="auto"/>
              <w:right w:val="none" w:sz="0" w:space="0" w:color="auto"/>
            </w:tcBorders>
            <w:shd w:val="clear" w:color="auto" w:fill="auto"/>
          </w:tcPr>
          <w:p w:rsidR="001F2C9C" w:rsidRPr="00C1527F" w:rsidRDefault="001F2C9C" w:rsidP="00C1527F">
            <w:pPr>
              <w:spacing w:line="360" w:lineRule="auto"/>
              <w:jc w:val="center"/>
              <w:rPr>
                <w:rFonts w:ascii="Book Antiqua" w:hAnsi="Book Antiqua" w:cstheme="majorBidi"/>
                <w:b/>
                <w:color w:val="auto"/>
                <w:sz w:val="24"/>
                <w:szCs w:val="24"/>
                <w:lang w:val="en-GB"/>
              </w:rPr>
            </w:pPr>
            <w:r w:rsidRPr="00C1527F">
              <w:rPr>
                <w:rFonts w:ascii="Book Antiqua" w:hAnsi="Book Antiqua" w:cstheme="majorBidi"/>
                <w:b/>
                <w:color w:val="auto"/>
                <w:sz w:val="24"/>
                <w:szCs w:val="24"/>
                <w:lang w:val="en-GB"/>
              </w:rPr>
              <w:t>OS (mo)</w:t>
            </w:r>
          </w:p>
        </w:tc>
        <w:tc>
          <w:tcPr>
            <w:tcW w:w="2940" w:type="dxa"/>
            <w:tcBorders>
              <w:left w:val="none" w:sz="0" w:space="0" w:color="auto"/>
              <w:right w:val="none" w:sz="0" w:space="0" w:color="auto"/>
            </w:tcBorders>
            <w:shd w:val="clear" w:color="auto" w:fill="auto"/>
          </w:tcPr>
          <w:p w:rsidR="001F2C9C" w:rsidRPr="00C1527F" w:rsidRDefault="001F2C9C" w:rsidP="00C1527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
                <w:color w:val="auto"/>
                <w:sz w:val="24"/>
                <w:szCs w:val="24"/>
                <w:lang w:val="en-GB"/>
              </w:rPr>
            </w:pPr>
            <w:r w:rsidRPr="00C1527F">
              <w:rPr>
                <w:rFonts w:ascii="Book Antiqua" w:hAnsi="Book Antiqua" w:cstheme="majorBidi"/>
                <w:b/>
                <w:color w:val="auto"/>
                <w:sz w:val="24"/>
                <w:szCs w:val="24"/>
                <w:lang w:val="en-GB"/>
              </w:rPr>
              <w:t>TTP/PFS</w:t>
            </w:r>
            <w:r w:rsidR="00C1527F">
              <w:rPr>
                <w:rFonts w:ascii="Book Antiqua" w:hAnsi="Book Antiqua" w:cstheme="majorBidi" w:hint="eastAsia"/>
                <w:b/>
                <w:color w:val="auto"/>
                <w:sz w:val="24"/>
                <w:szCs w:val="24"/>
                <w:lang w:val="en-GB" w:eastAsia="zh-CN"/>
              </w:rPr>
              <w:t xml:space="preserve"> </w:t>
            </w:r>
            <w:r w:rsidRPr="00C1527F">
              <w:rPr>
                <w:rFonts w:ascii="Book Antiqua" w:hAnsi="Book Antiqua" w:cstheme="majorBidi"/>
                <w:b/>
                <w:color w:val="auto"/>
                <w:sz w:val="24"/>
                <w:szCs w:val="24"/>
                <w:lang w:val="en-GB"/>
              </w:rPr>
              <w:t>(mo)</w:t>
            </w:r>
          </w:p>
        </w:tc>
        <w:tc>
          <w:tcPr>
            <w:cnfStyle w:val="000010000000" w:firstRow="0" w:lastRow="0" w:firstColumn="0" w:lastColumn="0" w:oddVBand="1" w:evenVBand="0" w:oddHBand="0" w:evenHBand="0" w:firstRowFirstColumn="0" w:firstRowLastColumn="0" w:lastRowFirstColumn="0" w:lastRowLastColumn="0"/>
            <w:tcW w:w="878" w:type="dxa"/>
            <w:tcBorders>
              <w:left w:val="none" w:sz="0" w:space="0" w:color="auto"/>
              <w:right w:val="none" w:sz="0" w:space="0" w:color="auto"/>
            </w:tcBorders>
            <w:shd w:val="clear" w:color="auto" w:fill="auto"/>
          </w:tcPr>
          <w:p w:rsidR="001F2C9C" w:rsidRPr="00C1527F" w:rsidRDefault="001F2C9C" w:rsidP="00C1527F">
            <w:pPr>
              <w:autoSpaceDE w:val="0"/>
              <w:autoSpaceDN w:val="0"/>
              <w:adjustRightInd w:val="0"/>
              <w:spacing w:line="360" w:lineRule="auto"/>
              <w:jc w:val="center"/>
              <w:rPr>
                <w:rFonts w:ascii="Book Antiqua" w:hAnsi="Book Antiqua" w:cstheme="majorBidi"/>
                <w:b/>
                <w:color w:val="auto"/>
                <w:sz w:val="24"/>
                <w:szCs w:val="24"/>
              </w:rPr>
            </w:pPr>
            <w:r w:rsidRPr="00C1527F">
              <w:rPr>
                <w:rFonts w:ascii="Book Antiqua" w:hAnsi="Book Antiqua" w:cstheme="majorBidi"/>
                <w:b/>
                <w:color w:val="auto"/>
                <w:sz w:val="24"/>
                <w:szCs w:val="24"/>
              </w:rPr>
              <w:t>Ref.</w:t>
            </w:r>
          </w:p>
        </w:tc>
      </w:tr>
      <w:tr w:rsidR="00B01FC5" w:rsidRPr="00C1527F" w:rsidTr="00C1527F">
        <w:trPr>
          <w:cnfStyle w:val="000000010000" w:firstRow="0" w:lastRow="0" w:firstColumn="0" w:lastColumn="0" w:oddVBand="0" w:evenVBand="0" w:oddHBand="0" w:evenHBand="1"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1753" w:type="dxa"/>
            <w:tcBorders>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rPr>
                <w:rFonts w:ascii="Book Antiqua" w:hAnsi="Book Antiqua" w:cstheme="majorBidi"/>
                <w:color w:val="auto"/>
                <w:sz w:val="24"/>
                <w:szCs w:val="24"/>
                <w:lang w:val="en-GB"/>
              </w:rPr>
            </w:pPr>
            <w:r w:rsidRPr="00C1527F">
              <w:rPr>
                <w:rFonts w:ascii="Book Antiqua" w:hAnsi="Book Antiqua" w:cstheme="majorBidi"/>
                <w:color w:val="auto"/>
                <w:sz w:val="24"/>
                <w:szCs w:val="24"/>
                <w:lang w:val="en-GB"/>
              </w:rPr>
              <w:t>Brivanib</w:t>
            </w:r>
          </w:p>
        </w:tc>
        <w:tc>
          <w:tcPr>
            <w:tcW w:w="2634" w:type="dxa"/>
            <w:tcBorders>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C1527F">
              <w:rPr>
                <w:rFonts w:ascii="Book Antiqua" w:hAnsi="Book Antiqua" w:cstheme="majorBidi"/>
                <w:color w:val="auto"/>
                <w:sz w:val="24"/>
                <w:szCs w:val="24"/>
                <w:lang w:val="en-GB"/>
              </w:rPr>
              <w:t xml:space="preserve">Brivanib </w:t>
            </w:r>
            <w:r w:rsidR="00C1527F" w:rsidRPr="00C1527F">
              <w:rPr>
                <w:rFonts w:ascii="Book Antiqua" w:hAnsi="Book Antiqua" w:cstheme="majorBidi"/>
                <w:i/>
                <w:color w:val="auto"/>
                <w:sz w:val="24"/>
                <w:szCs w:val="24"/>
                <w:lang w:val="en-US"/>
              </w:rPr>
              <w:t>vs</w:t>
            </w:r>
            <w:r w:rsidRPr="00C1527F">
              <w:rPr>
                <w:rFonts w:ascii="Book Antiqua" w:hAnsi="Book Antiqua" w:cstheme="majorBidi"/>
                <w:color w:val="auto"/>
                <w:sz w:val="24"/>
                <w:szCs w:val="24"/>
                <w:lang w:val="en-GB"/>
              </w:rPr>
              <w:t xml:space="preserve"> placebo</w:t>
            </w:r>
          </w:p>
          <w:p w:rsidR="001F2C9C" w:rsidRPr="00C1527F" w:rsidRDefault="001F2C9C" w:rsidP="00C1527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C1527F">
              <w:rPr>
                <w:rFonts w:ascii="Book Antiqua" w:hAnsi="Book Antiqua" w:cstheme="majorBidi"/>
                <w:color w:val="auto"/>
                <w:sz w:val="24"/>
                <w:szCs w:val="24"/>
                <w:lang w:val="en-GB"/>
              </w:rPr>
              <w:t>(BRISK-PS)</w:t>
            </w:r>
          </w:p>
        </w:tc>
        <w:tc>
          <w:tcPr>
            <w:cnfStyle w:val="000010000000" w:firstRow="0" w:lastRow="0" w:firstColumn="0" w:lastColumn="0" w:oddVBand="1" w:evenVBand="0" w:oddHBand="0" w:evenHBand="0" w:firstRowFirstColumn="0" w:firstRowLastColumn="0" w:lastRowFirstColumn="0" w:lastRowLastColumn="0"/>
            <w:tcW w:w="3062" w:type="dxa"/>
            <w:tcBorders>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rPr>
                <w:rFonts w:ascii="Book Antiqua" w:hAnsi="Book Antiqua" w:cstheme="majorBidi"/>
                <w:color w:val="auto"/>
                <w:sz w:val="24"/>
                <w:szCs w:val="24"/>
                <w:lang w:val="en-US"/>
              </w:rPr>
            </w:pPr>
            <w:r w:rsidRPr="00C1527F">
              <w:rPr>
                <w:rFonts w:ascii="Book Antiqua" w:hAnsi="Book Antiqua" w:cstheme="majorBidi"/>
                <w:color w:val="auto"/>
                <w:sz w:val="24"/>
                <w:szCs w:val="24"/>
                <w:lang w:val="en-US"/>
              </w:rPr>
              <w:t xml:space="preserve">9.4 </w:t>
            </w:r>
            <w:r w:rsidR="00C1527F" w:rsidRPr="00C1527F">
              <w:rPr>
                <w:rFonts w:ascii="Book Antiqua" w:hAnsi="Book Antiqua" w:cstheme="majorBidi"/>
                <w:color w:val="auto"/>
                <w:sz w:val="24"/>
                <w:szCs w:val="24"/>
                <w:lang w:val="en-US"/>
              </w:rPr>
              <w:t>mo</w:t>
            </w:r>
            <w:r w:rsidR="00C1527F" w:rsidRPr="00C1527F">
              <w:rPr>
                <w:rFonts w:ascii="Book Antiqua" w:hAnsi="Book Antiqua" w:cstheme="majorBidi"/>
                <w:i/>
                <w:color w:val="auto"/>
                <w:sz w:val="24"/>
                <w:szCs w:val="24"/>
                <w:lang w:val="en-US"/>
              </w:rPr>
              <w:t xml:space="preserve"> </w:t>
            </w:r>
            <w:r w:rsidRPr="00C1527F">
              <w:rPr>
                <w:rFonts w:ascii="Book Antiqua" w:hAnsi="Book Antiqua" w:cstheme="majorBidi"/>
                <w:i/>
                <w:color w:val="auto"/>
                <w:sz w:val="24"/>
                <w:szCs w:val="24"/>
                <w:lang w:val="en-US"/>
              </w:rPr>
              <w:t>vs</w:t>
            </w:r>
            <w:r w:rsidR="00C1527F">
              <w:rPr>
                <w:rFonts w:ascii="Book Antiqua" w:hAnsi="Book Antiqua" w:cstheme="majorBidi" w:hint="eastAsia"/>
                <w:color w:val="auto"/>
                <w:sz w:val="24"/>
                <w:szCs w:val="24"/>
                <w:lang w:val="en-US" w:eastAsia="zh-CN"/>
              </w:rPr>
              <w:t xml:space="preserve"> </w:t>
            </w:r>
            <w:r w:rsidRPr="00C1527F">
              <w:rPr>
                <w:rFonts w:ascii="Book Antiqua" w:hAnsi="Book Antiqua" w:cstheme="majorBidi"/>
                <w:color w:val="auto"/>
                <w:sz w:val="24"/>
                <w:szCs w:val="24"/>
                <w:lang w:val="en-US"/>
              </w:rPr>
              <w:t xml:space="preserve">8.2 mo, </w:t>
            </w:r>
            <w:r w:rsidRPr="00C1527F">
              <w:rPr>
                <w:rFonts w:ascii="Book Antiqua" w:hAnsi="Book Antiqua" w:cstheme="majorBidi"/>
                <w:i/>
                <w:caps/>
                <w:color w:val="auto"/>
                <w:sz w:val="24"/>
                <w:szCs w:val="24"/>
                <w:lang w:val="en-US"/>
              </w:rPr>
              <w:t>p</w:t>
            </w:r>
            <w:r w:rsidRPr="00C1527F">
              <w:rPr>
                <w:rFonts w:ascii="Book Antiqua" w:hAnsi="Book Antiqua" w:cstheme="majorBidi"/>
                <w:color w:val="auto"/>
                <w:sz w:val="24"/>
                <w:szCs w:val="24"/>
                <w:lang w:val="en-US"/>
              </w:rPr>
              <w:t xml:space="preserve"> = 0.3307</w:t>
            </w:r>
            <w:r w:rsidR="00655260" w:rsidRPr="00C1527F">
              <w:rPr>
                <w:rFonts w:ascii="Book Antiqua" w:hAnsi="Book Antiqua" w:cstheme="majorBidi"/>
                <w:color w:val="auto"/>
                <w:sz w:val="24"/>
                <w:szCs w:val="24"/>
                <w:lang w:val="en-US"/>
              </w:rPr>
              <w:t>;</w:t>
            </w:r>
          </w:p>
          <w:p w:rsidR="001F2C9C" w:rsidRPr="00C1527F" w:rsidRDefault="00C1527F" w:rsidP="00C1527F">
            <w:pPr>
              <w:autoSpaceDE w:val="0"/>
              <w:autoSpaceDN w:val="0"/>
              <w:adjustRightInd w:val="0"/>
              <w:spacing w:line="360" w:lineRule="auto"/>
              <w:jc w:val="center"/>
              <w:rPr>
                <w:rFonts w:ascii="Book Antiqua" w:hAnsi="Book Antiqua" w:cstheme="majorBidi"/>
                <w:color w:val="auto"/>
                <w:sz w:val="24"/>
                <w:szCs w:val="24"/>
                <w:lang w:val="en-US"/>
              </w:rPr>
            </w:pPr>
            <w:r>
              <w:rPr>
                <w:rFonts w:ascii="Book Antiqua" w:hAnsi="Book Antiqua" w:cstheme="majorBidi"/>
                <w:color w:val="auto"/>
                <w:sz w:val="24"/>
                <w:szCs w:val="24"/>
                <w:lang w:val="en-US"/>
              </w:rPr>
              <w:t>HR</w:t>
            </w:r>
            <w:r>
              <w:rPr>
                <w:rFonts w:ascii="Book Antiqua" w:hAnsi="Book Antiqua" w:cstheme="majorBidi" w:hint="eastAsia"/>
                <w:color w:val="auto"/>
                <w:sz w:val="24"/>
                <w:szCs w:val="24"/>
                <w:lang w:val="en-US" w:eastAsia="zh-CN"/>
              </w:rPr>
              <w:t xml:space="preserve"> =</w:t>
            </w:r>
            <w:r>
              <w:rPr>
                <w:rFonts w:ascii="Book Antiqua" w:hAnsi="Book Antiqua" w:cstheme="majorBidi"/>
                <w:color w:val="auto"/>
                <w:sz w:val="24"/>
                <w:szCs w:val="24"/>
                <w:lang w:val="en-US"/>
              </w:rPr>
              <w:t xml:space="preserve"> 0.89; 95%</w:t>
            </w:r>
            <w:r w:rsidR="001F2C9C" w:rsidRPr="00C1527F">
              <w:rPr>
                <w:rFonts w:ascii="Book Antiqua" w:hAnsi="Book Antiqua" w:cstheme="majorBidi"/>
                <w:color w:val="auto"/>
                <w:sz w:val="24"/>
                <w:szCs w:val="24"/>
                <w:lang w:val="en-US"/>
              </w:rPr>
              <w:t>CI: 0.69-1.15</w:t>
            </w:r>
          </w:p>
        </w:tc>
        <w:tc>
          <w:tcPr>
            <w:tcW w:w="2940" w:type="dxa"/>
            <w:tcBorders>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US"/>
              </w:rPr>
            </w:pPr>
            <w:r w:rsidRPr="00C1527F">
              <w:rPr>
                <w:rFonts w:ascii="Book Antiqua" w:hAnsi="Book Antiqua" w:cstheme="majorBidi"/>
                <w:color w:val="auto"/>
                <w:sz w:val="24"/>
                <w:szCs w:val="24"/>
                <w:lang w:val="en-US"/>
              </w:rPr>
              <w:t xml:space="preserve">4.2 </w:t>
            </w:r>
            <w:r w:rsidR="00C1527F" w:rsidRPr="00C1527F">
              <w:rPr>
                <w:rFonts w:ascii="Book Antiqua" w:hAnsi="Book Antiqua" w:cstheme="majorBidi"/>
                <w:color w:val="auto"/>
                <w:sz w:val="24"/>
                <w:szCs w:val="24"/>
                <w:lang w:val="en-US"/>
              </w:rPr>
              <w:t>mo</w:t>
            </w:r>
            <w:r w:rsidR="00C1527F" w:rsidRPr="00C1527F">
              <w:rPr>
                <w:rFonts w:ascii="Book Antiqua" w:hAnsi="Book Antiqua" w:cstheme="majorBidi"/>
                <w:i/>
                <w:color w:val="auto"/>
                <w:sz w:val="24"/>
                <w:szCs w:val="24"/>
                <w:lang w:val="en-US"/>
              </w:rPr>
              <w:t xml:space="preserve"> vs</w:t>
            </w:r>
            <w:r w:rsidRPr="00C1527F">
              <w:rPr>
                <w:rFonts w:ascii="Book Antiqua" w:hAnsi="Book Antiqua" w:cstheme="majorBidi"/>
                <w:color w:val="auto"/>
                <w:sz w:val="24"/>
                <w:szCs w:val="24"/>
                <w:lang w:val="en-US"/>
              </w:rPr>
              <w:t xml:space="preserve"> 2.7 mo, </w:t>
            </w:r>
            <w:r w:rsidR="00C1527F" w:rsidRPr="00C1527F">
              <w:rPr>
                <w:rFonts w:ascii="Book Antiqua" w:hAnsi="Book Antiqua" w:cstheme="majorBidi"/>
                <w:i/>
                <w:caps/>
                <w:color w:val="auto"/>
                <w:sz w:val="24"/>
                <w:szCs w:val="24"/>
                <w:lang w:val="en-US"/>
              </w:rPr>
              <w:t>p</w:t>
            </w:r>
            <w:r w:rsidRPr="00C1527F">
              <w:rPr>
                <w:rFonts w:ascii="Book Antiqua" w:hAnsi="Book Antiqua" w:cstheme="majorBidi"/>
                <w:color w:val="auto"/>
                <w:sz w:val="24"/>
                <w:szCs w:val="24"/>
                <w:lang w:val="en-US"/>
              </w:rPr>
              <w:t xml:space="preserve"> &lt;</w:t>
            </w:r>
            <w:r w:rsidR="00C1527F">
              <w:rPr>
                <w:rFonts w:ascii="Book Antiqua" w:hAnsi="Book Antiqua" w:cstheme="majorBidi" w:hint="eastAsia"/>
                <w:color w:val="auto"/>
                <w:sz w:val="24"/>
                <w:szCs w:val="24"/>
                <w:lang w:val="en-US" w:eastAsia="zh-CN"/>
              </w:rPr>
              <w:t xml:space="preserve"> </w:t>
            </w:r>
            <w:r w:rsidRPr="00C1527F">
              <w:rPr>
                <w:rFonts w:ascii="Book Antiqua" w:hAnsi="Book Antiqua" w:cstheme="majorBidi"/>
                <w:color w:val="auto"/>
                <w:sz w:val="24"/>
                <w:szCs w:val="24"/>
                <w:lang w:val="en-US"/>
              </w:rPr>
              <w:t>0.001</w:t>
            </w:r>
            <w:r w:rsidR="00655260" w:rsidRPr="00C1527F">
              <w:rPr>
                <w:rFonts w:ascii="Book Antiqua" w:hAnsi="Book Antiqua" w:cstheme="majorBidi"/>
                <w:color w:val="auto"/>
                <w:sz w:val="24"/>
                <w:szCs w:val="24"/>
                <w:lang w:val="en-US"/>
              </w:rPr>
              <w:t>;</w:t>
            </w:r>
          </w:p>
          <w:p w:rsidR="001F2C9C" w:rsidRPr="00C1527F" w:rsidRDefault="00C1527F" w:rsidP="00C1527F">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US"/>
              </w:rPr>
            </w:pPr>
            <w:r>
              <w:rPr>
                <w:rFonts w:ascii="Book Antiqua" w:hAnsi="Book Antiqua" w:cstheme="majorBidi"/>
                <w:color w:val="auto"/>
                <w:sz w:val="24"/>
                <w:szCs w:val="24"/>
                <w:lang w:val="en-US"/>
              </w:rPr>
              <w:t>HR</w:t>
            </w:r>
            <w:r>
              <w:rPr>
                <w:rFonts w:ascii="Book Antiqua" w:hAnsi="Book Antiqua" w:cstheme="majorBidi" w:hint="eastAsia"/>
                <w:color w:val="auto"/>
                <w:sz w:val="24"/>
                <w:szCs w:val="24"/>
                <w:lang w:val="en-US" w:eastAsia="zh-CN"/>
              </w:rPr>
              <w:t xml:space="preserve"> =</w:t>
            </w:r>
            <w:r>
              <w:rPr>
                <w:rFonts w:ascii="Book Antiqua" w:hAnsi="Book Antiqua" w:cstheme="majorBidi"/>
                <w:color w:val="auto"/>
                <w:sz w:val="24"/>
                <w:szCs w:val="24"/>
                <w:lang w:val="en-US"/>
              </w:rPr>
              <w:t xml:space="preserve"> 0.56; 95%</w:t>
            </w:r>
            <w:r w:rsidR="001F2C9C" w:rsidRPr="00C1527F">
              <w:rPr>
                <w:rFonts w:ascii="Book Antiqua" w:hAnsi="Book Antiqua" w:cstheme="majorBidi"/>
                <w:color w:val="auto"/>
                <w:sz w:val="24"/>
                <w:szCs w:val="24"/>
                <w:lang w:val="en-US"/>
              </w:rPr>
              <w:t>CI: 0.42-0.76</w:t>
            </w:r>
          </w:p>
        </w:tc>
        <w:tc>
          <w:tcPr>
            <w:cnfStyle w:val="000010000000" w:firstRow="0" w:lastRow="0" w:firstColumn="0" w:lastColumn="0" w:oddVBand="1" w:evenVBand="0" w:oddHBand="0" w:evenHBand="0" w:firstRowFirstColumn="0" w:firstRowLastColumn="0" w:lastRowFirstColumn="0" w:lastRowLastColumn="0"/>
            <w:tcW w:w="878" w:type="dxa"/>
            <w:tcBorders>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rPr>
                <w:rFonts w:ascii="Book Antiqua" w:hAnsi="Book Antiqua" w:cstheme="majorBidi"/>
                <w:color w:val="auto"/>
                <w:sz w:val="24"/>
                <w:szCs w:val="24"/>
              </w:rPr>
            </w:pPr>
            <w:r w:rsidRPr="00C1527F">
              <w:rPr>
                <w:rFonts w:ascii="Book Antiqua" w:hAnsi="Book Antiqua" w:cstheme="majorBidi"/>
                <w:color w:val="auto"/>
                <w:sz w:val="24"/>
                <w:szCs w:val="24"/>
                <w:lang w:val="en-US"/>
              </w:rPr>
              <w:t>[42]</w:t>
            </w:r>
          </w:p>
        </w:tc>
      </w:tr>
      <w:tr w:rsidR="00B01FC5" w:rsidRPr="00C1527F" w:rsidTr="00C1527F">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1753"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rPr>
                <w:rFonts w:ascii="Book Antiqua" w:hAnsi="Book Antiqua" w:cstheme="majorBidi"/>
                <w:color w:val="auto"/>
                <w:sz w:val="24"/>
                <w:szCs w:val="24"/>
                <w:lang w:val="en-GB"/>
              </w:rPr>
            </w:pPr>
            <w:r w:rsidRPr="00C1527F">
              <w:rPr>
                <w:rFonts w:ascii="Book Antiqua" w:hAnsi="Book Antiqua" w:cstheme="majorBidi"/>
                <w:color w:val="auto"/>
                <w:sz w:val="24"/>
                <w:szCs w:val="24"/>
                <w:lang w:val="en-GB"/>
              </w:rPr>
              <w:t>Everolimus</w:t>
            </w:r>
          </w:p>
        </w:tc>
        <w:tc>
          <w:tcPr>
            <w:tcW w:w="2634"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C1527F">
              <w:rPr>
                <w:rFonts w:ascii="Book Antiqua" w:hAnsi="Book Antiqua" w:cstheme="majorBidi"/>
                <w:color w:val="auto"/>
                <w:sz w:val="24"/>
                <w:szCs w:val="24"/>
                <w:lang w:val="en-GB"/>
              </w:rPr>
              <w:t xml:space="preserve">Everolimus </w:t>
            </w:r>
            <w:r w:rsidR="00C1527F" w:rsidRPr="00C1527F">
              <w:rPr>
                <w:rFonts w:ascii="Book Antiqua" w:hAnsi="Book Antiqua" w:cstheme="majorBidi"/>
                <w:i/>
                <w:color w:val="auto"/>
                <w:sz w:val="24"/>
                <w:szCs w:val="24"/>
                <w:lang w:val="en-US"/>
              </w:rPr>
              <w:t>vs</w:t>
            </w:r>
            <w:r w:rsidRPr="00C1527F">
              <w:rPr>
                <w:rFonts w:ascii="Book Antiqua" w:hAnsi="Book Antiqua" w:cstheme="majorBidi"/>
                <w:color w:val="auto"/>
                <w:sz w:val="24"/>
                <w:szCs w:val="24"/>
                <w:lang w:val="en-GB"/>
              </w:rPr>
              <w:t xml:space="preserve"> placebo (EVOLVE-1)</w:t>
            </w:r>
          </w:p>
        </w:tc>
        <w:tc>
          <w:tcPr>
            <w:cnfStyle w:val="000010000000" w:firstRow="0" w:lastRow="0" w:firstColumn="0" w:lastColumn="0" w:oddVBand="1" w:evenVBand="0" w:oddHBand="0" w:evenHBand="0" w:firstRowFirstColumn="0" w:firstRowLastColumn="0" w:lastRowFirstColumn="0" w:lastRowLastColumn="0"/>
            <w:tcW w:w="3062"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rPr>
                <w:rFonts w:ascii="Book Antiqua" w:hAnsi="Book Antiqua" w:cstheme="majorBidi"/>
                <w:color w:val="auto"/>
                <w:sz w:val="24"/>
                <w:szCs w:val="24"/>
                <w:lang w:val="en-US"/>
              </w:rPr>
            </w:pPr>
            <w:r w:rsidRPr="00C1527F">
              <w:rPr>
                <w:rFonts w:ascii="Book Antiqua" w:hAnsi="Book Antiqua" w:cstheme="majorBidi"/>
                <w:color w:val="auto"/>
                <w:sz w:val="24"/>
                <w:szCs w:val="24"/>
                <w:lang w:val="en-US"/>
              </w:rPr>
              <w:t xml:space="preserve">7.6 </w:t>
            </w:r>
            <w:r w:rsidR="00C1527F" w:rsidRPr="00C1527F">
              <w:rPr>
                <w:rFonts w:ascii="Book Antiqua" w:hAnsi="Book Antiqua" w:cstheme="majorBidi"/>
                <w:color w:val="auto"/>
                <w:sz w:val="24"/>
                <w:szCs w:val="24"/>
                <w:lang w:val="en-US"/>
              </w:rPr>
              <w:t>mo</w:t>
            </w:r>
            <w:r w:rsidR="00C1527F" w:rsidRPr="00C1527F">
              <w:rPr>
                <w:rFonts w:ascii="Book Antiqua" w:hAnsi="Book Antiqua" w:cstheme="majorBidi"/>
                <w:i/>
                <w:color w:val="auto"/>
                <w:sz w:val="24"/>
                <w:szCs w:val="24"/>
                <w:lang w:val="en-US"/>
              </w:rPr>
              <w:t xml:space="preserve"> vs</w:t>
            </w:r>
            <w:r w:rsidRPr="00C1527F">
              <w:rPr>
                <w:rFonts w:ascii="Book Antiqua" w:hAnsi="Book Antiqua" w:cstheme="majorBidi"/>
                <w:color w:val="auto"/>
                <w:sz w:val="24"/>
                <w:szCs w:val="24"/>
                <w:lang w:val="en-US"/>
              </w:rPr>
              <w:t xml:space="preserve"> 7.3 mo, </w:t>
            </w:r>
            <w:r w:rsidR="00C1527F" w:rsidRPr="00C1527F">
              <w:rPr>
                <w:rFonts w:ascii="Book Antiqua" w:hAnsi="Book Antiqua" w:cstheme="majorBidi"/>
                <w:i/>
                <w:caps/>
                <w:color w:val="auto"/>
                <w:sz w:val="24"/>
                <w:szCs w:val="24"/>
                <w:lang w:val="en-US"/>
              </w:rPr>
              <w:t>p</w:t>
            </w:r>
            <w:r w:rsidR="00C1527F" w:rsidRPr="00C1527F">
              <w:rPr>
                <w:rFonts w:ascii="Cambria Math" w:hAnsi="Cambria Math" w:cs="Cambria Math"/>
                <w:color w:val="auto"/>
                <w:sz w:val="24"/>
                <w:szCs w:val="24"/>
                <w:lang w:val="en-US"/>
              </w:rPr>
              <w:t xml:space="preserve"> </w:t>
            </w:r>
            <w:r w:rsidRPr="00C1527F">
              <w:rPr>
                <w:rFonts w:ascii="Cambria Math" w:hAnsi="Cambria Math" w:cs="Cambria Math"/>
                <w:color w:val="auto"/>
                <w:sz w:val="24"/>
                <w:szCs w:val="24"/>
                <w:lang w:val="en-US"/>
              </w:rPr>
              <w:t> </w:t>
            </w:r>
            <w:r w:rsidRPr="00C1527F">
              <w:rPr>
                <w:rFonts w:ascii="Book Antiqua" w:hAnsi="Book Antiqua" w:cstheme="majorBidi"/>
                <w:color w:val="auto"/>
                <w:sz w:val="24"/>
                <w:szCs w:val="24"/>
                <w:lang w:val="en-US"/>
              </w:rPr>
              <w:t>=</w:t>
            </w:r>
            <w:r w:rsidRPr="00C1527F">
              <w:rPr>
                <w:rFonts w:ascii="Cambria Math" w:hAnsi="Cambria Math" w:cs="Cambria Math"/>
                <w:color w:val="auto"/>
                <w:sz w:val="24"/>
                <w:szCs w:val="24"/>
                <w:lang w:val="en-US"/>
              </w:rPr>
              <w:t> </w:t>
            </w:r>
            <w:r w:rsidRPr="00C1527F">
              <w:rPr>
                <w:rFonts w:ascii="Book Antiqua" w:hAnsi="Book Antiqua" w:cstheme="majorBidi"/>
                <w:color w:val="auto"/>
                <w:sz w:val="24"/>
                <w:szCs w:val="24"/>
                <w:lang w:val="en-US"/>
              </w:rPr>
              <w:t>0.68</w:t>
            </w:r>
            <w:r w:rsidR="00655260" w:rsidRPr="00C1527F">
              <w:rPr>
                <w:rFonts w:ascii="Book Antiqua" w:hAnsi="Book Antiqua" w:cstheme="majorBidi"/>
                <w:color w:val="auto"/>
                <w:sz w:val="24"/>
                <w:szCs w:val="24"/>
                <w:lang w:val="en-US"/>
              </w:rPr>
              <w:t>;</w:t>
            </w:r>
          </w:p>
          <w:p w:rsidR="001F2C9C" w:rsidRPr="00C1527F" w:rsidRDefault="00C1527F" w:rsidP="00C1527F">
            <w:pPr>
              <w:spacing w:line="360" w:lineRule="auto"/>
              <w:jc w:val="center"/>
              <w:rPr>
                <w:rFonts w:ascii="Book Antiqua" w:hAnsi="Book Antiqua" w:cstheme="majorBidi"/>
                <w:color w:val="auto"/>
                <w:sz w:val="24"/>
                <w:szCs w:val="24"/>
                <w:lang w:val="en-US"/>
              </w:rPr>
            </w:pPr>
            <w:r>
              <w:rPr>
                <w:rFonts w:ascii="Book Antiqua" w:hAnsi="Book Antiqua" w:cstheme="majorBidi"/>
                <w:color w:val="auto"/>
                <w:sz w:val="24"/>
                <w:szCs w:val="24"/>
                <w:lang w:val="en-US"/>
              </w:rPr>
              <w:t>HR</w:t>
            </w:r>
            <w:r>
              <w:rPr>
                <w:rFonts w:ascii="Book Antiqua" w:hAnsi="Book Antiqua" w:cstheme="majorBidi" w:hint="eastAsia"/>
                <w:color w:val="auto"/>
                <w:sz w:val="24"/>
                <w:szCs w:val="24"/>
                <w:lang w:val="en-US" w:eastAsia="zh-CN"/>
              </w:rPr>
              <w:t xml:space="preserve"> =</w:t>
            </w:r>
            <w:r>
              <w:rPr>
                <w:rFonts w:ascii="Book Antiqua" w:hAnsi="Book Antiqua" w:cstheme="majorBidi"/>
                <w:color w:val="auto"/>
                <w:sz w:val="24"/>
                <w:szCs w:val="24"/>
                <w:lang w:val="en-US"/>
              </w:rPr>
              <w:t xml:space="preserve"> 1.05; 95%</w:t>
            </w:r>
            <w:r w:rsidR="001F2C9C" w:rsidRPr="00C1527F">
              <w:rPr>
                <w:rFonts w:ascii="Book Antiqua" w:hAnsi="Book Antiqua" w:cstheme="majorBidi"/>
                <w:color w:val="auto"/>
                <w:sz w:val="24"/>
                <w:szCs w:val="24"/>
                <w:lang w:val="en-US"/>
              </w:rPr>
              <w:t>CI: 0.86-1.27</w:t>
            </w:r>
          </w:p>
        </w:tc>
        <w:tc>
          <w:tcPr>
            <w:tcW w:w="2940"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GB"/>
              </w:rPr>
            </w:pPr>
            <w:r w:rsidRPr="00C1527F">
              <w:rPr>
                <w:rFonts w:ascii="Book Antiqua" w:hAnsi="Book Antiqua" w:cstheme="majorBidi"/>
                <w:color w:val="auto"/>
                <w:sz w:val="24"/>
                <w:szCs w:val="24"/>
                <w:lang w:val="en-GB"/>
              </w:rPr>
              <w:t xml:space="preserve">3.0 </w:t>
            </w:r>
            <w:r w:rsidR="00C1527F" w:rsidRPr="00C1527F">
              <w:rPr>
                <w:rFonts w:ascii="Book Antiqua" w:hAnsi="Book Antiqua" w:cstheme="majorBidi"/>
                <w:color w:val="auto"/>
                <w:sz w:val="24"/>
                <w:szCs w:val="24"/>
                <w:lang w:val="en-US"/>
              </w:rPr>
              <w:t>mo</w:t>
            </w:r>
            <w:r w:rsidR="00C1527F" w:rsidRPr="00C1527F">
              <w:rPr>
                <w:rFonts w:ascii="Book Antiqua" w:hAnsi="Book Antiqua" w:cstheme="majorBidi"/>
                <w:i/>
                <w:color w:val="auto"/>
                <w:sz w:val="24"/>
                <w:szCs w:val="24"/>
                <w:lang w:val="en-US"/>
              </w:rPr>
              <w:t xml:space="preserve"> vs</w:t>
            </w:r>
            <w:r w:rsidRPr="00C1527F">
              <w:rPr>
                <w:rFonts w:ascii="Book Antiqua" w:hAnsi="Book Antiqua" w:cstheme="majorBidi"/>
                <w:color w:val="auto"/>
                <w:sz w:val="24"/>
                <w:szCs w:val="24"/>
                <w:lang w:val="en-GB"/>
              </w:rPr>
              <w:t xml:space="preserve"> 2.6 mo, </w:t>
            </w:r>
            <w:r w:rsidR="00C1527F" w:rsidRPr="00C1527F">
              <w:rPr>
                <w:rFonts w:ascii="Book Antiqua" w:hAnsi="Book Antiqua" w:cstheme="majorBidi"/>
                <w:i/>
                <w:caps/>
                <w:color w:val="auto"/>
                <w:sz w:val="24"/>
                <w:szCs w:val="24"/>
                <w:lang w:val="en-US"/>
              </w:rPr>
              <w:t>p</w:t>
            </w:r>
            <w:r w:rsidR="00C1527F" w:rsidRPr="00C1527F">
              <w:rPr>
                <w:rFonts w:ascii="Cambria Math" w:hAnsi="Cambria Math" w:cs="Cambria Math"/>
                <w:color w:val="auto"/>
                <w:sz w:val="24"/>
                <w:szCs w:val="24"/>
                <w:lang w:val="en-GB"/>
              </w:rPr>
              <w:t xml:space="preserve"> </w:t>
            </w:r>
            <w:r w:rsidRPr="00C1527F">
              <w:rPr>
                <w:rFonts w:ascii="Cambria Math" w:hAnsi="Cambria Math" w:cs="Cambria Math"/>
                <w:color w:val="auto"/>
                <w:sz w:val="24"/>
                <w:szCs w:val="24"/>
                <w:lang w:val="en-GB"/>
              </w:rPr>
              <w:t> </w:t>
            </w:r>
            <w:r w:rsidRPr="00C1527F">
              <w:rPr>
                <w:rFonts w:ascii="Book Antiqua" w:hAnsi="Book Antiqua" w:cstheme="majorBidi"/>
                <w:color w:val="auto"/>
                <w:sz w:val="24"/>
                <w:szCs w:val="24"/>
                <w:lang w:val="en-GB"/>
              </w:rPr>
              <w:t>=</w:t>
            </w:r>
            <w:r w:rsidRPr="00C1527F">
              <w:rPr>
                <w:rFonts w:ascii="Cambria Math" w:hAnsi="Cambria Math" w:cs="Cambria Math"/>
                <w:color w:val="auto"/>
                <w:sz w:val="24"/>
                <w:szCs w:val="24"/>
                <w:lang w:val="en-GB"/>
              </w:rPr>
              <w:t> </w:t>
            </w:r>
            <w:r w:rsidRPr="00C1527F">
              <w:rPr>
                <w:rFonts w:ascii="Book Antiqua" w:hAnsi="Book Antiqua" w:cstheme="majorBidi"/>
                <w:color w:val="auto"/>
                <w:sz w:val="24"/>
                <w:szCs w:val="24"/>
                <w:lang w:val="en-GB"/>
              </w:rPr>
              <w:t>0.01</w:t>
            </w:r>
            <w:r w:rsidR="00655260" w:rsidRPr="00C1527F">
              <w:rPr>
                <w:rFonts w:ascii="Book Antiqua" w:hAnsi="Book Antiqua" w:cstheme="majorBidi"/>
                <w:color w:val="auto"/>
                <w:sz w:val="24"/>
                <w:szCs w:val="24"/>
                <w:lang w:val="en-GB"/>
              </w:rPr>
              <w:t>;</w:t>
            </w:r>
          </w:p>
          <w:p w:rsidR="001F2C9C" w:rsidRPr="00C1527F" w:rsidRDefault="00C1527F" w:rsidP="00C1527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val="en-US"/>
              </w:rPr>
            </w:pPr>
            <w:r>
              <w:rPr>
                <w:rFonts w:ascii="Book Antiqua" w:hAnsi="Book Antiqua" w:cstheme="majorBidi"/>
                <w:color w:val="auto"/>
                <w:sz w:val="24"/>
                <w:szCs w:val="24"/>
                <w:lang w:val="en-GB"/>
              </w:rPr>
              <w:t>HR</w:t>
            </w:r>
            <w:r>
              <w:rPr>
                <w:rFonts w:ascii="Book Antiqua" w:hAnsi="Book Antiqua" w:cstheme="majorBidi" w:hint="eastAsia"/>
                <w:color w:val="auto"/>
                <w:sz w:val="24"/>
                <w:szCs w:val="24"/>
                <w:lang w:val="en-GB" w:eastAsia="zh-CN"/>
              </w:rPr>
              <w:t xml:space="preserve"> </w:t>
            </w:r>
            <w:r>
              <w:rPr>
                <w:rFonts w:ascii="Book Antiqua" w:hAnsi="Book Antiqua" w:cstheme="majorBidi" w:hint="eastAsia"/>
                <w:color w:val="auto"/>
                <w:sz w:val="24"/>
                <w:szCs w:val="24"/>
                <w:lang w:val="en-US" w:eastAsia="zh-CN"/>
              </w:rPr>
              <w:t>=</w:t>
            </w:r>
            <w:r>
              <w:rPr>
                <w:rFonts w:ascii="Book Antiqua" w:hAnsi="Book Antiqua" w:cstheme="majorBidi"/>
                <w:color w:val="auto"/>
                <w:sz w:val="24"/>
                <w:szCs w:val="24"/>
                <w:lang w:val="en-US"/>
              </w:rPr>
              <w:t xml:space="preserve"> </w:t>
            </w:r>
            <w:r>
              <w:rPr>
                <w:rFonts w:ascii="Book Antiqua" w:hAnsi="Book Antiqua" w:cstheme="majorBidi"/>
                <w:color w:val="auto"/>
                <w:sz w:val="24"/>
                <w:szCs w:val="24"/>
                <w:lang w:val="en-GB"/>
              </w:rPr>
              <w:t>0.93; 95%</w:t>
            </w:r>
            <w:r w:rsidR="001F2C9C" w:rsidRPr="00C1527F">
              <w:rPr>
                <w:rFonts w:ascii="Book Antiqua" w:hAnsi="Book Antiqua" w:cstheme="majorBidi"/>
                <w:color w:val="auto"/>
                <w:sz w:val="24"/>
                <w:szCs w:val="24"/>
                <w:lang w:val="en-GB"/>
              </w:rPr>
              <w:t>CI: 0.75-1.15</w:t>
            </w:r>
          </w:p>
        </w:tc>
        <w:tc>
          <w:tcPr>
            <w:cnfStyle w:val="000010000000" w:firstRow="0" w:lastRow="0" w:firstColumn="0" w:lastColumn="0" w:oddVBand="1" w:evenVBand="0" w:oddHBand="0" w:evenHBand="0" w:firstRowFirstColumn="0" w:firstRowLastColumn="0" w:lastRowFirstColumn="0" w:lastRowLastColumn="0"/>
            <w:tcW w:w="878"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692981" w:rsidP="00C1527F">
            <w:pPr>
              <w:spacing w:line="360" w:lineRule="auto"/>
              <w:jc w:val="center"/>
              <w:rPr>
                <w:rFonts w:ascii="Book Antiqua" w:hAnsi="Book Antiqua" w:cstheme="majorBidi"/>
                <w:color w:val="auto"/>
                <w:sz w:val="24"/>
                <w:szCs w:val="24"/>
              </w:rPr>
            </w:pPr>
            <w:r w:rsidRPr="00C1527F">
              <w:rPr>
                <w:rFonts w:ascii="Book Antiqua" w:hAnsi="Book Antiqua" w:cstheme="majorBidi"/>
                <w:color w:val="auto"/>
              </w:rPr>
              <w:fldChar w:fldCharType="begin" w:fldLock="1"/>
            </w:r>
            <w:r w:rsidR="001F2C9C" w:rsidRPr="00C1527F">
              <w:rPr>
                <w:rFonts w:ascii="Book Antiqua" w:hAnsi="Book Antiqua" w:cstheme="majorBidi"/>
                <w:color w:val="auto"/>
                <w:sz w:val="24"/>
                <w:szCs w:val="24"/>
              </w:rPr>
              <w:instrText>ADDIN CSL_CITATION { "citationItems" : [ { "id" : "ITEM-1", "itemData" : { "DOI" : "10.1016/j.ejca.2014.12.005", "ISSN" : "1879-0852", "PMID" : "25559615", "abstract" : "Hepatocellular carcinoma (HCC) is an aggressive malignancy, which accounts for a third of all cancer deaths globally each year. The management of patients with HCC is complex, as both the tumour stage and any underlying liver disease must be considered conjointly. Since the approval of sorafenib in advanced HCC, several phase III clinical trials have failed to demonstrate any superiority over sorafenib in the frontline setting, and no agent has been shown to impact outcomes after sorafenib failure. This review will focus on the range of experimental therapeutics for patients with advanced HCC and highlight the successes and failures of these treatments as well as areas for future development. Specifics such as dose limiting toxicity and safety profile in patients with liver dysfunction related to the underlying chronic liver disease should be considered when developing therapies in HCC. Finally, robust validated and reproducible surrogate end-points as well as predictive biomarkers should be defined in future randomised trials.", "author" : [ { "dropping-particle" : "", "family" : "Hollebecque", "given" : "Antoine", "non-dropping-particle" : "", "parse-names" : false, "suffix" : "" }, { "dropping-particle" : "", "family" : "Malka", "given" : "David", "non-dropping-particle" : "", "parse-names" : false, "suffix" : "" }, { "dropping-particle" : "", "family" : "Fert\u00e9", "given" : "Charles", "non-dropping-particle" : "", "parse-names" : false, "suffix" : "" }, { "dropping-particle" : "", "family" : "Ducreux", "given" : "Michel", "non-dropping-particle" : "", "parse-names" : false, "suffix" : "" }, { "dropping-particle" : "", "family" : "Boige", "given" : "Val\u00e9rie", "non-dropping-particle" : "", "parse-names" : false, "suffix" : "" } ], "container-title" : "European journal of cancer (Oxford, England : 1990)", "id" : "ITEM-1", "issue" : "3", "issued" : { "date-parts" : [ [ "2015", "2", "2" ] ] }, "language" : "English", "page" : "327-39", "publisher" : "Elsevier", "title" : "Systemic treatment of advanced hepatocellular carcinoma: from disillusions to new horizons.", "type" : "article-journal", "volume" : "51" }, "uris" : [ "http://www.mendeley.com/documents/?uuid=7ed56d6f-594a-45b4-8ffd-3800c704baf6" ] } ], "mendeley" : { "formattedCitation" : "(Hollebecque et al., 2015)", "plainTextFormattedCitation" : "(Hollebecque et al., 2015)", "previouslyFormattedCitation" : "(Hollebecque et al., 2015)" }, "properties" : { "noteIndex" : 0 }, "schema" : "https://github.com/citation-style-language/schema/raw/master/csl-citation.json" }</w:instrText>
            </w:r>
            <w:r w:rsidRPr="00C1527F">
              <w:rPr>
                <w:rFonts w:ascii="Book Antiqua" w:hAnsi="Book Antiqua" w:cstheme="majorBidi"/>
                <w:color w:val="auto"/>
              </w:rPr>
              <w:fldChar w:fldCharType="separate"/>
            </w:r>
            <w:r w:rsidR="001F2C9C" w:rsidRPr="00C1527F">
              <w:rPr>
                <w:rFonts w:ascii="Book Antiqua" w:hAnsi="Book Antiqua" w:cstheme="majorBidi"/>
                <w:color w:val="auto"/>
                <w:sz w:val="24"/>
                <w:szCs w:val="24"/>
              </w:rPr>
              <w:t>[44]</w:t>
            </w:r>
            <w:r w:rsidRPr="00C1527F">
              <w:rPr>
                <w:rFonts w:ascii="Book Antiqua" w:hAnsi="Book Antiqua" w:cstheme="majorBidi"/>
                <w:color w:val="auto"/>
              </w:rPr>
              <w:fldChar w:fldCharType="end"/>
            </w:r>
          </w:p>
        </w:tc>
      </w:tr>
      <w:tr w:rsidR="00B01FC5" w:rsidRPr="00C1527F" w:rsidTr="00C1527F">
        <w:trPr>
          <w:cnfStyle w:val="000000010000" w:firstRow="0" w:lastRow="0" w:firstColumn="0" w:lastColumn="0" w:oddVBand="0" w:evenVBand="0" w:oddHBand="0" w:evenHBand="1"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1753"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rPr>
                <w:rFonts w:ascii="Book Antiqua" w:hAnsi="Book Antiqua" w:cstheme="majorBidi"/>
                <w:color w:val="auto"/>
                <w:sz w:val="24"/>
                <w:szCs w:val="24"/>
                <w:lang w:val="en-GB"/>
              </w:rPr>
            </w:pPr>
            <w:r w:rsidRPr="00C1527F">
              <w:rPr>
                <w:rFonts w:ascii="Book Antiqua" w:hAnsi="Book Antiqua" w:cstheme="majorBidi"/>
                <w:color w:val="auto"/>
                <w:sz w:val="24"/>
                <w:szCs w:val="24"/>
                <w:lang w:val="en-GB"/>
              </w:rPr>
              <w:t>Ramucirumab</w:t>
            </w:r>
          </w:p>
        </w:tc>
        <w:tc>
          <w:tcPr>
            <w:tcW w:w="2634"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GB"/>
              </w:rPr>
            </w:pPr>
            <w:r w:rsidRPr="00C1527F">
              <w:rPr>
                <w:rFonts w:ascii="Book Antiqua" w:hAnsi="Book Antiqua" w:cstheme="majorBidi"/>
                <w:color w:val="auto"/>
                <w:sz w:val="24"/>
                <w:szCs w:val="24"/>
                <w:lang w:val="en-GB"/>
              </w:rPr>
              <w:t xml:space="preserve">Ramucirumab </w:t>
            </w:r>
            <w:r w:rsidR="00C1527F" w:rsidRPr="00C1527F">
              <w:rPr>
                <w:rFonts w:ascii="Book Antiqua" w:hAnsi="Book Antiqua" w:cstheme="majorBidi"/>
                <w:i/>
                <w:color w:val="auto"/>
                <w:sz w:val="24"/>
                <w:szCs w:val="24"/>
                <w:lang w:val="en-US"/>
              </w:rPr>
              <w:t>vs</w:t>
            </w:r>
            <w:r w:rsidRPr="00C1527F">
              <w:rPr>
                <w:rFonts w:ascii="Book Antiqua" w:hAnsi="Book Antiqua" w:cstheme="majorBidi"/>
                <w:color w:val="auto"/>
                <w:sz w:val="24"/>
                <w:szCs w:val="24"/>
                <w:lang w:val="en-GB"/>
              </w:rPr>
              <w:t xml:space="preserve"> placebo (REACH)</w:t>
            </w:r>
          </w:p>
        </w:tc>
        <w:tc>
          <w:tcPr>
            <w:cnfStyle w:val="000010000000" w:firstRow="0" w:lastRow="0" w:firstColumn="0" w:lastColumn="0" w:oddVBand="1" w:evenVBand="0" w:oddHBand="0" w:evenHBand="0" w:firstRowFirstColumn="0" w:firstRowLastColumn="0" w:lastRowFirstColumn="0" w:lastRowLastColumn="0"/>
            <w:tcW w:w="3062"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rPr>
                <w:rFonts w:ascii="Book Antiqua" w:hAnsi="Book Antiqua" w:cstheme="majorBidi"/>
                <w:color w:val="auto"/>
                <w:sz w:val="24"/>
                <w:szCs w:val="24"/>
                <w:lang w:val="en-US"/>
              </w:rPr>
            </w:pPr>
            <w:r w:rsidRPr="00C1527F">
              <w:rPr>
                <w:rFonts w:ascii="Book Antiqua" w:hAnsi="Book Antiqua" w:cstheme="majorBidi"/>
                <w:color w:val="auto"/>
                <w:sz w:val="24"/>
                <w:szCs w:val="24"/>
                <w:lang w:val="en-US"/>
              </w:rPr>
              <w:t xml:space="preserve">9.2 </w:t>
            </w:r>
            <w:r w:rsidR="00C1527F" w:rsidRPr="00C1527F">
              <w:rPr>
                <w:rFonts w:ascii="Book Antiqua" w:hAnsi="Book Antiqua" w:cstheme="majorBidi"/>
                <w:color w:val="auto"/>
                <w:sz w:val="24"/>
                <w:szCs w:val="24"/>
                <w:lang w:val="en-US"/>
              </w:rPr>
              <w:t>mo</w:t>
            </w:r>
            <w:r w:rsidR="00C1527F" w:rsidRPr="00C1527F">
              <w:rPr>
                <w:rFonts w:ascii="Book Antiqua" w:hAnsi="Book Antiqua" w:cstheme="majorBidi"/>
                <w:i/>
                <w:color w:val="auto"/>
                <w:sz w:val="24"/>
                <w:szCs w:val="24"/>
                <w:lang w:val="en-US"/>
              </w:rPr>
              <w:t xml:space="preserve"> vs</w:t>
            </w:r>
            <w:r w:rsidRPr="00C1527F">
              <w:rPr>
                <w:rFonts w:ascii="Book Antiqua" w:hAnsi="Book Antiqua" w:cstheme="majorBidi"/>
                <w:color w:val="auto"/>
                <w:sz w:val="24"/>
                <w:szCs w:val="24"/>
                <w:lang w:val="en-US"/>
              </w:rPr>
              <w:t xml:space="preserve"> 7.6 mo, </w:t>
            </w:r>
            <w:r w:rsidR="00C1527F" w:rsidRPr="00C1527F">
              <w:rPr>
                <w:rFonts w:ascii="Book Antiqua" w:hAnsi="Book Antiqua" w:cstheme="majorBidi"/>
                <w:i/>
                <w:caps/>
                <w:color w:val="auto"/>
                <w:sz w:val="24"/>
                <w:szCs w:val="24"/>
                <w:lang w:val="en-US"/>
              </w:rPr>
              <w:t>p</w:t>
            </w:r>
            <w:r w:rsidRPr="00C1527F">
              <w:rPr>
                <w:rFonts w:ascii="Book Antiqua" w:hAnsi="Book Antiqua" w:cstheme="majorBidi"/>
                <w:color w:val="auto"/>
                <w:sz w:val="24"/>
                <w:szCs w:val="24"/>
                <w:lang w:val="en-US"/>
              </w:rPr>
              <w:t xml:space="preserve"> = 0.14</w:t>
            </w:r>
            <w:r w:rsidR="00655260" w:rsidRPr="00C1527F">
              <w:rPr>
                <w:rFonts w:ascii="Book Antiqua" w:hAnsi="Book Antiqua" w:cstheme="majorBidi"/>
                <w:color w:val="auto"/>
                <w:sz w:val="24"/>
                <w:szCs w:val="24"/>
                <w:lang w:val="en-US"/>
              </w:rPr>
              <w:t>;</w:t>
            </w:r>
          </w:p>
          <w:p w:rsidR="001F2C9C" w:rsidRPr="00C1527F" w:rsidRDefault="00C1527F" w:rsidP="00C1527F">
            <w:pPr>
              <w:spacing w:line="360" w:lineRule="auto"/>
              <w:jc w:val="center"/>
              <w:rPr>
                <w:rFonts w:ascii="Book Antiqua" w:hAnsi="Book Antiqua" w:cstheme="majorBidi"/>
                <w:color w:val="auto"/>
                <w:sz w:val="24"/>
                <w:szCs w:val="24"/>
                <w:lang w:val="en-US"/>
              </w:rPr>
            </w:pPr>
            <w:r>
              <w:rPr>
                <w:rFonts w:ascii="Book Antiqua" w:hAnsi="Book Antiqua" w:cstheme="majorBidi"/>
                <w:color w:val="auto"/>
                <w:sz w:val="24"/>
                <w:szCs w:val="24"/>
                <w:lang w:val="en-US"/>
              </w:rPr>
              <w:t>HR</w:t>
            </w:r>
            <w:r>
              <w:rPr>
                <w:rFonts w:ascii="Book Antiqua" w:hAnsi="Book Antiqua" w:cstheme="majorBidi" w:hint="eastAsia"/>
                <w:color w:val="auto"/>
                <w:sz w:val="24"/>
                <w:szCs w:val="24"/>
                <w:lang w:val="en-US" w:eastAsia="zh-CN"/>
              </w:rPr>
              <w:t xml:space="preserve"> =</w:t>
            </w:r>
            <w:r>
              <w:rPr>
                <w:rFonts w:ascii="Book Antiqua" w:hAnsi="Book Antiqua" w:cstheme="majorBidi"/>
                <w:color w:val="auto"/>
                <w:sz w:val="24"/>
                <w:szCs w:val="24"/>
                <w:lang w:val="en-US"/>
              </w:rPr>
              <w:t xml:space="preserve"> 0.87; 95%</w:t>
            </w:r>
            <w:r w:rsidR="001F2C9C" w:rsidRPr="00C1527F">
              <w:rPr>
                <w:rFonts w:ascii="Book Antiqua" w:hAnsi="Book Antiqua" w:cstheme="majorBidi"/>
                <w:color w:val="auto"/>
                <w:sz w:val="24"/>
                <w:szCs w:val="24"/>
                <w:lang w:val="en-US"/>
              </w:rPr>
              <w:t>CI: 0.72-1.05</w:t>
            </w:r>
          </w:p>
        </w:tc>
        <w:tc>
          <w:tcPr>
            <w:tcW w:w="2940"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US"/>
              </w:rPr>
            </w:pPr>
            <w:r w:rsidRPr="00C1527F">
              <w:rPr>
                <w:rFonts w:ascii="Book Antiqua" w:hAnsi="Book Antiqua" w:cstheme="majorBidi"/>
                <w:color w:val="auto"/>
                <w:sz w:val="24"/>
                <w:szCs w:val="24"/>
                <w:lang w:val="en-US"/>
              </w:rPr>
              <w:t xml:space="preserve">2.8 </w:t>
            </w:r>
            <w:r w:rsidR="00C1527F" w:rsidRPr="00C1527F">
              <w:rPr>
                <w:rFonts w:ascii="Book Antiqua" w:hAnsi="Book Antiqua" w:cstheme="majorBidi"/>
                <w:color w:val="auto"/>
                <w:sz w:val="24"/>
                <w:szCs w:val="24"/>
                <w:lang w:val="en-US"/>
              </w:rPr>
              <w:t>mo</w:t>
            </w:r>
            <w:r w:rsidR="00C1527F" w:rsidRPr="00C1527F">
              <w:rPr>
                <w:rFonts w:ascii="Book Antiqua" w:hAnsi="Book Antiqua" w:cstheme="majorBidi"/>
                <w:i/>
                <w:color w:val="auto"/>
                <w:sz w:val="24"/>
                <w:szCs w:val="24"/>
                <w:lang w:val="en-US"/>
              </w:rPr>
              <w:t xml:space="preserve"> vs</w:t>
            </w:r>
            <w:r w:rsidRPr="00C1527F">
              <w:rPr>
                <w:rFonts w:ascii="Book Antiqua" w:hAnsi="Book Antiqua" w:cstheme="majorBidi"/>
                <w:color w:val="auto"/>
                <w:sz w:val="24"/>
                <w:szCs w:val="24"/>
                <w:lang w:val="en-US"/>
              </w:rPr>
              <w:t xml:space="preserve"> 2.1 mo, </w:t>
            </w:r>
            <w:r w:rsidR="00C1527F" w:rsidRPr="00C1527F">
              <w:rPr>
                <w:rFonts w:ascii="Book Antiqua" w:hAnsi="Book Antiqua" w:cstheme="majorBidi"/>
                <w:i/>
                <w:caps/>
                <w:color w:val="auto"/>
                <w:sz w:val="24"/>
                <w:szCs w:val="24"/>
                <w:lang w:val="en-US"/>
              </w:rPr>
              <w:t>p</w:t>
            </w:r>
            <w:r w:rsidR="00C1527F" w:rsidRPr="00C1527F">
              <w:rPr>
                <w:rFonts w:ascii="Book Antiqua" w:hAnsi="Book Antiqua" w:cstheme="majorBidi"/>
                <w:color w:val="auto"/>
                <w:sz w:val="24"/>
                <w:szCs w:val="24"/>
                <w:lang w:val="en-US"/>
              </w:rPr>
              <w:t xml:space="preserve"> </w:t>
            </w:r>
            <w:r w:rsidRPr="00C1527F">
              <w:rPr>
                <w:rFonts w:ascii="Book Antiqua" w:hAnsi="Book Antiqua" w:cstheme="majorBidi"/>
                <w:color w:val="auto"/>
                <w:sz w:val="24"/>
                <w:szCs w:val="24"/>
                <w:lang w:val="en-US"/>
              </w:rPr>
              <w:t>&lt; 0.0001</w:t>
            </w:r>
            <w:r w:rsidR="00655260" w:rsidRPr="00C1527F">
              <w:rPr>
                <w:rFonts w:ascii="Book Antiqua" w:hAnsi="Book Antiqua" w:cstheme="majorBidi"/>
                <w:color w:val="auto"/>
                <w:sz w:val="24"/>
                <w:szCs w:val="24"/>
                <w:lang w:val="en-US"/>
              </w:rPr>
              <w:t>;</w:t>
            </w:r>
          </w:p>
          <w:p w:rsidR="001F2C9C" w:rsidRPr="00C1527F" w:rsidRDefault="00C1527F" w:rsidP="00C1527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color w:val="auto"/>
                <w:sz w:val="24"/>
                <w:szCs w:val="24"/>
                <w:lang w:val="en-US"/>
              </w:rPr>
            </w:pPr>
            <w:r>
              <w:rPr>
                <w:rFonts w:ascii="Book Antiqua" w:hAnsi="Book Antiqua" w:cstheme="majorBidi"/>
                <w:color w:val="auto"/>
                <w:sz w:val="24"/>
                <w:szCs w:val="24"/>
                <w:lang w:val="en-US"/>
              </w:rPr>
              <w:t>HR</w:t>
            </w:r>
            <w:r>
              <w:rPr>
                <w:rFonts w:ascii="Book Antiqua" w:hAnsi="Book Antiqua" w:cstheme="majorBidi" w:hint="eastAsia"/>
                <w:color w:val="auto"/>
                <w:sz w:val="24"/>
                <w:szCs w:val="24"/>
                <w:lang w:val="en-US" w:eastAsia="zh-CN"/>
              </w:rPr>
              <w:t xml:space="preserve"> =</w:t>
            </w:r>
            <w:r>
              <w:rPr>
                <w:rFonts w:ascii="Book Antiqua" w:hAnsi="Book Antiqua" w:cstheme="majorBidi"/>
                <w:color w:val="auto"/>
                <w:sz w:val="24"/>
                <w:szCs w:val="24"/>
                <w:lang w:val="en-US"/>
              </w:rPr>
              <w:t xml:space="preserve"> 0.63; 95%</w:t>
            </w:r>
            <w:r w:rsidR="001F2C9C" w:rsidRPr="00C1527F">
              <w:rPr>
                <w:rFonts w:ascii="Book Antiqua" w:hAnsi="Book Antiqua" w:cstheme="majorBidi"/>
                <w:color w:val="auto"/>
                <w:sz w:val="24"/>
                <w:szCs w:val="24"/>
                <w:lang w:val="en-US"/>
              </w:rPr>
              <w:t>CI: 0.52-0.75</w:t>
            </w:r>
          </w:p>
        </w:tc>
        <w:tc>
          <w:tcPr>
            <w:cnfStyle w:val="000010000000" w:firstRow="0" w:lastRow="0" w:firstColumn="0" w:lastColumn="0" w:oddVBand="1" w:evenVBand="0" w:oddHBand="0" w:evenHBand="0" w:firstRowFirstColumn="0" w:firstRowLastColumn="0" w:lastRowFirstColumn="0" w:lastRowLastColumn="0"/>
            <w:tcW w:w="878" w:type="dxa"/>
            <w:tcBorders>
              <w:top w:val="none" w:sz="0" w:space="0" w:color="auto"/>
              <w:left w:val="none" w:sz="0" w:space="0" w:color="auto"/>
              <w:bottom w:val="none" w:sz="0" w:space="0" w:color="auto"/>
              <w:right w:val="none" w:sz="0" w:space="0" w:color="auto"/>
            </w:tcBorders>
            <w:shd w:val="clear" w:color="auto" w:fill="auto"/>
          </w:tcPr>
          <w:p w:rsidR="001F2C9C" w:rsidRPr="00C1527F" w:rsidRDefault="001F2C9C" w:rsidP="00C1527F">
            <w:pPr>
              <w:spacing w:line="360" w:lineRule="auto"/>
              <w:jc w:val="center"/>
              <w:rPr>
                <w:rFonts w:ascii="Book Antiqua" w:hAnsi="Book Antiqua" w:cstheme="majorBidi"/>
                <w:color w:val="auto"/>
                <w:sz w:val="24"/>
                <w:szCs w:val="24"/>
              </w:rPr>
            </w:pPr>
            <w:r w:rsidRPr="00C1527F">
              <w:rPr>
                <w:rFonts w:ascii="Book Antiqua" w:hAnsi="Book Antiqua" w:cstheme="majorBidi"/>
                <w:color w:val="auto"/>
                <w:sz w:val="24"/>
                <w:szCs w:val="24"/>
              </w:rPr>
              <w:t>[45]</w:t>
            </w:r>
          </w:p>
        </w:tc>
      </w:tr>
    </w:tbl>
    <w:p w:rsidR="001F2C9C" w:rsidRPr="00C1527F" w:rsidRDefault="001F2C9C" w:rsidP="009352FD">
      <w:pPr>
        <w:autoSpaceDE w:val="0"/>
        <w:autoSpaceDN w:val="0"/>
        <w:adjustRightInd w:val="0"/>
        <w:spacing w:line="360" w:lineRule="auto"/>
        <w:jc w:val="both"/>
        <w:rPr>
          <w:rFonts w:ascii="Book Antiqua" w:hAnsi="Book Antiqua" w:cstheme="majorBidi"/>
          <w:color w:val="auto"/>
          <w:lang w:val="en-GB" w:eastAsia="zh-CN"/>
        </w:rPr>
      </w:pPr>
      <w:r w:rsidRPr="00C1527F">
        <w:rPr>
          <w:rFonts w:ascii="Book Antiqua" w:hAnsi="Book Antiqua" w:cstheme="majorBidi"/>
          <w:color w:val="auto"/>
          <w:lang w:val="en-GB"/>
        </w:rPr>
        <w:t xml:space="preserve">OS: </w:t>
      </w:r>
      <w:r w:rsidRPr="00C1527F">
        <w:rPr>
          <w:rFonts w:ascii="Book Antiqua" w:hAnsi="Book Antiqua" w:cstheme="majorBidi"/>
          <w:caps/>
          <w:color w:val="auto"/>
          <w:lang w:val="en-GB"/>
        </w:rPr>
        <w:t>o</w:t>
      </w:r>
      <w:r w:rsidRPr="00C1527F">
        <w:rPr>
          <w:rFonts w:ascii="Book Antiqua" w:hAnsi="Book Antiqua" w:cstheme="majorBidi"/>
          <w:color w:val="auto"/>
          <w:lang w:val="en-GB"/>
        </w:rPr>
        <w:t xml:space="preserve">verall survival; PFS: </w:t>
      </w:r>
      <w:r w:rsidRPr="00C1527F">
        <w:rPr>
          <w:rFonts w:ascii="Book Antiqua" w:hAnsi="Book Antiqua" w:cstheme="majorBidi"/>
          <w:caps/>
          <w:color w:val="auto"/>
          <w:lang w:val="en-GB"/>
        </w:rPr>
        <w:t>p</w:t>
      </w:r>
      <w:r w:rsidRPr="00C1527F">
        <w:rPr>
          <w:rFonts w:ascii="Book Antiqua" w:hAnsi="Book Antiqua" w:cstheme="majorBidi"/>
          <w:color w:val="auto"/>
          <w:lang w:val="en-GB"/>
        </w:rPr>
        <w:t xml:space="preserve">rogression-free survival; TTP: </w:t>
      </w:r>
      <w:r w:rsidRPr="00C1527F">
        <w:rPr>
          <w:rFonts w:ascii="Book Antiqua" w:hAnsi="Book Antiqua" w:cstheme="majorBidi"/>
          <w:caps/>
          <w:color w:val="auto"/>
          <w:lang w:val="en-GB"/>
        </w:rPr>
        <w:t>t</w:t>
      </w:r>
      <w:r w:rsidRPr="00C1527F">
        <w:rPr>
          <w:rFonts w:ascii="Book Antiqua" w:hAnsi="Book Antiqua" w:cstheme="majorBidi"/>
          <w:color w:val="auto"/>
          <w:lang w:val="en-GB"/>
        </w:rPr>
        <w:t>ime to progression;</w:t>
      </w:r>
      <w:r w:rsidRPr="00C1527F">
        <w:rPr>
          <w:rFonts w:ascii="Book Antiqua" w:hAnsi="Book Antiqua" w:cstheme="majorBidi"/>
          <w:color w:val="auto"/>
          <w:lang w:val="en-US"/>
        </w:rPr>
        <w:t xml:space="preserve"> HR: </w:t>
      </w:r>
      <w:r w:rsidRPr="00C1527F">
        <w:rPr>
          <w:rFonts w:ascii="Book Antiqua" w:hAnsi="Book Antiqua" w:cstheme="majorBidi"/>
          <w:caps/>
          <w:color w:val="auto"/>
          <w:lang w:val="en-US"/>
        </w:rPr>
        <w:t>h</w:t>
      </w:r>
      <w:r w:rsidRPr="00C1527F">
        <w:rPr>
          <w:rFonts w:ascii="Book Antiqua" w:hAnsi="Book Antiqua" w:cstheme="majorBidi"/>
          <w:color w:val="auto"/>
          <w:lang w:val="en-US"/>
        </w:rPr>
        <w:t>azard ratio</w:t>
      </w:r>
      <w:r w:rsidR="00C1527F">
        <w:rPr>
          <w:rFonts w:ascii="Book Antiqua" w:hAnsi="Book Antiqua" w:cstheme="majorBidi" w:hint="eastAsia"/>
          <w:color w:val="auto"/>
          <w:lang w:val="en-US" w:eastAsia="zh-CN"/>
        </w:rPr>
        <w:t>.</w:t>
      </w:r>
    </w:p>
    <w:p w:rsidR="001F2C9C" w:rsidRPr="00B01FC5" w:rsidRDefault="001F2C9C" w:rsidP="009352FD">
      <w:pPr>
        <w:spacing w:line="360" w:lineRule="auto"/>
        <w:jc w:val="both"/>
        <w:rPr>
          <w:rFonts w:ascii="Calibri" w:hAnsi="Calibri"/>
          <w:color w:val="auto"/>
          <w:lang w:val="en-US"/>
        </w:rPr>
      </w:pPr>
    </w:p>
    <w:p w:rsidR="00C1527F" w:rsidRDefault="00C1527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cs="Times New Roman"/>
          <w:color w:val="auto"/>
          <w:sz w:val="20"/>
          <w:szCs w:val="20"/>
          <w:lang w:val="en-US"/>
        </w:rPr>
      </w:pPr>
      <w:r>
        <w:rPr>
          <w:rFonts w:ascii="Book Antiqua" w:hAnsi="Book Antiqua" w:cs="Times New Roman"/>
          <w:color w:val="auto"/>
          <w:sz w:val="20"/>
          <w:szCs w:val="20"/>
          <w:lang w:val="en-US"/>
        </w:rPr>
        <w:br w:type="page"/>
      </w:r>
    </w:p>
    <w:p w:rsidR="001F2C9C" w:rsidRPr="00705BEF" w:rsidRDefault="001F2C9C" w:rsidP="009352FD">
      <w:pPr>
        <w:spacing w:line="360" w:lineRule="auto"/>
        <w:jc w:val="both"/>
        <w:rPr>
          <w:rFonts w:ascii="Book Antiqua" w:hAnsi="Book Antiqua" w:cs="Times New Roman"/>
          <w:b/>
          <w:color w:val="auto"/>
          <w:lang w:val="en-US" w:eastAsia="zh-CN"/>
        </w:rPr>
      </w:pPr>
      <w:r w:rsidRPr="00705BEF">
        <w:rPr>
          <w:rFonts w:ascii="Book Antiqua" w:hAnsi="Book Antiqua" w:cs="Times New Roman"/>
          <w:b/>
          <w:color w:val="auto"/>
          <w:lang w:val="en-US"/>
        </w:rPr>
        <w:lastRenderedPageBreak/>
        <w:t>Table 4</w:t>
      </w:r>
      <w:r w:rsidR="00705BEF" w:rsidRPr="00705BEF">
        <w:rPr>
          <w:rFonts w:ascii="Book Antiqua" w:hAnsi="Book Antiqua" w:cs="Times New Roman" w:hint="eastAsia"/>
          <w:b/>
          <w:color w:val="auto"/>
          <w:lang w:val="en-US" w:eastAsia="zh-CN"/>
        </w:rPr>
        <w:t xml:space="preserve"> </w:t>
      </w:r>
      <w:r w:rsidRPr="00705BEF">
        <w:rPr>
          <w:rFonts w:ascii="Book Antiqua" w:hAnsi="Book Antiqua" w:cs="Times New Roman"/>
          <w:b/>
          <w:color w:val="auto"/>
          <w:lang w:val="en-US"/>
        </w:rPr>
        <w:t xml:space="preserve">Principal ongoing studies in advanced </w:t>
      </w:r>
      <w:r w:rsidR="002114D6" w:rsidRPr="002114D6">
        <w:rPr>
          <w:rFonts w:ascii="Book Antiqua" w:hAnsi="Book Antiqua" w:cs="Times New Roman"/>
          <w:b/>
          <w:color w:val="auto"/>
          <w:lang w:val="en-US"/>
        </w:rPr>
        <w:t>hepatocellular carcinoma</w:t>
      </w:r>
      <w:r w:rsidRPr="00705BEF">
        <w:rPr>
          <w:rFonts w:ascii="Book Antiqua" w:hAnsi="Book Antiqua" w:cs="Times New Roman"/>
          <w:b/>
          <w:color w:val="auto"/>
          <w:lang w:val="en-US"/>
        </w:rPr>
        <w:t xml:space="preserve"> with n</w:t>
      </w:r>
      <w:r w:rsidR="00705BEF" w:rsidRPr="00705BEF">
        <w:rPr>
          <w:rFonts w:ascii="Book Antiqua" w:hAnsi="Book Antiqua" w:cs="Times New Roman"/>
          <w:b/>
          <w:color w:val="auto"/>
          <w:lang w:val="en-US"/>
        </w:rPr>
        <w:t>ew molecular targeted therapies</w:t>
      </w:r>
    </w:p>
    <w:tbl>
      <w:tblPr>
        <w:tblW w:w="10160" w:type="dxa"/>
        <w:jc w:val="center"/>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5379"/>
        <w:gridCol w:w="2684"/>
        <w:gridCol w:w="2097"/>
      </w:tblGrid>
      <w:tr w:rsidR="00B01FC5" w:rsidRPr="00B01FC5" w:rsidTr="002D6B47">
        <w:trPr>
          <w:trHeight w:val="393"/>
          <w:jc w:val="center"/>
        </w:trPr>
        <w:tc>
          <w:tcPr>
            <w:tcW w:w="5379" w:type="dxa"/>
            <w:tcBorders>
              <w:top w:val="single" w:sz="4" w:space="0" w:color="000000"/>
              <w:bottom w:val="single" w:sz="4" w:space="0" w:color="000000"/>
            </w:tcBorders>
            <w:shd w:val="clear" w:color="auto" w:fill="auto"/>
          </w:tcPr>
          <w:p w:rsidR="001F2C9C" w:rsidRPr="002114D6" w:rsidRDefault="001F2C9C" w:rsidP="002114D6">
            <w:pPr>
              <w:spacing w:before="2" w:after="2" w:line="360" w:lineRule="auto"/>
              <w:rPr>
                <w:rFonts w:ascii="Book Antiqua" w:hAnsi="Book Antiqua"/>
                <w:b/>
                <w:bCs/>
                <w:color w:val="auto"/>
                <w:lang w:val="en-US" w:eastAsia="it-IT"/>
              </w:rPr>
            </w:pPr>
            <w:r w:rsidRPr="002114D6">
              <w:rPr>
                <w:rFonts w:ascii="Book Antiqua" w:hAnsi="Book Antiqua"/>
                <w:b/>
                <w:bCs/>
                <w:color w:val="auto"/>
                <w:lang w:val="en-US" w:eastAsia="it-IT"/>
              </w:rPr>
              <w:t>Study</w:t>
            </w:r>
          </w:p>
        </w:tc>
        <w:tc>
          <w:tcPr>
            <w:tcW w:w="2684" w:type="dxa"/>
            <w:tcBorders>
              <w:top w:val="single" w:sz="4" w:space="0" w:color="000000"/>
              <w:bottom w:val="single" w:sz="4" w:space="0" w:color="000000"/>
            </w:tcBorders>
            <w:shd w:val="clear" w:color="auto" w:fill="auto"/>
          </w:tcPr>
          <w:p w:rsidR="001F2C9C" w:rsidRPr="002114D6" w:rsidRDefault="001F2C9C" w:rsidP="002114D6">
            <w:pPr>
              <w:spacing w:before="2" w:after="2" w:line="360" w:lineRule="auto"/>
              <w:jc w:val="center"/>
              <w:rPr>
                <w:rFonts w:ascii="Book Antiqua" w:hAnsi="Book Antiqua"/>
                <w:b/>
                <w:bCs/>
                <w:color w:val="auto"/>
                <w:lang w:val="en-US" w:eastAsia="it-IT"/>
              </w:rPr>
            </w:pPr>
            <w:r w:rsidRPr="002114D6">
              <w:rPr>
                <w:rFonts w:ascii="Book Antiqua" w:hAnsi="Book Antiqua"/>
                <w:b/>
                <w:bCs/>
                <w:color w:val="auto"/>
                <w:lang w:val="en-US" w:eastAsia="it-IT"/>
              </w:rPr>
              <w:t>Drug</w:t>
            </w:r>
          </w:p>
        </w:tc>
        <w:tc>
          <w:tcPr>
            <w:tcW w:w="2097" w:type="dxa"/>
            <w:tcBorders>
              <w:top w:val="single" w:sz="4" w:space="0" w:color="000000"/>
              <w:bottom w:val="single" w:sz="4" w:space="0" w:color="000000"/>
            </w:tcBorders>
            <w:shd w:val="clear" w:color="auto" w:fill="auto"/>
          </w:tcPr>
          <w:p w:rsidR="001F2C9C" w:rsidRPr="002114D6" w:rsidRDefault="001F2C9C" w:rsidP="002114D6">
            <w:pPr>
              <w:spacing w:before="2" w:after="2" w:line="360" w:lineRule="auto"/>
              <w:jc w:val="center"/>
              <w:rPr>
                <w:rFonts w:ascii="Book Antiqua" w:hAnsi="Book Antiqua"/>
                <w:b/>
                <w:bCs/>
                <w:color w:val="auto"/>
                <w:lang w:val="en-US" w:eastAsia="it-IT"/>
              </w:rPr>
            </w:pPr>
            <w:r w:rsidRPr="002114D6">
              <w:rPr>
                <w:rFonts w:ascii="Book Antiqua" w:hAnsi="Book Antiqua"/>
                <w:b/>
                <w:bCs/>
                <w:color w:val="auto"/>
                <w:lang w:val="en-US" w:eastAsia="it-IT"/>
              </w:rPr>
              <w:t>Status</w:t>
            </w:r>
          </w:p>
        </w:tc>
      </w:tr>
      <w:tr w:rsidR="00B01FC5" w:rsidRPr="00B01FC5" w:rsidTr="002D6B47">
        <w:trPr>
          <w:trHeight w:val="864"/>
          <w:jc w:val="center"/>
        </w:trPr>
        <w:tc>
          <w:tcPr>
            <w:tcW w:w="5379" w:type="dxa"/>
            <w:tcBorders>
              <w:top w:val="single" w:sz="4" w:space="0" w:color="000000"/>
            </w:tcBorders>
            <w:shd w:val="clear" w:color="auto" w:fill="auto"/>
          </w:tcPr>
          <w:p w:rsidR="001F2C9C" w:rsidRPr="002114D6" w:rsidRDefault="001F2C9C" w:rsidP="002114D6">
            <w:pPr>
              <w:spacing w:before="2" w:after="2" w:line="360" w:lineRule="auto"/>
              <w:rPr>
                <w:rFonts w:ascii="Book Antiqua" w:hAnsi="Book Antiqua"/>
                <w:color w:val="auto"/>
                <w:lang w:val="en-US" w:eastAsia="it-IT"/>
              </w:rPr>
            </w:pPr>
            <w:r w:rsidRPr="002114D6">
              <w:rPr>
                <w:rFonts w:ascii="Book Antiqua" w:hAnsi="Book Antiqua"/>
                <w:color w:val="auto"/>
                <w:lang w:val="en-US" w:eastAsia="it-IT"/>
              </w:rPr>
              <w:t xml:space="preserve">A multicenter, open-label, phase 3 trial to compare the efficacy and safety of lenvatinib (e7080) </w:t>
            </w:r>
            <w:r w:rsidRPr="002114D6">
              <w:rPr>
                <w:rFonts w:ascii="Book Antiqua" w:hAnsi="Book Antiqua"/>
                <w:i/>
                <w:color w:val="auto"/>
                <w:lang w:val="en-US" w:eastAsia="it-IT"/>
              </w:rPr>
              <w:t>vs</w:t>
            </w:r>
            <w:r w:rsidR="002114D6" w:rsidRPr="002114D6">
              <w:rPr>
                <w:rFonts w:ascii="Book Antiqua" w:hAnsi="Book Antiqua" w:hint="eastAsia"/>
                <w:color w:val="auto"/>
                <w:lang w:val="en-US" w:eastAsia="zh-CN"/>
              </w:rPr>
              <w:t xml:space="preserve"> </w:t>
            </w:r>
            <w:r w:rsidRPr="002114D6">
              <w:rPr>
                <w:rFonts w:ascii="Book Antiqua" w:hAnsi="Book Antiqua"/>
                <w:color w:val="auto"/>
                <w:lang w:val="en-US" w:eastAsia="it-IT"/>
              </w:rPr>
              <w:t>sorafenib in first-line treatment of subjects with unresectable hepatocellular carcinoma</w:t>
            </w:r>
          </w:p>
        </w:tc>
        <w:tc>
          <w:tcPr>
            <w:tcW w:w="2684" w:type="dxa"/>
            <w:tcBorders>
              <w:top w:val="single" w:sz="4" w:space="0" w:color="000000"/>
            </w:tcBorders>
            <w:shd w:val="clear" w:color="auto" w:fill="auto"/>
          </w:tcPr>
          <w:p w:rsidR="001F2C9C" w:rsidRPr="002114D6" w:rsidRDefault="001F2C9C" w:rsidP="002114D6">
            <w:pPr>
              <w:spacing w:before="2" w:after="2" w:line="360" w:lineRule="auto"/>
              <w:jc w:val="center"/>
              <w:rPr>
                <w:rFonts w:ascii="Book Antiqua" w:hAnsi="Book Antiqua"/>
                <w:color w:val="auto"/>
                <w:lang w:val="en-US" w:eastAsia="it-IT"/>
              </w:rPr>
            </w:pPr>
            <w:r w:rsidRPr="002114D6">
              <w:rPr>
                <w:rFonts w:ascii="Book Antiqua" w:hAnsi="Book Antiqua"/>
                <w:color w:val="auto"/>
                <w:lang w:val="en-US" w:eastAsia="it-IT"/>
              </w:rPr>
              <w:t xml:space="preserve">lenvatinib </w:t>
            </w:r>
            <w:r w:rsidR="002114D6" w:rsidRPr="002114D6">
              <w:rPr>
                <w:rFonts w:ascii="Book Antiqua" w:hAnsi="Book Antiqua"/>
                <w:i/>
                <w:color w:val="auto"/>
                <w:lang w:val="en-US" w:eastAsia="it-IT"/>
              </w:rPr>
              <w:t>vs</w:t>
            </w:r>
            <w:r w:rsidRPr="002114D6">
              <w:rPr>
                <w:rFonts w:ascii="Book Antiqua" w:hAnsi="Book Antiqua"/>
                <w:color w:val="auto"/>
                <w:lang w:val="en-US" w:eastAsia="it-IT"/>
              </w:rPr>
              <w:t xml:space="preserve"> sorafenib</w:t>
            </w:r>
          </w:p>
        </w:tc>
        <w:tc>
          <w:tcPr>
            <w:tcW w:w="2097" w:type="dxa"/>
            <w:tcBorders>
              <w:top w:val="single" w:sz="4" w:space="0" w:color="000000"/>
            </w:tcBorders>
            <w:shd w:val="clear" w:color="auto" w:fill="auto"/>
          </w:tcPr>
          <w:p w:rsidR="001F2C9C" w:rsidRPr="002114D6" w:rsidRDefault="001F2C9C" w:rsidP="002114D6">
            <w:pPr>
              <w:spacing w:before="2" w:after="2" w:line="360" w:lineRule="auto"/>
              <w:jc w:val="center"/>
              <w:rPr>
                <w:rFonts w:ascii="Book Antiqua" w:hAnsi="Book Antiqua"/>
                <w:color w:val="auto"/>
                <w:lang w:val="en-US" w:eastAsia="it-IT"/>
              </w:rPr>
            </w:pPr>
            <w:r w:rsidRPr="002E0570">
              <w:rPr>
                <w:rFonts w:ascii="Book Antiqua" w:hAnsi="Book Antiqua"/>
                <w:caps/>
                <w:color w:val="auto"/>
                <w:lang w:val="en-US" w:eastAsia="it-IT"/>
              </w:rPr>
              <w:t>a</w:t>
            </w:r>
            <w:r w:rsidRPr="002114D6">
              <w:rPr>
                <w:rFonts w:ascii="Book Antiqua" w:hAnsi="Book Antiqua"/>
                <w:color w:val="auto"/>
                <w:lang w:val="en-US" w:eastAsia="it-IT"/>
              </w:rPr>
              <w:t>ctive, not recruiting</w:t>
            </w:r>
          </w:p>
        </w:tc>
      </w:tr>
      <w:tr w:rsidR="00B01FC5" w:rsidRPr="00B01FC5" w:rsidTr="002D6B47">
        <w:trPr>
          <w:trHeight w:val="629"/>
          <w:jc w:val="center"/>
        </w:trPr>
        <w:tc>
          <w:tcPr>
            <w:tcW w:w="5379" w:type="dxa"/>
            <w:shd w:val="clear" w:color="auto" w:fill="auto"/>
          </w:tcPr>
          <w:p w:rsidR="001F2C9C" w:rsidRPr="002114D6" w:rsidRDefault="001F2C9C" w:rsidP="002114D6">
            <w:pPr>
              <w:spacing w:before="2" w:after="2" w:line="360" w:lineRule="auto"/>
              <w:rPr>
                <w:rFonts w:ascii="Book Antiqua" w:hAnsi="Book Antiqua"/>
                <w:color w:val="auto"/>
                <w:lang w:val="en-US" w:eastAsia="it-IT"/>
              </w:rPr>
            </w:pPr>
            <w:r w:rsidRPr="002114D6">
              <w:rPr>
                <w:rFonts w:ascii="Book Antiqua" w:hAnsi="Book Antiqua"/>
                <w:color w:val="auto"/>
                <w:lang w:val="en-US" w:eastAsia="it-IT"/>
              </w:rPr>
              <w:t>Study of regorafenib after sorafenib in patients with hepatocellular carcinoma (RESORCE)</w:t>
            </w:r>
          </w:p>
        </w:tc>
        <w:tc>
          <w:tcPr>
            <w:tcW w:w="2684" w:type="dxa"/>
            <w:shd w:val="clear" w:color="auto" w:fill="auto"/>
          </w:tcPr>
          <w:p w:rsidR="001F2C9C" w:rsidRPr="002114D6" w:rsidRDefault="002114D6" w:rsidP="002114D6">
            <w:pPr>
              <w:spacing w:before="2" w:after="2" w:line="360" w:lineRule="auto"/>
              <w:jc w:val="center"/>
              <w:rPr>
                <w:rFonts w:ascii="Book Antiqua" w:hAnsi="Book Antiqua"/>
                <w:color w:val="auto"/>
                <w:lang w:val="en-US" w:eastAsia="it-IT"/>
              </w:rPr>
            </w:pPr>
            <w:r w:rsidRPr="002114D6">
              <w:rPr>
                <w:rFonts w:ascii="Book Antiqua" w:hAnsi="Book Antiqua"/>
                <w:color w:val="auto"/>
                <w:lang w:val="en-US" w:eastAsia="it-IT"/>
              </w:rPr>
              <w:t>R</w:t>
            </w:r>
            <w:r w:rsidR="001F2C9C" w:rsidRPr="002114D6">
              <w:rPr>
                <w:rFonts w:ascii="Book Antiqua" w:hAnsi="Book Antiqua"/>
                <w:color w:val="auto"/>
                <w:lang w:val="en-US" w:eastAsia="it-IT"/>
              </w:rPr>
              <w:t>egorafenib</w:t>
            </w:r>
            <w:r>
              <w:rPr>
                <w:rFonts w:ascii="Book Antiqua" w:hAnsi="Book Antiqua" w:hint="eastAsia"/>
                <w:color w:val="auto"/>
                <w:lang w:val="en-US" w:eastAsia="zh-CN"/>
              </w:rPr>
              <w:t xml:space="preserve"> </w:t>
            </w:r>
            <w:r w:rsidRPr="002114D6">
              <w:rPr>
                <w:rFonts w:ascii="Book Antiqua" w:hAnsi="Book Antiqua"/>
                <w:i/>
                <w:color w:val="auto"/>
                <w:lang w:val="en-US" w:eastAsia="it-IT"/>
              </w:rPr>
              <w:t>vs</w:t>
            </w:r>
            <w:r>
              <w:rPr>
                <w:rFonts w:ascii="Book Antiqua" w:hAnsi="Book Antiqua" w:hint="eastAsia"/>
                <w:color w:val="auto"/>
                <w:lang w:val="en-US" w:eastAsia="zh-CN"/>
              </w:rPr>
              <w:t xml:space="preserve"> </w:t>
            </w:r>
            <w:r w:rsidR="001F2C9C" w:rsidRPr="002114D6">
              <w:rPr>
                <w:rFonts w:ascii="Book Antiqua" w:hAnsi="Book Antiqua"/>
                <w:color w:val="auto"/>
                <w:lang w:val="en-US" w:eastAsia="it-IT"/>
              </w:rPr>
              <w:t>placebo</w:t>
            </w:r>
          </w:p>
        </w:tc>
        <w:tc>
          <w:tcPr>
            <w:tcW w:w="2097" w:type="dxa"/>
            <w:shd w:val="clear" w:color="auto" w:fill="auto"/>
          </w:tcPr>
          <w:p w:rsidR="001F2C9C" w:rsidRPr="002114D6" w:rsidRDefault="001F2C9C" w:rsidP="002114D6">
            <w:pPr>
              <w:spacing w:before="2" w:after="2" w:line="360" w:lineRule="auto"/>
              <w:jc w:val="center"/>
              <w:rPr>
                <w:rFonts w:ascii="Book Antiqua" w:hAnsi="Book Antiqua"/>
                <w:color w:val="auto"/>
                <w:lang w:val="en-US" w:eastAsia="it-IT"/>
              </w:rPr>
            </w:pPr>
            <w:r w:rsidRPr="002E0570">
              <w:rPr>
                <w:rFonts w:ascii="Book Antiqua" w:hAnsi="Book Antiqua"/>
                <w:caps/>
                <w:color w:val="auto"/>
                <w:lang w:val="en-US" w:eastAsia="it-IT"/>
              </w:rPr>
              <w:t>r</w:t>
            </w:r>
            <w:r w:rsidRPr="002114D6">
              <w:rPr>
                <w:rFonts w:ascii="Book Antiqua" w:hAnsi="Book Antiqua"/>
                <w:color w:val="auto"/>
                <w:lang w:val="en-US" w:eastAsia="it-IT"/>
              </w:rPr>
              <w:t>ecruiting</w:t>
            </w:r>
          </w:p>
        </w:tc>
      </w:tr>
      <w:tr w:rsidR="00B01FC5" w:rsidRPr="00B01FC5" w:rsidTr="002D6B47">
        <w:trPr>
          <w:trHeight w:val="629"/>
          <w:jc w:val="center"/>
        </w:trPr>
        <w:tc>
          <w:tcPr>
            <w:tcW w:w="5379" w:type="dxa"/>
            <w:shd w:val="clear" w:color="auto" w:fill="auto"/>
          </w:tcPr>
          <w:p w:rsidR="001F2C9C" w:rsidRPr="002114D6" w:rsidRDefault="001F2C9C" w:rsidP="002114D6">
            <w:pPr>
              <w:spacing w:before="2" w:after="2" w:line="360" w:lineRule="auto"/>
              <w:rPr>
                <w:rFonts w:ascii="Book Antiqua" w:hAnsi="Book Antiqua"/>
                <w:color w:val="auto"/>
                <w:lang w:val="en-US" w:eastAsia="it-IT"/>
              </w:rPr>
            </w:pPr>
            <w:r w:rsidRPr="002114D6">
              <w:rPr>
                <w:rFonts w:ascii="Book Antiqua" w:hAnsi="Book Antiqua"/>
                <w:color w:val="auto"/>
                <w:lang w:val="en-US" w:eastAsia="it-IT"/>
              </w:rPr>
              <w:t xml:space="preserve">A study of </w:t>
            </w:r>
            <w:r w:rsidR="002114D6">
              <w:rPr>
                <w:rFonts w:ascii="Book Antiqua" w:hAnsi="Book Antiqua"/>
                <w:color w:val="auto"/>
                <w:lang w:val="en-US" w:eastAsia="it-IT"/>
              </w:rPr>
              <w:t>Dovitinib</w:t>
            </w:r>
            <w:r w:rsidR="002114D6">
              <w:rPr>
                <w:rFonts w:ascii="Book Antiqua" w:hAnsi="Book Antiqua" w:hint="eastAsia"/>
                <w:color w:val="auto"/>
                <w:lang w:val="en-US" w:eastAsia="zh-CN"/>
              </w:rPr>
              <w:t xml:space="preserve"> </w:t>
            </w:r>
            <w:r w:rsidR="002114D6" w:rsidRPr="002114D6">
              <w:rPr>
                <w:rFonts w:ascii="Book Antiqua" w:hAnsi="Book Antiqua"/>
                <w:i/>
                <w:color w:val="auto"/>
                <w:lang w:val="en-US" w:eastAsia="it-IT"/>
              </w:rPr>
              <w:t>vs</w:t>
            </w:r>
            <w:r w:rsidR="002114D6">
              <w:rPr>
                <w:rFonts w:ascii="Book Antiqua" w:hAnsi="Book Antiqua" w:hint="eastAsia"/>
                <w:color w:val="auto"/>
                <w:lang w:val="en-US" w:eastAsia="zh-CN"/>
              </w:rPr>
              <w:t xml:space="preserve"> </w:t>
            </w:r>
            <w:r w:rsidRPr="002114D6">
              <w:rPr>
                <w:rFonts w:ascii="Book Antiqua" w:hAnsi="Book Antiqua"/>
                <w:color w:val="auto"/>
                <w:lang w:val="en-US" w:eastAsia="it-IT"/>
              </w:rPr>
              <w:t>sorafenib in adult patients with hepatocellular carcinoma as a first line treatment</w:t>
            </w:r>
          </w:p>
        </w:tc>
        <w:tc>
          <w:tcPr>
            <w:tcW w:w="2684" w:type="dxa"/>
            <w:shd w:val="clear" w:color="auto" w:fill="auto"/>
          </w:tcPr>
          <w:p w:rsidR="001F2C9C" w:rsidRPr="002114D6" w:rsidRDefault="002114D6" w:rsidP="002114D6">
            <w:pPr>
              <w:spacing w:before="2" w:after="2" w:line="360" w:lineRule="auto"/>
              <w:jc w:val="center"/>
              <w:rPr>
                <w:rFonts w:ascii="Book Antiqua" w:hAnsi="Book Antiqua"/>
                <w:color w:val="auto"/>
                <w:lang w:val="en-US" w:eastAsia="it-IT"/>
              </w:rPr>
            </w:pPr>
            <w:r>
              <w:rPr>
                <w:rFonts w:ascii="Book Antiqua" w:hAnsi="Book Antiqua"/>
                <w:color w:val="auto"/>
                <w:lang w:val="en-US" w:eastAsia="it-IT"/>
              </w:rPr>
              <w:t>Dovitinib</w:t>
            </w:r>
            <w:r>
              <w:rPr>
                <w:rFonts w:ascii="Book Antiqua" w:hAnsi="Book Antiqua" w:hint="eastAsia"/>
                <w:color w:val="auto"/>
                <w:lang w:val="en-US" w:eastAsia="zh-CN"/>
              </w:rPr>
              <w:t xml:space="preserve"> </w:t>
            </w:r>
            <w:r w:rsidRPr="002114D6">
              <w:rPr>
                <w:rFonts w:ascii="Book Antiqua" w:hAnsi="Book Antiqua"/>
                <w:i/>
                <w:color w:val="auto"/>
                <w:lang w:val="en-US" w:eastAsia="it-IT"/>
              </w:rPr>
              <w:t>vs</w:t>
            </w:r>
            <w:r w:rsidR="001F2C9C" w:rsidRPr="002114D6">
              <w:rPr>
                <w:rFonts w:ascii="Book Antiqua" w:hAnsi="Book Antiqua"/>
                <w:color w:val="auto"/>
                <w:lang w:val="en-US" w:eastAsia="it-IT"/>
              </w:rPr>
              <w:t xml:space="preserve"> sorafenib</w:t>
            </w:r>
          </w:p>
        </w:tc>
        <w:tc>
          <w:tcPr>
            <w:tcW w:w="2097" w:type="dxa"/>
            <w:shd w:val="clear" w:color="auto" w:fill="auto"/>
          </w:tcPr>
          <w:p w:rsidR="001F2C9C" w:rsidRPr="002114D6" w:rsidRDefault="001F2C9C" w:rsidP="002114D6">
            <w:pPr>
              <w:spacing w:before="2" w:after="2" w:line="360" w:lineRule="auto"/>
              <w:jc w:val="center"/>
              <w:rPr>
                <w:rFonts w:ascii="Book Antiqua" w:hAnsi="Book Antiqua"/>
                <w:color w:val="auto"/>
                <w:lang w:val="en-US" w:eastAsia="it-IT"/>
              </w:rPr>
            </w:pPr>
            <w:r w:rsidRPr="002E0570">
              <w:rPr>
                <w:rFonts w:ascii="Book Antiqua" w:hAnsi="Book Antiqua"/>
                <w:caps/>
                <w:color w:val="auto"/>
                <w:lang w:val="en-US" w:eastAsia="it-IT"/>
              </w:rPr>
              <w:t>c</w:t>
            </w:r>
            <w:r w:rsidRPr="002114D6">
              <w:rPr>
                <w:rFonts w:ascii="Book Antiqua" w:hAnsi="Book Antiqua"/>
                <w:color w:val="auto"/>
                <w:lang w:val="en-US" w:eastAsia="it-IT"/>
              </w:rPr>
              <w:t>ompleted (phase 2)</w:t>
            </w:r>
          </w:p>
        </w:tc>
      </w:tr>
      <w:tr w:rsidR="00B01FC5" w:rsidRPr="00B01FC5" w:rsidTr="002D6B47">
        <w:trPr>
          <w:trHeight w:val="629"/>
          <w:jc w:val="center"/>
        </w:trPr>
        <w:tc>
          <w:tcPr>
            <w:tcW w:w="5379" w:type="dxa"/>
            <w:shd w:val="clear" w:color="auto" w:fill="auto"/>
          </w:tcPr>
          <w:p w:rsidR="001F2C9C" w:rsidRPr="002114D6" w:rsidRDefault="001F2C9C" w:rsidP="002114D6">
            <w:pPr>
              <w:spacing w:before="2" w:after="2" w:line="360" w:lineRule="auto"/>
              <w:rPr>
                <w:rFonts w:ascii="Book Antiqua" w:hAnsi="Book Antiqua"/>
                <w:color w:val="auto"/>
                <w:lang w:val="en-US" w:eastAsia="zh-CN"/>
              </w:rPr>
            </w:pPr>
            <w:r w:rsidRPr="002114D6">
              <w:rPr>
                <w:rFonts w:ascii="Book Antiqua" w:hAnsi="Book Antiqua"/>
                <w:color w:val="auto"/>
                <w:lang w:val="en-US" w:eastAsia="it-IT"/>
              </w:rPr>
              <w:t>A study of nivolumab</w:t>
            </w:r>
            <w:r w:rsidR="002114D6">
              <w:rPr>
                <w:rFonts w:ascii="Book Antiqua" w:hAnsi="Book Antiqua" w:hint="eastAsia"/>
                <w:color w:val="auto"/>
                <w:lang w:val="en-US" w:eastAsia="zh-CN"/>
              </w:rPr>
              <w:t xml:space="preserve"> </w:t>
            </w:r>
            <w:r w:rsidR="002114D6" w:rsidRPr="002114D6">
              <w:rPr>
                <w:rFonts w:ascii="Book Antiqua" w:hAnsi="Book Antiqua"/>
                <w:i/>
                <w:color w:val="auto"/>
                <w:lang w:val="en-US" w:eastAsia="it-IT"/>
              </w:rPr>
              <w:t>vs</w:t>
            </w:r>
            <w:r w:rsidRPr="002114D6">
              <w:rPr>
                <w:rFonts w:ascii="Book Antiqua" w:hAnsi="Book Antiqua"/>
                <w:color w:val="auto"/>
                <w:lang w:val="en-US" w:eastAsia="it-IT"/>
              </w:rPr>
              <w:t xml:space="preserve"> sorafenib as first-line treatment in patients with ad</w:t>
            </w:r>
            <w:r w:rsidR="002114D6" w:rsidRPr="002114D6">
              <w:rPr>
                <w:rFonts w:ascii="Book Antiqua" w:hAnsi="Book Antiqua"/>
                <w:color w:val="auto"/>
                <w:lang w:val="en-US" w:eastAsia="it-IT"/>
              </w:rPr>
              <w:t>vanced hepatocellular carcinoma</w:t>
            </w:r>
          </w:p>
        </w:tc>
        <w:tc>
          <w:tcPr>
            <w:tcW w:w="2684" w:type="dxa"/>
            <w:shd w:val="clear" w:color="auto" w:fill="auto"/>
          </w:tcPr>
          <w:p w:rsidR="001F2C9C" w:rsidRPr="002114D6" w:rsidRDefault="001F2C9C" w:rsidP="002114D6">
            <w:pPr>
              <w:spacing w:before="2" w:after="2" w:line="360" w:lineRule="auto"/>
              <w:jc w:val="center"/>
              <w:rPr>
                <w:rFonts w:ascii="Book Antiqua" w:hAnsi="Book Antiqua"/>
                <w:color w:val="auto"/>
                <w:lang w:val="en-US" w:eastAsia="it-IT"/>
              </w:rPr>
            </w:pPr>
            <w:r w:rsidRPr="002114D6">
              <w:rPr>
                <w:rFonts w:ascii="Book Antiqua" w:hAnsi="Book Antiqua"/>
                <w:color w:val="auto"/>
                <w:lang w:val="en-US" w:eastAsia="it-IT"/>
              </w:rPr>
              <w:t>Nivolumab</w:t>
            </w:r>
            <w:r w:rsidR="002114D6">
              <w:rPr>
                <w:rFonts w:ascii="Book Antiqua" w:hAnsi="Book Antiqua" w:hint="eastAsia"/>
                <w:color w:val="auto"/>
                <w:lang w:val="en-US" w:eastAsia="zh-CN"/>
              </w:rPr>
              <w:t xml:space="preserve"> </w:t>
            </w:r>
            <w:r w:rsidR="002114D6" w:rsidRPr="002114D6">
              <w:rPr>
                <w:rFonts w:ascii="Book Antiqua" w:hAnsi="Book Antiqua"/>
                <w:i/>
                <w:color w:val="auto"/>
                <w:lang w:val="en-US" w:eastAsia="it-IT"/>
              </w:rPr>
              <w:t>vs</w:t>
            </w:r>
            <w:r w:rsidRPr="002114D6">
              <w:rPr>
                <w:rFonts w:ascii="Book Antiqua" w:hAnsi="Book Antiqua"/>
                <w:color w:val="auto"/>
                <w:lang w:val="en-US" w:eastAsia="it-IT"/>
              </w:rPr>
              <w:t xml:space="preserve"> sorafenib</w:t>
            </w:r>
          </w:p>
        </w:tc>
        <w:tc>
          <w:tcPr>
            <w:tcW w:w="2097" w:type="dxa"/>
            <w:shd w:val="clear" w:color="auto" w:fill="auto"/>
          </w:tcPr>
          <w:p w:rsidR="001F2C9C" w:rsidRPr="002114D6" w:rsidRDefault="001F2C9C" w:rsidP="002114D6">
            <w:pPr>
              <w:spacing w:before="2" w:after="2" w:line="360" w:lineRule="auto"/>
              <w:jc w:val="center"/>
              <w:rPr>
                <w:rFonts w:ascii="Book Antiqua" w:hAnsi="Book Antiqua"/>
                <w:color w:val="auto"/>
                <w:lang w:val="en-US" w:eastAsia="it-IT"/>
              </w:rPr>
            </w:pPr>
            <w:r w:rsidRPr="002E0570">
              <w:rPr>
                <w:rFonts w:ascii="Book Antiqua" w:hAnsi="Book Antiqua"/>
                <w:caps/>
                <w:color w:val="auto"/>
                <w:lang w:val="en-US" w:eastAsia="it-IT"/>
              </w:rPr>
              <w:t>r</w:t>
            </w:r>
            <w:r w:rsidRPr="002114D6">
              <w:rPr>
                <w:rFonts w:ascii="Book Antiqua" w:hAnsi="Book Antiqua"/>
                <w:color w:val="auto"/>
                <w:lang w:val="en-US" w:eastAsia="it-IT"/>
              </w:rPr>
              <w:t>ecruiting</w:t>
            </w:r>
          </w:p>
        </w:tc>
      </w:tr>
    </w:tbl>
    <w:p w:rsidR="00705BEF" w:rsidRDefault="00705BE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cs="AdvP43C0B1"/>
          <w:color w:val="auto"/>
          <w:sz w:val="20"/>
          <w:szCs w:val="20"/>
          <w:lang w:val="en-US" w:eastAsia="zh-CN"/>
        </w:rPr>
      </w:pPr>
    </w:p>
    <w:p w:rsidR="00705BEF" w:rsidRDefault="00705BE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cs="AdvP43C0B1"/>
          <w:color w:val="auto"/>
          <w:sz w:val="20"/>
          <w:szCs w:val="20"/>
          <w:lang w:val="en-US"/>
        </w:rPr>
      </w:pPr>
      <w:r>
        <w:rPr>
          <w:rFonts w:ascii="Book Antiqua" w:hAnsi="Book Antiqua" w:cs="AdvP43C0B1"/>
          <w:color w:val="auto"/>
          <w:sz w:val="20"/>
          <w:szCs w:val="20"/>
          <w:lang w:val="en-US"/>
        </w:rPr>
        <w:br w:type="page"/>
      </w:r>
    </w:p>
    <w:p w:rsidR="002A73B0" w:rsidRPr="002E0570" w:rsidRDefault="002A73B0" w:rsidP="009352FD">
      <w:pPr>
        <w:autoSpaceDE w:val="0"/>
        <w:autoSpaceDN w:val="0"/>
        <w:adjustRightInd w:val="0"/>
        <w:spacing w:line="360" w:lineRule="auto"/>
        <w:jc w:val="both"/>
        <w:rPr>
          <w:rFonts w:ascii="Book Antiqua" w:hAnsi="Book Antiqua" w:cs="AdvP43C0B1"/>
          <w:b/>
          <w:color w:val="auto"/>
          <w:lang w:val="en-US" w:eastAsia="zh-CN"/>
        </w:rPr>
      </w:pPr>
      <w:r w:rsidRPr="002E0570">
        <w:rPr>
          <w:rFonts w:ascii="Book Antiqua" w:hAnsi="Book Antiqua" w:cs="AdvP43C0B1"/>
          <w:b/>
          <w:color w:val="auto"/>
          <w:lang w:val="en-US"/>
        </w:rPr>
        <w:lastRenderedPageBreak/>
        <w:t>Table 5</w:t>
      </w:r>
      <w:r w:rsidR="002E0570" w:rsidRPr="002E0570">
        <w:rPr>
          <w:rFonts w:ascii="Book Antiqua" w:hAnsi="Book Antiqua" w:cs="AdvP43C0B1" w:hint="eastAsia"/>
          <w:b/>
          <w:color w:val="auto"/>
          <w:lang w:val="en-US" w:eastAsia="zh-CN"/>
        </w:rPr>
        <w:t xml:space="preserve"> </w:t>
      </w:r>
      <w:r w:rsidRPr="002E0570">
        <w:rPr>
          <w:rFonts w:ascii="Book Antiqua" w:hAnsi="Book Antiqua" w:cs="AdvP43C0B1"/>
          <w:b/>
          <w:color w:val="auto"/>
          <w:lang w:val="en-US"/>
        </w:rPr>
        <w:t>Assessment of target lesion response:</w:t>
      </w:r>
      <w:r w:rsidR="00105E8E">
        <w:rPr>
          <w:rFonts w:ascii="Book Antiqua" w:hAnsi="Book Antiqua" w:cs="AdvP43C0B1" w:hint="eastAsia"/>
          <w:b/>
          <w:color w:val="auto"/>
          <w:lang w:val="en-US" w:eastAsia="zh-CN"/>
        </w:rPr>
        <w:t xml:space="preserve"> </w:t>
      </w:r>
      <w:r w:rsidRPr="002E0570">
        <w:rPr>
          <w:rFonts w:ascii="Book Antiqua" w:hAnsi="Book Antiqua" w:cs="AdvP43C0B1"/>
          <w:b/>
          <w:caps/>
          <w:color w:val="auto"/>
          <w:lang w:val="en-US"/>
        </w:rPr>
        <w:t>c</w:t>
      </w:r>
      <w:r w:rsidRPr="002E0570">
        <w:rPr>
          <w:rFonts w:ascii="Book Antiqua" w:hAnsi="Book Antiqua" w:cs="AdvP43C0B1"/>
          <w:b/>
          <w:color w:val="auto"/>
          <w:lang w:val="en-US"/>
        </w:rPr>
        <w:t xml:space="preserve">onventional </w:t>
      </w:r>
      <w:r w:rsidR="002E0570" w:rsidRPr="002E0570">
        <w:rPr>
          <w:rFonts w:ascii="Book Antiqua" w:hAnsi="Book Antiqua" w:cs="AdvP43C0B1"/>
          <w:b/>
          <w:color w:val="auto"/>
          <w:lang w:val="en-US"/>
        </w:rPr>
        <w:t>Response Evaluation Criteria in Solid Tumors</w:t>
      </w:r>
      <w:r w:rsidRPr="002E0570">
        <w:rPr>
          <w:rFonts w:ascii="Book Antiqua" w:hAnsi="Book Antiqua" w:cs="AdvP43C0B1"/>
          <w:b/>
          <w:color w:val="auto"/>
          <w:lang w:val="en-US"/>
        </w:rPr>
        <w:t xml:space="preserve"> and </w:t>
      </w:r>
      <w:r w:rsidR="002E0570" w:rsidRPr="002E0570">
        <w:rPr>
          <w:rFonts w:ascii="Book Antiqua" w:hAnsi="Book Antiqua" w:cs="AdvP43C0B1"/>
          <w:b/>
          <w:color w:val="auto"/>
          <w:lang w:val="en-US"/>
        </w:rPr>
        <w:t>modified Response Evaluation Criteria in Solid Tumors</w:t>
      </w:r>
      <w:r w:rsidRPr="002E0570">
        <w:rPr>
          <w:rFonts w:ascii="Book Antiqua" w:hAnsi="Book Antiqua" w:cs="AdvP43C0B1"/>
          <w:b/>
          <w:color w:val="auto"/>
          <w:lang w:val="en-US"/>
        </w:rPr>
        <w:t xml:space="preserve"> assessment for </w:t>
      </w:r>
      <w:r w:rsidR="002E0570" w:rsidRPr="002E0570">
        <w:rPr>
          <w:rFonts w:ascii="Book Antiqua" w:hAnsi="Book Antiqua" w:cs="AdvP43C0B1"/>
          <w:b/>
          <w:color w:val="auto"/>
          <w:lang w:val="en-US"/>
        </w:rPr>
        <w:t>hepatocellular carcinoma</w:t>
      </w:r>
      <w:r w:rsidRPr="002E0570">
        <w:rPr>
          <w:rFonts w:ascii="Book Antiqua" w:hAnsi="Book Antiqua" w:cs="AdvP43C0B1"/>
          <w:b/>
          <w:color w:val="auto"/>
          <w:lang w:val="en-US"/>
        </w:rPr>
        <w:t xml:space="preserve"> fol</w:t>
      </w:r>
      <w:r w:rsidR="002E0570" w:rsidRPr="002E0570">
        <w:rPr>
          <w:rFonts w:ascii="Book Antiqua" w:hAnsi="Book Antiqua" w:cs="AdvP43C0B1"/>
          <w:b/>
          <w:color w:val="auto"/>
          <w:lang w:val="en-US"/>
        </w:rPr>
        <w:t>lowing the American Association for the Study of Liver Diseases-Journal of the National Cancer Institute guideline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B01FC5" w:rsidRPr="00B01FC5" w:rsidTr="002D6B47">
        <w:tc>
          <w:tcPr>
            <w:tcW w:w="4889" w:type="dxa"/>
            <w:tcBorders>
              <w:top w:val="single" w:sz="4" w:space="0" w:color="auto"/>
              <w:bottom w:val="single" w:sz="4" w:space="0" w:color="auto"/>
            </w:tcBorders>
          </w:tcPr>
          <w:p w:rsidR="002A73B0" w:rsidRPr="002E0570" w:rsidRDefault="002A73B0" w:rsidP="002E0570">
            <w:pPr>
              <w:autoSpaceDE w:val="0"/>
              <w:autoSpaceDN w:val="0"/>
              <w:adjustRightInd w:val="0"/>
              <w:spacing w:line="360" w:lineRule="auto"/>
              <w:rPr>
                <w:rFonts w:ascii="Book Antiqua" w:hAnsi="Book Antiqua" w:cs="AdvP43C0B1"/>
                <w:b/>
                <w:color w:val="auto"/>
                <w:sz w:val="24"/>
                <w:szCs w:val="24"/>
                <w:lang w:val="en-US"/>
              </w:rPr>
            </w:pPr>
            <w:r w:rsidRPr="002E0570">
              <w:rPr>
                <w:rFonts w:ascii="Book Antiqua" w:hAnsi="Book Antiqua" w:cs="AdvP43C0B1"/>
                <w:b/>
                <w:color w:val="auto"/>
                <w:sz w:val="24"/>
                <w:szCs w:val="24"/>
                <w:lang w:val="en-US"/>
              </w:rPr>
              <w:t>RECIST</w:t>
            </w:r>
          </w:p>
        </w:tc>
        <w:tc>
          <w:tcPr>
            <w:tcW w:w="4889" w:type="dxa"/>
            <w:tcBorders>
              <w:top w:val="single" w:sz="4" w:space="0" w:color="auto"/>
              <w:bottom w:val="single" w:sz="4" w:space="0" w:color="auto"/>
            </w:tcBorders>
          </w:tcPr>
          <w:p w:rsidR="002A73B0" w:rsidRPr="002E0570" w:rsidRDefault="002A73B0" w:rsidP="002E0570">
            <w:pPr>
              <w:autoSpaceDE w:val="0"/>
              <w:autoSpaceDN w:val="0"/>
              <w:adjustRightInd w:val="0"/>
              <w:spacing w:line="360" w:lineRule="auto"/>
              <w:jc w:val="center"/>
              <w:rPr>
                <w:rFonts w:ascii="Book Antiqua" w:hAnsi="Book Antiqua" w:cs="AdvP43C0B1"/>
                <w:b/>
                <w:color w:val="auto"/>
                <w:sz w:val="24"/>
                <w:szCs w:val="24"/>
                <w:lang w:val="en-US"/>
              </w:rPr>
            </w:pPr>
            <w:r w:rsidRPr="002E0570">
              <w:rPr>
                <w:rFonts w:ascii="Book Antiqua" w:hAnsi="Book Antiqua" w:cs="AdvP43C0B1"/>
                <w:b/>
                <w:color w:val="auto"/>
                <w:sz w:val="24"/>
                <w:szCs w:val="24"/>
                <w:lang w:val="en-US"/>
              </w:rPr>
              <w:t>mRECIST</w:t>
            </w:r>
          </w:p>
        </w:tc>
      </w:tr>
      <w:tr w:rsidR="00B01FC5" w:rsidRPr="00DC440B" w:rsidTr="002D6B47">
        <w:tc>
          <w:tcPr>
            <w:tcW w:w="4889" w:type="dxa"/>
            <w:tcBorders>
              <w:top w:val="single" w:sz="4" w:space="0" w:color="auto"/>
            </w:tcBorders>
          </w:tcPr>
          <w:p w:rsidR="002A73B0" w:rsidRPr="002E0570" w:rsidRDefault="002A73B0" w:rsidP="002E0570">
            <w:pPr>
              <w:autoSpaceDE w:val="0"/>
              <w:autoSpaceDN w:val="0"/>
              <w:adjustRightInd w:val="0"/>
              <w:spacing w:line="360" w:lineRule="auto"/>
              <w:rPr>
                <w:rFonts w:ascii="Book Antiqua" w:hAnsi="Book Antiqua" w:cs="AdvP43C0B1"/>
                <w:color w:val="auto"/>
                <w:sz w:val="24"/>
                <w:szCs w:val="24"/>
                <w:lang w:val="en-US"/>
              </w:rPr>
            </w:pPr>
            <w:r w:rsidRPr="002E0570">
              <w:rPr>
                <w:rFonts w:ascii="Book Antiqua" w:hAnsi="Book Antiqua" w:cs="AdvP4A9784"/>
                <w:color w:val="auto"/>
                <w:sz w:val="24"/>
                <w:szCs w:val="24"/>
                <w:lang w:val="en-US"/>
              </w:rPr>
              <w:t>CR</w:t>
            </w:r>
            <w:r w:rsidRPr="002E0570">
              <w:rPr>
                <w:rFonts w:ascii="Book Antiqua" w:hAnsi="Book Antiqua" w:cs="AdvP4C4E74"/>
                <w:color w:val="auto"/>
                <w:sz w:val="24"/>
                <w:szCs w:val="24"/>
                <w:lang w:val="en-US"/>
              </w:rPr>
              <w:t xml:space="preserve">: </w:t>
            </w:r>
            <w:r w:rsidRPr="002E0570">
              <w:rPr>
                <w:rFonts w:ascii="Book Antiqua" w:hAnsi="Book Antiqua" w:cs="AdvP4A9784"/>
                <w:color w:val="auto"/>
                <w:sz w:val="24"/>
                <w:szCs w:val="24"/>
                <w:lang w:val="en-US"/>
              </w:rPr>
              <w:t>Disappearance of all target lesions.</w:t>
            </w:r>
          </w:p>
        </w:tc>
        <w:tc>
          <w:tcPr>
            <w:tcW w:w="4889" w:type="dxa"/>
            <w:tcBorders>
              <w:top w:val="single" w:sz="4" w:space="0" w:color="auto"/>
            </w:tcBorders>
          </w:tcPr>
          <w:p w:rsidR="002A73B0" w:rsidRPr="002E0570" w:rsidRDefault="002A73B0" w:rsidP="002E0570">
            <w:pPr>
              <w:autoSpaceDE w:val="0"/>
              <w:autoSpaceDN w:val="0"/>
              <w:adjustRightInd w:val="0"/>
              <w:spacing w:line="360" w:lineRule="auto"/>
              <w:jc w:val="center"/>
              <w:rPr>
                <w:rFonts w:ascii="Book Antiqua" w:hAnsi="Book Antiqua" w:cs="AdvP4A9784"/>
                <w:color w:val="auto"/>
                <w:sz w:val="24"/>
                <w:szCs w:val="24"/>
                <w:lang w:val="en-US" w:eastAsia="zh-CN"/>
              </w:rPr>
            </w:pPr>
            <w:r w:rsidRPr="002E0570">
              <w:rPr>
                <w:rFonts w:ascii="Book Antiqua" w:hAnsi="Book Antiqua" w:cs="AdvP4A9784"/>
                <w:color w:val="auto"/>
                <w:sz w:val="24"/>
                <w:szCs w:val="24"/>
                <w:lang w:val="en-US"/>
              </w:rPr>
              <w:t>CR</w:t>
            </w:r>
            <w:r w:rsidRPr="002E0570">
              <w:rPr>
                <w:rFonts w:ascii="Book Antiqua" w:hAnsi="Book Antiqua" w:cs="AdvP4C4E74"/>
                <w:color w:val="auto"/>
                <w:sz w:val="24"/>
                <w:szCs w:val="24"/>
                <w:lang w:val="en-US"/>
              </w:rPr>
              <w:t xml:space="preserve">: </w:t>
            </w:r>
            <w:r w:rsidRPr="002E0570">
              <w:rPr>
                <w:rFonts w:ascii="Book Antiqua" w:hAnsi="Book Antiqua" w:cs="AdvP4A9784"/>
                <w:color w:val="auto"/>
                <w:sz w:val="24"/>
                <w:szCs w:val="24"/>
                <w:lang w:val="en-US"/>
              </w:rPr>
              <w:t>Disappearance of any intratumoral arterial enhancement in all target lesions.</w:t>
            </w:r>
          </w:p>
        </w:tc>
      </w:tr>
      <w:tr w:rsidR="00B01FC5" w:rsidRPr="00DC440B" w:rsidTr="002D6B47">
        <w:tc>
          <w:tcPr>
            <w:tcW w:w="4889" w:type="dxa"/>
          </w:tcPr>
          <w:p w:rsidR="002A73B0" w:rsidRPr="002E0570" w:rsidRDefault="002A73B0" w:rsidP="002E0570">
            <w:pPr>
              <w:autoSpaceDE w:val="0"/>
              <w:autoSpaceDN w:val="0"/>
              <w:adjustRightInd w:val="0"/>
              <w:spacing w:line="360" w:lineRule="auto"/>
              <w:rPr>
                <w:rFonts w:ascii="Book Antiqua" w:hAnsi="Book Antiqua" w:cs="AdvP4A9784"/>
                <w:color w:val="auto"/>
                <w:sz w:val="24"/>
                <w:szCs w:val="24"/>
                <w:lang w:val="en-US" w:eastAsia="zh-CN"/>
              </w:rPr>
            </w:pPr>
            <w:r w:rsidRPr="002E0570">
              <w:rPr>
                <w:rFonts w:ascii="Book Antiqua" w:hAnsi="Book Antiqua" w:cs="AdvP4A9784"/>
                <w:color w:val="auto"/>
                <w:sz w:val="24"/>
                <w:szCs w:val="24"/>
                <w:lang w:val="en-US"/>
              </w:rPr>
              <w:t>PR</w:t>
            </w:r>
            <w:r w:rsidRPr="002E0570">
              <w:rPr>
                <w:rFonts w:ascii="Book Antiqua" w:hAnsi="Book Antiqua" w:cs="AdvP4C4E74"/>
                <w:color w:val="auto"/>
                <w:sz w:val="24"/>
                <w:szCs w:val="24"/>
                <w:lang w:val="en-US"/>
              </w:rPr>
              <w:t xml:space="preserve">: </w:t>
            </w:r>
            <w:r w:rsidRPr="002E0570">
              <w:rPr>
                <w:rFonts w:ascii="Book Antiqua" w:hAnsi="Book Antiqua" w:cs="AdvP4A9784"/>
                <w:color w:val="auto"/>
                <w:sz w:val="24"/>
                <w:szCs w:val="24"/>
                <w:lang w:val="en-US"/>
              </w:rPr>
              <w:t>At least a 30% decrease in the sum of diameters of target lesions, taking as reference the baseline sum of the diameters of tar</w:t>
            </w:r>
            <w:r w:rsidR="002E0570" w:rsidRPr="002E0570">
              <w:rPr>
                <w:rFonts w:ascii="Book Antiqua" w:hAnsi="Book Antiqua" w:cs="AdvP4A9784"/>
                <w:color w:val="auto"/>
                <w:sz w:val="24"/>
                <w:szCs w:val="24"/>
                <w:lang w:val="en-US"/>
              </w:rPr>
              <w:t>get lesions.</w:t>
            </w:r>
          </w:p>
        </w:tc>
        <w:tc>
          <w:tcPr>
            <w:tcW w:w="4889" w:type="dxa"/>
          </w:tcPr>
          <w:p w:rsidR="002A73B0" w:rsidRPr="002E0570" w:rsidRDefault="002A73B0" w:rsidP="002E0570">
            <w:pPr>
              <w:autoSpaceDE w:val="0"/>
              <w:autoSpaceDN w:val="0"/>
              <w:adjustRightInd w:val="0"/>
              <w:spacing w:line="360" w:lineRule="auto"/>
              <w:jc w:val="center"/>
              <w:rPr>
                <w:rFonts w:ascii="Book Antiqua" w:hAnsi="Book Antiqua" w:cs="AdvP4A9784"/>
                <w:color w:val="auto"/>
                <w:sz w:val="24"/>
                <w:szCs w:val="24"/>
                <w:lang w:val="en-US" w:eastAsia="zh-CN"/>
              </w:rPr>
            </w:pPr>
            <w:r w:rsidRPr="002E0570">
              <w:rPr>
                <w:rFonts w:ascii="Book Antiqua" w:hAnsi="Book Antiqua" w:cs="AdvP4A9784"/>
                <w:color w:val="auto"/>
                <w:sz w:val="24"/>
                <w:szCs w:val="24"/>
                <w:lang w:val="en-US"/>
              </w:rPr>
              <w:t>PR</w:t>
            </w:r>
            <w:r w:rsidRPr="002E0570">
              <w:rPr>
                <w:rFonts w:ascii="Book Antiqua" w:hAnsi="Book Antiqua" w:cs="AdvP4C4E74"/>
                <w:color w:val="auto"/>
                <w:sz w:val="24"/>
                <w:szCs w:val="24"/>
                <w:lang w:val="en-US"/>
              </w:rPr>
              <w:t xml:space="preserve">: </w:t>
            </w:r>
            <w:r w:rsidRPr="002E0570">
              <w:rPr>
                <w:rFonts w:ascii="Book Antiqua" w:hAnsi="Book Antiqua" w:cs="AdvP4A9784"/>
                <w:color w:val="auto"/>
                <w:sz w:val="24"/>
                <w:szCs w:val="24"/>
                <w:lang w:val="en-US"/>
              </w:rPr>
              <w:t>At least a 30% decrease in the sum of diameters of viable (enhancement in the arterial phase) target lesions, taking as reference the baseline sum of the diameters of target lesions.</w:t>
            </w:r>
          </w:p>
        </w:tc>
      </w:tr>
      <w:tr w:rsidR="00B01FC5" w:rsidRPr="00DC440B" w:rsidTr="002D6B47">
        <w:tc>
          <w:tcPr>
            <w:tcW w:w="4889" w:type="dxa"/>
          </w:tcPr>
          <w:p w:rsidR="002A73B0" w:rsidRPr="002E0570" w:rsidRDefault="002A73B0" w:rsidP="002E0570">
            <w:pPr>
              <w:autoSpaceDE w:val="0"/>
              <w:autoSpaceDN w:val="0"/>
              <w:adjustRightInd w:val="0"/>
              <w:spacing w:line="360" w:lineRule="auto"/>
              <w:rPr>
                <w:rFonts w:ascii="Book Antiqua" w:hAnsi="Book Antiqua" w:cs="AdvP4A9784"/>
                <w:color w:val="auto"/>
                <w:sz w:val="24"/>
                <w:szCs w:val="24"/>
                <w:lang w:val="en-US" w:eastAsia="zh-CN"/>
              </w:rPr>
            </w:pPr>
            <w:r w:rsidRPr="002E0570">
              <w:rPr>
                <w:rFonts w:ascii="Book Antiqua" w:hAnsi="Book Antiqua" w:cs="AdvP4A9784"/>
                <w:color w:val="auto"/>
                <w:sz w:val="24"/>
                <w:szCs w:val="24"/>
                <w:lang w:val="en-US"/>
              </w:rPr>
              <w:t>SD</w:t>
            </w:r>
            <w:r w:rsidRPr="002E0570">
              <w:rPr>
                <w:rFonts w:ascii="Book Antiqua" w:hAnsi="Book Antiqua" w:cs="AdvP4C4E74"/>
                <w:color w:val="auto"/>
                <w:sz w:val="24"/>
                <w:szCs w:val="24"/>
                <w:lang w:val="en-US"/>
              </w:rPr>
              <w:t xml:space="preserve">: </w:t>
            </w:r>
            <w:r w:rsidRPr="002E0570">
              <w:rPr>
                <w:rFonts w:ascii="Book Antiqua" w:hAnsi="Book Antiqua" w:cs="AdvP4A9784"/>
                <w:color w:val="auto"/>
                <w:sz w:val="24"/>
                <w:szCs w:val="24"/>
                <w:lang w:val="en-US"/>
              </w:rPr>
              <w:t>Any cases that do not qualify for either partial r</w:t>
            </w:r>
            <w:r w:rsidR="002E0570" w:rsidRPr="002E0570">
              <w:rPr>
                <w:rFonts w:ascii="Book Antiqua" w:hAnsi="Book Antiqua" w:cs="AdvP4A9784"/>
                <w:color w:val="auto"/>
                <w:sz w:val="24"/>
                <w:szCs w:val="24"/>
                <w:lang w:val="en-US"/>
              </w:rPr>
              <w:t>esponse or progressive disease.</w:t>
            </w:r>
          </w:p>
        </w:tc>
        <w:tc>
          <w:tcPr>
            <w:tcW w:w="4889" w:type="dxa"/>
          </w:tcPr>
          <w:p w:rsidR="002A73B0" w:rsidRPr="002E0570" w:rsidRDefault="002A73B0" w:rsidP="002E0570">
            <w:pPr>
              <w:autoSpaceDE w:val="0"/>
              <w:autoSpaceDN w:val="0"/>
              <w:adjustRightInd w:val="0"/>
              <w:spacing w:line="360" w:lineRule="auto"/>
              <w:jc w:val="center"/>
              <w:rPr>
                <w:rFonts w:ascii="Book Antiqua" w:hAnsi="Book Antiqua" w:cs="AdvP4A9784"/>
                <w:color w:val="auto"/>
                <w:sz w:val="24"/>
                <w:szCs w:val="24"/>
                <w:lang w:val="en-US" w:eastAsia="zh-CN"/>
              </w:rPr>
            </w:pPr>
            <w:r w:rsidRPr="002E0570">
              <w:rPr>
                <w:rFonts w:ascii="Book Antiqua" w:hAnsi="Book Antiqua" w:cs="AdvP4A9784"/>
                <w:color w:val="auto"/>
                <w:sz w:val="24"/>
                <w:szCs w:val="24"/>
                <w:lang w:val="en-US"/>
              </w:rPr>
              <w:t>SD</w:t>
            </w:r>
            <w:r w:rsidRPr="002E0570">
              <w:rPr>
                <w:rFonts w:ascii="Book Antiqua" w:hAnsi="Book Antiqua" w:cs="AdvP4C4E74"/>
                <w:color w:val="auto"/>
                <w:sz w:val="24"/>
                <w:szCs w:val="24"/>
                <w:lang w:val="en-US"/>
              </w:rPr>
              <w:t xml:space="preserve">: </w:t>
            </w:r>
            <w:r w:rsidRPr="002E0570">
              <w:rPr>
                <w:rFonts w:ascii="Book Antiqua" w:hAnsi="Book Antiqua" w:cs="AdvP4A9784"/>
                <w:color w:val="auto"/>
                <w:sz w:val="24"/>
                <w:szCs w:val="24"/>
                <w:lang w:val="en-US"/>
              </w:rPr>
              <w:t>Any cases that do not qualify for either partial response or progressive disease.</w:t>
            </w:r>
          </w:p>
        </w:tc>
      </w:tr>
      <w:tr w:rsidR="002A73B0" w:rsidRPr="00DC440B" w:rsidTr="002D6B47">
        <w:tc>
          <w:tcPr>
            <w:tcW w:w="4889" w:type="dxa"/>
          </w:tcPr>
          <w:p w:rsidR="002A73B0" w:rsidRPr="002E0570" w:rsidRDefault="002A73B0" w:rsidP="002E0570">
            <w:pPr>
              <w:autoSpaceDE w:val="0"/>
              <w:autoSpaceDN w:val="0"/>
              <w:adjustRightInd w:val="0"/>
              <w:spacing w:line="360" w:lineRule="auto"/>
              <w:rPr>
                <w:rFonts w:ascii="Book Antiqua" w:hAnsi="Book Antiqua" w:cs="AdvP4A9784"/>
                <w:color w:val="auto"/>
                <w:sz w:val="24"/>
                <w:szCs w:val="24"/>
                <w:lang w:val="en-US" w:eastAsia="zh-CN"/>
              </w:rPr>
            </w:pPr>
            <w:r w:rsidRPr="002E0570">
              <w:rPr>
                <w:rFonts w:ascii="Book Antiqua" w:hAnsi="Book Antiqua" w:cs="AdvP4A9784"/>
                <w:color w:val="auto"/>
                <w:sz w:val="24"/>
                <w:szCs w:val="24"/>
                <w:lang w:val="en-US"/>
              </w:rPr>
              <w:t>PD</w:t>
            </w:r>
            <w:r w:rsidRPr="002E0570">
              <w:rPr>
                <w:rFonts w:ascii="Book Antiqua" w:hAnsi="Book Antiqua" w:cs="AdvP4C4E74"/>
                <w:color w:val="auto"/>
                <w:sz w:val="24"/>
                <w:szCs w:val="24"/>
                <w:lang w:val="en-US"/>
              </w:rPr>
              <w:t xml:space="preserve">: </w:t>
            </w:r>
            <w:r w:rsidRPr="002E0570">
              <w:rPr>
                <w:rFonts w:ascii="Book Antiqua" w:hAnsi="Book Antiqua" w:cs="AdvP4A9784"/>
                <w:color w:val="auto"/>
                <w:sz w:val="24"/>
                <w:szCs w:val="24"/>
                <w:lang w:val="en-US"/>
              </w:rPr>
              <w:t>An increase of at least 20% in the sum of the diameters of target lesions, taking as reference the smallest sum of the diameters of target lesions re</w:t>
            </w:r>
            <w:r w:rsidR="002E0570" w:rsidRPr="002E0570">
              <w:rPr>
                <w:rFonts w:ascii="Book Antiqua" w:hAnsi="Book Antiqua" w:cs="AdvP4A9784"/>
                <w:color w:val="auto"/>
                <w:sz w:val="24"/>
                <w:szCs w:val="24"/>
                <w:lang w:val="en-US"/>
              </w:rPr>
              <w:t>corded since treatment started.</w:t>
            </w:r>
          </w:p>
        </w:tc>
        <w:tc>
          <w:tcPr>
            <w:tcW w:w="4889" w:type="dxa"/>
          </w:tcPr>
          <w:p w:rsidR="002A73B0" w:rsidRPr="002E0570" w:rsidRDefault="002A73B0" w:rsidP="002E0570">
            <w:pPr>
              <w:autoSpaceDE w:val="0"/>
              <w:autoSpaceDN w:val="0"/>
              <w:adjustRightInd w:val="0"/>
              <w:spacing w:line="360" w:lineRule="auto"/>
              <w:jc w:val="center"/>
              <w:rPr>
                <w:rFonts w:ascii="Book Antiqua" w:hAnsi="Book Antiqua" w:cs="AdvP4A9784"/>
                <w:color w:val="auto"/>
                <w:sz w:val="24"/>
                <w:szCs w:val="24"/>
                <w:lang w:val="en-US" w:eastAsia="zh-CN"/>
              </w:rPr>
            </w:pPr>
            <w:r w:rsidRPr="002E0570">
              <w:rPr>
                <w:rFonts w:ascii="Book Antiqua" w:hAnsi="Book Antiqua" w:cs="AdvP4A9784"/>
                <w:color w:val="auto"/>
                <w:sz w:val="24"/>
                <w:szCs w:val="24"/>
                <w:lang w:val="en-US"/>
              </w:rPr>
              <w:t>PD</w:t>
            </w:r>
            <w:r w:rsidRPr="002E0570">
              <w:rPr>
                <w:rFonts w:ascii="Book Antiqua" w:hAnsi="Book Antiqua" w:cs="AdvP4C4E74"/>
                <w:color w:val="auto"/>
                <w:sz w:val="24"/>
                <w:szCs w:val="24"/>
                <w:lang w:val="en-US"/>
              </w:rPr>
              <w:t xml:space="preserve">: </w:t>
            </w:r>
            <w:r w:rsidRPr="002E0570">
              <w:rPr>
                <w:rFonts w:ascii="Book Antiqua" w:hAnsi="Book Antiqua" w:cs="AdvP4A9784"/>
                <w:color w:val="auto"/>
                <w:sz w:val="24"/>
                <w:szCs w:val="24"/>
                <w:lang w:val="en-US"/>
              </w:rPr>
              <w:t>An increase of at least 20% in the sum of the diameters of viable (enhancing) target lesions, taking as reference the smallest sum of the diameters of viable (enhancing) target lesions recorded since treatment started.</w:t>
            </w:r>
          </w:p>
        </w:tc>
      </w:tr>
    </w:tbl>
    <w:p w:rsidR="00A73D3F" w:rsidRPr="002E0570" w:rsidRDefault="002A73B0" w:rsidP="002E0570">
      <w:pPr>
        <w:autoSpaceDE w:val="0"/>
        <w:autoSpaceDN w:val="0"/>
        <w:adjustRightInd w:val="0"/>
        <w:spacing w:line="360" w:lineRule="auto"/>
        <w:jc w:val="both"/>
        <w:rPr>
          <w:rFonts w:ascii="Book Antiqua" w:hAnsi="Book Antiqua"/>
          <w:color w:val="auto"/>
          <w:lang w:val="en-US" w:eastAsia="zh-CN"/>
        </w:rPr>
      </w:pPr>
      <w:r w:rsidRPr="002E0570">
        <w:rPr>
          <w:rFonts w:ascii="Book Antiqua" w:hAnsi="Book Antiqua" w:cs="AdvP4A9784"/>
          <w:color w:val="auto"/>
          <w:lang w:val="en-US"/>
        </w:rPr>
        <w:t>mRECIST:</w:t>
      </w:r>
      <w:r w:rsidR="00F57E5D">
        <w:rPr>
          <w:rFonts w:ascii="Book Antiqua" w:hAnsi="Book Antiqua" w:cs="AdvP4A9784" w:hint="eastAsia"/>
          <w:color w:val="auto"/>
          <w:lang w:val="en-US" w:eastAsia="zh-CN"/>
        </w:rPr>
        <w:t xml:space="preserve"> </w:t>
      </w:r>
      <w:r w:rsidRPr="002E0570">
        <w:rPr>
          <w:rFonts w:ascii="Book Antiqua" w:hAnsi="Book Antiqua" w:cs="AdvP4A9784"/>
          <w:caps/>
          <w:color w:val="auto"/>
          <w:lang w:val="en-US"/>
        </w:rPr>
        <w:t>m</w:t>
      </w:r>
      <w:r w:rsidRPr="002E0570">
        <w:rPr>
          <w:rFonts w:ascii="Book Antiqua" w:hAnsi="Book Antiqua" w:cs="AdvP4A9784"/>
          <w:color w:val="auto"/>
          <w:lang w:val="en-US"/>
        </w:rPr>
        <w:t xml:space="preserve">odified Response Evaluation Criteria in Solid Tumors; CR: </w:t>
      </w:r>
      <w:r w:rsidRPr="002E0570">
        <w:rPr>
          <w:rFonts w:ascii="Book Antiqua" w:hAnsi="Book Antiqua" w:cs="AdvP4A9784"/>
          <w:caps/>
          <w:color w:val="auto"/>
          <w:lang w:val="en-US"/>
        </w:rPr>
        <w:t>c</w:t>
      </w:r>
      <w:r w:rsidRPr="002E0570">
        <w:rPr>
          <w:rFonts w:ascii="Book Antiqua" w:hAnsi="Book Antiqua" w:cs="AdvP4A9784"/>
          <w:color w:val="auto"/>
          <w:lang w:val="en-US"/>
        </w:rPr>
        <w:t xml:space="preserve">omplete response; PR: </w:t>
      </w:r>
      <w:r w:rsidRPr="002E0570">
        <w:rPr>
          <w:rFonts w:ascii="Book Antiqua" w:hAnsi="Book Antiqua" w:cs="AdvP4A9784"/>
          <w:caps/>
          <w:color w:val="auto"/>
          <w:lang w:val="en-US"/>
        </w:rPr>
        <w:t>p</w:t>
      </w:r>
      <w:r w:rsidRPr="002E0570">
        <w:rPr>
          <w:rFonts w:ascii="Book Antiqua" w:hAnsi="Book Antiqua" w:cs="AdvP4A9784"/>
          <w:color w:val="auto"/>
          <w:lang w:val="en-US"/>
        </w:rPr>
        <w:t xml:space="preserve">artial response; SD: </w:t>
      </w:r>
      <w:r w:rsidRPr="002E0570">
        <w:rPr>
          <w:rFonts w:ascii="Book Antiqua" w:hAnsi="Book Antiqua" w:cs="AdvP4A9784"/>
          <w:caps/>
          <w:color w:val="auto"/>
          <w:lang w:val="en-US"/>
        </w:rPr>
        <w:t>s</w:t>
      </w:r>
      <w:r w:rsidRPr="002E0570">
        <w:rPr>
          <w:rFonts w:ascii="Book Antiqua" w:hAnsi="Book Antiqua" w:cs="AdvP4A9784"/>
          <w:color w:val="auto"/>
          <w:lang w:val="en-US"/>
        </w:rPr>
        <w:t xml:space="preserve">table disease; PD: </w:t>
      </w:r>
      <w:r w:rsidRPr="002E0570">
        <w:rPr>
          <w:rFonts w:ascii="Book Antiqua" w:hAnsi="Book Antiqua" w:cs="AdvP4A9784"/>
          <w:caps/>
          <w:color w:val="auto"/>
          <w:lang w:val="en-US"/>
        </w:rPr>
        <w:t>p</w:t>
      </w:r>
      <w:r w:rsidRPr="002E0570">
        <w:rPr>
          <w:rFonts w:ascii="Book Antiqua" w:hAnsi="Book Antiqua" w:cs="AdvP4A9784"/>
          <w:color w:val="auto"/>
          <w:lang w:val="en-US"/>
        </w:rPr>
        <w:t>rogressive disease.</w:t>
      </w:r>
    </w:p>
    <w:sectPr w:rsidR="00A73D3F" w:rsidRPr="002E0570" w:rsidSect="004D572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EE" w:rsidRDefault="004513EE" w:rsidP="00F20E8A">
      <w:r>
        <w:separator/>
      </w:r>
    </w:p>
  </w:endnote>
  <w:endnote w:type="continuationSeparator" w:id="0">
    <w:p w:rsidR="004513EE" w:rsidRDefault="004513EE" w:rsidP="00F2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2AE7" w:usb1="C0000063" w:usb2="00000038" w:usb3="00000000" w:csb0="000000B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P43C0B1">
    <w:panose1 w:val="00000000000000000000"/>
    <w:charset w:val="00"/>
    <w:family w:val="swiss"/>
    <w:notTrueType/>
    <w:pitch w:val="default"/>
    <w:sig w:usb0="00000003" w:usb1="00000000" w:usb2="00000000" w:usb3="00000000" w:csb0="00000001" w:csb1="00000000"/>
  </w:font>
  <w:font w:name="AdvP4A9784">
    <w:panose1 w:val="00000000000000000000"/>
    <w:charset w:val="00"/>
    <w:family w:val="swiss"/>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EE" w:rsidRDefault="004513EE" w:rsidP="00F20E8A">
      <w:r>
        <w:separator/>
      </w:r>
    </w:p>
  </w:footnote>
  <w:footnote w:type="continuationSeparator" w:id="0">
    <w:p w:rsidR="004513EE" w:rsidRDefault="004513EE" w:rsidP="00F20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4A47"/>
    <w:multiLevelType w:val="multilevel"/>
    <w:tmpl w:val="96F4A19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329671C4"/>
    <w:multiLevelType w:val="multilevel"/>
    <w:tmpl w:val="0A5E1AB0"/>
    <w:lvl w:ilvl="0">
      <w:start w:val="1"/>
      <w:numFmt w:val="decimal"/>
      <w:lvlText w:val="%1."/>
      <w:lvlJc w:val="left"/>
      <w:rPr>
        <w:rFonts w:ascii="Calibri" w:eastAsia="Calibri" w:hAnsi="Calibri" w:cs="Lucida Grande"/>
        <w:position w:val="0"/>
      </w:rPr>
    </w:lvl>
    <w:lvl w:ilvl="1">
      <w:start w:val="1"/>
      <w:numFmt w:val="lowerLetter"/>
      <w:lvlText w:val="%2."/>
      <w:lvlJc w:val="left"/>
      <w:rPr>
        <w:rFonts w:ascii="Calibri" w:eastAsia="Calibri" w:hAnsi="Calibri" w:cs="Lucida Grande"/>
        <w:position w:val="0"/>
      </w:rPr>
    </w:lvl>
    <w:lvl w:ilvl="2">
      <w:start w:val="1"/>
      <w:numFmt w:val="lowerRoman"/>
      <w:lvlText w:val="%3."/>
      <w:lvlJc w:val="left"/>
      <w:rPr>
        <w:rFonts w:ascii="Calibri" w:eastAsia="Calibri" w:hAnsi="Calibri" w:cs="Lucida Grande"/>
        <w:position w:val="0"/>
      </w:rPr>
    </w:lvl>
    <w:lvl w:ilvl="3">
      <w:start w:val="1"/>
      <w:numFmt w:val="decimal"/>
      <w:lvlText w:val="%4."/>
      <w:lvlJc w:val="left"/>
      <w:rPr>
        <w:rFonts w:ascii="Calibri" w:eastAsia="Calibri" w:hAnsi="Calibri" w:cs="Lucida Grande"/>
        <w:position w:val="0"/>
      </w:rPr>
    </w:lvl>
    <w:lvl w:ilvl="4">
      <w:start w:val="1"/>
      <w:numFmt w:val="lowerLetter"/>
      <w:lvlText w:val="%5."/>
      <w:lvlJc w:val="left"/>
      <w:rPr>
        <w:rFonts w:ascii="Calibri" w:eastAsia="Calibri" w:hAnsi="Calibri" w:cs="Lucida Grande"/>
        <w:position w:val="0"/>
      </w:rPr>
    </w:lvl>
    <w:lvl w:ilvl="5">
      <w:start w:val="1"/>
      <w:numFmt w:val="lowerRoman"/>
      <w:lvlText w:val="%6."/>
      <w:lvlJc w:val="left"/>
      <w:rPr>
        <w:rFonts w:ascii="Calibri" w:eastAsia="Calibri" w:hAnsi="Calibri" w:cs="Lucida Grande"/>
        <w:position w:val="0"/>
      </w:rPr>
    </w:lvl>
    <w:lvl w:ilvl="6">
      <w:start w:val="1"/>
      <w:numFmt w:val="decimal"/>
      <w:lvlText w:val="%7."/>
      <w:lvlJc w:val="left"/>
      <w:rPr>
        <w:rFonts w:ascii="Calibri" w:eastAsia="Calibri" w:hAnsi="Calibri" w:cs="Lucida Grande"/>
        <w:position w:val="0"/>
      </w:rPr>
    </w:lvl>
    <w:lvl w:ilvl="7">
      <w:start w:val="1"/>
      <w:numFmt w:val="lowerLetter"/>
      <w:lvlText w:val="%8."/>
      <w:lvlJc w:val="left"/>
      <w:rPr>
        <w:rFonts w:ascii="Calibri" w:eastAsia="Calibri" w:hAnsi="Calibri" w:cs="Lucida Grande"/>
        <w:position w:val="0"/>
      </w:rPr>
    </w:lvl>
    <w:lvl w:ilvl="8">
      <w:start w:val="1"/>
      <w:numFmt w:val="lowerRoman"/>
      <w:lvlText w:val="%9."/>
      <w:lvlJc w:val="left"/>
      <w:rPr>
        <w:rFonts w:ascii="Calibri" w:eastAsia="Calibri" w:hAnsi="Calibri" w:cs="Lucida Grande"/>
        <w:position w:val="0"/>
      </w:rPr>
    </w:lvl>
  </w:abstractNum>
  <w:abstractNum w:abstractNumId="2" w15:restartNumberingAfterBreak="0">
    <w:nsid w:val="3C234120"/>
    <w:multiLevelType w:val="multilevel"/>
    <w:tmpl w:val="71623466"/>
    <w:styleLink w:val="List0"/>
    <w:lvl w:ilvl="0">
      <w:start w:val="1"/>
      <w:numFmt w:val="decimal"/>
      <w:lvlText w:val="%1."/>
      <w:lvlJc w:val="left"/>
      <w:rPr>
        <w:rFonts w:ascii="Trebuchet MS" w:eastAsia="Trebuchet MS" w:hAnsi="Trebuchet MS" w:cs="Lucida Grande"/>
        <w:position w:val="0"/>
      </w:rPr>
    </w:lvl>
    <w:lvl w:ilvl="1">
      <w:start w:val="1"/>
      <w:numFmt w:val="lowerLetter"/>
      <w:lvlText w:val="%2."/>
      <w:lvlJc w:val="left"/>
      <w:rPr>
        <w:rFonts w:ascii="Calibri" w:eastAsia="Calibri" w:hAnsi="Calibri" w:cs="Lucida Grande"/>
        <w:position w:val="0"/>
      </w:rPr>
    </w:lvl>
    <w:lvl w:ilvl="2">
      <w:start w:val="1"/>
      <w:numFmt w:val="lowerRoman"/>
      <w:lvlText w:val="%3."/>
      <w:lvlJc w:val="left"/>
      <w:rPr>
        <w:rFonts w:ascii="Calibri" w:eastAsia="Calibri" w:hAnsi="Calibri" w:cs="Lucida Grande"/>
        <w:position w:val="0"/>
      </w:rPr>
    </w:lvl>
    <w:lvl w:ilvl="3">
      <w:start w:val="1"/>
      <w:numFmt w:val="decimal"/>
      <w:lvlText w:val="%4."/>
      <w:lvlJc w:val="left"/>
      <w:rPr>
        <w:rFonts w:ascii="Calibri" w:eastAsia="Calibri" w:hAnsi="Calibri" w:cs="Lucida Grande"/>
        <w:position w:val="0"/>
      </w:rPr>
    </w:lvl>
    <w:lvl w:ilvl="4">
      <w:start w:val="1"/>
      <w:numFmt w:val="lowerLetter"/>
      <w:lvlText w:val="%5."/>
      <w:lvlJc w:val="left"/>
      <w:rPr>
        <w:rFonts w:ascii="Calibri" w:eastAsia="Calibri" w:hAnsi="Calibri" w:cs="Lucida Grande"/>
        <w:position w:val="0"/>
      </w:rPr>
    </w:lvl>
    <w:lvl w:ilvl="5">
      <w:start w:val="1"/>
      <w:numFmt w:val="lowerRoman"/>
      <w:lvlText w:val="%6."/>
      <w:lvlJc w:val="left"/>
      <w:rPr>
        <w:rFonts w:ascii="Calibri" w:eastAsia="Calibri" w:hAnsi="Calibri" w:cs="Lucida Grande"/>
        <w:position w:val="0"/>
      </w:rPr>
    </w:lvl>
    <w:lvl w:ilvl="6">
      <w:start w:val="1"/>
      <w:numFmt w:val="decimal"/>
      <w:lvlText w:val="%7."/>
      <w:lvlJc w:val="left"/>
      <w:rPr>
        <w:rFonts w:ascii="Calibri" w:eastAsia="Calibri" w:hAnsi="Calibri" w:cs="Lucida Grande"/>
        <w:position w:val="0"/>
      </w:rPr>
    </w:lvl>
    <w:lvl w:ilvl="7">
      <w:start w:val="1"/>
      <w:numFmt w:val="lowerLetter"/>
      <w:lvlText w:val="%8."/>
      <w:lvlJc w:val="left"/>
      <w:rPr>
        <w:rFonts w:ascii="Calibri" w:eastAsia="Calibri" w:hAnsi="Calibri" w:cs="Lucida Grande"/>
        <w:position w:val="0"/>
      </w:rPr>
    </w:lvl>
    <w:lvl w:ilvl="8">
      <w:start w:val="1"/>
      <w:numFmt w:val="lowerRoman"/>
      <w:lvlText w:val="%9."/>
      <w:lvlJc w:val="left"/>
      <w:rPr>
        <w:rFonts w:ascii="Calibri" w:eastAsia="Calibri" w:hAnsi="Calibri" w:cs="Lucida Grande"/>
        <w:position w:val="0"/>
      </w:rPr>
    </w:lvl>
  </w:abstractNum>
  <w:abstractNum w:abstractNumId="3" w15:restartNumberingAfterBreak="0">
    <w:nsid w:val="42074731"/>
    <w:multiLevelType w:val="hybridMultilevel"/>
    <w:tmpl w:val="E698F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1&lt;/Suspended&gt;&lt;/ENInstantFormat&gt;"/>
  </w:docVars>
  <w:rsids>
    <w:rsidRoot w:val="00951AB4"/>
    <w:rsid w:val="000127F4"/>
    <w:rsid w:val="00034FF2"/>
    <w:rsid w:val="0003537B"/>
    <w:rsid w:val="00055FAE"/>
    <w:rsid w:val="0006753E"/>
    <w:rsid w:val="00093D40"/>
    <w:rsid w:val="000D28C1"/>
    <w:rsid w:val="000E39A5"/>
    <w:rsid w:val="000F182B"/>
    <w:rsid w:val="0010519E"/>
    <w:rsid w:val="00105E8E"/>
    <w:rsid w:val="001808BC"/>
    <w:rsid w:val="00187E61"/>
    <w:rsid w:val="001D32FA"/>
    <w:rsid w:val="001D61EF"/>
    <w:rsid w:val="001E4BBC"/>
    <w:rsid w:val="001F2C9C"/>
    <w:rsid w:val="001F6115"/>
    <w:rsid w:val="002114D6"/>
    <w:rsid w:val="00287185"/>
    <w:rsid w:val="00293DC0"/>
    <w:rsid w:val="002A7110"/>
    <w:rsid w:val="002A73B0"/>
    <w:rsid w:val="002D046C"/>
    <w:rsid w:val="002D12F0"/>
    <w:rsid w:val="002D5327"/>
    <w:rsid w:val="002D6B47"/>
    <w:rsid w:val="002E0570"/>
    <w:rsid w:val="002F4321"/>
    <w:rsid w:val="00314A7B"/>
    <w:rsid w:val="00316248"/>
    <w:rsid w:val="00325D78"/>
    <w:rsid w:val="0033508F"/>
    <w:rsid w:val="003367BE"/>
    <w:rsid w:val="0034090C"/>
    <w:rsid w:val="003459EC"/>
    <w:rsid w:val="003612A6"/>
    <w:rsid w:val="003749F5"/>
    <w:rsid w:val="00377437"/>
    <w:rsid w:val="003841D0"/>
    <w:rsid w:val="00396EA4"/>
    <w:rsid w:val="003D57DA"/>
    <w:rsid w:val="003F57C8"/>
    <w:rsid w:val="0040034A"/>
    <w:rsid w:val="004513EE"/>
    <w:rsid w:val="0049069C"/>
    <w:rsid w:val="004A411D"/>
    <w:rsid w:val="004D5721"/>
    <w:rsid w:val="004F2040"/>
    <w:rsid w:val="00506B25"/>
    <w:rsid w:val="00544BE6"/>
    <w:rsid w:val="0055065E"/>
    <w:rsid w:val="00570516"/>
    <w:rsid w:val="00575944"/>
    <w:rsid w:val="005A5520"/>
    <w:rsid w:val="005D3401"/>
    <w:rsid w:val="005F1ADB"/>
    <w:rsid w:val="005F51B8"/>
    <w:rsid w:val="0061415D"/>
    <w:rsid w:val="00623C8F"/>
    <w:rsid w:val="00635AE6"/>
    <w:rsid w:val="00655260"/>
    <w:rsid w:val="00667B16"/>
    <w:rsid w:val="00670C27"/>
    <w:rsid w:val="00675EAD"/>
    <w:rsid w:val="00682D28"/>
    <w:rsid w:val="00692981"/>
    <w:rsid w:val="006B1665"/>
    <w:rsid w:val="006C4D8A"/>
    <w:rsid w:val="006C6654"/>
    <w:rsid w:val="006C7E7A"/>
    <w:rsid w:val="006D0849"/>
    <w:rsid w:val="006E3072"/>
    <w:rsid w:val="006E5A97"/>
    <w:rsid w:val="006F25F4"/>
    <w:rsid w:val="006F3ECD"/>
    <w:rsid w:val="00705BEF"/>
    <w:rsid w:val="007172C4"/>
    <w:rsid w:val="00750C97"/>
    <w:rsid w:val="007671B7"/>
    <w:rsid w:val="007B57A7"/>
    <w:rsid w:val="007D1487"/>
    <w:rsid w:val="00804DB3"/>
    <w:rsid w:val="00817B06"/>
    <w:rsid w:val="00847D2E"/>
    <w:rsid w:val="0088097C"/>
    <w:rsid w:val="008B193E"/>
    <w:rsid w:val="008D3462"/>
    <w:rsid w:val="008F7CC9"/>
    <w:rsid w:val="009152BC"/>
    <w:rsid w:val="00915E41"/>
    <w:rsid w:val="00926EBF"/>
    <w:rsid w:val="009352FD"/>
    <w:rsid w:val="00935F21"/>
    <w:rsid w:val="009464BB"/>
    <w:rsid w:val="00951AB4"/>
    <w:rsid w:val="009579A7"/>
    <w:rsid w:val="00987829"/>
    <w:rsid w:val="009942AA"/>
    <w:rsid w:val="009B282F"/>
    <w:rsid w:val="009D2507"/>
    <w:rsid w:val="009E599B"/>
    <w:rsid w:val="00A06A26"/>
    <w:rsid w:val="00A323F8"/>
    <w:rsid w:val="00A51FAB"/>
    <w:rsid w:val="00A64DF6"/>
    <w:rsid w:val="00A73D3F"/>
    <w:rsid w:val="00A80B02"/>
    <w:rsid w:val="00AB7A62"/>
    <w:rsid w:val="00AD03C3"/>
    <w:rsid w:val="00AD05F2"/>
    <w:rsid w:val="00AE2350"/>
    <w:rsid w:val="00B01FC5"/>
    <w:rsid w:val="00B06FAF"/>
    <w:rsid w:val="00B563C2"/>
    <w:rsid w:val="00B73D7D"/>
    <w:rsid w:val="00B7461D"/>
    <w:rsid w:val="00B96BD4"/>
    <w:rsid w:val="00BC40CB"/>
    <w:rsid w:val="00BD271C"/>
    <w:rsid w:val="00BF0837"/>
    <w:rsid w:val="00BF2AB4"/>
    <w:rsid w:val="00C00EE3"/>
    <w:rsid w:val="00C1527F"/>
    <w:rsid w:val="00C21158"/>
    <w:rsid w:val="00C40AE6"/>
    <w:rsid w:val="00C73608"/>
    <w:rsid w:val="00C87A62"/>
    <w:rsid w:val="00C924EF"/>
    <w:rsid w:val="00C94FA1"/>
    <w:rsid w:val="00CA02F7"/>
    <w:rsid w:val="00CC33A5"/>
    <w:rsid w:val="00CD0DA0"/>
    <w:rsid w:val="00CE68E7"/>
    <w:rsid w:val="00D33225"/>
    <w:rsid w:val="00D452A6"/>
    <w:rsid w:val="00D8020F"/>
    <w:rsid w:val="00D80D61"/>
    <w:rsid w:val="00DB381B"/>
    <w:rsid w:val="00DC440B"/>
    <w:rsid w:val="00DD62AC"/>
    <w:rsid w:val="00E06007"/>
    <w:rsid w:val="00E5503F"/>
    <w:rsid w:val="00E552CB"/>
    <w:rsid w:val="00E6004A"/>
    <w:rsid w:val="00E82E4A"/>
    <w:rsid w:val="00E917A4"/>
    <w:rsid w:val="00F045BF"/>
    <w:rsid w:val="00F1343E"/>
    <w:rsid w:val="00F14DC8"/>
    <w:rsid w:val="00F20E8A"/>
    <w:rsid w:val="00F21C7B"/>
    <w:rsid w:val="00F57E5D"/>
    <w:rsid w:val="00FA46AB"/>
    <w:rsid w:val="00FC7B86"/>
    <w:rsid w:val="00FF4802"/>
  </w:rsids>
  <m:mathPr>
    <m:mathFont m:val="Cambria Math"/>
    <m:brkBin m:val="before"/>
    <m:brkBinSub m:val="--"/>
    <m:smallFrac/>
    <m:dispDef/>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AC1C7-9224-4CB3-B8CC-91751161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1AB4"/>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1AB4"/>
    <w:rPr>
      <w:u w:val="single"/>
    </w:rPr>
  </w:style>
  <w:style w:type="table" w:customStyle="1" w:styleId="TableNormal1">
    <w:name w:val="Table Normal1"/>
    <w:rsid w:val="00951AB4"/>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951AB4"/>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it-IT"/>
    </w:rPr>
  </w:style>
  <w:style w:type="paragraph" w:styleId="Footer">
    <w:name w:val="footer"/>
    <w:link w:val="PidipaginaCarattere"/>
    <w:rsid w:val="00951AB4"/>
    <w:pPr>
      <w:pBdr>
        <w:top w:val="nil"/>
        <w:left w:val="nil"/>
        <w:bottom w:val="nil"/>
        <w:right w:val="nil"/>
        <w:between w:val="nil"/>
        <w:bar w:val="nil"/>
      </w:pBdr>
      <w:tabs>
        <w:tab w:val="center" w:pos="4819"/>
        <w:tab w:val="right" w:pos="9638"/>
      </w:tabs>
    </w:pPr>
    <w:rPr>
      <w:rFonts w:ascii="Times New Roman" w:eastAsia="Arial Unicode MS" w:hAnsi="Arial Unicode MS" w:cs="Arial Unicode MS"/>
      <w:color w:val="000000"/>
      <w:u w:color="000000"/>
      <w:bdr w:val="nil"/>
      <w:lang w:eastAsia="it-IT"/>
    </w:rPr>
  </w:style>
  <w:style w:type="character" w:customStyle="1" w:styleId="PidipaginaCarattere">
    <w:name w:val="Piè di pagina Carattere"/>
    <w:basedOn w:val="DefaultParagraphFont"/>
    <w:link w:val="Footer"/>
    <w:rsid w:val="00951AB4"/>
    <w:rPr>
      <w:rFonts w:ascii="Times New Roman" w:eastAsia="Arial Unicode MS" w:hAnsi="Arial Unicode MS" w:cs="Arial Unicode MS"/>
      <w:color w:val="000000"/>
      <w:u w:color="000000"/>
      <w:bdr w:val="nil"/>
      <w:lang w:eastAsia="it-IT"/>
    </w:rPr>
  </w:style>
  <w:style w:type="paragraph" w:customStyle="1" w:styleId="CorpoA">
    <w:name w:val="Corpo A"/>
    <w:uiPriority w:val="99"/>
    <w:rsid w:val="00951AB4"/>
    <w:pPr>
      <w:pBdr>
        <w:top w:val="nil"/>
        <w:left w:val="nil"/>
        <w:bottom w:val="nil"/>
        <w:right w:val="nil"/>
        <w:between w:val="nil"/>
        <w:bar w:val="nil"/>
      </w:pBdr>
    </w:pPr>
    <w:rPr>
      <w:rFonts w:ascii="Times New Roman" w:eastAsia="Arial Unicode MS" w:hAnsi="Arial Unicode MS" w:cs="Arial Unicode MS"/>
      <w:color w:val="000000"/>
      <w:u w:color="000000"/>
      <w:bdr w:val="nil"/>
      <w:lang w:val="en-US" w:eastAsia="it-IT"/>
    </w:rPr>
  </w:style>
  <w:style w:type="numbering" w:customStyle="1" w:styleId="List0">
    <w:name w:val="List 0"/>
    <w:basedOn w:val="Stileimportato1"/>
    <w:rsid w:val="00951AB4"/>
    <w:pPr>
      <w:numPr>
        <w:numId w:val="3"/>
      </w:numPr>
    </w:pPr>
  </w:style>
  <w:style w:type="numbering" w:customStyle="1" w:styleId="Stileimportato1">
    <w:name w:val="Stile importato 1"/>
    <w:rsid w:val="00951AB4"/>
  </w:style>
  <w:style w:type="paragraph" w:customStyle="1" w:styleId="CorpoAA">
    <w:name w:val="Corpo A A"/>
    <w:link w:val="CorpoAAChar"/>
    <w:rsid w:val="00951AB4"/>
    <w:pPr>
      <w:pBdr>
        <w:top w:val="nil"/>
        <w:left w:val="nil"/>
        <w:bottom w:val="nil"/>
        <w:right w:val="nil"/>
        <w:between w:val="nil"/>
        <w:bar w:val="nil"/>
      </w:pBdr>
    </w:pPr>
    <w:rPr>
      <w:rFonts w:ascii="Helvetica" w:eastAsia="Helvetica" w:hAnsi="Helvetica" w:cs="Helvetica"/>
      <w:color w:val="000000"/>
      <w:sz w:val="22"/>
      <w:szCs w:val="22"/>
      <w:u w:color="000000"/>
      <w:bdr w:val="nil"/>
      <w:lang w:eastAsia="it-IT"/>
    </w:rPr>
  </w:style>
  <w:style w:type="paragraph" w:customStyle="1" w:styleId="Didefault">
    <w:name w:val="Di default"/>
    <w:rsid w:val="00951AB4"/>
    <w:pPr>
      <w:pBdr>
        <w:top w:val="nil"/>
        <w:left w:val="nil"/>
        <w:bottom w:val="nil"/>
        <w:right w:val="nil"/>
        <w:between w:val="nil"/>
        <w:bar w:val="nil"/>
      </w:pBdr>
    </w:pPr>
    <w:rPr>
      <w:rFonts w:ascii="Helvetica" w:eastAsia="Helvetica" w:hAnsi="Helvetica" w:cs="Helvetica"/>
      <w:color w:val="000000"/>
      <w:sz w:val="22"/>
      <w:szCs w:val="22"/>
      <w:bdr w:val="nil"/>
      <w:lang w:eastAsia="it-IT"/>
    </w:rPr>
  </w:style>
  <w:style w:type="character" w:customStyle="1" w:styleId="Nessuno">
    <w:name w:val="Nessuno"/>
    <w:rsid w:val="00951AB4"/>
  </w:style>
  <w:style w:type="character" w:customStyle="1" w:styleId="Hyperlink0">
    <w:name w:val="Hyperlink.0"/>
    <w:basedOn w:val="Nessuno"/>
    <w:rsid w:val="00951AB4"/>
    <w:rPr>
      <w:rFonts w:ascii="Calibri" w:eastAsia="Calibri" w:hAnsi="Calibri" w:cs="Calibri"/>
      <w:color w:val="0033CC"/>
      <w:sz w:val="24"/>
      <w:szCs w:val="24"/>
      <w:u w:val="single" w:color="0000FF"/>
      <w:lang w:val="en-US"/>
    </w:rPr>
  </w:style>
  <w:style w:type="character" w:customStyle="1" w:styleId="Hyperlink1">
    <w:name w:val="Hyperlink.1"/>
    <w:basedOn w:val="Hyperlink"/>
    <w:rsid w:val="00951AB4"/>
    <w:rPr>
      <w:u w:val="single"/>
    </w:rPr>
  </w:style>
  <w:style w:type="paragraph" w:styleId="CommentText">
    <w:name w:val="annotation text"/>
    <w:basedOn w:val="Normal"/>
    <w:link w:val="TestocommentoCarattere"/>
    <w:uiPriority w:val="99"/>
    <w:semiHidden/>
    <w:unhideWhenUsed/>
    <w:rsid w:val="00951AB4"/>
  </w:style>
  <w:style w:type="character" w:customStyle="1" w:styleId="TestocommentoCarattere">
    <w:name w:val="Testo commento Carattere"/>
    <w:basedOn w:val="DefaultParagraphFont"/>
    <w:link w:val="CommentText"/>
    <w:uiPriority w:val="99"/>
    <w:semiHidden/>
    <w:rsid w:val="00951AB4"/>
    <w:rPr>
      <w:rFonts w:ascii="Times New Roman"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951AB4"/>
    <w:rPr>
      <w:sz w:val="18"/>
      <w:szCs w:val="18"/>
    </w:rPr>
  </w:style>
  <w:style w:type="paragraph" w:styleId="BalloonText">
    <w:name w:val="Balloon Text"/>
    <w:basedOn w:val="Normal"/>
    <w:link w:val="TestofumettoCarattere"/>
    <w:uiPriority w:val="99"/>
    <w:semiHidden/>
    <w:unhideWhenUsed/>
    <w:rsid w:val="00951AB4"/>
    <w:rPr>
      <w:rFonts w:ascii="Lucida Grande" w:hAnsi="Lucida Grande"/>
      <w:sz w:val="18"/>
      <w:szCs w:val="18"/>
    </w:rPr>
  </w:style>
  <w:style w:type="character" w:customStyle="1" w:styleId="TestofumettoCarattere">
    <w:name w:val="Testo fumetto Carattere"/>
    <w:basedOn w:val="DefaultParagraphFont"/>
    <w:link w:val="BalloonText"/>
    <w:uiPriority w:val="99"/>
    <w:semiHidden/>
    <w:rsid w:val="00951AB4"/>
    <w:rPr>
      <w:rFonts w:ascii="Lucida Grande" w:eastAsia="Arial Unicode MS" w:hAnsi="Lucida Grande" w:cs="Arial Unicode MS"/>
      <w:color w:val="000000"/>
      <w:sz w:val="18"/>
      <w:szCs w:val="18"/>
      <w:u w:color="000000"/>
      <w:bdr w:val="nil"/>
    </w:rPr>
  </w:style>
  <w:style w:type="paragraph" w:styleId="CommentSubject">
    <w:name w:val="annotation subject"/>
    <w:basedOn w:val="CommentText"/>
    <w:next w:val="CommentText"/>
    <w:link w:val="SoggettocommentoCarattere"/>
    <w:uiPriority w:val="99"/>
    <w:semiHidden/>
    <w:unhideWhenUsed/>
    <w:rsid w:val="00951AB4"/>
    <w:rPr>
      <w:b/>
      <w:bCs/>
      <w:sz w:val="20"/>
      <w:szCs w:val="20"/>
    </w:rPr>
  </w:style>
  <w:style w:type="character" w:customStyle="1" w:styleId="SoggettocommentoCarattere">
    <w:name w:val="Soggetto commento Carattere"/>
    <w:basedOn w:val="TestocommentoCarattere"/>
    <w:link w:val="CommentSubject"/>
    <w:uiPriority w:val="99"/>
    <w:semiHidden/>
    <w:rsid w:val="00951AB4"/>
    <w:rPr>
      <w:rFonts w:ascii="Times New Roman" w:eastAsia="Arial Unicode MS" w:hAnsi="Arial Unicode MS" w:cs="Arial Unicode MS"/>
      <w:b/>
      <w:bCs/>
      <w:color w:val="000000"/>
      <w:sz w:val="20"/>
      <w:szCs w:val="20"/>
      <w:u w:color="000000"/>
      <w:bdr w:val="nil"/>
    </w:rPr>
  </w:style>
  <w:style w:type="paragraph" w:customStyle="1" w:styleId="EndNoteBibliographyTitle">
    <w:name w:val="EndNote Bibliography Title"/>
    <w:basedOn w:val="Normal"/>
    <w:link w:val="EndNoteBibliographyTitleChar"/>
    <w:rsid w:val="00951AB4"/>
    <w:pPr>
      <w:jc w:val="center"/>
    </w:pPr>
    <w:rPr>
      <w:rFonts w:ascii="Calibri" w:hAnsi="Calibri" w:cs="Times New Roman"/>
      <w:noProof/>
      <w:sz w:val="22"/>
      <w:lang w:val="en-US"/>
    </w:rPr>
  </w:style>
  <w:style w:type="character" w:customStyle="1" w:styleId="CorpoAAChar">
    <w:name w:val="Corpo A A Char"/>
    <w:basedOn w:val="DefaultParagraphFont"/>
    <w:link w:val="CorpoAA"/>
    <w:rsid w:val="00951AB4"/>
    <w:rPr>
      <w:rFonts w:ascii="Helvetica" w:eastAsia="Helvetica" w:hAnsi="Helvetica" w:cs="Helvetica"/>
      <w:color w:val="000000"/>
      <w:sz w:val="22"/>
      <w:szCs w:val="22"/>
      <w:u w:color="000000"/>
      <w:bdr w:val="nil"/>
      <w:lang w:eastAsia="it-IT"/>
    </w:rPr>
  </w:style>
  <w:style w:type="character" w:customStyle="1" w:styleId="EndNoteBibliographyTitleChar">
    <w:name w:val="EndNote Bibliography Title Char"/>
    <w:basedOn w:val="CorpoAAChar"/>
    <w:link w:val="EndNoteBibliographyTitle"/>
    <w:rsid w:val="00951AB4"/>
    <w:rPr>
      <w:rFonts w:ascii="Calibri" w:eastAsia="Arial Unicode MS" w:hAnsi="Calibri" w:cs="Times New Roman"/>
      <w:noProof/>
      <w:color w:val="000000"/>
      <w:sz w:val="22"/>
      <w:szCs w:val="22"/>
      <w:u w:color="000000"/>
      <w:bdr w:val="nil"/>
      <w:lang w:val="en-US" w:eastAsia="it-IT"/>
    </w:rPr>
  </w:style>
  <w:style w:type="paragraph" w:customStyle="1" w:styleId="EndNoteBibliography">
    <w:name w:val="EndNote Bibliography"/>
    <w:basedOn w:val="Normal"/>
    <w:link w:val="EndNoteBibliographyChar"/>
    <w:rsid w:val="00951AB4"/>
    <w:rPr>
      <w:rFonts w:ascii="Calibri" w:hAnsi="Calibri" w:cs="Times New Roman"/>
      <w:noProof/>
      <w:sz w:val="22"/>
      <w:lang w:val="en-US"/>
    </w:rPr>
  </w:style>
  <w:style w:type="character" w:customStyle="1" w:styleId="EndNoteBibliographyChar">
    <w:name w:val="EndNote Bibliography Char"/>
    <w:basedOn w:val="CorpoAAChar"/>
    <w:link w:val="EndNoteBibliography"/>
    <w:rsid w:val="00951AB4"/>
    <w:rPr>
      <w:rFonts w:ascii="Calibri" w:eastAsia="Arial Unicode MS" w:hAnsi="Calibri" w:cs="Times New Roman"/>
      <w:noProof/>
      <w:color w:val="000000"/>
      <w:sz w:val="22"/>
      <w:szCs w:val="22"/>
      <w:u w:color="000000"/>
      <w:bdr w:val="nil"/>
      <w:lang w:val="en-US" w:eastAsia="it-IT"/>
    </w:rPr>
  </w:style>
  <w:style w:type="table" w:customStyle="1" w:styleId="Grigliachiara-Colore11">
    <w:name w:val="Griglia chiara - Colore 11"/>
    <w:basedOn w:val="TableNormal"/>
    <w:uiPriority w:val="62"/>
    <w:rsid w:val="001F2C9C"/>
    <w:rPr>
      <w:sz w:val="22"/>
      <w:szCs w:val="22"/>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1F2C9C"/>
    <w:rPr>
      <w:sz w:val="22"/>
      <w:szCs w:val="22"/>
      <w:lang w:eastAsia="it-IT"/>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2A73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E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0E8A"/>
    <w:rPr>
      <w:rFonts w:ascii="Times New Roman" w:eastAsia="Arial Unicode MS" w:hAnsi="Arial Unicode MS" w:cs="Arial Unicode MS"/>
      <w:color w:val="000000"/>
      <w:sz w:val="18"/>
      <w:szCs w:val="18"/>
      <w:u w:color="000000"/>
      <w:bdr w:val="nil"/>
    </w:rPr>
  </w:style>
  <w:style w:type="paragraph" w:customStyle="1" w:styleId="1">
    <w:name w:val="正文1"/>
    <w:uiPriority w:val="99"/>
    <w:rsid w:val="00B01FC5"/>
    <w:pPr>
      <w:spacing w:line="276" w:lineRule="auto"/>
    </w:pPr>
    <w:rPr>
      <w:rFonts w:ascii="Arial" w:eastAsia="SimSun" w:hAnsi="Arial" w:cs="Arial"/>
      <w:color w:val="000000"/>
      <w:sz w:val="22"/>
      <w:szCs w:val="20"/>
      <w:lang w:val="pl-PL" w:eastAsia="pl-PL"/>
    </w:rPr>
  </w:style>
  <w:style w:type="paragraph" w:styleId="HTMLPreformatted">
    <w:name w:val="HTML Preformatted"/>
    <w:basedOn w:val="Normal"/>
    <w:link w:val="HTMLPreformattedChar"/>
    <w:uiPriority w:val="99"/>
    <w:semiHidden/>
    <w:unhideWhenUsed/>
    <w:rsid w:val="00FF480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4802"/>
    <w:rPr>
      <w:rFonts w:ascii="Consolas" w:eastAsia="Arial Unicode MS" w:hAnsi="Consolas" w:cs="Consola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33">
      <w:bodyDiv w:val="1"/>
      <w:marLeft w:val="0"/>
      <w:marRight w:val="0"/>
      <w:marTop w:val="0"/>
      <w:marBottom w:val="0"/>
      <w:divBdr>
        <w:top w:val="none" w:sz="0" w:space="0" w:color="auto"/>
        <w:left w:val="none" w:sz="0" w:space="0" w:color="auto"/>
        <w:bottom w:val="none" w:sz="0" w:space="0" w:color="auto"/>
        <w:right w:val="none" w:sz="0" w:space="0" w:color="auto"/>
      </w:divBdr>
    </w:div>
    <w:div w:id="3632868">
      <w:bodyDiv w:val="1"/>
      <w:marLeft w:val="0"/>
      <w:marRight w:val="0"/>
      <w:marTop w:val="0"/>
      <w:marBottom w:val="0"/>
      <w:divBdr>
        <w:top w:val="none" w:sz="0" w:space="0" w:color="auto"/>
        <w:left w:val="none" w:sz="0" w:space="0" w:color="auto"/>
        <w:bottom w:val="none" w:sz="0" w:space="0" w:color="auto"/>
        <w:right w:val="none" w:sz="0" w:space="0" w:color="auto"/>
      </w:divBdr>
    </w:div>
    <w:div w:id="3822558">
      <w:bodyDiv w:val="1"/>
      <w:marLeft w:val="0"/>
      <w:marRight w:val="0"/>
      <w:marTop w:val="0"/>
      <w:marBottom w:val="0"/>
      <w:divBdr>
        <w:top w:val="none" w:sz="0" w:space="0" w:color="auto"/>
        <w:left w:val="none" w:sz="0" w:space="0" w:color="auto"/>
        <w:bottom w:val="none" w:sz="0" w:space="0" w:color="auto"/>
        <w:right w:val="none" w:sz="0" w:space="0" w:color="auto"/>
      </w:divBdr>
    </w:div>
    <w:div w:id="4942023">
      <w:bodyDiv w:val="1"/>
      <w:marLeft w:val="0"/>
      <w:marRight w:val="0"/>
      <w:marTop w:val="0"/>
      <w:marBottom w:val="0"/>
      <w:divBdr>
        <w:top w:val="none" w:sz="0" w:space="0" w:color="auto"/>
        <w:left w:val="none" w:sz="0" w:space="0" w:color="auto"/>
        <w:bottom w:val="none" w:sz="0" w:space="0" w:color="auto"/>
        <w:right w:val="none" w:sz="0" w:space="0" w:color="auto"/>
      </w:divBdr>
    </w:div>
    <w:div w:id="27069108">
      <w:bodyDiv w:val="1"/>
      <w:marLeft w:val="0"/>
      <w:marRight w:val="0"/>
      <w:marTop w:val="0"/>
      <w:marBottom w:val="0"/>
      <w:divBdr>
        <w:top w:val="none" w:sz="0" w:space="0" w:color="auto"/>
        <w:left w:val="none" w:sz="0" w:space="0" w:color="auto"/>
        <w:bottom w:val="none" w:sz="0" w:space="0" w:color="auto"/>
        <w:right w:val="none" w:sz="0" w:space="0" w:color="auto"/>
      </w:divBdr>
    </w:div>
    <w:div w:id="37243137">
      <w:bodyDiv w:val="1"/>
      <w:marLeft w:val="0"/>
      <w:marRight w:val="0"/>
      <w:marTop w:val="0"/>
      <w:marBottom w:val="0"/>
      <w:divBdr>
        <w:top w:val="none" w:sz="0" w:space="0" w:color="auto"/>
        <w:left w:val="none" w:sz="0" w:space="0" w:color="auto"/>
        <w:bottom w:val="none" w:sz="0" w:space="0" w:color="auto"/>
        <w:right w:val="none" w:sz="0" w:space="0" w:color="auto"/>
      </w:divBdr>
    </w:div>
    <w:div w:id="42947017">
      <w:bodyDiv w:val="1"/>
      <w:marLeft w:val="0"/>
      <w:marRight w:val="0"/>
      <w:marTop w:val="0"/>
      <w:marBottom w:val="0"/>
      <w:divBdr>
        <w:top w:val="none" w:sz="0" w:space="0" w:color="auto"/>
        <w:left w:val="none" w:sz="0" w:space="0" w:color="auto"/>
        <w:bottom w:val="none" w:sz="0" w:space="0" w:color="auto"/>
        <w:right w:val="none" w:sz="0" w:space="0" w:color="auto"/>
      </w:divBdr>
    </w:div>
    <w:div w:id="47270617">
      <w:bodyDiv w:val="1"/>
      <w:marLeft w:val="0"/>
      <w:marRight w:val="0"/>
      <w:marTop w:val="0"/>
      <w:marBottom w:val="0"/>
      <w:divBdr>
        <w:top w:val="none" w:sz="0" w:space="0" w:color="auto"/>
        <w:left w:val="none" w:sz="0" w:space="0" w:color="auto"/>
        <w:bottom w:val="none" w:sz="0" w:space="0" w:color="auto"/>
        <w:right w:val="none" w:sz="0" w:space="0" w:color="auto"/>
      </w:divBdr>
    </w:div>
    <w:div w:id="53236096">
      <w:bodyDiv w:val="1"/>
      <w:marLeft w:val="0"/>
      <w:marRight w:val="0"/>
      <w:marTop w:val="0"/>
      <w:marBottom w:val="0"/>
      <w:divBdr>
        <w:top w:val="none" w:sz="0" w:space="0" w:color="auto"/>
        <w:left w:val="none" w:sz="0" w:space="0" w:color="auto"/>
        <w:bottom w:val="none" w:sz="0" w:space="0" w:color="auto"/>
        <w:right w:val="none" w:sz="0" w:space="0" w:color="auto"/>
      </w:divBdr>
    </w:div>
    <w:div w:id="62290527">
      <w:bodyDiv w:val="1"/>
      <w:marLeft w:val="0"/>
      <w:marRight w:val="0"/>
      <w:marTop w:val="0"/>
      <w:marBottom w:val="0"/>
      <w:divBdr>
        <w:top w:val="none" w:sz="0" w:space="0" w:color="auto"/>
        <w:left w:val="none" w:sz="0" w:space="0" w:color="auto"/>
        <w:bottom w:val="none" w:sz="0" w:space="0" w:color="auto"/>
        <w:right w:val="none" w:sz="0" w:space="0" w:color="auto"/>
      </w:divBdr>
    </w:div>
    <w:div w:id="69355739">
      <w:bodyDiv w:val="1"/>
      <w:marLeft w:val="0"/>
      <w:marRight w:val="0"/>
      <w:marTop w:val="0"/>
      <w:marBottom w:val="0"/>
      <w:divBdr>
        <w:top w:val="none" w:sz="0" w:space="0" w:color="auto"/>
        <w:left w:val="none" w:sz="0" w:space="0" w:color="auto"/>
        <w:bottom w:val="none" w:sz="0" w:space="0" w:color="auto"/>
        <w:right w:val="none" w:sz="0" w:space="0" w:color="auto"/>
      </w:divBdr>
    </w:div>
    <w:div w:id="70741105">
      <w:bodyDiv w:val="1"/>
      <w:marLeft w:val="0"/>
      <w:marRight w:val="0"/>
      <w:marTop w:val="0"/>
      <w:marBottom w:val="0"/>
      <w:divBdr>
        <w:top w:val="none" w:sz="0" w:space="0" w:color="auto"/>
        <w:left w:val="none" w:sz="0" w:space="0" w:color="auto"/>
        <w:bottom w:val="none" w:sz="0" w:space="0" w:color="auto"/>
        <w:right w:val="none" w:sz="0" w:space="0" w:color="auto"/>
      </w:divBdr>
    </w:div>
    <w:div w:id="76173467">
      <w:bodyDiv w:val="1"/>
      <w:marLeft w:val="0"/>
      <w:marRight w:val="0"/>
      <w:marTop w:val="0"/>
      <w:marBottom w:val="0"/>
      <w:divBdr>
        <w:top w:val="none" w:sz="0" w:space="0" w:color="auto"/>
        <w:left w:val="none" w:sz="0" w:space="0" w:color="auto"/>
        <w:bottom w:val="none" w:sz="0" w:space="0" w:color="auto"/>
        <w:right w:val="none" w:sz="0" w:space="0" w:color="auto"/>
      </w:divBdr>
    </w:div>
    <w:div w:id="83184453">
      <w:bodyDiv w:val="1"/>
      <w:marLeft w:val="0"/>
      <w:marRight w:val="0"/>
      <w:marTop w:val="0"/>
      <w:marBottom w:val="0"/>
      <w:divBdr>
        <w:top w:val="none" w:sz="0" w:space="0" w:color="auto"/>
        <w:left w:val="none" w:sz="0" w:space="0" w:color="auto"/>
        <w:bottom w:val="none" w:sz="0" w:space="0" w:color="auto"/>
        <w:right w:val="none" w:sz="0" w:space="0" w:color="auto"/>
      </w:divBdr>
    </w:div>
    <w:div w:id="84612411">
      <w:bodyDiv w:val="1"/>
      <w:marLeft w:val="0"/>
      <w:marRight w:val="0"/>
      <w:marTop w:val="0"/>
      <w:marBottom w:val="0"/>
      <w:divBdr>
        <w:top w:val="none" w:sz="0" w:space="0" w:color="auto"/>
        <w:left w:val="none" w:sz="0" w:space="0" w:color="auto"/>
        <w:bottom w:val="none" w:sz="0" w:space="0" w:color="auto"/>
        <w:right w:val="none" w:sz="0" w:space="0" w:color="auto"/>
      </w:divBdr>
    </w:div>
    <w:div w:id="103161581">
      <w:bodyDiv w:val="1"/>
      <w:marLeft w:val="0"/>
      <w:marRight w:val="0"/>
      <w:marTop w:val="0"/>
      <w:marBottom w:val="0"/>
      <w:divBdr>
        <w:top w:val="none" w:sz="0" w:space="0" w:color="auto"/>
        <w:left w:val="none" w:sz="0" w:space="0" w:color="auto"/>
        <w:bottom w:val="none" w:sz="0" w:space="0" w:color="auto"/>
        <w:right w:val="none" w:sz="0" w:space="0" w:color="auto"/>
      </w:divBdr>
      <w:divsChild>
        <w:div w:id="1787969070">
          <w:marLeft w:val="0"/>
          <w:marRight w:val="1"/>
          <w:marTop w:val="0"/>
          <w:marBottom w:val="0"/>
          <w:divBdr>
            <w:top w:val="none" w:sz="0" w:space="0" w:color="auto"/>
            <w:left w:val="none" w:sz="0" w:space="0" w:color="auto"/>
            <w:bottom w:val="none" w:sz="0" w:space="0" w:color="auto"/>
            <w:right w:val="none" w:sz="0" w:space="0" w:color="auto"/>
          </w:divBdr>
          <w:divsChild>
            <w:div w:id="82725979">
              <w:marLeft w:val="0"/>
              <w:marRight w:val="0"/>
              <w:marTop w:val="0"/>
              <w:marBottom w:val="0"/>
              <w:divBdr>
                <w:top w:val="none" w:sz="0" w:space="0" w:color="auto"/>
                <w:left w:val="none" w:sz="0" w:space="0" w:color="auto"/>
                <w:bottom w:val="none" w:sz="0" w:space="0" w:color="auto"/>
                <w:right w:val="none" w:sz="0" w:space="0" w:color="auto"/>
              </w:divBdr>
              <w:divsChild>
                <w:div w:id="1444571287">
                  <w:marLeft w:val="0"/>
                  <w:marRight w:val="1"/>
                  <w:marTop w:val="0"/>
                  <w:marBottom w:val="0"/>
                  <w:divBdr>
                    <w:top w:val="none" w:sz="0" w:space="0" w:color="auto"/>
                    <w:left w:val="none" w:sz="0" w:space="0" w:color="auto"/>
                    <w:bottom w:val="none" w:sz="0" w:space="0" w:color="auto"/>
                    <w:right w:val="none" w:sz="0" w:space="0" w:color="auto"/>
                  </w:divBdr>
                  <w:divsChild>
                    <w:div w:id="337078155">
                      <w:marLeft w:val="0"/>
                      <w:marRight w:val="0"/>
                      <w:marTop w:val="0"/>
                      <w:marBottom w:val="0"/>
                      <w:divBdr>
                        <w:top w:val="none" w:sz="0" w:space="0" w:color="auto"/>
                        <w:left w:val="none" w:sz="0" w:space="0" w:color="auto"/>
                        <w:bottom w:val="none" w:sz="0" w:space="0" w:color="auto"/>
                        <w:right w:val="none" w:sz="0" w:space="0" w:color="auto"/>
                      </w:divBdr>
                      <w:divsChild>
                        <w:div w:id="50930984">
                          <w:marLeft w:val="0"/>
                          <w:marRight w:val="0"/>
                          <w:marTop w:val="0"/>
                          <w:marBottom w:val="0"/>
                          <w:divBdr>
                            <w:top w:val="none" w:sz="0" w:space="0" w:color="auto"/>
                            <w:left w:val="none" w:sz="0" w:space="0" w:color="auto"/>
                            <w:bottom w:val="none" w:sz="0" w:space="0" w:color="auto"/>
                            <w:right w:val="none" w:sz="0" w:space="0" w:color="auto"/>
                          </w:divBdr>
                          <w:divsChild>
                            <w:div w:id="577439838">
                              <w:marLeft w:val="0"/>
                              <w:marRight w:val="0"/>
                              <w:marTop w:val="120"/>
                              <w:marBottom w:val="360"/>
                              <w:divBdr>
                                <w:top w:val="none" w:sz="0" w:space="0" w:color="auto"/>
                                <w:left w:val="none" w:sz="0" w:space="0" w:color="auto"/>
                                <w:bottom w:val="none" w:sz="0" w:space="0" w:color="auto"/>
                                <w:right w:val="none" w:sz="0" w:space="0" w:color="auto"/>
                              </w:divBdr>
                              <w:divsChild>
                                <w:div w:id="1141919220">
                                  <w:marLeft w:val="0"/>
                                  <w:marRight w:val="0"/>
                                  <w:marTop w:val="0"/>
                                  <w:marBottom w:val="0"/>
                                  <w:divBdr>
                                    <w:top w:val="none" w:sz="0" w:space="0" w:color="auto"/>
                                    <w:left w:val="none" w:sz="0" w:space="0" w:color="auto"/>
                                    <w:bottom w:val="none" w:sz="0" w:space="0" w:color="auto"/>
                                    <w:right w:val="none" w:sz="0" w:space="0" w:color="auto"/>
                                  </w:divBdr>
                                  <w:divsChild>
                                    <w:div w:id="18385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79636">
      <w:bodyDiv w:val="1"/>
      <w:marLeft w:val="0"/>
      <w:marRight w:val="0"/>
      <w:marTop w:val="0"/>
      <w:marBottom w:val="0"/>
      <w:divBdr>
        <w:top w:val="none" w:sz="0" w:space="0" w:color="auto"/>
        <w:left w:val="none" w:sz="0" w:space="0" w:color="auto"/>
        <w:bottom w:val="none" w:sz="0" w:space="0" w:color="auto"/>
        <w:right w:val="none" w:sz="0" w:space="0" w:color="auto"/>
      </w:divBdr>
    </w:div>
    <w:div w:id="114761685">
      <w:bodyDiv w:val="1"/>
      <w:marLeft w:val="0"/>
      <w:marRight w:val="0"/>
      <w:marTop w:val="0"/>
      <w:marBottom w:val="0"/>
      <w:divBdr>
        <w:top w:val="none" w:sz="0" w:space="0" w:color="auto"/>
        <w:left w:val="none" w:sz="0" w:space="0" w:color="auto"/>
        <w:bottom w:val="none" w:sz="0" w:space="0" w:color="auto"/>
        <w:right w:val="none" w:sz="0" w:space="0" w:color="auto"/>
      </w:divBdr>
    </w:div>
    <w:div w:id="117839471">
      <w:bodyDiv w:val="1"/>
      <w:marLeft w:val="0"/>
      <w:marRight w:val="0"/>
      <w:marTop w:val="0"/>
      <w:marBottom w:val="0"/>
      <w:divBdr>
        <w:top w:val="none" w:sz="0" w:space="0" w:color="auto"/>
        <w:left w:val="none" w:sz="0" w:space="0" w:color="auto"/>
        <w:bottom w:val="none" w:sz="0" w:space="0" w:color="auto"/>
        <w:right w:val="none" w:sz="0" w:space="0" w:color="auto"/>
      </w:divBdr>
    </w:div>
    <w:div w:id="120727645">
      <w:bodyDiv w:val="1"/>
      <w:marLeft w:val="0"/>
      <w:marRight w:val="0"/>
      <w:marTop w:val="0"/>
      <w:marBottom w:val="0"/>
      <w:divBdr>
        <w:top w:val="none" w:sz="0" w:space="0" w:color="auto"/>
        <w:left w:val="none" w:sz="0" w:space="0" w:color="auto"/>
        <w:bottom w:val="none" w:sz="0" w:space="0" w:color="auto"/>
        <w:right w:val="none" w:sz="0" w:space="0" w:color="auto"/>
      </w:divBdr>
    </w:div>
    <w:div w:id="132062224">
      <w:bodyDiv w:val="1"/>
      <w:marLeft w:val="0"/>
      <w:marRight w:val="0"/>
      <w:marTop w:val="0"/>
      <w:marBottom w:val="0"/>
      <w:divBdr>
        <w:top w:val="none" w:sz="0" w:space="0" w:color="auto"/>
        <w:left w:val="none" w:sz="0" w:space="0" w:color="auto"/>
        <w:bottom w:val="none" w:sz="0" w:space="0" w:color="auto"/>
        <w:right w:val="none" w:sz="0" w:space="0" w:color="auto"/>
      </w:divBdr>
    </w:div>
    <w:div w:id="138966401">
      <w:bodyDiv w:val="1"/>
      <w:marLeft w:val="0"/>
      <w:marRight w:val="0"/>
      <w:marTop w:val="0"/>
      <w:marBottom w:val="0"/>
      <w:divBdr>
        <w:top w:val="none" w:sz="0" w:space="0" w:color="auto"/>
        <w:left w:val="none" w:sz="0" w:space="0" w:color="auto"/>
        <w:bottom w:val="none" w:sz="0" w:space="0" w:color="auto"/>
        <w:right w:val="none" w:sz="0" w:space="0" w:color="auto"/>
      </w:divBdr>
    </w:div>
    <w:div w:id="145829091">
      <w:bodyDiv w:val="1"/>
      <w:marLeft w:val="0"/>
      <w:marRight w:val="0"/>
      <w:marTop w:val="0"/>
      <w:marBottom w:val="0"/>
      <w:divBdr>
        <w:top w:val="none" w:sz="0" w:space="0" w:color="auto"/>
        <w:left w:val="none" w:sz="0" w:space="0" w:color="auto"/>
        <w:bottom w:val="none" w:sz="0" w:space="0" w:color="auto"/>
        <w:right w:val="none" w:sz="0" w:space="0" w:color="auto"/>
      </w:divBdr>
    </w:div>
    <w:div w:id="146210983">
      <w:bodyDiv w:val="1"/>
      <w:marLeft w:val="0"/>
      <w:marRight w:val="0"/>
      <w:marTop w:val="0"/>
      <w:marBottom w:val="0"/>
      <w:divBdr>
        <w:top w:val="none" w:sz="0" w:space="0" w:color="auto"/>
        <w:left w:val="none" w:sz="0" w:space="0" w:color="auto"/>
        <w:bottom w:val="none" w:sz="0" w:space="0" w:color="auto"/>
        <w:right w:val="none" w:sz="0" w:space="0" w:color="auto"/>
      </w:divBdr>
    </w:div>
    <w:div w:id="151023092">
      <w:bodyDiv w:val="1"/>
      <w:marLeft w:val="0"/>
      <w:marRight w:val="0"/>
      <w:marTop w:val="0"/>
      <w:marBottom w:val="0"/>
      <w:divBdr>
        <w:top w:val="none" w:sz="0" w:space="0" w:color="auto"/>
        <w:left w:val="none" w:sz="0" w:space="0" w:color="auto"/>
        <w:bottom w:val="none" w:sz="0" w:space="0" w:color="auto"/>
        <w:right w:val="none" w:sz="0" w:space="0" w:color="auto"/>
      </w:divBdr>
    </w:div>
    <w:div w:id="183173245">
      <w:bodyDiv w:val="1"/>
      <w:marLeft w:val="0"/>
      <w:marRight w:val="0"/>
      <w:marTop w:val="0"/>
      <w:marBottom w:val="0"/>
      <w:divBdr>
        <w:top w:val="none" w:sz="0" w:space="0" w:color="auto"/>
        <w:left w:val="none" w:sz="0" w:space="0" w:color="auto"/>
        <w:bottom w:val="none" w:sz="0" w:space="0" w:color="auto"/>
        <w:right w:val="none" w:sz="0" w:space="0" w:color="auto"/>
      </w:divBdr>
    </w:div>
    <w:div w:id="183711021">
      <w:bodyDiv w:val="1"/>
      <w:marLeft w:val="0"/>
      <w:marRight w:val="0"/>
      <w:marTop w:val="0"/>
      <w:marBottom w:val="0"/>
      <w:divBdr>
        <w:top w:val="none" w:sz="0" w:space="0" w:color="auto"/>
        <w:left w:val="none" w:sz="0" w:space="0" w:color="auto"/>
        <w:bottom w:val="none" w:sz="0" w:space="0" w:color="auto"/>
        <w:right w:val="none" w:sz="0" w:space="0" w:color="auto"/>
      </w:divBdr>
    </w:div>
    <w:div w:id="190073995">
      <w:bodyDiv w:val="1"/>
      <w:marLeft w:val="0"/>
      <w:marRight w:val="0"/>
      <w:marTop w:val="0"/>
      <w:marBottom w:val="0"/>
      <w:divBdr>
        <w:top w:val="none" w:sz="0" w:space="0" w:color="auto"/>
        <w:left w:val="none" w:sz="0" w:space="0" w:color="auto"/>
        <w:bottom w:val="none" w:sz="0" w:space="0" w:color="auto"/>
        <w:right w:val="none" w:sz="0" w:space="0" w:color="auto"/>
      </w:divBdr>
    </w:div>
    <w:div w:id="196162096">
      <w:bodyDiv w:val="1"/>
      <w:marLeft w:val="0"/>
      <w:marRight w:val="0"/>
      <w:marTop w:val="0"/>
      <w:marBottom w:val="0"/>
      <w:divBdr>
        <w:top w:val="none" w:sz="0" w:space="0" w:color="auto"/>
        <w:left w:val="none" w:sz="0" w:space="0" w:color="auto"/>
        <w:bottom w:val="none" w:sz="0" w:space="0" w:color="auto"/>
        <w:right w:val="none" w:sz="0" w:space="0" w:color="auto"/>
      </w:divBdr>
    </w:div>
    <w:div w:id="216550461">
      <w:bodyDiv w:val="1"/>
      <w:marLeft w:val="0"/>
      <w:marRight w:val="0"/>
      <w:marTop w:val="0"/>
      <w:marBottom w:val="0"/>
      <w:divBdr>
        <w:top w:val="none" w:sz="0" w:space="0" w:color="auto"/>
        <w:left w:val="none" w:sz="0" w:space="0" w:color="auto"/>
        <w:bottom w:val="none" w:sz="0" w:space="0" w:color="auto"/>
        <w:right w:val="none" w:sz="0" w:space="0" w:color="auto"/>
      </w:divBdr>
    </w:div>
    <w:div w:id="234585819">
      <w:bodyDiv w:val="1"/>
      <w:marLeft w:val="0"/>
      <w:marRight w:val="0"/>
      <w:marTop w:val="0"/>
      <w:marBottom w:val="0"/>
      <w:divBdr>
        <w:top w:val="none" w:sz="0" w:space="0" w:color="auto"/>
        <w:left w:val="none" w:sz="0" w:space="0" w:color="auto"/>
        <w:bottom w:val="none" w:sz="0" w:space="0" w:color="auto"/>
        <w:right w:val="none" w:sz="0" w:space="0" w:color="auto"/>
      </w:divBdr>
    </w:div>
    <w:div w:id="234703677">
      <w:bodyDiv w:val="1"/>
      <w:marLeft w:val="0"/>
      <w:marRight w:val="0"/>
      <w:marTop w:val="0"/>
      <w:marBottom w:val="0"/>
      <w:divBdr>
        <w:top w:val="none" w:sz="0" w:space="0" w:color="auto"/>
        <w:left w:val="none" w:sz="0" w:space="0" w:color="auto"/>
        <w:bottom w:val="none" w:sz="0" w:space="0" w:color="auto"/>
        <w:right w:val="none" w:sz="0" w:space="0" w:color="auto"/>
      </w:divBdr>
    </w:div>
    <w:div w:id="235290180">
      <w:bodyDiv w:val="1"/>
      <w:marLeft w:val="0"/>
      <w:marRight w:val="0"/>
      <w:marTop w:val="0"/>
      <w:marBottom w:val="0"/>
      <w:divBdr>
        <w:top w:val="none" w:sz="0" w:space="0" w:color="auto"/>
        <w:left w:val="none" w:sz="0" w:space="0" w:color="auto"/>
        <w:bottom w:val="none" w:sz="0" w:space="0" w:color="auto"/>
        <w:right w:val="none" w:sz="0" w:space="0" w:color="auto"/>
      </w:divBdr>
    </w:div>
    <w:div w:id="238830906">
      <w:bodyDiv w:val="1"/>
      <w:marLeft w:val="0"/>
      <w:marRight w:val="0"/>
      <w:marTop w:val="0"/>
      <w:marBottom w:val="0"/>
      <w:divBdr>
        <w:top w:val="none" w:sz="0" w:space="0" w:color="auto"/>
        <w:left w:val="none" w:sz="0" w:space="0" w:color="auto"/>
        <w:bottom w:val="none" w:sz="0" w:space="0" w:color="auto"/>
        <w:right w:val="none" w:sz="0" w:space="0" w:color="auto"/>
      </w:divBdr>
    </w:div>
    <w:div w:id="249580605">
      <w:bodyDiv w:val="1"/>
      <w:marLeft w:val="0"/>
      <w:marRight w:val="0"/>
      <w:marTop w:val="0"/>
      <w:marBottom w:val="0"/>
      <w:divBdr>
        <w:top w:val="none" w:sz="0" w:space="0" w:color="auto"/>
        <w:left w:val="none" w:sz="0" w:space="0" w:color="auto"/>
        <w:bottom w:val="none" w:sz="0" w:space="0" w:color="auto"/>
        <w:right w:val="none" w:sz="0" w:space="0" w:color="auto"/>
      </w:divBdr>
    </w:div>
    <w:div w:id="258216527">
      <w:bodyDiv w:val="1"/>
      <w:marLeft w:val="0"/>
      <w:marRight w:val="0"/>
      <w:marTop w:val="0"/>
      <w:marBottom w:val="0"/>
      <w:divBdr>
        <w:top w:val="none" w:sz="0" w:space="0" w:color="auto"/>
        <w:left w:val="none" w:sz="0" w:space="0" w:color="auto"/>
        <w:bottom w:val="none" w:sz="0" w:space="0" w:color="auto"/>
        <w:right w:val="none" w:sz="0" w:space="0" w:color="auto"/>
      </w:divBdr>
    </w:div>
    <w:div w:id="265424699">
      <w:bodyDiv w:val="1"/>
      <w:marLeft w:val="0"/>
      <w:marRight w:val="0"/>
      <w:marTop w:val="0"/>
      <w:marBottom w:val="0"/>
      <w:divBdr>
        <w:top w:val="none" w:sz="0" w:space="0" w:color="auto"/>
        <w:left w:val="none" w:sz="0" w:space="0" w:color="auto"/>
        <w:bottom w:val="none" w:sz="0" w:space="0" w:color="auto"/>
        <w:right w:val="none" w:sz="0" w:space="0" w:color="auto"/>
      </w:divBdr>
    </w:div>
    <w:div w:id="282924408">
      <w:bodyDiv w:val="1"/>
      <w:marLeft w:val="0"/>
      <w:marRight w:val="0"/>
      <w:marTop w:val="0"/>
      <w:marBottom w:val="0"/>
      <w:divBdr>
        <w:top w:val="none" w:sz="0" w:space="0" w:color="auto"/>
        <w:left w:val="none" w:sz="0" w:space="0" w:color="auto"/>
        <w:bottom w:val="none" w:sz="0" w:space="0" w:color="auto"/>
        <w:right w:val="none" w:sz="0" w:space="0" w:color="auto"/>
      </w:divBdr>
    </w:div>
    <w:div w:id="289821865">
      <w:bodyDiv w:val="1"/>
      <w:marLeft w:val="0"/>
      <w:marRight w:val="0"/>
      <w:marTop w:val="0"/>
      <w:marBottom w:val="0"/>
      <w:divBdr>
        <w:top w:val="none" w:sz="0" w:space="0" w:color="auto"/>
        <w:left w:val="none" w:sz="0" w:space="0" w:color="auto"/>
        <w:bottom w:val="none" w:sz="0" w:space="0" w:color="auto"/>
        <w:right w:val="none" w:sz="0" w:space="0" w:color="auto"/>
      </w:divBdr>
    </w:div>
    <w:div w:id="306738695">
      <w:bodyDiv w:val="1"/>
      <w:marLeft w:val="0"/>
      <w:marRight w:val="0"/>
      <w:marTop w:val="0"/>
      <w:marBottom w:val="0"/>
      <w:divBdr>
        <w:top w:val="none" w:sz="0" w:space="0" w:color="auto"/>
        <w:left w:val="none" w:sz="0" w:space="0" w:color="auto"/>
        <w:bottom w:val="none" w:sz="0" w:space="0" w:color="auto"/>
        <w:right w:val="none" w:sz="0" w:space="0" w:color="auto"/>
      </w:divBdr>
    </w:div>
    <w:div w:id="309211752">
      <w:bodyDiv w:val="1"/>
      <w:marLeft w:val="0"/>
      <w:marRight w:val="0"/>
      <w:marTop w:val="0"/>
      <w:marBottom w:val="0"/>
      <w:divBdr>
        <w:top w:val="none" w:sz="0" w:space="0" w:color="auto"/>
        <w:left w:val="none" w:sz="0" w:space="0" w:color="auto"/>
        <w:bottom w:val="none" w:sz="0" w:space="0" w:color="auto"/>
        <w:right w:val="none" w:sz="0" w:space="0" w:color="auto"/>
      </w:divBdr>
    </w:div>
    <w:div w:id="310446872">
      <w:bodyDiv w:val="1"/>
      <w:marLeft w:val="0"/>
      <w:marRight w:val="0"/>
      <w:marTop w:val="0"/>
      <w:marBottom w:val="0"/>
      <w:divBdr>
        <w:top w:val="none" w:sz="0" w:space="0" w:color="auto"/>
        <w:left w:val="none" w:sz="0" w:space="0" w:color="auto"/>
        <w:bottom w:val="none" w:sz="0" w:space="0" w:color="auto"/>
        <w:right w:val="none" w:sz="0" w:space="0" w:color="auto"/>
      </w:divBdr>
    </w:div>
    <w:div w:id="323164054">
      <w:bodyDiv w:val="1"/>
      <w:marLeft w:val="0"/>
      <w:marRight w:val="0"/>
      <w:marTop w:val="0"/>
      <w:marBottom w:val="0"/>
      <w:divBdr>
        <w:top w:val="none" w:sz="0" w:space="0" w:color="auto"/>
        <w:left w:val="none" w:sz="0" w:space="0" w:color="auto"/>
        <w:bottom w:val="none" w:sz="0" w:space="0" w:color="auto"/>
        <w:right w:val="none" w:sz="0" w:space="0" w:color="auto"/>
      </w:divBdr>
    </w:div>
    <w:div w:id="342438825">
      <w:bodyDiv w:val="1"/>
      <w:marLeft w:val="0"/>
      <w:marRight w:val="0"/>
      <w:marTop w:val="0"/>
      <w:marBottom w:val="0"/>
      <w:divBdr>
        <w:top w:val="none" w:sz="0" w:space="0" w:color="auto"/>
        <w:left w:val="none" w:sz="0" w:space="0" w:color="auto"/>
        <w:bottom w:val="none" w:sz="0" w:space="0" w:color="auto"/>
        <w:right w:val="none" w:sz="0" w:space="0" w:color="auto"/>
      </w:divBdr>
    </w:div>
    <w:div w:id="343358111">
      <w:bodyDiv w:val="1"/>
      <w:marLeft w:val="0"/>
      <w:marRight w:val="0"/>
      <w:marTop w:val="0"/>
      <w:marBottom w:val="0"/>
      <w:divBdr>
        <w:top w:val="none" w:sz="0" w:space="0" w:color="auto"/>
        <w:left w:val="none" w:sz="0" w:space="0" w:color="auto"/>
        <w:bottom w:val="none" w:sz="0" w:space="0" w:color="auto"/>
        <w:right w:val="none" w:sz="0" w:space="0" w:color="auto"/>
      </w:divBdr>
    </w:div>
    <w:div w:id="354163312">
      <w:bodyDiv w:val="1"/>
      <w:marLeft w:val="0"/>
      <w:marRight w:val="0"/>
      <w:marTop w:val="0"/>
      <w:marBottom w:val="0"/>
      <w:divBdr>
        <w:top w:val="none" w:sz="0" w:space="0" w:color="auto"/>
        <w:left w:val="none" w:sz="0" w:space="0" w:color="auto"/>
        <w:bottom w:val="none" w:sz="0" w:space="0" w:color="auto"/>
        <w:right w:val="none" w:sz="0" w:space="0" w:color="auto"/>
      </w:divBdr>
    </w:div>
    <w:div w:id="360321994">
      <w:bodyDiv w:val="1"/>
      <w:marLeft w:val="0"/>
      <w:marRight w:val="0"/>
      <w:marTop w:val="0"/>
      <w:marBottom w:val="0"/>
      <w:divBdr>
        <w:top w:val="none" w:sz="0" w:space="0" w:color="auto"/>
        <w:left w:val="none" w:sz="0" w:space="0" w:color="auto"/>
        <w:bottom w:val="none" w:sz="0" w:space="0" w:color="auto"/>
        <w:right w:val="none" w:sz="0" w:space="0" w:color="auto"/>
      </w:divBdr>
    </w:div>
    <w:div w:id="378549542">
      <w:bodyDiv w:val="1"/>
      <w:marLeft w:val="0"/>
      <w:marRight w:val="0"/>
      <w:marTop w:val="0"/>
      <w:marBottom w:val="0"/>
      <w:divBdr>
        <w:top w:val="none" w:sz="0" w:space="0" w:color="auto"/>
        <w:left w:val="none" w:sz="0" w:space="0" w:color="auto"/>
        <w:bottom w:val="none" w:sz="0" w:space="0" w:color="auto"/>
        <w:right w:val="none" w:sz="0" w:space="0" w:color="auto"/>
      </w:divBdr>
    </w:div>
    <w:div w:id="381369360">
      <w:bodyDiv w:val="1"/>
      <w:marLeft w:val="0"/>
      <w:marRight w:val="0"/>
      <w:marTop w:val="0"/>
      <w:marBottom w:val="0"/>
      <w:divBdr>
        <w:top w:val="none" w:sz="0" w:space="0" w:color="auto"/>
        <w:left w:val="none" w:sz="0" w:space="0" w:color="auto"/>
        <w:bottom w:val="none" w:sz="0" w:space="0" w:color="auto"/>
        <w:right w:val="none" w:sz="0" w:space="0" w:color="auto"/>
      </w:divBdr>
    </w:div>
    <w:div w:id="395054532">
      <w:bodyDiv w:val="1"/>
      <w:marLeft w:val="0"/>
      <w:marRight w:val="0"/>
      <w:marTop w:val="0"/>
      <w:marBottom w:val="0"/>
      <w:divBdr>
        <w:top w:val="none" w:sz="0" w:space="0" w:color="auto"/>
        <w:left w:val="none" w:sz="0" w:space="0" w:color="auto"/>
        <w:bottom w:val="none" w:sz="0" w:space="0" w:color="auto"/>
        <w:right w:val="none" w:sz="0" w:space="0" w:color="auto"/>
      </w:divBdr>
    </w:div>
    <w:div w:id="419834730">
      <w:bodyDiv w:val="1"/>
      <w:marLeft w:val="0"/>
      <w:marRight w:val="0"/>
      <w:marTop w:val="0"/>
      <w:marBottom w:val="0"/>
      <w:divBdr>
        <w:top w:val="none" w:sz="0" w:space="0" w:color="auto"/>
        <w:left w:val="none" w:sz="0" w:space="0" w:color="auto"/>
        <w:bottom w:val="none" w:sz="0" w:space="0" w:color="auto"/>
        <w:right w:val="none" w:sz="0" w:space="0" w:color="auto"/>
      </w:divBdr>
    </w:div>
    <w:div w:id="427966389">
      <w:bodyDiv w:val="1"/>
      <w:marLeft w:val="0"/>
      <w:marRight w:val="0"/>
      <w:marTop w:val="0"/>
      <w:marBottom w:val="0"/>
      <w:divBdr>
        <w:top w:val="none" w:sz="0" w:space="0" w:color="auto"/>
        <w:left w:val="none" w:sz="0" w:space="0" w:color="auto"/>
        <w:bottom w:val="none" w:sz="0" w:space="0" w:color="auto"/>
        <w:right w:val="none" w:sz="0" w:space="0" w:color="auto"/>
      </w:divBdr>
    </w:div>
    <w:div w:id="432629456">
      <w:bodyDiv w:val="1"/>
      <w:marLeft w:val="0"/>
      <w:marRight w:val="0"/>
      <w:marTop w:val="0"/>
      <w:marBottom w:val="0"/>
      <w:divBdr>
        <w:top w:val="none" w:sz="0" w:space="0" w:color="auto"/>
        <w:left w:val="none" w:sz="0" w:space="0" w:color="auto"/>
        <w:bottom w:val="none" w:sz="0" w:space="0" w:color="auto"/>
        <w:right w:val="none" w:sz="0" w:space="0" w:color="auto"/>
      </w:divBdr>
    </w:div>
    <w:div w:id="435055644">
      <w:bodyDiv w:val="1"/>
      <w:marLeft w:val="0"/>
      <w:marRight w:val="0"/>
      <w:marTop w:val="0"/>
      <w:marBottom w:val="0"/>
      <w:divBdr>
        <w:top w:val="none" w:sz="0" w:space="0" w:color="auto"/>
        <w:left w:val="none" w:sz="0" w:space="0" w:color="auto"/>
        <w:bottom w:val="none" w:sz="0" w:space="0" w:color="auto"/>
        <w:right w:val="none" w:sz="0" w:space="0" w:color="auto"/>
      </w:divBdr>
    </w:div>
    <w:div w:id="456683332">
      <w:bodyDiv w:val="1"/>
      <w:marLeft w:val="0"/>
      <w:marRight w:val="0"/>
      <w:marTop w:val="0"/>
      <w:marBottom w:val="0"/>
      <w:divBdr>
        <w:top w:val="none" w:sz="0" w:space="0" w:color="auto"/>
        <w:left w:val="none" w:sz="0" w:space="0" w:color="auto"/>
        <w:bottom w:val="none" w:sz="0" w:space="0" w:color="auto"/>
        <w:right w:val="none" w:sz="0" w:space="0" w:color="auto"/>
      </w:divBdr>
    </w:div>
    <w:div w:id="459227986">
      <w:bodyDiv w:val="1"/>
      <w:marLeft w:val="0"/>
      <w:marRight w:val="0"/>
      <w:marTop w:val="0"/>
      <w:marBottom w:val="0"/>
      <w:divBdr>
        <w:top w:val="none" w:sz="0" w:space="0" w:color="auto"/>
        <w:left w:val="none" w:sz="0" w:space="0" w:color="auto"/>
        <w:bottom w:val="none" w:sz="0" w:space="0" w:color="auto"/>
        <w:right w:val="none" w:sz="0" w:space="0" w:color="auto"/>
      </w:divBdr>
    </w:div>
    <w:div w:id="462425953">
      <w:bodyDiv w:val="1"/>
      <w:marLeft w:val="0"/>
      <w:marRight w:val="0"/>
      <w:marTop w:val="0"/>
      <w:marBottom w:val="0"/>
      <w:divBdr>
        <w:top w:val="none" w:sz="0" w:space="0" w:color="auto"/>
        <w:left w:val="none" w:sz="0" w:space="0" w:color="auto"/>
        <w:bottom w:val="none" w:sz="0" w:space="0" w:color="auto"/>
        <w:right w:val="none" w:sz="0" w:space="0" w:color="auto"/>
      </w:divBdr>
    </w:div>
    <w:div w:id="464585311">
      <w:bodyDiv w:val="1"/>
      <w:marLeft w:val="0"/>
      <w:marRight w:val="0"/>
      <w:marTop w:val="0"/>
      <w:marBottom w:val="0"/>
      <w:divBdr>
        <w:top w:val="none" w:sz="0" w:space="0" w:color="auto"/>
        <w:left w:val="none" w:sz="0" w:space="0" w:color="auto"/>
        <w:bottom w:val="none" w:sz="0" w:space="0" w:color="auto"/>
        <w:right w:val="none" w:sz="0" w:space="0" w:color="auto"/>
      </w:divBdr>
    </w:div>
    <w:div w:id="466169312">
      <w:bodyDiv w:val="1"/>
      <w:marLeft w:val="0"/>
      <w:marRight w:val="0"/>
      <w:marTop w:val="0"/>
      <w:marBottom w:val="0"/>
      <w:divBdr>
        <w:top w:val="none" w:sz="0" w:space="0" w:color="auto"/>
        <w:left w:val="none" w:sz="0" w:space="0" w:color="auto"/>
        <w:bottom w:val="none" w:sz="0" w:space="0" w:color="auto"/>
        <w:right w:val="none" w:sz="0" w:space="0" w:color="auto"/>
      </w:divBdr>
    </w:div>
    <w:div w:id="476260747">
      <w:bodyDiv w:val="1"/>
      <w:marLeft w:val="0"/>
      <w:marRight w:val="0"/>
      <w:marTop w:val="0"/>
      <w:marBottom w:val="0"/>
      <w:divBdr>
        <w:top w:val="none" w:sz="0" w:space="0" w:color="auto"/>
        <w:left w:val="none" w:sz="0" w:space="0" w:color="auto"/>
        <w:bottom w:val="none" w:sz="0" w:space="0" w:color="auto"/>
        <w:right w:val="none" w:sz="0" w:space="0" w:color="auto"/>
      </w:divBdr>
    </w:div>
    <w:div w:id="484930508">
      <w:bodyDiv w:val="1"/>
      <w:marLeft w:val="0"/>
      <w:marRight w:val="0"/>
      <w:marTop w:val="0"/>
      <w:marBottom w:val="0"/>
      <w:divBdr>
        <w:top w:val="none" w:sz="0" w:space="0" w:color="auto"/>
        <w:left w:val="none" w:sz="0" w:space="0" w:color="auto"/>
        <w:bottom w:val="none" w:sz="0" w:space="0" w:color="auto"/>
        <w:right w:val="none" w:sz="0" w:space="0" w:color="auto"/>
      </w:divBdr>
    </w:div>
    <w:div w:id="487790762">
      <w:bodyDiv w:val="1"/>
      <w:marLeft w:val="0"/>
      <w:marRight w:val="0"/>
      <w:marTop w:val="0"/>
      <w:marBottom w:val="0"/>
      <w:divBdr>
        <w:top w:val="none" w:sz="0" w:space="0" w:color="auto"/>
        <w:left w:val="none" w:sz="0" w:space="0" w:color="auto"/>
        <w:bottom w:val="none" w:sz="0" w:space="0" w:color="auto"/>
        <w:right w:val="none" w:sz="0" w:space="0" w:color="auto"/>
      </w:divBdr>
    </w:div>
    <w:div w:id="498616200">
      <w:bodyDiv w:val="1"/>
      <w:marLeft w:val="0"/>
      <w:marRight w:val="0"/>
      <w:marTop w:val="0"/>
      <w:marBottom w:val="0"/>
      <w:divBdr>
        <w:top w:val="none" w:sz="0" w:space="0" w:color="auto"/>
        <w:left w:val="none" w:sz="0" w:space="0" w:color="auto"/>
        <w:bottom w:val="none" w:sz="0" w:space="0" w:color="auto"/>
        <w:right w:val="none" w:sz="0" w:space="0" w:color="auto"/>
      </w:divBdr>
    </w:div>
    <w:div w:id="526868945">
      <w:bodyDiv w:val="1"/>
      <w:marLeft w:val="0"/>
      <w:marRight w:val="0"/>
      <w:marTop w:val="0"/>
      <w:marBottom w:val="0"/>
      <w:divBdr>
        <w:top w:val="none" w:sz="0" w:space="0" w:color="auto"/>
        <w:left w:val="none" w:sz="0" w:space="0" w:color="auto"/>
        <w:bottom w:val="none" w:sz="0" w:space="0" w:color="auto"/>
        <w:right w:val="none" w:sz="0" w:space="0" w:color="auto"/>
      </w:divBdr>
    </w:div>
    <w:div w:id="555894329">
      <w:bodyDiv w:val="1"/>
      <w:marLeft w:val="0"/>
      <w:marRight w:val="0"/>
      <w:marTop w:val="0"/>
      <w:marBottom w:val="0"/>
      <w:divBdr>
        <w:top w:val="none" w:sz="0" w:space="0" w:color="auto"/>
        <w:left w:val="none" w:sz="0" w:space="0" w:color="auto"/>
        <w:bottom w:val="none" w:sz="0" w:space="0" w:color="auto"/>
        <w:right w:val="none" w:sz="0" w:space="0" w:color="auto"/>
      </w:divBdr>
    </w:div>
    <w:div w:id="556431090">
      <w:bodyDiv w:val="1"/>
      <w:marLeft w:val="0"/>
      <w:marRight w:val="0"/>
      <w:marTop w:val="0"/>
      <w:marBottom w:val="0"/>
      <w:divBdr>
        <w:top w:val="none" w:sz="0" w:space="0" w:color="auto"/>
        <w:left w:val="none" w:sz="0" w:space="0" w:color="auto"/>
        <w:bottom w:val="none" w:sz="0" w:space="0" w:color="auto"/>
        <w:right w:val="none" w:sz="0" w:space="0" w:color="auto"/>
      </w:divBdr>
    </w:div>
    <w:div w:id="564267034">
      <w:bodyDiv w:val="1"/>
      <w:marLeft w:val="0"/>
      <w:marRight w:val="0"/>
      <w:marTop w:val="0"/>
      <w:marBottom w:val="0"/>
      <w:divBdr>
        <w:top w:val="none" w:sz="0" w:space="0" w:color="auto"/>
        <w:left w:val="none" w:sz="0" w:space="0" w:color="auto"/>
        <w:bottom w:val="none" w:sz="0" w:space="0" w:color="auto"/>
        <w:right w:val="none" w:sz="0" w:space="0" w:color="auto"/>
      </w:divBdr>
    </w:div>
    <w:div w:id="590431784">
      <w:bodyDiv w:val="1"/>
      <w:marLeft w:val="0"/>
      <w:marRight w:val="0"/>
      <w:marTop w:val="0"/>
      <w:marBottom w:val="0"/>
      <w:divBdr>
        <w:top w:val="none" w:sz="0" w:space="0" w:color="auto"/>
        <w:left w:val="none" w:sz="0" w:space="0" w:color="auto"/>
        <w:bottom w:val="none" w:sz="0" w:space="0" w:color="auto"/>
        <w:right w:val="none" w:sz="0" w:space="0" w:color="auto"/>
      </w:divBdr>
    </w:div>
    <w:div w:id="614335138">
      <w:bodyDiv w:val="1"/>
      <w:marLeft w:val="0"/>
      <w:marRight w:val="0"/>
      <w:marTop w:val="0"/>
      <w:marBottom w:val="0"/>
      <w:divBdr>
        <w:top w:val="none" w:sz="0" w:space="0" w:color="auto"/>
        <w:left w:val="none" w:sz="0" w:space="0" w:color="auto"/>
        <w:bottom w:val="none" w:sz="0" w:space="0" w:color="auto"/>
        <w:right w:val="none" w:sz="0" w:space="0" w:color="auto"/>
      </w:divBdr>
    </w:div>
    <w:div w:id="614990317">
      <w:bodyDiv w:val="1"/>
      <w:marLeft w:val="0"/>
      <w:marRight w:val="0"/>
      <w:marTop w:val="0"/>
      <w:marBottom w:val="0"/>
      <w:divBdr>
        <w:top w:val="none" w:sz="0" w:space="0" w:color="auto"/>
        <w:left w:val="none" w:sz="0" w:space="0" w:color="auto"/>
        <w:bottom w:val="none" w:sz="0" w:space="0" w:color="auto"/>
        <w:right w:val="none" w:sz="0" w:space="0" w:color="auto"/>
      </w:divBdr>
    </w:div>
    <w:div w:id="619459133">
      <w:bodyDiv w:val="1"/>
      <w:marLeft w:val="0"/>
      <w:marRight w:val="0"/>
      <w:marTop w:val="0"/>
      <w:marBottom w:val="0"/>
      <w:divBdr>
        <w:top w:val="none" w:sz="0" w:space="0" w:color="auto"/>
        <w:left w:val="none" w:sz="0" w:space="0" w:color="auto"/>
        <w:bottom w:val="none" w:sz="0" w:space="0" w:color="auto"/>
        <w:right w:val="none" w:sz="0" w:space="0" w:color="auto"/>
      </w:divBdr>
    </w:div>
    <w:div w:id="636298670">
      <w:bodyDiv w:val="1"/>
      <w:marLeft w:val="0"/>
      <w:marRight w:val="0"/>
      <w:marTop w:val="0"/>
      <w:marBottom w:val="0"/>
      <w:divBdr>
        <w:top w:val="none" w:sz="0" w:space="0" w:color="auto"/>
        <w:left w:val="none" w:sz="0" w:space="0" w:color="auto"/>
        <w:bottom w:val="none" w:sz="0" w:space="0" w:color="auto"/>
        <w:right w:val="none" w:sz="0" w:space="0" w:color="auto"/>
      </w:divBdr>
    </w:div>
    <w:div w:id="636952160">
      <w:bodyDiv w:val="1"/>
      <w:marLeft w:val="0"/>
      <w:marRight w:val="0"/>
      <w:marTop w:val="0"/>
      <w:marBottom w:val="0"/>
      <w:divBdr>
        <w:top w:val="none" w:sz="0" w:space="0" w:color="auto"/>
        <w:left w:val="none" w:sz="0" w:space="0" w:color="auto"/>
        <w:bottom w:val="none" w:sz="0" w:space="0" w:color="auto"/>
        <w:right w:val="none" w:sz="0" w:space="0" w:color="auto"/>
      </w:divBdr>
    </w:div>
    <w:div w:id="656497660">
      <w:bodyDiv w:val="1"/>
      <w:marLeft w:val="0"/>
      <w:marRight w:val="0"/>
      <w:marTop w:val="0"/>
      <w:marBottom w:val="0"/>
      <w:divBdr>
        <w:top w:val="none" w:sz="0" w:space="0" w:color="auto"/>
        <w:left w:val="none" w:sz="0" w:space="0" w:color="auto"/>
        <w:bottom w:val="none" w:sz="0" w:space="0" w:color="auto"/>
        <w:right w:val="none" w:sz="0" w:space="0" w:color="auto"/>
      </w:divBdr>
    </w:div>
    <w:div w:id="675353301">
      <w:bodyDiv w:val="1"/>
      <w:marLeft w:val="0"/>
      <w:marRight w:val="0"/>
      <w:marTop w:val="0"/>
      <w:marBottom w:val="0"/>
      <w:divBdr>
        <w:top w:val="none" w:sz="0" w:space="0" w:color="auto"/>
        <w:left w:val="none" w:sz="0" w:space="0" w:color="auto"/>
        <w:bottom w:val="none" w:sz="0" w:space="0" w:color="auto"/>
        <w:right w:val="none" w:sz="0" w:space="0" w:color="auto"/>
      </w:divBdr>
    </w:div>
    <w:div w:id="684214179">
      <w:bodyDiv w:val="1"/>
      <w:marLeft w:val="0"/>
      <w:marRight w:val="0"/>
      <w:marTop w:val="0"/>
      <w:marBottom w:val="0"/>
      <w:divBdr>
        <w:top w:val="none" w:sz="0" w:space="0" w:color="auto"/>
        <w:left w:val="none" w:sz="0" w:space="0" w:color="auto"/>
        <w:bottom w:val="none" w:sz="0" w:space="0" w:color="auto"/>
        <w:right w:val="none" w:sz="0" w:space="0" w:color="auto"/>
      </w:divBdr>
    </w:div>
    <w:div w:id="695232322">
      <w:bodyDiv w:val="1"/>
      <w:marLeft w:val="0"/>
      <w:marRight w:val="0"/>
      <w:marTop w:val="0"/>
      <w:marBottom w:val="0"/>
      <w:divBdr>
        <w:top w:val="none" w:sz="0" w:space="0" w:color="auto"/>
        <w:left w:val="none" w:sz="0" w:space="0" w:color="auto"/>
        <w:bottom w:val="none" w:sz="0" w:space="0" w:color="auto"/>
        <w:right w:val="none" w:sz="0" w:space="0" w:color="auto"/>
      </w:divBdr>
    </w:div>
    <w:div w:id="695350551">
      <w:bodyDiv w:val="1"/>
      <w:marLeft w:val="0"/>
      <w:marRight w:val="0"/>
      <w:marTop w:val="0"/>
      <w:marBottom w:val="0"/>
      <w:divBdr>
        <w:top w:val="none" w:sz="0" w:space="0" w:color="auto"/>
        <w:left w:val="none" w:sz="0" w:space="0" w:color="auto"/>
        <w:bottom w:val="none" w:sz="0" w:space="0" w:color="auto"/>
        <w:right w:val="none" w:sz="0" w:space="0" w:color="auto"/>
      </w:divBdr>
    </w:div>
    <w:div w:id="708074105">
      <w:bodyDiv w:val="1"/>
      <w:marLeft w:val="0"/>
      <w:marRight w:val="0"/>
      <w:marTop w:val="0"/>
      <w:marBottom w:val="0"/>
      <w:divBdr>
        <w:top w:val="none" w:sz="0" w:space="0" w:color="auto"/>
        <w:left w:val="none" w:sz="0" w:space="0" w:color="auto"/>
        <w:bottom w:val="none" w:sz="0" w:space="0" w:color="auto"/>
        <w:right w:val="none" w:sz="0" w:space="0" w:color="auto"/>
      </w:divBdr>
    </w:div>
    <w:div w:id="708140074">
      <w:bodyDiv w:val="1"/>
      <w:marLeft w:val="0"/>
      <w:marRight w:val="0"/>
      <w:marTop w:val="0"/>
      <w:marBottom w:val="0"/>
      <w:divBdr>
        <w:top w:val="none" w:sz="0" w:space="0" w:color="auto"/>
        <w:left w:val="none" w:sz="0" w:space="0" w:color="auto"/>
        <w:bottom w:val="none" w:sz="0" w:space="0" w:color="auto"/>
        <w:right w:val="none" w:sz="0" w:space="0" w:color="auto"/>
      </w:divBdr>
    </w:div>
    <w:div w:id="711854301">
      <w:bodyDiv w:val="1"/>
      <w:marLeft w:val="0"/>
      <w:marRight w:val="0"/>
      <w:marTop w:val="0"/>
      <w:marBottom w:val="0"/>
      <w:divBdr>
        <w:top w:val="none" w:sz="0" w:space="0" w:color="auto"/>
        <w:left w:val="none" w:sz="0" w:space="0" w:color="auto"/>
        <w:bottom w:val="none" w:sz="0" w:space="0" w:color="auto"/>
        <w:right w:val="none" w:sz="0" w:space="0" w:color="auto"/>
      </w:divBdr>
    </w:div>
    <w:div w:id="714039391">
      <w:bodyDiv w:val="1"/>
      <w:marLeft w:val="0"/>
      <w:marRight w:val="0"/>
      <w:marTop w:val="0"/>
      <w:marBottom w:val="0"/>
      <w:divBdr>
        <w:top w:val="none" w:sz="0" w:space="0" w:color="auto"/>
        <w:left w:val="none" w:sz="0" w:space="0" w:color="auto"/>
        <w:bottom w:val="none" w:sz="0" w:space="0" w:color="auto"/>
        <w:right w:val="none" w:sz="0" w:space="0" w:color="auto"/>
      </w:divBdr>
    </w:div>
    <w:div w:id="723916036">
      <w:bodyDiv w:val="1"/>
      <w:marLeft w:val="0"/>
      <w:marRight w:val="0"/>
      <w:marTop w:val="0"/>
      <w:marBottom w:val="0"/>
      <w:divBdr>
        <w:top w:val="none" w:sz="0" w:space="0" w:color="auto"/>
        <w:left w:val="none" w:sz="0" w:space="0" w:color="auto"/>
        <w:bottom w:val="none" w:sz="0" w:space="0" w:color="auto"/>
        <w:right w:val="none" w:sz="0" w:space="0" w:color="auto"/>
      </w:divBdr>
    </w:div>
    <w:div w:id="724451233">
      <w:bodyDiv w:val="1"/>
      <w:marLeft w:val="0"/>
      <w:marRight w:val="0"/>
      <w:marTop w:val="0"/>
      <w:marBottom w:val="0"/>
      <w:divBdr>
        <w:top w:val="none" w:sz="0" w:space="0" w:color="auto"/>
        <w:left w:val="none" w:sz="0" w:space="0" w:color="auto"/>
        <w:bottom w:val="none" w:sz="0" w:space="0" w:color="auto"/>
        <w:right w:val="none" w:sz="0" w:space="0" w:color="auto"/>
      </w:divBdr>
    </w:div>
    <w:div w:id="728265862">
      <w:bodyDiv w:val="1"/>
      <w:marLeft w:val="0"/>
      <w:marRight w:val="0"/>
      <w:marTop w:val="0"/>
      <w:marBottom w:val="0"/>
      <w:divBdr>
        <w:top w:val="none" w:sz="0" w:space="0" w:color="auto"/>
        <w:left w:val="none" w:sz="0" w:space="0" w:color="auto"/>
        <w:bottom w:val="none" w:sz="0" w:space="0" w:color="auto"/>
        <w:right w:val="none" w:sz="0" w:space="0" w:color="auto"/>
      </w:divBdr>
    </w:div>
    <w:div w:id="729840379">
      <w:bodyDiv w:val="1"/>
      <w:marLeft w:val="0"/>
      <w:marRight w:val="0"/>
      <w:marTop w:val="0"/>
      <w:marBottom w:val="0"/>
      <w:divBdr>
        <w:top w:val="none" w:sz="0" w:space="0" w:color="auto"/>
        <w:left w:val="none" w:sz="0" w:space="0" w:color="auto"/>
        <w:bottom w:val="none" w:sz="0" w:space="0" w:color="auto"/>
        <w:right w:val="none" w:sz="0" w:space="0" w:color="auto"/>
      </w:divBdr>
    </w:div>
    <w:div w:id="729966426">
      <w:bodyDiv w:val="1"/>
      <w:marLeft w:val="0"/>
      <w:marRight w:val="0"/>
      <w:marTop w:val="0"/>
      <w:marBottom w:val="0"/>
      <w:divBdr>
        <w:top w:val="none" w:sz="0" w:space="0" w:color="auto"/>
        <w:left w:val="none" w:sz="0" w:space="0" w:color="auto"/>
        <w:bottom w:val="none" w:sz="0" w:space="0" w:color="auto"/>
        <w:right w:val="none" w:sz="0" w:space="0" w:color="auto"/>
      </w:divBdr>
    </w:div>
    <w:div w:id="730806321">
      <w:bodyDiv w:val="1"/>
      <w:marLeft w:val="0"/>
      <w:marRight w:val="0"/>
      <w:marTop w:val="0"/>
      <w:marBottom w:val="0"/>
      <w:divBdr>
        <w:top w:val="none" w:sz="0" w:space="0" w:color="auto"/>
        <w:left w:val="none" w:sz="0" w:space="0" w:color="auto"/>
        <w:bottom w:val="none" w:sz="0" w:space="0" w:color="auto"/>
        <w:right w:val="none" w:sz="0" w:space="0" w:color="auto"/>
      </w:divBdr>
    </w:div>
    <w:div w:id="756295002">
      <w:bodyDiv w:val="1"/>
      <w:marLeft w:val="0"/>
      <w:marRight w:val="0"/>
      <w:marTop w:val="0"/>
      <w:marBottom w:val="0"/>
      <w:divBdr>
        <w:top w:val="none" w:sz="0" w:space="0" w:color="auto"/>
        <w:left w:val="none" w:sz="0" w:space="0" w:color="auto"/>
        <w:bottom w:val="none" w:sz="0" w:space="0" w:color="auto"/>
        <w:right w:val="none" w:sz="0" w:space="0" w:color="auto"/>
      </w:divBdr>
    </w:div>
    <w:div w:id="757216856">
      <w:bodyDiv w:val="1"/>
      <w:marLeft w:val="0"/>
      <w:marRight w:val="0"/>
      <w:marTop w:val="0"/>
      <w:marBottom w:val="0"/>
      <w:divBdr>
        <w:top w:val="none" w:sz="0" w:space="0" w:color="auto"/>
        <w:left w:val="none" w:sz="0" w:space="0" w:color="auto"/>
        <w:bottom w:val="none" w:sz="0" w:space="0" w:color="auto"/>
        <w:right w:val="none" w:sz="0" w:space="0" w:color="auto"/>
      </w:divBdr>
    </w:div>
    <w:div w:id="801996649">
      <w:bodyDiv w:val="1"/>
      <w:marLeft w:val="0"/>
      <w:marRight w:val="0"/>
      <w:marTop w:val="0"/>
      <w:marBottom w:val="0"/>
      <w:divBdr>
        <w:top w:val="none" w:sz="0" w:space="0" w:color="auto"/>
        <w:left w:val="none" w:sz="0" w:space="0" w:color="auto"/>
        <w:bottom w:val="none" w:sz="0" w:space="0" w:color="auto"/>
        <w:right w:val="none" w:sz="0" w:space="0" w:color="auto"/>
      </w:divBdr>
    </w:div>
    <w:div w:id="804810150">
      <w:bodyDiv w:val="1"/>
      <w:marLeft w:val="0"/>
      <w:marRight w:val="0"/>
      <w:marTop w:val="0"/>
      <w:marBottom w:val="0"/>
      <w:divBdr>
        <w:top w:val="none" w:sz="0" w:space="0" w:color="auto"/>
        <w:left w:val="none" w:sz="0" w:space="0" w:color="auto"/>
        <w:bottom w:val="none" w:sz="0" w:space="0" w:color="auto"/>
        <w:right w:val="none" w:sz="0" w:space="0" w:color="auto"/>
      </w:divBdr>
    </w:div>
    <w:div w:id="820537246">
      <w:bodyDiv w:val="1"/>
      <w:marLeft w:val="0"/>
      <w:marRight w:val="0"/>
      <w:marTop w:val="0"/>
      <w:marBottom w:val="0"/>
      <w:divBdr>
        <w:top w:val="none" w:sz="0" w:space="0" w:color="auto"/>
        <w:left w:val="none" w:sz="0" w:space="0" w:color="auto"/>
        <w:bottom w:val="none" w:sz="0" w:space="0" w:color="auto"/>
        <w:right w:val="none" w:sz="0" w:space="0" w:color="auto"/>
      </w:divBdr>
    </w:div>
    <w:div w:id="837236825">
      <w:bodyDiv w:val="1"/>
      <w:marLeft w:val="0"/>
      <w:marRight w:val="0"/>
      <w:marTop w:val="0"/>
      <w:marBottom w:val="0"/>
      <w:divBdr>
        <w:top w:val="none" w:sz="0" w:space="0" w:color="auto"/>
        <w:left w:val="none" w:sz="0" w:space="0" w:color="auto"/>
        <w:bottom w:val="none" w:sz="0" w:space="0" w:color="auto"/>
        <w:right w:val="none" w:sz="0" w:space="0" w:color="auto"/>
      </w:divBdr>
    </w:div>
    <w:div w:id="838468112">
      <w:bodyDiv w:val="1"/>
      <w:marLeft w:val="0"/>
      <w:marRight w:val="0"/>
      <w:marTop w:val="0"/>
      <w:marBottom w:val="0"/>
      <w:divBdr>
        <w:top w:val="none" w:sz="0" w:space="0" w:color="auto"/>
        <w:left w:val="none" w:sz="0" w:space="0" w:color="auto"/>
        <w:bottom w:val="none" w:sz="0" w:space="0" w:color="auto"/>
        <w:right w:val="none" w:sz="0" w:space="0" w:color="auto"/>
      </w:divBdr>
    </w:div>
    <w:div w:id="843663687">
      <w:bodyDiv w:val="1"/>
      <w:marLeft w:val="0"/>
      <w:marRight w:val="0"/>
      <w:marTop w:val="0"/>
      <w:marBottom w:val="0"/>
      <w:divBdr>
        <w:top w:val="none" w:sz="0" w:space="0" w:color="auto"/>
        <w:left w:val="none" w:sz="0" w:space="0" w:color="auto"/>
        <w:bottom w:val="none" w:sz="0" w:space="0" w:color="auto"/>
        <w:right w:val="none" w:sz="0" w:space="0" w:color="auto"/>
      </w:divBdr>
    </w:div>
    <w:div w:id="856624813">
      <w:bodyDiv w:val="1"/>
      <w:marLeft w:val="0"/>
      <w:marRight w:val="0"/>
      <w:marTop w:val="0"/>
      <w:marBottom w:val="0"/>
      <w:divBdr>
        <w:top w:val="none" w:sz="0" w:space="0" w:color="auto"/>
        <w:left w:val="none" w:sz="0" w:space="0" w:color="auto"/>
        <w:bottom w:val="none" w:sz="0" w:space="0" w:color="auto"/>
        <w:right w:val="none" w:sz="0" w:space="0" w:color="auto"/>
      </w:divBdr>
    </w:div>
    <w:div w:id="858928765">
      <w:bodyDiv w:val="1"/>
      <w:marLeft w:val="0"/>
      <w:marRight w:val="0"/>
      <w:marTop w:val="0"/>
      <w:marBottom w:val="0"/>
      <w:divBdr>
        <w:top w:val="none" w:sz="0" w:space="0" w:color="auto"/>
        <w:left w:val="none" w:sz="0" w:space="0" w:color="auto"/>
        <w:bottom w:val="none" w:sz="0" w:space="0" w:color="auto"/>
        <w:right w:val="none" w:sz="0" w:space="0" w:color="auto"/>
      </w:divBdr>
    </w:div>
    <w:div w:id="909660384">
      <w:bodyDiv w:val="1"/>
      <w:marLeft w:val="0"/>
      <w:marRight w:val="0"/>
      <w:marTop w:val="0"/>
      <w:marBottom w:val="0"/>
      <w:divBdr>
        <w:top w:val="none" w:sz="0" w:space="0" w:color="auto"/>
        <w:left w:val="none" w:sz="0" w:space="0" w:color="auto"/>
        <w:bottom w:val="none" w:sz="0" w:space="0" w:color="auto"/>
        <w:right w:val="none" w:sz="0" w:space="0" w:color="auto"/>
      </w:divBdr>
    </w:div>
    <w:div w:id="911506317">
      <w:bodyDiv w:val="1"/>
      <w:marLeft w:val="0"/>
      <w:marRight w:val="0"/>
      <w:marTop w:val="0"/>
      <w:marBottom w:val="0"/>
      <w:divBdr>
        <w:top w:val="none" w:sz="0" w:space="0" w:color="auto"/>
        <w:left w:val="none" w:sz="0" w:space="0" w:color="auto"/>
        <w:bottom w:val="none" w:sz="0" w:space="0" w:color="auto"/>
        <w:right w:val="none" w:sz="0" w:space="0" w:color="auto"/>
      </w:divBdr>
    </w:div>
    <w:div w:id="946694108">
      <w:bodyDiv w:val="1"/>
      <w:marLeft w:val="0"/>
      <w:marRight w:val="0"/>
      <w:marTop w:val="0"/>
      <w:marBottom w:val="0"/>
      <w:divBdr>
        <w:top w:val="none" w:sz="0" w:space="0" w:color="auto"/>
        <w:left w:val="none" w:sz="0" w:space="0" w:color="auto"/>
        <w:bottom w:val="none" w:sz="0" w:space="0" w:color="auto"/>
        <w:right w:val="none" w:sz="0" w:space="0" w:color="auto"/>
      </w:divBdr>
      <w:divsChild>
        <w:div w:id="1475023297">
          <w:marLeft w:val="0"/>
          <w:marRight w:val="1"/>
          <w:marTop w:val="0"/>
          <w:marBottom w:val="0"/>
          <w:divBdr>
            <w:top w:val="none" w:sz="0" w:space="0" w:color="auto"/>
            <w:left w:val="none" w:sz="0" w:space="0" w:color="auto"/>
            <w:bottom w:val="none" w:sz="0" w:space="0" w:color="auto"/>
            <w:right w:val="none" w:sz="0" w:space="0" w:color="auto"/>
          </w:divBdr>
          <w:divsChild>
            <w:div w:id="1937009100">
              <w:marLeft w:val="0"/>
              <w:marRight w:val="0"/>
              <w:marTop w:val="0"/>
              <w:marBottom w:val="0"/>
              <w:divBdr>
                <w:top w:val="none" w:sz="0" w:space="0" w:color="auto"/>
                <w:left w:val="none" w:sz="0" w:space="0" w:color="auto"/>
                <w:bottom w:val="none" w:sz="0" w:space="0" w:color="auto"/>
                <w:right w:val="none" w:sz="0" w:space="0" w:color="auto"/>
              </w:divBdr>
              <w:divsChild>
                <w:div w:id="1648826476">
                  <w:marLeft w:val="0"/>
                  <w:marRight w:val="1"/>
                  <w:marTop w:val="0"/>
                  <w:marBottom w:val="0"/>
                  <w:divBdr>
                    <w:top w:val="none" w:sz="0" w:space="0" w:color="auto"/>
                    <w:left w:val="none" w:sz="0" w:space="0" w:color="auto"/>
                    <w:bottom w:val="none" w:sz="0" w:space="0" w:color="auto"/>
                    <w:right w:val="none" w:sz="0" w:space="0" w:color="auto"/>
                  </w:divBdr>
                  <w:divsChild>
                    <w:div w:id="1389111862">
                      <w:marLeft w:val="0"/>
                      <w:marRight w:val="0"/>
                      <w:marTop w:val="0"/>
                      <w:marBottom w:val="0"/>
                      <w:divBdr>
                        <w:top w:val="none" w:sz="0" w:space="0" w:color="auto"/>
                        <w:left w:val="none" w:sz="0" w:space="0" w:color="auto"/>
                        <w:bottom w:val="none" w:sz="0" w:space="0" w:color="auto"/>
                        <w:right w:val="none" w:sz="0" w:space="0" w:color="auto"/>
                      </w:divBdr>
                      <w:divsChild>
                        <w:div w:id="1670449321">
                          <w:marLeft w:val="0"/>
                          <w:marRight w:val="0"/>
                          <w:marTop w:val="0"/>
                          <w:marBottom w:val="0"/>
                          <w:divBdr>
                            <w:top w:val="none" w:sz="0" w:space="0" w:color="auto"/>
                            <w:left w:val="none" w:sz="0" w:space="0" w:color="auto"/>
                            <w:bottom w:val="none" w:sz="0" w:space="0" w:color="auto"/>
                            <w:right w:val="none" w:sz="0" w:space="0" w:color="auto"/>
                          </w:divBdr>
                          <w:divsChild>
                            <w:div w:id="1532450811">
                              <w:marLeft w:val="0"/>
                              <w:marRight w:val="0"/>
                              <w:marTop w:val="120"/>
                              <w:marBottom w:val="360"/>
                              <w:divBdr>
                                <w:top w:val="none" w:sz="0" w:space="0" w:color="auto"/>
                                <w:left w:val="none" w:sz="0" w:space="0" w:color="auto"/>
                                <w:bottom w:val="none" w:sz="0" w:space="0" w:color="auto"/>
                                <w:right w:val="none" w:sz="0" w:space="0" w:color="auto"/>
                              </w:divBdr>
                              <w:divsChild>
                                <w:div w:id="897712848">
                                  <w:marLeft w:val="0"/>
                                  <w:marRight w:val="0"/>
                                  <w:marTop w:val="0"/>
                                  <w:marBottom w:val="0"/>
                                  <w:divBdr>
                                    <w:top w:val="none" w:sz="0" w:space="0" w:color="auto"/>
                                    <w:left w:val="none" w:sz="0" w:space="0" w:color="auto"/>
                                    <w:bottom w:val="none" w:sz="0" w:space="0" w:color="auto"/>
                                    <w:right w:val="none" w:sz="0" w:space="0" w:color="auto"/>
                                  </w:divBdr>
                                  <w:divsChild>
                                    <w:div w:id="1098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811978">
      <w:bodyDiv w:val="1"/>
      <w:marLeft w:val="0"/>
      <w:marRight w:val="0"/>
      <w:marTop w:val="0"/>
      <w:marBottom w:val="0"/>
      <w:divBdr>
        <w:top w:val="none" w:sz="0" w:space="0" w:color="auto"/>
        <w:left w:val="none" w:sz="0" w:space="0" w:color="auto"/>
        <w:bottom w:val="none" w:sz="0" w:space="0" w:color="auto"/>
        <w:right w:val="none" w:sz="0" w:space="0" w:color="auto"/>
      </w:divBdr>
    </w:div>
    <w:div w:id="953097380">
      <w:bodyDiv w:val="1"/>
      <w:marLeft w:val="0"/>
      <w:marRight w:val="0"/>
      <w:marTop w:val="0"/>
      <w:marBottom w:val="0"/>
      <w:divBdr>
        <w:top w:val="none" w:sz="0" w:space="0" w:color="auto"/>
        <w:left w:val="none" w:sz="0" w:space="0" w:color="auto"/>
        <w:bottom w:val="none" w:sz="0" w:space="0" w:color="auto"/>
        <w:right w:val="none" w:sz="0" w:space="0" w:color="auto"/>
      </w:divBdr>
    </w:div>
    <w:div w:id="968173227">
      <w:bodyDiv w:val="1"/>
      <w:marLeft w:val="0"/>
      <w:marRight w:val="0"/>
      <w:marTop w:val="0"/>
      <w:marBottom w:val="0"/>
      <w:divBdr>
        <w:top w:val="none" w:sz="0" w:space="0" w:color="auto"/>
        <w:left w:val="none" w:sz="0" w:space="0" w:color="auto"/>
        <w:bottom w:val="none" w:sz="0" w:space="0" w:color="auto"/>
        <w:right w:val="none" w:sz="0" w:space="0" w:color="auto"/>
      </w:divBdr>
    </w:div>
    <w:div w:id="969286932">
      <w:bodyDiv w:val="1"/>
      <w:marLeft w:val="0"/>
      <w:marRight w:val="0"/>
      <w:marTop w:val="0"/>
      <w:marBottom w:val="0"/>
      <w:divBdr>
        <w:top w:val="none" w:sz="0" w:space="0" w:color="auto"/>
        <w:left w:val="none" w:sz="0" w:space="0" w:color="auto"/>
        <w:bottom w:val="none" w:sz="0" w:space="0" w:color="auto"/>
        <w:right w:val="none" w:sz="0" w:space="0" w:color="auto"/>
      </w:divBdr>
    </w:div>
    <w:div w:id="976377934">
      <w:bodyDiv w:val="1"/>
      <w:marLeft w:val="0"/>
      <w:marRight w:val="0"/>
      <w:marTop w:val="0"/>
      <w:marBottom w:val="0"/>
      <w:divBdr>
        <w:top w:val="none" w:sz="0" w:space="0" w:color="auto"/>
        <w:left w:val="none" w:sz="0" w:space="0" w:color="auto"/>
        <w:bottom w:val="none" w:sz="0" w:space="0" w:color="auto"/>
        <w:right w:val="none" w:sz="0" w:space="0" w:color="auto"/>
      </w:divBdr>
    </w:div>
    <w:div w:id="1019744655">
      <w:bodyDiv w:val="1"/>
      <w:marLeft w:val="0"/>
      <w:marRight w:val="0"/>
      <w:marTop w:val="0"/>
      <w:marBottom w:val="0"/>
      <w:divBdr>
        <w:top w:val="none" w:sz="0" w:space="0" w:color="auto"/>
        <w:left w:val="none" w:sz="0" w:space="0" w:color="auto"/>
        <w:bottom w:val="none" w:sz="0" w:space="0" w:color="auto"/>
        <w:right w:val="none" w:sz="0" w:space="0" w:color="auto"/>
      </w:divBdr>
    </w:div>
    <w:div w:id="1024673933">
      <w:bodyDiv w:val="1"/>
      <w:marLeft w:val="0"/>
      <w:marRight w:val="0"/>
      <w:marTop w:val="0"/>
      <w:marBottom w:val="0"/>
      <w:divBdr>
        <w:top w:val="none" w:sz="0" w:space="0" w:color="auto"/>
        <w:left w:val="none" w:sz="0" w:space="0" w:color="auto"/>
        <w:bottom w:val="none" w:sz="0" w:space="0" w:color="auto"/>
        <w:right w:val="none" w:sz="0" w:space="0" w:color="auto"/>
      </w:divBdr>
    </w:div>
    <w:div w:id="1028023659">
      <w:bodyDiv w:val="1"/>
      <w:marLeft w:val="0"/>
      <w:marRight w:val="0"/>
      <w:marTop w:val="0"/>
      <w:marBottom w:val="0"/>
      <w:divBdr>
        <w:top w:val="none" w:sz="0" w:space="0" w:color="auto"/>
        <w:left w:val="none" w:sz="0" w:space="0" w:color="auto"/>
        <w:bottom w:val="none" w:sz="0" w:space="0" w:color="auto"/>
        <w:right w:val="none" w:sz="0" w:space="0" w:color="auto"/>
      </w:divBdr>
    </w:div>
    <w:div w:id="1046947965">
      <w:bodyDiv w:val="1"/>
      <w:marLeft w:val="0"/>
      <w:marRight w:val="0"/>
      <w:marTop w:val="0"/>
      <w:marBottom w:val="0"/>
      <w:divBdr>
        <w:top w:val="none" w:sz="0" w:space="0" w:color="auto"/>
        <w:left w:val="none" w:sz="0" w:space="0" w:color="auto"/>
        <w:bottom w:val="none" w:sz="0" w:space="0" w:color="auto"/>
        <w:right w:val="none" w:sz="0" w:space="0" w:color="auto"/>
      </w:divBdr>
    </w:div>
    <w:div w:id="1076827587">
      <w:bodyDiv w:val="1"/>
      <w:marLeft w:val="0"/>
      <w:marRight w:val="0"/>
      <w:marTop w:val="0"/>
      <w:marBottom w:val="0"/>
      <w:divBdr>
        <w:top w:val="none" w:sz="0" w:space="0" w:color="auto"/>
        <w:left w:val="none" w:sz="0" w:space="0" w:color="auto"/>
        <w:bottom w:val="none" w:sz="0" w:space="0" w:color="auto"/>
        <w:right w:val="none" w:sz="0" w:space="0" w:color="auto"/>
      </w:divBdr>
    </w:div>
    <w:div w:id="1078212438">
      <w:bodyDiv w:val="1"/>
      <w:marLeft w:val="0"/>
      <w:marRight w:val="0"/>
      <w:marTop w:val="0"/>
      <w:marBottom w:val="0"/>
      <w:divBdr>
        <w:top w:val="none" w:sz="0" w:space="0" w:color="auto"/>
        <w:left w:val="none" w:sz="0" w:space="0" w:color="auto"/>
        <w:bottom w:val="none" w:sz="0" w:space="0" w:color="auto"/>
        <w:right w:val="none" w:sz="0" w:space="0" w:color="auto"/>
      </w:divBdr>
    </w:div>
    <w:div w:id="1087530977">
      <w:bodyDiv w:val="1"/>
      <w:marLeft w:val="0"/>
      <w:marRight w:val="0"/>
      <w:marTop w:val="0"/>
      <w:marBottom w:val="0"/>
      <w:divBdr>
        <w:top w:val="none" w:sz="0" w:space="0" w:color="auto"/>
        <w:left w:val="none" w:sz="0" w:space="0" w:color="auto"/>
        <w:bottom w:val="none" w:sz="0" w:space="0" w:color="auto"/>
        <w:right w:val="none" w:sz="0" w:space="0" w:color="auto"/>
      </w:divBdr>
    </w:div>
    <w:div w:id="1140415825">
      <w:bodyDiv w:val="1"/>
      <w:marLeft w:val="0"/>
      <w:marRight w:val="0"/>
      <w:marTop w:val="0"/>
      <w:marBottom w:val="0"/>
      <w:divBdr>
        <w:top w:val="none" w:sz="0" w:space="0" w:color="auto"/>
        <w:left w:val="none" w:sz="0" w:space="0" w:color="auto"/>
        <w:bottom w:val="none" w:sz="0" w:space="0" w:color="auto"/>
        <w:right w:val="none" w:sz="0" w:space="0" w:color="auto"/>
      </w:divBdr>
    </w:div>
    <w:div w:id="1159081516">
      <w:bodyDiv w:val="1"/>
      <w:marLeft w:val="0"/>
      <w:marRight w:val="0"/>
      <w:marTop w:val="0"/>
      <w:marBottom w:val="0"/>
      <w:divBdr>
        <w:top w:val="none" w:sz="0" w:space="0" w:color="auto"/>
        <w:left w:val="none" w:sz="0" w:space="0" w:color="auto"/>
        <w:bottom w:val="none" w:sz="0" w:space="0" w:color="auto"/>
        <w:right w:val="none" w:sz="0" w:space="0" w:color="auto"/>
      </w:divBdr>
    </w:div>
    <w:div w:id="1166016579">
      <w:bodyDiv w:val="1"/>
      <w:marLeft w:val="0"/>
      <w:marRight w:val="0"/>
      <w:marTop w:val="0"/>
      <w:marBottom w:val="0"/>
      <w:divBdr>
        <w:top w:val="none" w:sz="0" w:space="0" w:color="auto"/>
        <w:left w:val="none" w:sz="0" w:space="0" w:color="auto"/>
        <w:bottom w:val="none" w:sz="0" w:space="0" w:color="auto"/>
        <w:right w:val="none" w:sz="0" w:space="0" w:color="auto"/>
      </w:divBdr>
    </w:div>
    <w:div w:id="1166170918">
      <w:bodyDiv w:val="1"/>
      <w:marLeft w:val="0"/>
      <w:marRight w:val="0"/>
      <w:marTop w:val="0"/>
      <w:marBottom w:val="0"/>
      <w:divBdr>
        <w:top w:val="none" w:sz="0" w:space="0" w:color="auto"/>
        <w:left w:val="none" w:sz="0" w:space="0" w:color="auto"/>
        <w:bottom w:val="none" w:sz="0" w:space="0" w:color="auto"/>
        <w:right w:val="none" w:sz="0" w:space="0" w:color="auto"/>
      </w:divBdr>
    </w:div>
    <w:div w:id="1172794430">
      <w:bodyDiv w:val="1"/>
      <w:marLeft w:val="0"/>
      <w:marRight w:val="0"/>
      <w:marTop w:val="0"/>
      <w:marBottom w:val="0"/>
      <w:divBdr>
        <w:top w:val="none" w:sz="0" w:space="0" w:color="auto"/>
        <w:left w:val="none" w:sz="0" w:space="0" w:color="auto"/>
        <w:bottom w:val="none" w:sz="0" w:space="0" w:color="auto"/>
        <w:right w:val="none" w:sz="0" w:space="0" w:color="auto"/>
      </w:divBdr>
    </w:div>
    <w:div w:id="1178157370">
      <w:bodyDiv w:val="1"/>
      <w:marLeft w:val="0"/>
      <w:marRight w:val="0"/>
      <w:marTop w:val="0"/>
      <w:marBottom w:val="0"/>
      <w:divBdr>
        <w:top w:val="none" w:sz="0" w:space="0" w:color="auto"/>
        <w:left w:val="none" w:sz="0" w:space="0" w:color="auto"/>
        <w:bottom w:val="none" w:sz="0" w:space="0" w:color="auto"/>
        <w:right w:val="none" w:sz="0" w:space="0" w:color="auto"/>
      </w:divBdr>
    </w:div>
    <w:div w:id="1179081056">
      <w:bodyDiv w:val="1"/>
      <w:marLeft w:val="0"/>
      <w:marRight w:val="0"/>
      <w:marTop w:val="0"/>
      <w:marBottom w:val="0"/>
      <w:divBdr>
        <w:top w:val="none" w:sz="0" w:space="0" w:color="auto"/>
        <w:left w:val="none" w:sz="0" w:space="0" w:color="auto"/>
        <w:bottom w:val="none" w:sz="0" w:space="0" w:color="auto"/>
        <w:right w:val="none" w:sz="0" w:space="0" w:color="auto"/>
      </w:divBdr>
    </w:div>
    <w:div w:id="1181239650">
      <w:bodyDiv w:val="1"/>
      <w:marLeft w:val="0"/>
      <w:marRight w:val="0"/>
      <w:marTop w:val="0"/>
      <w:marBottom w:val="0"/>
      <w:divBdr>
        <w:top w:val="none" w:sz="0" w:space="0" w:color="auto"/>
        <w:left w:val="none" w:sz="0" w:space="0" w:color="auto"/>
        <w:bottom w:val="none" w:sz="0" w:space="0" w:color="auto"/>
        <w:right w:val="none" w:sz="0" w:space="0" w:color="auto"/>
      </w:divBdr>
    </w:div>
    <w:div w:id="1191188293">
      <w:bodyDiv w:val="1"/>
      <w:marLeft w:val="0"/>
      <w:marRight w:val="0"/>
      <w:marTop w:val="0"/>
      <w:marBottom w:val="0"/>
      <w:divBdr>
        <w:top w:val="none" w:sz="0" w:space="0" w:color="auto"/>
        <w:left w:val="none" w:sz="0" w:space="0" w:color="auto"/>
        <w:bottom w:val="none" w:sz="0" w:space="0" w:color="auto"/>
        <w:right w:val="none" w:sz="0" w:space="0" w:color="auto"/>
      </w:divBdr>
    </w:div>
    <w:div w:id="1193034978">
      <w:bodyDiv w:val="1"/>
      <w:marLeft w:val="0"/>
      <w:marRight w:val="0"/>
      <w:marTop w:val="0"/>
      <w:marBottom w:val="0"/>
      <w:divBdr>
        <w:top w:val="none" w:sz="0" w:space="0" w:color="auto"/>
        <w:left w:val="none" w:sz="0" w:space="0" w:color="auto"/>
        <w:bottom w:val="none" w:sz="0" w:space="0" w:color="auto"/>
        <w:right w:val="none" w:sz="0" w:space="0" w:color="auto"/>
      </w:divBdr>
    </w:div>
    <w:div w:id="1195195374">
      <w:bodyDiv w:val="1"/>
      <w:marLeft w:val="0"/>
      <w:marRight w:val="0"/>
      <w:marTop w:val="0"/>
      <w:marBottom w:val="0"/>
      <w:divBdr>
        <w:top w:val="none" w:sz="0" w:space="0" w:color="auto"/>
        <w:left w:val="none" w:sz="0" w:space="0" w:color="auto"/>
        <w:bottom w:val="none" w:sz="0" w:space="0" w:color="auto"/>
        <w:right w:val="none" w:sz="0" w:space="0" w:color="auto"/>
      </w:divBdr>
    </w:div>
    <w:div w:id="1218664528">
      <w:bodyDiv w:val="1"/>
      <w:marLeft w:val="0"/>
      <w:marRight w:val="0"/>
      <w:marTop w:val="0"/>
      <w:marBottom w:val="0"/>
      <w:divBdr>
        <w:top w:val="none" w:sz="0" w:space="0" w:color="auto"/>
        <w:left w:val="none" w:sz="0" w:space="0" w:color="auto"/>
        <w:bottom w:val="none" w:sz="0" w:space="0" w:color="auto"/>
        <w:right w:val="none" w:sz="0" w:space="0" w:color="auto"/>
      </w:divBdr>
    </w:div>
    <w:div w:id="1223180409">
      <w:bodyDiv w:val="1"/>
      <w:marLeft w:val="0"/>
      <w:marRight w:val="0"/>
      <w:marTop w:val="0"/>
      <w:marBottom w:val="0"/>
      <w:divBdr>
        <w:top w:val="none" w:sz="0" w:space="0" w:color="auto"/>
        <w:left w:val="none" w:sz="0" w:space="0" w:color="auto"/>
        <w:bottom w:val="none" w:sz="0" w:space="0" w:color="auto"/>
        <w:right w:val="none" w:sz="0" w:space="0" w:color="auto"/>
      </w:divBdr>
    </w:div>
    <w:div w:id="1231888855">
      <w:bodyDiv w:val="1"/>
      <w:marLeft w:val="0"/>
      <w:marRight w:val="0"/>
      <w:marTop w:val="0"/>
      <w:marBottom w:val="0"/>
      <w:divBdr>
        <w:top w:val="none" w:sz="0" w:space="0" w:color="auto"/>
        <w:left w:val="none" w:sz="0" w:space="0" w:color="auto"/>
        <w:bottom w:val="none" w:sz="0" w:space="0" w:color="auto"/>
        <w:right w:val="none" w:sz="0" w:space="0" w:color="auto"/>
      </w:divBdr>
    </w:div>
    <w:div w:id="1239632105">
      <w:bodyDiv w:val="1"/>
      <w:marLeft w:val="0"/>
      <w:marRight w:val="0"/>
      <w:marTop w:val="0"/>
      <w:marBottom w:val="0"/>
      <w:divBdr>
        <w:top w:val="none" w:sz="0" w:space="0" w:color="auto"/>
        <w:left w:val="none" w:sz="0" w:space="0" w:color="auto"/>
        <w:bottom w:val="none" w:sz="0" w:space="0" w:color="auto"/>
        <w:right w:val="none" w:sz="0" w:space="0" w:color="auto"/>
      </w:divBdr>
    </w:div>
    <w:div w:id="1251893122">
      <w:bodyDiv w:val="1"/>
      <w:marLeft w:val="0"/>
      <w:marRight w:val="0"/>
      <w:marTop w:val="0"/>
      <w:marBottom w:val="0"/>
      <w:divBdr>
        <w:top w:val="none" w:sz="0" w:space="0" w:color="auto"/>
        <w:left w:val="none" w:sz="0" w:space="0" w:color="auto"/>
        <w:bottom w:val="none" w:sz="0" w:space="0" w:color="auto"/>
        <w:right w:val="none" w:sz="0" w:space="0" w:color="auto"/>
      </w:divBdr>
    </w:div>
    <w:div w:id="1261833997">
      <w:bodyDiv w:val="1"/>
      <w:marLeft w:val="0"/>
      <w:marRight w:val="0"/>
      <w:marTop w:val="0"/>
      <w:marBottom w:val="0"/>
      <w:divBdr>
        <w:top w:val="none" w:sz="0" w:space="0" w:color="auto"/>
        <w:left w:val="none" w:sz="0" w:space="0" w:color="auto"/>
        <w:bottom w:val="none" w:sz="0" w:space="0" w:color="auto"/>
        <w:right w:val="none" w:sz="0" w:space="0" w:color="auto"/>
      </w:divBdr>
    </w:div>
    <w:div w:id="1278826788">
      <w:bodyDiv w:val="1"/>
      <w:marLeft w:val="0"/>
      <w:marRight w:val="0"/>
      <w:marTop w:val="0"/>
      <w:marBottom w:val="0"/>
      <w:divBdr>
        <w:top w:val="none" w:sz="0" w:space="0" w:color="auto"/>
        <w:left w:val="none" w:sz="0" w:space="0" w:color="auto"/>
        <w:bottom w:val="none" w:sz="0" w:space="0" w:color="auto"/>
        <w:right w:val="none" w:sz="0" w:space="0" w:color="auto"/>
      </w:divBdr>
    </w:div>
    <w:div w:id="1281498146">
      <w:bodyDiv w:val="1"/>
      <w:marLeft w:val="0"/>
      <w:marRight w:val="0"/>
      <w:marTop w:val="0"/>
      <w:marBottom w:val="0"/>
      <w:divBdr>
        <w:top w:val="none" w:sz="0" w:space="0" w:color="auto"/>
        <w:left w:val="none" w:sz="0" w:space="0" w:color="auto"/>
        <w:bottom w:val="none" w:sz="0" w:space="0" w:color="auto"/>
        <w:right w:val="none" w:sz="0" w:space="0" w:color="auto"/>
      </w:divBdr>
    </w:div>
    <w:div w:id="1286886500">
      <w:bodyDiv w:val="1"/>
      <w:marLeft w:val="0"/>
      <w:marRight w:val="0"/>
      <w:marTop w:val="0"/>
      <w:marBottom w:val="0"/>
      <w:divBdr>
        <w:top w:val="none" w:sz="0" w:space="0" w:color="auto"/>
        <w:left w:val="none" w:sz="0" w:space="0" w:color="auto"/>
        <w:bottom w:val="none" w:sz="0" w:space="0" w:color="auto"/>
        <w:right w:val="none" w:sz="0" w:space="0" w:color="auto"/>
      </w:divBdr>
    </w:div>
    <w:div w:id="1292589632">
      <w:bodyDiv w:val="1"/>
      <w:marLeft w:val="0"/>
      <w:marRight w:val="0"/>
      <w:marTop w:val="0"/>
      <w:marBottom w:val="0"/>
      <w:divBdr>
        <w:top w:val="none" w:sz="0" w:space="0" w:color="auto"/>
        <w:left w:val="none" w:sz="0" w:space="0" w:color="auto"/>
        <w:bottom w:val="none" w:sz="0" w:space="0" w:color="auto"/>
        <w:right w:val="none" w:sz="0" w:space="0" w:color="auto"/>
      </w:divBdr>
    </w:div>
    <w:div w:id="1295601516">
      <w:bodyDiv w:val="1"/>
      <w:marLeft w:val="0"/>
      <w:marRight w:val="0"/>
      <w:marTop w:val="0"/>
      <w:marBottom w:val="0"/>
      <w:divBdr>
        <w:top w:val="none" w:sz="0" w:space="0" w:color="auto"/>
        <w:left w:val="none" w:sz="0" w:space="0" w:color="auto"/>
        <w:bottom w:val="none" w:sz="0" w:space="0" w:color="auto"/>
        <w:right w:val="none" w:sz="0" w:space="0" w:color="auto"/>
      </w:divBdr>
    </w:div>
    <w:div w:id="1305506738">
      <w:bodyDiv w:val="1"/>
      <w:marLeft w:val="0"/>
      <w:marRight w:val="0"/>
      <w:marTop w:val="0"/>
      <w:marBottom w:val="0"/>
      <w:divBdr>
        <w:top w:val="none" w:sz="0" w:space="0" w:color="auto"/>
        <w:left w:val="none" w:sz="0" w:space="0" w:color="auto"/>
        <w:bottom w:val="none" w:sz="0" w:space="0" w:color="auto"/>
        <w:right w:val="none" w:sz="0" w:space="0" w:color="auto"/>
      </w:divBdr>
    </w:div>
    <w:div w:id="1310791370">
      <w:bodyDiv w:val="1"/>
      <w:marLeft w:val="0"/>
      <w:marRight w:val="0"/>
      <w:marTop w:val="0"/>
      <w:marBottom w:val="0"/>
      <w:divBdr>
        <w:top w:val="none" w:sz="0" w:space="0" w:color="auto"/>
        <w:left w:val="none" w:sz="0" w:space="0" w:color="auto"/>
        <w:bottom w:val="none" w:sz="0" w:space="0" w:color="auto"/>
        <w:right w:val="none" w:sz="0" w:space="0" w:color="auto"/>
      </w:divBdr>
    </w:div>
    <w:div w:id="1312367545">
      <w:bodyDiv w:val="1"/>
      <w:marLeft w:val="0"/>
      <w:marRight w:val="0"/>
      <w:marTop w:val="0"/>
      <w:marBottom w:val="0"/>
      <w:divBdr>
        <w:top w:val="none" w:sz="0" w:space="0" w:color="auto"/>
        <w:left w:val="none" w:sz="0" w:space="0" w:color="auto"/>
        <w:bottom w:val="none" w:sz="0" w:space="0" w:color="auto"/>
        <w:right w:val="none" w:sz="0" w:space="0" w:color="auto"/>
      </w:divBdr>
    </w:div>
    <w:div w:id="1316647131">
      <w:bodyDiv w:val="1"/>
      <w:marLeft w:val="0"/>
      <w:marRight w:val="0"/>
      <w:marTop w:val="0"/>
      <w:marBottom w:val="0"/>
      <w:divBdr>
        <w:top w:val="none" w:sz="0" w:space="0" w:color="auto"/>
        <w:left w:val="none" w:sz="0" w:space="0" w:color="auto"/>
        <w:bottom w:val="none" w:sz="0" w:space="0" w:color="auto"/>
        <w:right w:val="none" w:sz="0" w:space="0" w:color="auto"/>
      </w:divBdr>
    </w:div>
    <w:div w:id="1317220104">
      <w:bodyDiv w:val="1"/>
      <w:marLeft w:val="0"/>
      <w:marRight w:val="0"/>
      <w:marTop w:val="0"/>
      <w:marBottom w:val="0"/>
      <w:divBdr>
        <w:top w:val="none" w:sz="0" w:space="0" w:color="auto"/>
        <w:left w:val="none" w:sz="0" w:space="0" w:color="auto"/>
        <w:bottom w:val="none" w:sz="0" w:space="0" w:color="auto"/>
        <w:right w:val="none" w:sz="0" w:space="0" w:color="auto"/>
      </w:divBdr>
    </w:div>
    <w:div w:id="1319378747">
      <w:bodyDiv w:val="1"/>
      <w:marLeft w:val="0"/>
      <w:marRight w:val="0"/>
      <w:marTop w:val="0"/>
      <w:marBottom w:val="0"/>
      <w:divBdr>
        <w:top w:val="none" w:sz="0" w:space="0" w:color="auto"/>
        <w:left w:val="none" w:sz="0" w:space="0" w:color="auto"/>
        <w:bottom w:val="none" w:sz="0" w:space="0" w:color="auto"/>
        <w:right w:val="none" w:sz="0" w:space="0" w:color="auto"/>
      </w:divBdr>
    </w:div>
    <w:div w:id="1321230377">
      <w:bodyDiv w:val="1"/>
      <w:marLeft w:val="0"/>
      <w:marRight w:val="0"/>
      <w:marTop w:val="0"/>
      <w:marBottom w:val="0"/>
      <w:divBdr>
        <w:top w:val="none" w:sz="0" w:space="0" w:color="auto"/>
        <w:left w:val="none" w:sz="0" w:space="0" w:color="auto"/>
        <w:bottom w:val="none" w:sz="0" w:space="0" w:color="auto"/>
        <w:right w:val="none" w:sz="0" w:space="0" w:color="auto"/>
      </w:divBdr>
    </w:div>
    <w:div w:id="1339430982">
      <w:bodyDiv w:val="1"/>
      <w:marLeft w:val="0"/>
      <w:marRight w:val="0"/>
      <w:marTop w:val="0"/>
      <w:marBottom w:val="0"/>
      <w:divBdr>
        <w:top w:val="none" w:sz="0" w:space="0" w:color="auto"/>
        <w:left w:val="none" w:sz="0" w:space="0" w:color="auto"/>
        <w:bottom w:val="none" w:sz="0" w:space="0" w:color="auto"/>
        <w:right w:val="none" w:sz="0" w:space="0" w:color="auto"/>
      </w:divBdr>
    </w:div>
    <w:div w:id="1342121195">
      <w:bodyDiv w:val="1"/>
      <w:marLeft w:val="0"/>
      <w:marRight w:val="0"/>
      <w:marTop w:val="0"/>
      <w:marBottom w:val="0"/>
      <w:divBdr>
        <w:top w:val="none" w:sz="0" w:space="0" w:color="auto"/>
        <w:left w:val="none" w:sz="0" w:space="0" w:color="auto"/>
        <w:bottom w:val="none" w:sz="0" w:space="0" w:color="auto"/>
        <w:right w:val="none" w:sz="0" w:space="0" w:color="auto"/>
      </w:divBdr>
    </w:div>
    <w:div w:id="1351641170">
      <w:bodyDiv w:val="1"/>
      <w:marLeft w:val="0"/>
      <w:marRight w:val="0"/>
      <w:marTop w:val="0"/>
      <w:marBottom w:val="0"/>
      <w:divBdr>
        <w:top w:val="none" w:sz="0" w:space="0" w:color="auto"/>
        <w:left w:val="none" w:sz="0" w:space="0" w:color="auto"/>
        <w:bottom w:val="none" w:sz="0" w:space="0" w:color="auto"/>
        <w:right w:val="none" w:sz="0" w:space="0" w:color="auto"/>
      </w:divBdr>
    </w:div>
    <w:div w:id="1368531961">
      <w:bodyDiv w:val="1"/>
      <w:marLeft w:val="0"/>
      <w:marRight w:val="0"/>
      <w:marTop w:val="0"/>
      <w:marBottom w:val="0"/>
      <w:divBdr>
        <w:top w:val="none" w:sz="0" w:space="0" w:color="auto"/>
        <w:left w:val="none" w:sz="0" w:space="0" w:color="auto"/>
        <w:bottom w:val="none" w:sz="0" w:space="0" w:color="auto"/>
        <w:right w:val="none" w:sz="0" w:space="0" w:color="auto"/>
      </w:divBdr>
    </w:div>
    <w:div w:id="1383596834">
      <w:bodyDiv w:val="1"/>
      <w:marLeft w:val="0"/>
      <w:marRight w:val="0"/>
      <w:marTop w:val="0"/>
      <w:marBottom w:val="0"/>
      <w:divBdr>
        <w:top w:val="none" w:sz="0" w:space="0" w:color="auto"/>
        <w:left w:val="none" w:sz="0" w:space="0" w:color="auto"/>
        <w:bottom w:val="none" w:sz="0" w:space="0" w:color="auto"/>
        <w:right w:val="none" w:sz="0" w:space="0" w:color="auto"/>
      </w:divBdr>
    </w:div>
    <w:div w:id="1389917950">
      <w:bodyDiv w:val="1"/>
      <w:marLeft w:val="0"/>
      <w:marRight w:val="0"/>
      <w:marTop w:val="0"/>
      <w:marBottom w:val="0"/>
      <w:divBdr>
        <w:top w:val="none" w:sz="0" w:space="0" w:color="auto"/>
        <w:left w:val="none" w:sz="0" w:space="0" w:color="auto"/>
        <w:bottom w:val="none" w:sz="0" w:space="0" w:color="auto"/>
        <w:right w:val="none" w:sz="0" w:space="0" w:color="auto"/>
      </w:divBdr>
    </w:div>
    <w:div w:id="1412505881">
      <w:bodyDiv w:val="1"/>
      <w:marLeft w:val="0"/>
      <w:marRight w:val="0"/>
      <w:marTop w:val="0"/>
      <w:marBottom w:val="0"/>
      <w:divBdr>
        <w:top w:val="none" w:sz="0" w:space="0" w:color="auto"/>
        <w:left w:val="none" w:sz="0" w:space="0" w:color="auto"/>
        <w:bottom w:val="none" w:sz="0" w:space="0" w:color="auto"/>
        <w:right w:val="none" w:sz="0" w:space="0" w:color="auto"/>
      </w:divBdr>
    </w:div>
    <w:div w:id="1412508198">
      <w:bodyDiv w:val="1"/>
      <w:marLeft w:val="0"/>
      <w:marRight w:val="0"/>
      <w:marTop w:val="0"/>
      <w:marBottom w:val="0"/>
      <w:divBdr>
        <w:top w:val="none" w:sz="0" w:space="0" w:color="auto"/>
        <w:left w:val="none" w:sz="0" w:space="0" w:color="auto"/>
        <w:bottom w:val="none" w:sz="0" w:space="0" w:color="auto"/>
        <w:right w:val="none" w:sz="0" w:space="0" w:color="auto"/>
      </w:divBdr>
    </w:div>
    <w:div w:id="1415710749">
      <w:bodyDiv w:val="1"/>
      <w:marLeft w:val="0"/>
      <w:marRight w:val="0"/>
      <w:marTop w:val="0"/>
      <w:marBottom w:val="0"/>
      <w:divBdr>
        <w:top w:val="none" w:sz="0" w:space="0" w:color="auto"/>
        <w:left w:val="none" w:sz="0" w:space="0" w:color="auto"/>
        <w:bottom w:val="none" w:sz="0" w:space="0" w:color="auto"/>
        <w:right w:val="none" w:sz="0" w:space="0" w:color="auto"/>
      </w:divBdr>
    </w:div>
    <w:div w:id="1420129177">
      <w:bodyDiv w:val="1"/>
      <w:marLeft w:val="0"/>
      <w:marRight w:val="0"/>
      <w:marTop w:val="0"/>
      <w:marBottom w:val="0"/>
      <w:divBdr>
        <w:top w:val="none" w:sz="0" w:space="0" w:color="auto"/>
        <w:left w:val="none" w:sz="0" w:space="0" w:color="auto"/>
        <w:bottom w:val="none" w:sz="0" w:space="0" w:color="auto"/>
        <w:right w:val="none" w:sz="0" w:space="0" w:color="auto"/>
      </w:divBdr>
    </w:div>
    <w:div w:id="1424258533">
      <w:bodyDiv w:val="1"/>
      <w:marLeft w:val="0"/>
      <w:marRight w:val="0"/>
      <w:marTop w:val="0"/>
      <w:marBottom w:val="0"/>
      <w:divBdr>
        <w:top w:val="none" w:sz="0" w:space="0" w:color="auto"/>
        <w:left w:val="none" w:sz="0" w:space="0" w:color="auto"/>
        <w:bottom w:val="none" w:sz="0" w:space="0" w:color="auto"/>
        <w:right w:val="none" w:sz="0" w:space="0" w:color="auto"/>
      </w:divBdr>
    </w:div>
    <w:div w:id="1439184056">
      <w:bodyDiv w:val="1"/>
      <w:marLeft w:val="0"/>
      <w:marRight w:val="0"/>
      <w:marTop w:val="0"/>
      <w:marBottom w:val="0"/>
      <w:divBdr>
        <w:top w:val="none" w:sz="0" w:space="0" w:color="auto"/>
        <w:left w:val="none" w:sz="0" w:space="0" w:color="auto"/>
        <w:bottom w:val="none" w:sz="0" w:space="0" w:color="auto"/>
        <w:right w:val="none" w:sz="0" w:space="0" w:color="auto"/>
      </w:divBdr>
    </w:div>
    <w:div w:id="1444418109">
      <w:bodyDiv w:val="1"/>
      <w:marLeft w:val="0"/>
      <w:marRight w:val="0"/>
      <w:marTop w:val="0"/>
      <w:marBottom w:val="0"/>
      <w:divBdr>
        <w:top w:val="none" w:sz="0" w:space="0" w:color="auto"/>
        <w:left w:val="none" w:sz="0" w:space="0" w:color="auto"/>
        <w:bottom w:val="none" w:sz="0" w:space="0" w:color="auto"/>
        <w:right w:val="none" w:sz="0" w:space="0" w:color="auto"/>
      </w:divBdr>
    </w:div>
    <w:div w:id="1444618398">
      <w:bodyDiv w:val="1"/>
      <w:marLeft w:val="0"/>
      <w:marRight w:val="0"/>
      <w:marTop w:val="0"/>
      <w:marBottom w:val="0"/>
      <w:divBdr>
        <w:top w:val="none" w:sz="0" w:space="0" w:color="auto"/>
        <w:left w:val="none" w:sz="0" w:space="0" w:color="auto"/>
        <w:bottom w:val="none" w:sz="0" w:space="0" w:color="auto"/>
        <w:right w:val="none" w:sz="0" w:space="0" w:color="auto"/>
      </w:divBdr>
    </w:div>
    <w:div w:id="1456753673">
      <w:bodyDiv w:val="1"/>
      <w:marLeft w:val="0"/>
      <w:marRight w:val="0"/>
      <w:marTop w:val="0"/>
      <w:marBottom w:val="0"/>
      <w:divBdr>
        <w:top w:val="none" w:sz="0" w:space="0" w:color="auto"/>
        <w:left w:val="none" w:sz="0" w:space="0" w:color="auto"/>
        <w:bottom w:val="none" w:sz="0" w:space="0" w:color="auto"/>
        <w:right w:val="none" w:sz="0" w:space="0" w:color="auto"/>
      </w:divBdr>
    </w:div>
    <w:div w:id="1457479254">
      <w:bodyDiv w:val="1"/>
      <w:marLeft w:val="0"/>
      <w:marRight w:val="0"/>
      <w:marTop w:val="0"/>
      <w:marBottom w:val="0"/>
      <w:divBdr>
        <w:top w:val="none" w:sz="0" w:space="0" w:color="auto"/>
        <w:left w:val="none" w:sz="0" w:space="0" w:color="auto"/>
        <w:bottom w:val="none" w:sz="0" w:space="0" w:color="auto"/>
        <w:right w:val="none" w:sz="0" w:space="0" w:color="auto"/>
      </w:divBdr>
    </w:div>
    <w:div w:id="1490823362">
      <w:bodyDiv w:val="1"/>
      <w:marLeft w:val="0"/>
      <w:marRight w:val="0"/>
      <w:marTop w:val="0"/>
      <w:marBottom w:val="0"/>
      <w:divBdr>
        <w:top w:val="none" w:sz="0" w:space="0" w:color="auto"/>
        <w:left w:val="none" w:sz="0" w:space="0" w:color="auto"/>
        <w:bottom w:val="none" w:sz="0" w:space="0" w:color="auto"/>
        <w:right w:val="none" w:sz="0" w:space="0" w:color="auto"/>
      </w:divBdr>
    </w:div>
    <w:div w:id="1490899820">
      <w:bodyDiv w:val="1"/>
      <w:marLeft w:val="0"/>
      <w:marRight w:val="0"/>
      <w:marTop w:val="0"/>
      <w:marBottom w:val="0"/>
      <w:divBdr>
        <w:top w:val="none" w:sz="0" w:space="0" w:color="auto"/>
        <w:left w:val="none" w:sz="0" w:space="0" w:color="auto"/>
        <w:bottom w:val="none" w:sz="0" w:space="0" w:color="auto"/>
        <w:right w:val="none" w:sz="0" w:space="0" w:color="auto"/>
      </w:divBdr>
    </w:div>
    <w:div w:id="1492984137">
      <w:bodyDiv w:val="1"/>
      <w:marLeft w:val="0"/>
      <w:marRight w:val="0"/>
      <w:marTop w:val="0"/>
      <w:marBottom w:val="0"/>
      <w:divBdr>
        <w:top w:val="none" w:sz="0" w:space="0" w:color="auto"/>
        <w:left w:val="none" w:sz="0" w:space="0" w:color="auto"/>
        <w:bottom w:val="none" w:sz="0" w:space="0" w:color="auto"/>
        <w:right w:val="none" w:sz="0" w:space="0" w:color="auto"/>
      </w:divBdr>
    </w:div>
    <w:div w:id="1496801374">
      <w:bodyDiv w:val="1"/>
      <w:marLeft w:val="0"/>
      <w:marRight w:val="0"/>
      <w:marTop w:val="0"/>
      <w:marBottom w:val="0"/>
      <w:divBdr>
        <w:top w:val="none" w:sz="0" w:space="0" w:color="auto"/>
        <w:left w:val="none" w:sz="0" w:space="0" w:color="auto"/>
        <w:bottom w:val="none" w:sz="0" w:space="0" w:color="auto"/>
        <w:right w:val="none" w:sz="0" w:space="0" w:color="auto"/>
      </w:divBdr>
    </w:div>
    <w:div w:id="1497962122">
      <w:bodyDiv w:val="1"/>
      <w:marLeft w:val="0"/>
      <w:marRight w:val="0"/>
      <w:marTop w:val="0"/>
      <w:marBottom w:val="0"/>
      <w:divBdr>
        <w:top w:val="none" w:sz="0" w:space="0" w:color="auto"/>
        <w:left w:val="none" w:sz="0" w:space="0" w:color="auto"/>
        <w:bottom w:val="none" w:sz="0" w:space="0" w:color="auto"/>
        <w:right w:val="none" w:sz="0" w:space="0" w:color="auto"/>
      </w:divBdr>
    </w:div>
    <w:div w:id="1499538147">
      <w:bodyDiv w:val="1"/>
      <w:marLeft w:val="0"/>
      <w:marRight w:val="0"/>
      <w:marTop w:val="0"/>
      <w:marBottom w:val="0"/>
      <w:divBdr>
        <w:top w:val="none" w:sz="0" w:space="0" w:color="auto"/>
        <w:left w:val="none" w:sz="0" w:space="0" w:color="auto"/>
        <w:bottom w:val="none" w:sz="0" w:space="0" w:color="auto"/>
        <w:right w:val="none" w:sz="0" w:space="0" w:color="auto"/>
      </w:divBdr>
    </w:div>
    <w:div w:id="1500775809">
      <w:bodyDiv w:val="1"/>
      <w:marLeft w:val="0"/>
      <w:marRight w:val="0"/>
      <w:marTop w:val="0"/>
      <w:marBottom w:val="0"/>
      <w:divBdr>
        <w:top w:val="none" w:sz="0" w:space="0" w:color="auto"/>
        <w:left w:val="none" w:sz="0" w:space="0" w:color="auto"/>
        <w:bottom w:val="none" w:sz="0" w:space="0" w:color="auto"/>
        <w:right w:val="none" w:sz="0" w:space="0" w:color="auto"/>
      </w:divBdr>
    </w:div>
    <w:div w:id="1514686288">
      <w:bodyDiv w:val="1"/>
      <w:marLeft w:val="0"/>
      <w:marRight w:val="0"/>
      <w:marTop w:val="0"/>
      <w:marBottom w:val="0"/>
      <w:divBdr>
        <w:top w:val="none" w:sz="0" w:space="0" w:color="auto"/>
        <w:left w:val="none" w:sz="0" w:space="0" w:color="auto"/>
        <w:bottom w:val="none" w:sz="0" w:space="0" w:color="auto"/>
        <w:right w:val="none" w:sz="0" w:space="0" w:color="auto"/>
      </w:divBdr>
    </w:div>
    <w:div w:id="1516113751">
      <w:bodyDiv w:val="1"/>
      <w:marLeft w:val="0"/>
      <w:marRight w:val="0"/>
      <w:marTop w:val="0"/>
      <w:marBottom w:val="0"/>
      <w:divBdr>
        <w:top w:val="none" w:sz="0" w:space="0" w:color="auto"/>
        <w:left w:val="none" w:sz="0" w:space="0" w:color="auto"/>
        <w:bottom w:val="none" w:sz="0" w:space="0" w:color="auto"/>
        <w:right w:val="none" w:sz="0" w:space="0" w:color="auto"/>
      </w:divBdr>
    </w:div>
    <w:div w:id="1520117323">
      <w:bodyDiv w:val="1"/>
      <w:marLeft w:val="0"/>
      <w:marRight w:val="0"/>
      <w:marTop w:val="0"/>
      <w:marBottom w:val="0"/>
      <w:divBdr>
        <w:top w:val="none" w:sz="0" w:space="0" w:color="auto"/>
        <w:left w:val="none" w:sz="0" w:space="0" w:color="auto"/>
        <w:bottom w:val="none" w:sz="0" w:space="0" w:color="auto"/>
        <w:right w:val="none" w:sz="0" w:space="0" w:color="auto"/>
      </w:divBdr>
    </w:div>
    <w:div w:id="1524975775">
      <w:bodyDiv w:val="1"/>
      <w:marLeft w:val="0"/>
      <w:marRight w:val="0"/>
      <w:marTop w:val="0"/>
      <w:marBottom w:val="0"/>
      <w:divBdr>
        <w:top w:val="none" w:sz="0" w:space="0" w:color="auto"/>
        <w:left w:val="none" w:sz="0" w:space="0" w:color="auto"/>
        <w:bottom w:val="none" w:sz="0" w:space="0" w:color="auto"/>
        <w:right w:val="none" w:sz="0" w:space="0" w:color="auto"/>
      </w:divBdr>
    </w:div>
    <w:div w:id="1526820461">
      <w:bodyDiv w:val="1"/>
      <w:marLeft w:val="0"/>
      <w:marRight w:val="0"/>
      <w:marTop w:val="0"/>
      <w:marBottom w:val="0"/>
      <w:divBdr>
        <w:top w:val="none" w:sz="0" w:space="0" w:color="auto"/>
        <w:left w:val="none" w:sz="0" w:space="0" w:color="auto"/>
        <w:bottom w:val="none" w:sz="0" w:space="0" w:color="auto"/>
        <w:right w:val="none" w:sz="0" w:space="0" w:color="auto"/>
      </w:divBdr>
    </w:div>
    <w:div w:id="1528106139">
      <w:bodyDiv w:val="1"/>
      <w:marLeft w:val="0"/>
      <w:marRight w:val="0"/>
      <w:marTop w:val="0"/>
      <w:marBottom w:val="0"/>
      <w:divBdr>
        <w:top w:val="none" w:sz="0" w:space="0" w:color="auto"/>
        <w:left w:val="none" w:sz="0" w:space="0" w:color="auto"/>
        <w:bottom w:val="none" w:sz="0" w:space="0" w:color="auto"/>
        <w:right w:val="none" w:sz="0" w:space="0" w:color="auto"/>
      </w:divBdr>
    </w:div>
    <w:div w:id="1549414932">
      <w:bodyDiv w:val="1"/>
      <w:marLeft w:val="0"/>
      <w:marRight w:val="0"/>
      <w:marTop w:val="0"/>
      <w:marBottom w:val="0"/>
      <w:divBdr>
        <w:top w:val="none" w:sz="0" w:space="0" w:color="auto"/>
        <w:left w:val="none" w:sz="0" w:space="0" w:color="auto"/>
        <w:bottom w:val="none" w:sz="0" w:space="0" w:color="auto"/>
        <w:right w:val="none" w:sz="0" w:space="0" w:color="auto"/>
      </w:divBdr>
    </w:div>
    <w:div w:id="1554921943">
      <w:bodyDiv w:val="1"/>
      <w:marLeft w:val="0"/>
      <w:marRight w:val="0"/>
      <w:marTop w:val="0"/>
      <w:marBottom w:val="0"/>
      <w:divBdr>
        <w:top w:val="none" w:sz="0" w:space="0" w:color="auto"/>
        <w:left w:val="none" w:sz="0" w:space="0" w:color="auto"/>
        <w:bottom w:val="none" w:sz="0" w:space="0" w:color="auto"/>
        <w:right w:val="none" w:sz="0" w:space="0" w:color="auto"/>
      </w:divBdr>
    </w:div>
    <w:div w:id="1564021693">
      <w:bodyDiv w:val="1"/>
      <w:marLeft w:val="0"/>
      <w:marRight w:val="0"/>
      <w:marTop w:val="0"/>
      <w:marBottom w:val="0"/>
      <w:divBdr>
        <w:top w:val="none" w:sz="0" w:space="0" w:color="auto"/>
        <w:left w:val="none" w:sz="0" w:space="0" w:color="auto"/>
        <w:bottom w:val="none" w:sz="0" w:space="0" w:color="auto"/>
        <w:right w:val="none" w:sz="0" w:space="0" w:color="auto"/>
      </w:divBdr>
    </w:div>
    <w:div w:id="1567255590">
      <w:bodyDiv w:val="1"/>
      <w:marLeft w:val="0"/>
      <w:marRight w:val="0"/>
      <w:marTop w:val="0"/>
      <w:marBottom w:val="0"/>
      <w:divBdr>
        <w:top w:val="none" w:sz="0" w:space="0" w:color="auto"/>
        <w:left w:val="none" w:sz="0" w:space="0" w:color="auto"/>
        <w:bottom w:val="none" w:sz="0" w:space="0" w:color="auto"/>
        <w:right w:val="none" w:sz="0" w:space="0" w:color="auto"/>
      </w:divBdr>
    </w:div>
    <w:div w:id="1568952157">
      <w:bodyDiv w:val="1"/>
      <w:marLeft w:val="0"/>
      <w:marRight w:val="0"/>
      <w:marTop w:val="0"/>
      <w:marBottom w:val="0"/>
      <w:divBdr>
        <w:top w:val="none" w:sz="0" w:space="0" w:color="auto"/>
        <w:left w:val="none" w:sz="0" w:space="0" w:color="auto"/>
        <w:bottom w:val="none" w:sz="0" w:space="0" w:color="auto"/>
        <w:right w:val="none" w:sz="0" w:space="0" w:color="auto"/>
      </w:divBdr>
    </w:div>
    <w:div w:id="1569000278">
      <w:bodyDiv w:val="1"/>
      <w:marLeft w:val="0"/>
      <w:marRight w:val="0"/>
      <w:marTop w:val="0"/>
      <w:marBottom w:val="0"/>
      <w:divBdr>
        <w:top w:val="none" w:sz="0" w:space="0" w:color="auto"/>
        <w:left w:val="none" w:sz="0" w:space="0" w:color="auto"/>
        <w:bottom w:val="none" w:sz="0" w:space="0" w:color="auto"/>
        <w:right w:val="none" w:sz="0" w:space="0" w:color="auto"/>
      </w:divBdr>
    </w:div>
    <w:div w:id="1572539167">
      <w:bodyDiv w:val="1"/>
      <w:marLeft w:val="0"/>
      <w:marRight w:val="0"/>
      <w:marTop w:val="0"/>
      <w:marBottom w:val="0"/>
      <w:divBdr>
        <w:top w:val="none" w:sz="0" w:space="0" w:color="auto"/>
        <w:left w:val="none" w:sz="0" w:space="0" w:color="auto"/>
        <w:bottom w:val="none" w:sz="0" w:space="0" w:color="auto"/>
        <w:right w:val="none" w:sz="0" w:space="0" w:color="auto"/>
      </w:divBdr>
    </w:div>
    <w:div w:id="1605065495">
      <w:bodyDiv w:val="1"/>
      <w:marLeft w:val="0"/>
      <w:marRight w:val="0"/>
      <w:marTop w:val="0"/>
      <w:marBottom w:val="0"/>
      <w:divBdr>
        <w:top w:val="none" w:sz="0" w:space="0" w:color="auto"/>
        <w:left w:val="none" w:sz="0" w:space="0" w:color="auto"/>
        <w:bottom w:val="none" w:sz="0" w:space="0" w:color="auto"/>
        <w:right w:val="none" w:sz="0" w:space="0" w:color="auto"/>
      </w:divBdr>
    </w:div>
    <w:div w:id="1613973522">
      <w:bodyDiv w:val="1"/>
      <w:marLeft w:val="0"/>
      <w:marRight w:val="0"/>
      <w:marTop w:val="0"/>
      <w:marBottom w:val="0"/>
      <w:divBdr>
        <w:top w:val="none" w:sz="0" w:space="0" w:color="auto"/>
        <w:left w:val="none" w:sz="0" w:space="0" w:color="auto"/>
        <w:bottom w:val="none" w:sz="0" w:space="0" w:color="auto"/>
        <w:right w:val="none" w:sz="0" w:space="0" w:color="auto"/>
      </w:divBdr>
    </w:div>
    <w:div w:id="1614744071">
      <w:bodyDiv w:val="1"/>
      <w:marLeft w:val="0"/>
      <w:marRight w:val="0"/>
      <w:marTop w:val="0"/>
      <w:marBottom w:val="0"/>
      <w:divBdr>
        <w:top w:val="none" w:sz="0" w:space="0" w:color="auto"/>
        <w:left w:val="none" w:sz="0" w:space="0" w:color="auto"/>
        <w:bottom w:val="none" w:sz="0" w:space="0" w:color="auto"/>
        <w:right w:val="none" w:sz="0" w:space="0" w:color="auto"/>
      </w:divBdr>
    </w:div>
    <w:div w:id="1616867015">
      <w:bodyDiv w:val="1"/>
      <w:marLeft w:val="0"/>
      <w:marRight w:val="0"/>
      <w:marTop w:val="0"/>
      <w:marBottom w:val="0"/>
      <w:divBdr>
        <w:top w:val="none" w:sz="0" w:space="0" w:color="auto"/>
        <w:left w:val="none" w:sz="0" w:space="0" w:color="auto"/>
        <w:bottom w:val="none" w:sz="0" w:space="0" w:color="auto"/>
        <w:right w:val="none" w:sz="0" w:space="0" w:color="auto"/>
      </w:divBdr>
    </w:div>
    <w:div w:id="1627200165">
      <w:bodyDiv w:val="1"/>
      <w:marLeft w:val="0"/>
      <w:marRight w:val="0"/>
      <w:marTop w:val="0"/>
      <w:marBottom w:val="0"/>
      <w:divBdr>
        <w:top w:val="none" w:sz="0" w:space="0" w:color="auto"/>
        <w:left w:val="none" w:sz="0" w:space="0" w:color="auto"/>
        <w:bottom w:val="none" w:sz="0" w:space="0" w:color="auto"/>
        <w:right w:val="none" w:sz="0" w:space="0" w:color="auto"/>
      </w:divBdr>
    </w:div>
    <w:div w:id="1680229256">
      <w:bodyDiv w:val="1"/>
      <w:marLeft w:val="0"/>
      <w:marRight w:val="0"/>
      <w:marTop w:val="0"/>
      <w:marBottom w:val="0"/>
      <w:divBdr>
        <w:top w:val="none" w:sz="0" w:space="0" w:color="auto"/>
        <w:left w:val="none" w:sz="0" w:space="0" w:color="auto"/>
        <w:bottom w:val="none" w:sz="0" w:space="0" w:color="auto"/>
        <w:right w:val="none" w:sz="0" w:space="0" w:color="auto"/>
      </w:divBdr>
    </w:div>
    <w:div w:id="1680740748">
      <w:bodyDiv w:val="1"/>
      <w:marLeft w:val="0"/>
      <w:marRight w:val="0"/>
      <w:marTop w:val="0"/>
      <w:marBottom w:val="0"/>
      <w:divBdr>
        <w:top w:val="none" w:sz="0" w:space="0" w:color="auto"/>
        <w:left w:val="none" w:sz="0" w:space="0" w:color="auto"/>
        <w:bottom w:val="none" w:sz="0" w:space="0" w:color="auto"/>
        <w:right w:val="none" w:sz="0" w:space="0" w:color="auto"/>
      </w:divBdr>
    </w:div>
    <w:div w:id="1701783296">
      <w:bodyDiv w:val="1"/>
      <w:marLeft w:val="0"/>
      <w:marRight w:val="0"/>
      <w:marTop w:val="0"/>
      <w:marBottom w:val="0"/>
      <w:divBdr>
        <w:top w:val="none" w:sz="0" w:space="0" w:color="auto"/>
        <w:left w:val="none" w:sz="0" w:space="0" w:color="auto"/>
        <w:bottom w:val="none" w:sz="0" w:space="0" w:color="auto"/>
        <w:right w:val="none" w:sz="0" w:space="0" w:color="auto"/>
      </w:divBdr>
    </w:div>
    <w:div w:id="1702120760">
      <w:bodyDiv w:val="1"/>
      <w:marLeft w:val="0"/>
      <w:marRight w:val="0"/>
      <w:marTop w:val="0"/>
      <w:marBottom w:val="0"/>
      <w:divBdr>
        <w:top w:val="none" w:sz="0" w:space="0" w:color="auto"/>
        <w:left w:val="none" w:sz="0" w:space="0" w:color="auto"/>
        <w:bottom w:val="none" w:sz="0" w:space="0" w:color="auto"/>
        <w:right w:val="none" w:sz="0" w:space="0" w:color="auto"/>
      </w:divBdr>
    </w:div>
    <w:div w:id="1726297534">
      <w:bodyDiv w:val="1"/>
      <w:marLeft w:val="0"/>
      <w:marRight w:val="0"/>
      <w:marTop w:val="0"/>
      <w:marBottom w:val="0"/>
      <w:divBdr>
        <w:top w:val="none" w:sz="0" w:space="0" w:color="auto"/>
        <w:left w:val="none" w:sz="0" w:space="0" w:color="auto"/>
        <w:bottom w:val="none" w:sz="0" w:space="0" w:color="auto"/>
        <w:right w:val="none" w:sz="0" w:space="0" w:color="auto"/>
      </w:divBdr>
    </w:div>
    <w:div w:id="1732457707">
      <w:bodyDiv w:val="1"/>
      <w:marLeft w:val="0"/>
      <w:marRight w:val="0"/>
      <w:marTop w:val="0"/>
      <w:marBottom w:val="0"/>
      <w:divBdr>
        <w:top w:val="none" w:sz="0" w:space="0" w:color="auto"/>
        <w:left w:val="none" w:sz="0" w:space="0" w:color="auto"/>
        <w:bottom w:val="none" w:sz="0" w:space="0" w:color="auto"/>
        <w:right w:val="none" w:sz="0" w:space="0" w:color="auto"/>
      </w:divBdr>
    </w:div>
    <w:div w:id="1748307212">
      <w:bodyDiv w:val="1"/>
      <w:marLeft w:val="0"/>
      <w:marRight w:val="0"/>
      <w:marTop w:val="0"/>
      <w:marBottom w:val="0"/>
      <w:divBdr>
        <w:top w:val="none" w:sz="0" w:space="0" w:color="auto"/>
        <w:left w:val="none" w:sz="0" w:space="0" w:color="auto"/>
        <w:bottom w:val="none" w:sz="0" w:space="0" w:color="auto"/>
        <w:right w:val="none" w:sz="0" w:space="0" w:color="auto"/>
      </w:divBdr>
    </w:div>
    <w:div w:id="1756825003">
      <w:bodyDiv w:val="1"/>
      <w:marLeft w:val="0"/>
      <w:marRight w:val="0"/>
      <w:marTop w:val="0"/>
      <w:marBottom w:val="0"/>
      <w:divBdr>
        <w:top w:val="none" w:sz="0" w:space="0" w:color="auto"/>
        <w:left w:val="none" w:sz="0" w:space="0" w:color="auto"/>
        <w:bottom w:val="none" w:sz="0" w:space="0" w:color="auto"/>
        <w:right w:val="none" w:sz="0" w:space="0" w:color="auto"/>
      </w:divBdr>
    </w:div>
    <w:div w:id="1767840835">
      <w:bodyDiv w:val="1"/>
      <w:marLeft w:val="0"/>
      <w:marRight w:val="0"/>
      <w:marTop w:val="0"/>
      <w:marBottom w:val="0"/>
      <w:divBdr>
        <w:top w:val="none" w:sz="0" w:space="0" w:color="auto"/>
        <w:left w:val="none" w:sz="0" w:space="0" w:color="auto"/>
        <w:bottom w:val="none" w:sz="0" w:space="0" w:color="auto"/>
        <w:right w:val="none" w:sz="0" w:space="0" w:color="auto"/>
      </w:divBdr>
    </w:div>
    <w:div w:id="1778327945">
      <w:bodyDiv w:val="1"/>
      <w:marLeft w:val="0"/>
      <w:marRight w:val="0"/>
      <w:marTop w:val="0"/>
      <w:marBottom w:val="0"/>
      <w:divBdr>
        <w:top w:val="none" w:sz="0" w:space="0" w:color="auto"/>
        <w:left w:val="none" w:sz="0" w:space="0" w:color="auto"/>
        <w:bottom w:val="none" w:sz="0" w:space="0" w:color="auto"/>
        <w:right w:val="none" w:sz="0" w:space="0" w:color="auto"/>
      </w:divBdr>
    </w:div>
    <w:div w:id="1780569265">
      <w:bodyDiv w:val="1"/>
      <w:marLeft w:val="0"/>
      <w:marRight w:val="0"/>
      <w:marTop w:val="0"/>
      <w:marBottom w:val="0"/>
      <w:divBdr>
        <w:top w:val="none" w:sz="0" w:space="0" w:color="auto"/>
        <w:left w:val="none" w:sz="0" w:space="0" w:color="auto"/>
        <w:bottom w:val="none" w:sz="0" w:space="0" w:color="auto"/>
        <w:right w:val="none" w:sz="0" w:space="0" w:color="auto"/>
      </w:divBdr>
    </w:div>
    <w:div w:id="1813791547">
      <w:bodyDiv w:val="1"/>
      <w:marLeft w:val="0"/>
      <w:marRight w:val="0"/>
      <w:marTop w:val="0"/>
      <w:marBottom w:val="0"/>
      <w:divBdr>
        <w:top w:val="none" w:sz="0" w:space="0" w:color="auto"/>
        <w:left w:val="none" w:sz="0" w:space="0" w:color="auto"/>
        <w:bottom w:val="none" w:sz="0" w:space="0" w:color="auto"/>
        <w:right w:val="none" w:sz="0" w:space="0" w:color="auto"/>
      </w:divBdr>
    </w:div>
    <w:div w:id="1829399388">
      <w:bodyDiv w:val="1"/>
      <w:marLeft w:val="0"/>
      <w:marRight w:val="0"/>
      <w:marTop w:val="0"/>
      <w:marBottom w:val="0"/>
      <w:divBdr>
        <w:top w:val="none" w:sz="0" w:space="0" w:color="auto"/>
        <w:left w:val="none" w:sz="0" w:space="0" w:color="auto"/>
        <w:bottom w:val="none" w:sz="0" w:space="0" w:color="auto"/>
        <w:right w:val="none" w:sz="0" w:space="0" w:color="auto"/>
      </w:divBdr>
    </w:div>
    <w:div w:id="1833253674">
      <w:bodyDiv w:val="1"/>
      <w:marLeft w:val="0"/>
      <w:marRight w:val="0"/>
      <w:marTop w:val="0"/>
      <w:marBottom w:val="0"/>
      <w:divBdr>
        <w:top w:val="none" w:sz="0" w:space="0" w:color="auto"/>
        <w:left w:val="none" w:sz="0" w:space="0" w:color="auto"/>
        <w:bottom w:val="none" w:sz="0" w:space="0" w:color="auto"/>
        <w:right w:val="none" w:sz="0" w:space="0" w:color="auto"/>
      </w:divBdr>
    </w:div>
    <w:div w:id="1862357809">
      <w:bodyDiv w:val="1"/>
      <w:marLeft w:val="0"/>
      <w:marRight w:val="0"/>
      <w:marTop w:val="0"/>
      <w:marBottom w:val="0"/>
      <w:divBdr>
        <w:top w:val="none" w:sz="0" w:space="0" w:color="auto"/>
        <w:left w:val="none" w:sz="0" w:space="0" w:color="auto"/>
        <w:bottom w:val="none" w:sz="0" w:space="0" w:color="auto"/>
        <w:right w:val="none" w:sz="0" w:space="0" w:color="auto"/>
      </w:divBdr>
    </w:div>
    <w:div w:id="1867597628">
      <w:bodyDiv w:val="1"/>
      <w:marLeft w:val="0"/>
      <w:marRight w:val="0"/>
      <w:marTop w:val="0"/>
      <w:marBottom w:val="0"/>
      <w:divBdr>
        <w:top w:val="none" w:sz="0" w:space="0" w:color="auto"/>
        <w:left w:val="none" w:sz="0" w:space="0" w:color="auto"/>
        <w:bottom w:val="none" w:sz="0" w:space="0" w:color="auto"/>
        <w:right w:val="none" w:sz="0" w:space="0" w:color="auto"/>
      </w:divBdr>
    </w:div>
    <w:div w:id="1885751867">
      <w:bodyDiv w:val="1"/>
      <w:marLeft w:val="0"/>
      <w:marRight w:val="0"/>
      <w:marTop w:val="0"/>
      <w:marBottom w:val="0"/>
      <w:divBdr>
        <w:top w:val="none" w:sz="0" w:space="0" w:color="auto"/>
        <w:left w:val="none" w:sz="0" w:space="0" w:color="auto"/>
        <w:bottom w:val="none" w:sz="0" w:space="0" w:color="auto"/>
        <w:right w:val="none" w:sz="0" w:space="0" w:color="auto"/>
      </w:divBdr>
    </w:div>
    <w:div w:id="1911454740">
      <w:bodyDiv w:val="1"/>
      <w:marLeft w:val="0"/>
      <w:marRight w:val="0"/>
      <w:marTop w:val="0"/>
      <w:marBottom w:val="0"/>
      <w:divBdr>
        <w:top w:val="none" w:sz="0" w:space="0" w:color="auto"/>
        <w:left w:val="none" w:sz="0" w:space="0" w:color="auto"/>
        <w:bottom w:val="none" w:sz="0" w:space="0" w:color="auto"/>
        <w:right w:val="none" w:sz="0" w:space="0" w:color="auto"/>
      </w:divBdr>
    </w:div>
    <w:div w:id="1920827041">
      <w:bodyDiv w:val="1"/>
      <w:marLeft w:val="0"/>
      <w:marRight w:val="0"/>
      <w:marTop w:val="0"/>
      <w:marBottom w:val="0"/>
      <w:divBdr>
        <w:top w:val="none" w:sz="0" w:space="0" w:color="auto"/>
        <w:left w:val="none" w:sz="0" w:space="0" w:color="auto"/>
        <w:bottom w:val="none" w:sz="0" w:space="0" w:color="auto"/>
        <w:right w:val="none" w:sz="0" w:space="0" w:color="auto"/>
      </w:divBdr>
    </w:div>
    <w:div w:id="1921332506">
      <w:bodyDiv w:val="1"/>
      <w:marLeft w:val="0"/>
      <w:marRight w:val="0"/>
      <w:marTop w:val="0"/>
      <w:marBottom w:val="0"/>
      <w:divBdr>
        <w:top w:val="none" w:sz="0" w:space="0" w:color="auto"/>
        <w:left w:val="none" w:sz="0" w:space="0" w:color="auto"/>
        <w:bottom w:val="none" w:sz="0" w:space="0" w:color="auto"/>
        <w:right w:val="none" w:sz="0" w:space="0" w:color="auto"/>
      </w:divBdr>
    </w:div>
    <w:div w:id="1936673764">
      <w:bodyDiv w:val="1"/>
      <w:marLeft w:val="0"/>
      <w:marRight w:val="0"/>
      <w:marTop w:val="0"/>
      <w:marBottom w:val="0"/>
      <w:divBdr>
        <w:top w:val="none" w:sz="0" w:space="0" w:color="auto"/>
        <w:left w:val="none" w:sz="0" w:space="0" w:color="auto"/>
        <w:bottom w:val="none" w:sz="0" w:space="0" w:color="auto"/>
        <w:right w:val="none" w:sz="0" w:space="0" w:color="auto"/>
      </w:divBdr>
    </w:div>
    <w:div w:id="1940291233">
      <w:bodyDiv w:val="1"/>
      <w:marLeft w:val="0"/>
      <w:marRight w:val="0"/>
      <w:marTop w:val="0"/>
      <w:marBottom w:val="0"/>
      <w:divBdr>
        <w:top w:val="none" w:sz="0" w:space="0" w:color="auto"/>
        <w:left w:val="none" w:sz="0" w:space="0" w:color="auto"/>
        <w:bottom w:val="none" w:sz="0" w:space="0" w:color="auto"/>
        <w:right w:val="none" w:sz="0" w:space="0" w:color="auto"/>
      </w:divBdr>
    </w:div>
    <w:div w:id="1944650592">
      <w:bodyDiv w:val="1"/>
      <w:marLeft w:val="0"/>
      <w:marRight w:val="0"/>
      <w:marTop w:val="0"/>
      <w:marBottom w:val="0"/>
      <w:divBdr>
        <w:top w:val="none" w:sz="0" w:space="0" w:color="auto"/>
        <w:left w:val="none" w:sz="0" w:space="0" w:color="auto"/>
        <w:bottom w:val="none" w:sz="0" w:space="0" w:color="auto"/>
        <w:right w:val="none" w:sz="0" w:space="0" w:color="auto"/>
      </w:divBdr>
    </w:div>
    <w:div w:id="1965498984">
      <w:bodyDiv w:val="1"/>
      <w:marLeft w:val="0"/>
      <w:marRight w:val="0"/>
      <w:marTop w:val="0"/>
      <w:marBottom w:val="0"/>
      <w:divBdr>
        <w:top w:val="none" w:sz="0" w:space="0" w:color="auto"/>
        <w:left w:val="none" w:sz="0" w:space="0" w:color="auto"/>
        <w:bottom w:val="none" w:sz="0" w:space="0" w:color="auto"/>
        <w:right w:val="none" w:sz="0" w:space="0" w:color="auto"/>
      </w:divBdr>
    </w:div>
    <w:div w:id="1972202093">
      <w:bodyDiv w:val="1"/>
      <w:marLeft w:val="0"/>
      <w:marRight w:val="0"/>
      <w:marTop w:val="0"/>
      <w:marBottom w:val="0"/>
      <w:divBdr>
        <w:top w:val="none" w:sz="0" w:space="0" w:color="auto"/>
        <w:left w:val="none" w:sz="0" w:space="0" w:color="auto"/>
        <w:bottom w:val="none" w:sz="0" w:space="0" w:color="auto"/>
        <w:right w:val="none" w:sz="0" w:space="0" w:color="auto"/>
      </w:divBdr>
    </w:div>
    <w:div w:id="1974020410">
      <w:bodyDiv w:val="1"/>
      <w:marLeft w:val="0"/>
      <w:marRight w:val="0"/>
      <w:marTop w:val="0"/>
      <w:marBottom w:val="0"/>
      <w:divBdr>
        <w:top w:val="none" w:sz="0" w:space="0" w:color="auto"/>
        <w:left w:val="none" w:sz="0" w:space="0" w:color="auto"/>
        <w:bottom w:val="none" w:sz="0" w:space="0" w:color="auto"/>
        <w:right w:val="none" w:sz="0" w:space="0" w:color="auto"/>
      </w:divBdr>
    </w:div>
    <w:div w:id="1974434605">
      <w:bodyDiv w:val="1"/>
      <w:marLeft w:val="0"/>
      <w:marRight w:val="0"/>
      <w:marTop w:val="0"/>
      <w:marBottom w:val="0"/>
      <w:divBdr>
        <w:top w:val="none" w:sz="0" w:space="0" w:color="auto"/>
        <w:left w:val="none" w:sz="0" w:space="0" w:color="auto"/>
        <w:bottom w:val="none" w:sz="0" w:space="0" w:color="auto"/>
        <w:right w:val="none" w:sz="0" w:space="0" w:color="auto"/>
      </w:divBdr>
    </w:div>
    <w:div w:id="1977756317">
      <w:bodyDiv w:val="1"/>
      <w:marLeft w:val="0"/>
      <w:marRight w:val="0"/>
      <w:marTop w:val="0"/>
      <w:marBottom w:val="0"/>
      <w:divBdr>
        <w:top w:val="none" w:sz="0" w:space="0" w:color="auto"/>
        <w:left w:val="none" w:sz="0" w:space="0" w:color="auto"/>
        <w:bottom w:val="none" w:sz="0" w:space="0" w:color="auto"/>
        <w:right w:val="none" w:sz="0" w:space="0" w:color="auto"/>
      </w:divBdr>
    </w:div>
    <w:div w:id="1977952363">
      <w:bodyDiv w:val="1"/>
      <w:marLeft w:val="0"/>
      <w:marRight w:val="0"/>
      <w:marTop w:val="0"/>
      <w:marBottom w:val="0"/>
      <w:divBdr>
        <w:top w:val="none" w:sz="0" w:space="0" w:color="auto"/>
        <w:left w:val="none" w:sz="0" w:space="0" w:color="auto"/>
        <w:bottom w:val="none" w:sz="0" w:space="0" w:color="auto"/>
        <w:right w:val="none" w:sz="0" w:space="0" w:color="auto"/>
      </w:divBdr>
    </w:div>
    <w:div w:id="1978608169">
      <w:bodyDiv w:val="1"/>
      <w:marLeft w:val="0"/>
      <w:marRight w:val="0"/>
      <w:marTop w:val="0"/>
      <w:marBottom w:val="0"/>
      <w:divBdr>
        <w:top w:val="none" w:sz="0" w:space="0" w:color="auto"/>
        <w:left w:val="none" w:sz="0" w:space="0" w:color="auto"/>
        <w:bottom w:val="none" w:sz="0" w:space="0" w:color="auto"/>
        <w:right w:val="none" w:sz="0" w:space="0" w:color="auto"/>
      </w:divBdr>
    </w:div>
    <w:div w:id="1998722279">
      <w:bodyDiv w:val="1"/>
      <w:marLeft w:val="0"/>
      <w:marRight w:val="0"/>
      <w:marTop w:val="0"/>
      <w:marBottom w:val="0"/>
      <w:divBdr>
        <w:top w:val="none" w:sz="0" w:space="0" w:color="auto"/>
        <w:left w:val="none" w:sz="0" w:space="0" w:color="auto"/>
        <w:bottom w:val="none" w:sz="0" w:space="0" w:color="auto"/>
        <w:right w:val="none" w:sz="0" w:space="0" w:color="auto"/>
      </w:divBdr>
    </w:div>
    <w:div w:id="2003463304">
      <w:bodyDiv w:val="1"/>
      <w:marLeft w:val="0"/>
      <w:marRight w:val="0"/>
      <w:marTop w:val="0"/>
      <w:marBottom w:val="0"/>
      <w:divBdr>
        <w:top w:val="none" w:sz="0" w:space="0" w:color="auto"/>
        <w:left w:val="none" w:sz="0" w:space="0" w:color="auto"/>
        <w:bottom w:val="none" w:sz="0" w:space="0" w:color="auto"/>
        <w:right w:val="none" w:sz="0" w:space="0" w:color="auto"/>
      </w:divBdr>
    </w:div>
    <w:div w:id="2003775130">
      <w:bodyDiv w:val="1"/>
      <w:marLeft w:val="0"/>
      <w:marRight w:val="0"/>
      <w:marTop w:val="0"/>
      <w:marBottom w:val="0"/>
      <w:divBdr>
        <w:top w:val="none" w:sz="0" w:space="0" w:color="auto"/>
        <w:left w:val="none" w:sz="0" w:space="0" w:color="auto"/>
        <w:bottom w:val="none" w:sz="0" w:space="0" w:color="auto"/>
        <w:right w:val="none" w:sz="0" w:space="0" w:color="auto"/>
      </w:divBdr>
    </w:div>
    <w:div w:id="2018727225">
      <w:bodyDiv w:val="1"/>
      <w:marLeft w:val="0"/>
      <w:marRight w:val="0"/>
      <w:marTop w:val="0"/>
      <w:marBottom w:val="0"/>
      <w:divBdr>
        <w:top w:val="none" w:sz="0" w:space="0" w:color="auto"/>
        <w:left w:val="none" w:sz="0" w:space="0" w:color="auto"/>
        <w:bottom w:val="none" w:sz="0" w:space="0" w:color="auto"/>
        <w:right w:val="none" w:sz="0" w:space="0" w:color="auto"/>
      </w:divBdr>
    </w:div>
    <w:div w:id="2040160392">
      <w:bodyDiv w:val="1"/>
      <w:marLeft w:val="0"/>
      <w:marRight w:val="0"/>
      <w:marTop w:val="0"/>
      <w:marBottom w:val="0"/>
      <w:divBdr>
        <w:top w:val="none" w:sz="0" w:space="0" w:color="auto"/>
        <w:left w:val="none" w:sz="0" w:space="0" w:color="auto"/>
        <w:bottom w:val="none" w:sz="0" w:space="0" w:color="auto"/>
        <w:right w:val="none" w:sz="0" w:space="0" w:color="auto"/>
      </w:divBdr>
    </w:div>
    <w:div w:id="2042198935">
      <w:bodyDiv w:val="1"/>
      <w:marLeft w:val="0"/>
      <w:marRight w:val="0"/>
      <w:marTop w:val="0"/>
      <w:marBottom w:val="0"/>
      <w:divBdr>
        <w:top w:val="none" w:sz="0" w:space="0" w:color="auto"/>
        <w:left w:val="none" w:sz="0" w:space="0" w:color="auto"/>
        <w:bottom w:val="none" w:sz="0" w:space="0" w:color="auto"/>
        <w:right w:val="none" w:sz="0" w:space="0" w:color="auto"/>
      </w:divBdr>
    </w:div>
    <w:div w:id="2049329183">
      <w:bodyDiv w:val="1"/>
      <w:marLeft w:val="0"/>
      <w:marRight w:val="0"/>
      <w:marTop w:val="0"/>
      <w:marBottom w:val="0"/>
      <w:divBdr>
        <w:top w:val="none" w:sz="0" w:space="0" w:color="auto"/>
        <w:left w:val="none" w:sz="0" w:space="0" w:color="auto"/>
        <w:bottom w:val="none" w:sz="0" w:space="0" w:color="auto"/>
        <w:right w:val="none" w:sz="0" w:space="0" w:color="auto"/>
      </w:divBdr>
    </w:div>
    <w:div w:id="2055544995">
      <w:bodyDiv w:val="1"/>
      <w:marLeft w:val="0"/>
      <w:marRight w:val="0"/>
      <w:marTop w:val="0"/>
      <w:marBottom w:val="0"/>
      <w:divBdr>
        <w:top w:val="none" w:sz="0" w:space="0" w:color="auto"/>
        <w:left w:val="none" w:sz="0" w:space="0" w:color="auto"/>
        <w:bottom w:val="none" w:sz="0" w:space="0" w:color="auto"/>
        <w:right w:val="none" w:sz="0" w:space="0" w:color="auto"/>
      </w:divBdr>
    </w:div>
    <w:div w:id="2063214368">
      <w:bodyDiv w:val="1"/>
      <w:marLeft w:val="0"/>
      <w:marRight w:val="0"/>
      <w:marTop w:val="0"/>
      <w:marBottom w:val="0"/>
      <w:divBdr>
        <w:top w:val="none" w:sz="0" w:space="0" w:color="auto"/>
        <w:left w:val="none" w:sz="0" w:space="0" w:color="auto"/>
        <w:bottom w:val="none" w:sz="0" w:space="0" w:color="auto"/>
        <w:right w:val="none" w:sz="0" w:space="0" w:color="auto"/>
      </w:divBdr>
    </w:div>
    <w:div w:id="2066220272">
      <w:bodyDiv w:val="1"/>
      <w:marLeft w:val="0"/>
      <w:marRight w:val="0"/>
      <w:marTop w:val="0"/>
      <w:marBottom w:val="0"/>
      <w:divBdr>
        <w:top w:val="none" w:sz="0" w:space="0" w:color="auto"/>
        <w:left w:val="none" w:sz="0" w:space="0" w:color="auto"/>
        <w:bottom w:val="none" w:sz="0" w:space="0" w:color="auto"/>
        <w:right w:val="none" w:sz="0" w:space="0" w:color="auto"/>
      </w:divBdr>
    </w:div>
    <w:div w:id="2082218848">
      <w:bodyDiv w:val="1"/>
      <w:marLeft w:val="0"/>
      <w:marRight w:val="0"/>
      <w:marTop w:val="0"/>
      <w:marBottom w:val="0"/>
      <w:divBdr>
        <w:top w:val="none" w:sz="0" w:space="0" w:color="auto"/>
        <w:left w:val="none" w:sz="0" w:space="0" w:color="auto"/>
        <w:bottom w:val="none" w:sz="0" w:space="0" w:color="auto"/>
        <w:right w:val="none" w:sz="0" w:space="0" w:color="auto"/>
      </w:divBdr>
    </w:div>
    <w:div w:id="2091154640">
      <w:bodyDiv w:val="1"/>
      <w:marLeft w:val="0"/>
      <w:marRight w:val="0"/>
      <w:marTop w:val="0"/>
      <w:marBottom w:val="0"/>
      <w:divBdr>
        <w:top w:val="none" w:sz="0" w:space="0" w:color="auto"/>
        <w:left w:val="none" w:sz="0" w:space="0" w:color="auto"/>
        <w:bottom w:val="none" w:sz="0" w:space="0" w:color="auto"/>
        <w:right w:val="none" w:sz="0" w:space="0" w:color="auto"/>
      </w:divBdr>
    </w:div>
    <w:div w:id="2091266554">
      <w:bodyDiv w:val="1"/>
      <w:marLeft w:val="0"/>
      <w:marRight w:val="0"/>
      <w:marTop w:val="0"/>
      <w:marBottom w:val="0"/>
      <w:divBdr>
        <w:top w:val="none" w:sz="0" w:space="0" w:color="auto"/>
        <w:left w:val="none" w:sz="0" w:space="0" w:color="auto"/>
        <w:bottom w:val="none" w:sz="0" w:space="0" w:color="auto"/>
        <w:right w:val="none" w:sz="0" w:space="0" w:color="auto"/>
      </w:divBdr>
    </w:div>
    <w:div w:id="2091344299">
      <w:bodyDiv w:val="1"/>
      <w:marLeft w:val="0"/>
      <w:marRight w:val="0"/>
      <w:marTop w:val="0"/>
      <w:marBottom w:val="0"/>
      <w:divBdr>
        <w:top w:val="none" w:sz="0" w:space="0" w:color="auto"/>
        <w:left w:val="none" w:sz="0" w:space="0" w:color="auto"/>
        <w:bottom w:val="none" w:sz="0" w:space="0" w:color="auto"/>
        <w:right w:val="none" w:sz="0" w:space="0" w:color="auto"/>
      </w:divBdr>
    </w:div>
    <w:div w:id="2093694776">
      <w:bodyDiv w:val="1"/>
      <w:marLeft w:val="0"/>
      <w:marRight w:val="0"/>
      <w:marTop w:val="0"/>
      <w:marBottom w:val="0"/>
      <w:divBdr>
        <w:top w:val="none" w:sz="0" w:space="0" w:color="auto"/>
        <w:left w:val="none" w:sz="0" w:space="0" w:color="auto"/>
        <w:bottom w:val="none" w:sz="0" w:space="0" w:color="auto"/>
        <w:right w:val="none" w:sz="0" w:space="0" w:color="auto"/>
      </w:divBdr>
    </w:div>
    <w:div w:id="2097508618">
      <w:bodyDiv w:val="1"/>
      <w:marLeft w:val="0"/>
      <w:marRight w:val="0"/>
      <w:marTop w:val="0"/>
      <w:marBottom w:val="0"/>
      <w:divBdr>
        <w:top w:val="none" w:sz="0" w:space="0" w:color="auto"/>
        <w:left w:val="none" w:sz="0" w:space="0" w:color="auto"/>
        <w:bottom w:val="none" w:sz="0" w:space="0" w:color="auto"/>
        <w:right w:val="none" w:sz="0" w:space="0" w:color="auto"/>
      </w:divBdr>
    </w:div>
    <w:div w:id="2109344774">
      <w:bodyDiv w:val="1"/>
      <w:marLeft w:val="0"/>
      <w:marRight w:val="0"/>
      <w:marTop w:val="0"/>
      <w:marBottom w:val="0"/>
      <w:divBdr>
        <w:top w:val="none" w:sz="0" w:space="0" w:color="auto"/>
        <w:left w:val="none" w:sz="0" w:space="0" w:color="auto"/>
        <w:bottom w:val="none" w:sz="0" w:space="0" w:color="auto"/>
        <w:right w:val="none" w:sz="0" w:space="0" w:color="auto"/>
      </w:divBdr>
    </w:div>
    <w:div w:id="2118213899">
      <w:bodyDiv w:val="1"/>
      <w:marLeft w:val="0"/>
      <w:marRight w:val="0"/>
      <w:marTop w:val="0"/>
      <w:marBottom w:val="0"/>
      <w:divBdr>
        <w:top w:val="none" w:sz="0" w:space="0" w:color="auto"/>
        <w:left w:val="none" w:sz="0" w:space="0" w:color="auto"/>
        <w:bottom w:val="none" w:sz="0" w:space="0" w:color="auto"/>
        <w:right w:val="none" w:sz="0" w:space="0" w:color="auto"/>
      </w:divBdr>
    </w:div>
    <w:div w:id="2135831898">
      <w:bodyDiv w:val="1"/>
      <w:marLeft w:val="0"/>
      <w:marRight w:val="0"/>
      <w:marTop w:val="0"/>
      <w:marBottom w:val="0"/>
      <w:divBdr>
        <w:top w:val="none" w:sz="0" w:space="0" w:color="auto"/>
        <w:left w:val="none" w:sz="0" w:space="0" w:color="auto"/>
        <w:bottom w:val="none" w:sz="0" w:space="0" w:color="auto"/>
        <w:right w:val="none" w:sz="0" w:space="0" w:color="auto"/>
      </w:divBdr>
    </w:div>
    <w:div w:id="213957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o.colagrande@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F1902-64DF-4CEC-B633-D8766333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14272</Words>
  <Characters>81352</Characters>
  <Application>Microsoft Office Word</Application>
  <DocSecurity>0</DocSecurity>
  <Lines>677</Lines>
  <Paragraphs>190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degli Studi di Firenze</Company>
  <LinksUpToDate>false</LinksUpToDate>
  <CharactersWithSpaces>95434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Marra</dc:creator>
  <cp:lastModifiedBy>LS Ma</cp:lastModifiedBy>
  <cp:revision>2</cp:revision>
  <dcterms:created xsi:type="dcterms:W3CDTF">2016-08-06T23:34:00Z</dcterms:created>
  <dcterms:modified xsi:type="dcterms:W3CDTF">2016-08-06T23:34:00Z</dcterms:modified>
</cp:coreProperties>
</file>