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47" w:rsidRPr="002C6AC4" w:rsidRDefault="00CD4747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2C6AC4">
        <w:rPr>
          <w:rFonts w:ascii="Book Antiqua" w:hAnsi="Book Antiqua" w:cs="Times New Roman"/>
          <w:b/>
          <w:sz w:val="24"/>
          <w:szCs w:val="24"/>
        </w:rPr>
        <w:t xml:space="preserve">Name of </w:t>
      </w:r>
      <w:r w:rsidR="00342311" w:rsidRPr="002C6AC4">
        <w:rPr>
          <w:rFonts w:ascii="Book Antiqua" w:hAnsi="Book Antiqua" w:cs="Times New Roman"/>
          <w:b/>
          <w:sz w:val="24"/>
          <w:szCs w:val="24"/>
        </w:rPr>
        <w:t>J</w:t>
      </w:r>
      <w:r w:rsidRPr="002C6AC4">
        <w:rPr>
          <w:rFonts w:ascii="Book Antiqua" w:hAnsi="Book Antiqua" w:cs="Times New Roman"/>
          <w:b/>
          <w:sz w:val="24"/>
          <w:szCs w:val="24"/>
        </w:rPr>
        <w:t xml:space="preserve">ournal: </w:t>
      </w:r>
      <w:r w:rsidRPr="002C6AC4">
        <w:rPr>
          <w:rFonts w:ascii="Book Antiqua" w:hAnsi="Book Antiqua" w:cs="Times New Roman"/>
          <w:b/>
          <w:i/>
          <w:sz w:val="24"/>
          <w:szCs w:val="24"/>
        </w:rPr>
        <w:t xml:space="preserve">World Journal of </w:t>
      </w:r>
      <w:r w:rsidR="003E1FDE" w:rsidRPr="002C6AC4">
        <w:rPr>
          <w:rFonts w:ascii="Book Antiqua" w:hAnsi="Book Antiqua" w:cs="Times New Roman"/>
          <w:b/>
          <w:i/>
          <w:sz w:val="24"/>
          <w:szCs w:val="24"/>
        </w:rPr>
        <w:t>Hepatology</w:t>
      </w:r>
    </w:p>
    <w:p w:rsidR="00CD4747" w:rsidRPr="002C6AC4" w:rsidRDefault="002C6AC4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Manuscript N</w:t>
      </w:r>
      <w:r w:rsidRPr="002C6AC4">
        <w:rPr>
          <w:rFonts w:ascii="Book Antiqua" w:hAnsi="Book Antiqua" w:cs="Times New Roman"/>
          <w:b/>
          <w:caps/>
          <w:sz w:val="24"/>
          <w:szCs w:val="24"/>
        </w:rPr>
        <w:t>o</w:t>
      </w:r>
      <w:r w:rsidR="00CD4747" w:rsidRPr="002C6AC4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3E1FDE" w:rsidRPr="002C6AC4">
        <w:rPr>
          <w:rFonts w:ascii="Book Antiqua" w:hAnsi="Book Antiqua" w:cs="Times New Roman"/>
          <w:b/>
          <w:sz w:val="24"/>
          <w:szCs w:val="24"/>
        </w:rPr>
        <w:t>26227</w:t>
      </w:r>
    </w:p>
    <w:p w:rsidR="00CD4747" w:rsidRPr="002C6AC4" w:rsidRDefault="00342311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2C6AC4">
        <w:rPr>
          <w:rFonts w:ascii="Book Antiqua" w:hAnsi="Book Antiqua" w:cs="Times New Roman"/>
          <w:b/>
          <w:sz w:val="24"/>
          <w:szCs w:val="24"/>
        </w:rPr>
        <w:t>Manuscript Type</w:t>
      </w:r>
      <w:r w:rsidR="00CD4747" w:rsidRPr="002C6AC4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2C6AC4">
        <w:rPr>
          <w:rFonts w:ascii="Book Antiqua" w:hAnsi="Book Antiqua" w:cs="Times New Roman"/>
          <w:b/>
          <w:sz w:val="24"/>
          <w:szCs w:val="24"/>
        </w:rPr>
        <w:t xml:space="preserve">Therapeutic </w:t>
      </w:r>
      <w:r w:rsidRPr="002C6AC4">
        <w:rPr>
          <w:rFonts w:ascii="Book Antiqua" w:hAnsi="Book Antiqua" w:cs="Times New Roman"/>
          <w:b/>
          <w:caps/>
          <w:sz w:val="24"/>
          <w:szCs w:val="24"/>
        </w:rPr>
        <w:t>a</w:t>
      </w:r>
      <w:r w:rsidRPr="002C6AC4">
        <w:rPr>
          <w:rFonts w:ascii="Book Antiqua" w:hAnsi="Book Antiqua" w:cs="Times New Roman"/>
          <w:b/>
          <w:sz w:val="24"/>
          <w:szCs w:val="24"/>
        </w:rPr>
        <w:t>dvances</w:t>
      </w:r>
    </w:p>
    <w:p w:rsidR="0013029C" w:rsidRPr="00011D5D" w:rsidRDefault="0013029C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CD4747" w:rsidRPr="00011D5D" w:rsidRDefault="00CD4747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Hepatocellular </w:t>
      </w:r>
      <w:r w:rsidR="00011D5D" w:rsidRPr="00011D5D">
        <w:rPr>
          <w:rFonts w:ascii="Book Antiqua" w:hAnsi="Book Antiqua" w:cs="Times New Roman"/>
          <w:b/>
          <w:sz w:val="24"/>
          <w:szCs w:val="24"/>
        </w:rPr>
        <w:t>c</w:t>
      </w:r>
      <w:r w:rsidRPr="00011D5D">
        <w:rPr>
          <w:rFonts w:ascii="Book Antiqua" w:hAnsi="Book Antiqua" w:cs="Times New Roman"/>
          <w:b/>
          <w:sz w:val="24"/>
          <w:szCs w:val="24"/>
        </w:rPr>
        <w:t xml:space="preserve">arcinoma beyond Milan </w:t>
      </w:r>
      <w:r w:rsidR="00011D5D" w:rsidRPr="00011D5D">
        <w:rPr>
          <w:rFonts w:ascii="Book Antiqua" w:hAnsi="Book Antiqua" w:cs="Times New Roman"/>
          <w:b/>
          <w:sz w:val="24"/>
          <w:szCs w:val="24"/>
        </w:rPr>
        <w:t>c</w:t>
      </w:r>
      <w:r w:rsidRPr="00011D5D">
        <w:rPr>
          <w:rFonts w:ascii="Book Antiqua" w:hAnsi="Book Antiqua" w:cs="Times New Roman"/>
          <w:b/>
          <w:sz w:val="24"/>
          <w:szCs w:val="24"/>
        </w:rPr>
        <w:t xml:space="preserve">riteria: Management and </w:t>
      </w:r>
      <w:r w:rsidR="00011D5D" w:rsidRPr="00011D5D">
        <w:rPr>
          <w:rFonts w:ascii="Book Antiqua" w:hAnsi="Book Antiqua" w:cs="Times New Roman"/>
          <w:b/>
          <w:sz w:val="24"/>
          <w:szCs w:val="24"/>
        </w:rPr>
        <w:t>t</w:t>
      </w:r>
      <w:r w:rsidRPr="00011D5D">
        <w:rPr>
          <w:rFonts w:ascii="Book Antiqua" w:hAnsi="Book Antiqua" w:cs="Times New Roman"/>
          <w:b/>
          <w:sz w:val="24"/>
          <w:szCs w:val="24"/>
        </w:rPr>
        <w:t xml:space="preserve">ransplant </w:t>
      </w:r>
      <w:r w:rsidR="00011D5D" w:rsidRPr="00011D5D">
        <w:rPr>
          <w:rFonts w:ascii="Book Antiqua" w:hAnsi="Book Antiqua" w:cs="Times New Roman"/>
          <w:b/>
          <w:sz w:val="24"/>
          <w:szCs w:val="24"/>
        </w:rPr>
        <w:t>s</w:t>
      </w:r>
      <w:r w:rsidRPr="00011D5D">
        <w:rPr>
          <w:rFonts w:ascii="Book Antiqua" w:hAnsi="Book Antiqua" w:cs="Times New Roman"/>
          <w:b/>
          <w:sz w:val="24"/>
          <w:szCs w:val="24"/>
        </w:rPr>
        <w:t xml:space="preserve">election </w:t>
      </w:r>
      <w:r w:rsidR="00011D5D" w:rsidRPr="00011D5D">
        <w:rPr>
          <w:rFonts w:ascii="Book Antiqua" w:hAnsi="Book Antiqua" w:cs="Times New Roman"/>
          <w:b/>
          <w:sz w:val="24"/>
          <w:szCs w:val="24"/>
        </w:rPr>
        <w:t>c</w:t>
      </w:r>
      <w:r w:rsidRPr="00011D5D">
        <w:rPr>
          <w:rFonts w:ascii="Book Antiqua" w:hAnsi="Book Antiqua" w:cs="Times New Roman"/>
          <w:b/>
          <w:sz w:val="24"/>
          <w:szCs w:val="24"/>
        </w:rPr>
        <w:t>riteria</w:t>
      </w:r>
    </w:p>
    <w:p w:rsid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3E1FDE" w:rsidRPr="00DE4352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DE4352">
        <w:rPr>
          <w:rFonts w:ascii="Book Antiqua" w:hAnsi="Book Antiqua" w:cs="Times New Roman"/>
          <w:sz w:val="24"/>
          <w:szCs w:val="24"/>
        </w:rPr>
        <w:t>Elshamy</w:t>
      </w:r>
      <w:proofErr w:type="spellEnd"/>
      <w:r w:rsidRPr="00DE4352">
        <w:rPr>
          <w:rFonts w:ascii="Book Antiqua" w:hAnsi="Book Antiqua" w:cs="Times New Roman"/>
          <w:sz w:val="24"/>
          <w:szCs w:val="24"/>
        </w:rPr>
        <w:t xml:space="preserve"> M</w:t>
      </w:r>
      <w:r w:rsidRPr="00DE435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DE4352">
        <w:rPr>
          <w:rFonts w:ascii="Book Antiqua" w:hAnsi="Book Antiqua" w:cs="Times New Roman" w:hint="eastAsia"/>
          <w:i/>
          <w:sz w:val="24"/>
          <w:szCs w:val="24"/>
          <w:lang w:eastAsia="zh-CN"/>
        </w:rPr>
        <w:t>et al</w:t>
      </w:r>
      <w:r w:rsidRPr="00DE4352"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="003E1FDE" w:rsidRPr="00DE4352">
        <w:rPr>
          <w:rFonts w:ascii="Book Antiqua" w:hAnsi="Book Antiqua" w:cs="Times New Roman"/>
          <w:sz w:val="24"/>
          <w:szCs w:val="24"/>
        </w:rPr>
        <w:t xml:space="preserve">HCC Management and </w:t>
      </w:r>
      <w:r w:rsidRPr="00DE4352">
        <w:rPr>
          <w:rFonts w:ascii="Book Antiqua" w:hAnsi="Book Antiqua" w:cs="Times New Roman"/>
          <w:sz w:val="24"/>
          <w:szCs w:val="24"/>
        </w:rPr>
        <w:t>transplant selection criteria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CD4747" w:rsidRPr="00011D5D" w:rsidRDefault="0053698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Mohammed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Elshamy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>,</w:t>
      </w:r>
      <w:r w:rsidR="00011D5D"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 w:cs="Times New Roman"/>
          <w:b/>
          <w:sz w:val="24"/>
          <w:szCs w:val="24"/>
        </w:rPr>
        <w:t xml:space="preserve">Federico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Aucejo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>,</w:t>
      </w:r>
      <w:r w:rsidR="00011D5D"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ED78B8" w:rsidRPr="00011D5D">
        <w:rPr>
          <w:rFonts w:ascii="Book Antiqua" w:hAnsi="Book Antiqua" w:cs="Times New Roman"/>
          <w:b/>
          <w:sz w:val="24"/>
          <w:szCs w:val="24"/>
        </w:rPr>
        <w:t>KV</w:t>
      </w:r>
      <w:r w:rsidR="00011D5D"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ED78B8" w:rsidRPr="00011D5D">
        <w:rPr>
          <w:rFonts w:ascii="Book Antiqua" w:hAnsi="Book Antiqua" w:cs="Times New Roman"/>
          <w:b/>
          <w:sz w:val="24"/>
          <w:szCs w:val="24"/>
        </w:rPr>
        <w:t>Narayanan Menon,</w:t>
      </w:r>
      <w:r w:rsidR="00011D5D"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Bijan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Eghtesad</w:t>
      </w:r>
      <w:proofErr w:type="spellEnd"/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5B1590" w:rsidRPr="00011D5D" w:rsidRDefault="005B1590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Mohammed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Elshamy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>,</w:t>
      </w:r>
      <w:r w:rsidR="00011D5D"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 w:cs="Times New Roman"/>
          <w:b/>
          <w:sz w:val="24"/>
          <w:szCs w:val="24"/>
        </w:rPr>
        <w:t xml:space="preserve">Federico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Aucejo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>,</w:t>
      </w:r>
      <w:r w:rsidR="00011D5D"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Bijan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Eghtesad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>,</w:t>
      </w:r>
      <w:r w:rsidR="00011D5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011D5D">
        <w:rPr>
          <w:rFonts w:ascii="Book Antiqua" w:hAnsi="Book Antiqua" w:cs="Times New Roman"/>
          <w:sz w:val="24"/>
          <w:szCs w:val="24"/>
        </w:rPr>
        <w:t>Hepato</w:t>
      </w:r>
      <w:proofErr w:type="spellEnd"/>
      <w:r w:rsidRPr="00011D5D">
        <w:rPr>
          <w:rFonts w:ascii="Book Antiqua" w:hAnsi="Book Antiqua" w:cs="Times New Roman"/>
          <w:sz w:val="24"/>
          <w:szCs w:val="24"/>
        </w:rPr>
        <w:t>-biliary and Transplant Surgery, Digestive Disease and Surgery Institute, Cleveland Clinic Foundation</w:t>
      </w:r>
      <w:r w:rsidR="00011D5D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Pr="00011D5D">
        <w:rPr>
          <w:rFonts w:ascii="Book Antiqua" w:hAnsi="Book Antiqua" w:cs="Times New Roman"/>
          <w:sz w:val="24"/>
          <w:szCs w:val="24"/>
        </w:rPr>
        <w:t xml:space="preserve"> Cleveland, OH</w:t>
      </w:r>
      <w:r w:rsidR="006D32A1" w:rsidRPr="00011D5D">
        <w:rPr>
          <w:rFonts w:ascii="Book Antiqua" w:hAnsi="Book Antiqua" w:cs="Times New Roman"/>
          <w:sz w:val="24"/>
          <w:szCs w:val="24"/>
        </w:rPr>
        <w:t xml:space="preserve"> 44195, United States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ED78B8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>K</w:t>
      </w:r>
      <w:r w:rsidR="00ED78B8" w:rsidRPr="00011D5D">
        <w:rPr>
          <w:rFonts w:ascii="Book Antiqua" w:hAnsi="Book Antiqua" w:cs="Times New Roman"/>
          <w:b/>
          <w:sz w:val="24"/>
          <w:szCs w:val="24"/>
        </w:rPr>
        <w:t>V</w:t>
      </w:r>
      <w:r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ED78B8" w:rsidRPr="00011D5D">
        <w:rPr>
          <w:rFonts w:ascii="Book Antiqua" w:hAnsi="Book Antiqua" w:cs="Times New Roman"/>
          <w:b/>
          <w:sz w:val="24"/>
          <w:szCs w:val="24"/>
        </w:rPr>
        <w:t>Narayanan Menon,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ED78B8" w:rsidRPr="00011D5D">
        <w:rPr>
          <w:rFonts w:ascii="Book Antiqua" w:hAnsi="Book Antiqua" w:cs="Times New Roman"/>
          <w:sz w:val="24"/>
          <w:szCs w:val="24"/>
        </w:rPr>
        <w:t>Gastroenterology and Hepatology, Digestive Disease and Surgery Institute, Cleveland Clinic Foundation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, </w:t>
      </w:r>
      <w:r w:rsidR="00ED78B8" w:rsidRPr="00011D5D">
        <w:rPr>
          <w:rFonts w:ascii="Book Antiqua" w:hAnsi="Book Antiqua" w:cs="Times New Roman"/>
          <w:sz w:val="24"/>
          <w:szCs w:val="24"/>
        </w:rPr>
        <w:t>Cleveland, OH 44195, United States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CD4747" w:rsidRPr="00011D5D" w:rsidRDefault="00CD4747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>Author contributions</w:t>
      </w:r>
      <w:r w:rsidRPr="00011D5D">
        <w:rPr>
          <w:rFonts w:ascii="Book Antiqua" w:hAnsi="Book Antiqua" w:cs="Times New Roman"/>
          <w:sz w:val="24"/>
          <w:szCs w:val="24"/>
        </w:rPr>
        <w:t xml:space="preserve">: </w:t>
      </w:r>
      <w:r w:rsidR="00342311" w:rsidRPr="00011D5D">
        <w:rPr>
          <w:rFonts w:ascii="Book Antiqua" w:hAnsi="Book Antiqua" w:cs="Times New Roman"/>
          <w:sz w:val="24"/>
          <w:szCs w:val="24"/>
        </w:rPr>
        <w:t>This manuscript was written completely by the stated authors.</w:t>
      </w:r>
    </w:p>
    <w:p w:rsid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CD4747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0" w:name="OLE_LINK378"/>
      <w:bookmarkStart w:id="1" w:name="OLE_LINK43"/>
      <w:bookmarkStart w:id="2" w:name="OLE_LINK44"/>
      <w:bookmarkStart w:id="3" w:name="OLE_LINK130"/>
      <w:bookmarkStart w:id="4" w:name="OLE_LINK309"/>
      <w:bookmarkStart w:id="5" w:name="OLE_LINK740"/>
      <w:bookmarkStart w:id="6" w:name="OLE_LINK1"/>
      <w:bookmarkStart w:id="7" w:name="OLE_LINK2"/>
      <w:r w:rsidRPr="00011D5D">
        <w:rPr>
          <w:rFonts w:ascii="Book Antiqua" w:hAnsi="Book Antiqua" w:cs="Times New Roman"/>
          <w:b/>
          <w:bCs/>
          <w:iCs/>
          <w:sz w:val="24"/>
          <w:szCs w:val="24"/>
        </w:rPr>
        <w:t>Conflict-of-interest</w:t>
      </w:r>
      <w:r w:rsidRPr="00011D5D">
        <w:rPr>
          <w:rFonts w:ascii="Book Antiqua" w:hAnsi="Book Antiqua" w:cs="Times New Roman" w:hint="eastAsia"/>
          <w:b/>
          <w:bCs/>
          <w:iCs/>
          <w:sz w:val="24"/>
          <w:szCs w:val="24"/>
        </w:rPr>
        <w:t xml:space="preserve"> statement</w:t>
      </w:r>
      <w:bookmarkEnd w:id="0"/>
      <w:r w:rsidRPr="00011D5D">
        <w:rPr>
          <w:rFonts w:ascii="Book Antiqua" w:hAnsi="Book Antiqua" w:cs="Times New Roman"/>
          <w:b/>
          <w:bCs/>
          <w:iCs/>
          <w:sz w:val="24"/>
          <w:szCs w:val="24"/>
        </w:rPr>
        <w:t>:</w:t>
      </w:r>
      <w:bookmarkEnd w:id="1"/>
      <w:bookmarkEnd w:id="2"/>
      <w:bookmarkEnd w:id="3"/>
      <w:bookmarkEnd w:id="4"/>
      <w:bookmarkEnd w:id="5"/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CD4747" w:rsidRPr="00011D5D">
        <w:rPr>
          <w:rFonts w:ascii="Book Antiqua" w:hAnsi="Book Antiqua" w:cs="Times New Roman"/>
          <w:sz w:val="24"/>
          <w:szCs w:val="24"/>
        </w:rPr>
        <w:t>None</w:t>
      </w:r>
    </w:p>
    <w:bookmarkEnd w:id="6"/>
    <w:bookmarkEnd w:id="7"/>
    <w:p w:rsid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011D5D" w:rsidRPr="00005305" w:rsidRDefault="00011D5D" w:rsidP="00011D5D">
      <w:pPr>
        <w:pStyle w:val="1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8" w:name="OLE_LINK734"/>
      <w:bookmarkStart w:id="9" w:name="OLE_LINK441"/>
      <w:bookmarkStart w:id="10" w:name="OLE_LINK442"/>
      <w:bookmarkStart w:id="11" w:name="OLE_LINK1032"/>
      <w:bookmarkStart w:id="12" w:name="OLE_LINK1232"/>
      <w:bookmarkStart w:id="13" w:name="OLE_LINK559"/>
      <w:r w:rsidRPr="00005305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14" w:name="OLE_LINK479"/>
      <w:bookmarkStart w:id="15" w:name="OLE_LINK496"/>
      <w:bookmarkStart w:id="16" w:name="OLE_LINK506"/>
      <w:bookmarkStart w:id="17" w:name="OLE_LINK507"/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</w:t>
      </w:r>
      <w:r w:rsidR="00BF5BF0"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which was selected by an in-house editor and fully peer-reviewed by external reviewers. It is distributed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6F417F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8"/>
      <w:bookmarkEnd w:id="14"/>
      <w:bookmarkEnd w:id="15"/>
      <w:bookmarkEnd w:id="16"/>
      <w:bookmarkEnd w:id="17"/>
    </w:p>
    <w:bookmarkEnd w:id="9"/>
    <w:bookmarkEnd w:id="10"/>
    <w:bookmarkEnd w:id="11"/>
    <w:bookmarkEnd w:id="12"/>
    <w:bookmarkEnd w:id="13"/>
    <w:p w:rsidR="00011D5D" w:rsidRDefault="00011D5D" w:rsidP="00011D5D">
      <w:pPr>
        <w:pStyle w:val="1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:rsidR="00011D5D" w:rsidRDefault="00011D5D" w:rsidP="00011D5D">
      <w:pPr>
        <w:pStyle w:val="1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  <w:r w:rsidRPr="00A70FD4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lastRenderedPageBreak/>
        <w:t>Manuscript source:</w:t>
      </w:r>
      <w:r>
        <w:rPr>
          <w:rFonts w:ascii="Book Antiqua" w:hAnsi="Book Antiqua" w:cs="Times New Roman" w:hint="eastAsia"/>
          <w:b/>
          <w:bCs/>
          <w:color w:val="auto"/>
          <w:sz w:val="24"/>
          <w:highlight w:val="white"/>
          <w:lang w:val="en-US" w:eastAsia="zh-CN"/>
        </w:rPr>
        <w:t xml:space="preserve"> </w:t>
      </w:r>
      <w:r w:rsidRPr="00A70FD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Invited manuscript</w:t>
      </w:r>
    </w:p>
    <w:p w:rsidR="00011D5D" w:rsidRPr="00A70FD4" w:rsidRDefault="00011D5D" w:rsidP="00011D5D">
      <w:pPr>
        <w:pStyle w:val="1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:rsidR="00CD4747" w:rsidRPr="00011D5D" w:rsidRDefault="00CD4747" w:rsidP="00011D5D">
      <w:pPr>
        <w:snapToGrid w:val="0"/>
        <w:spacing w:after="0" w:line="360" w:lineRule="auto"/>
        <w:jc w:val="both"/>
        <w:rPr>
          <w:rStyle w:val="Hyperlink"/>
          <w:rFonts w:ascii="Book Antiqua" w:hAnsi="Book Antiqua" w:cs="Times New Roman"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Correspondence to: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Bijan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011D5D">
        <w:rPr>
          <w:rFonts w:ascii="Book Antiqua" w:hAnsi="Book Antiqua" w:cs="Times New Roman"/>
          <w:b/>
          <w:sz w:val="24"/>
          <w:szCs w:val="24"/>
        </w:rPr>
        <w:t>Eghtesad</w:t>
      </w:r>
      <w:proofErr w:type="spellEnd"/>
      <w:r w:rsidRPr="00011D5D">
        <w:rPr>
          <w:rFonts w:ascii="Book Antiqua" w:hAnsi="Book Antiqua" w:cs="Times New Roman"/>
          <w:b/>
          <w:sz w:val="24"/>
          <w:szCs w:val="24"/>
        </w:rPr>
        <w:t>, MD,</w:t>
      </w:r>
      <w:r w:rsidRPr="00011D5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F44EC" w:rsidRPr="00011D5D">
        <w:rPr>
          <w:rFonts w:ascii="Book Antiqua" w:hAnsi="Book Antiqua" w:cs="Times New Roman"/>
          <w:sz w:val="24"/>
          <w:szCs w:val="24"/>
        </w:rPr>
        <w:t>Hepato</w:t>
      </w:r>
      <w:proofErr w:type="spellEnd"/>
      <w:r w:rsidR="001F44EC" w:rsidRPr="00011D5D">
        <w:rPr>
          <w:rFonts w:ascii="Book Antiqua" w:hAnsi="Book Antiqua" w:cs="Times New Roman"/>
          <w:sz w:val="24"/>
          <w:szCs w:val="24"/>
        </w:rPr>
        <w:t>-biliary and Transplant Surgery, Digestive Disease and Surgery Institute, Cleveland Clinic Foundation</w:t>
      </w:r>
      <w:r w:rsidR="00011D5D">
        <w:rPr>
          <w:rFonts w:ascii="Book Antiqua" w:hAnsi="Book Antiqua" w:cs="Times New Roman"/>
          <w:sz w:val="24"/>
          <w:szCs w:val="24"/>
        </w:rPr>
        <w:t>, 9500 Euclid Avenue/</w:t>
      </w:r>
      <w:r w:rsidRPr="00011D5D">
        <w:rPr>
          <w:rFonts w:ascii="Book Antiqua" w:hAnsi="Book Antiqua" w:cs="Times New Roman"/>
          <w:sz w:val="24"/>
          <w:szCs w:val="24"/>
        </w:rPr>
        <w:t xml:space="preserve">A100, Cleveland, OH 44195, United States. </w:t>
      </w:r>
      <w:hyperlink r:id="rId10" w:history="1">
        <w:r w:rsidR="001F44EC" w:rsidRPr="00011D5D">
          <w:rPr>
            <w:rStyle w:val="Hyperlink"/>
            <w:rFonts w:ascii="Book Antiqua" w:hAnsi="Book Antiqua" w:cs="Times New Roman"/>
            <w:sz w:val="24"/>
            <w:szCs w:val="24"/>
          </w:rPr>
          <w:t>eghtesb@ccf.org</w:t>
        </w:r>
      </w:hyperlink>
    </w:p>
    <w:p w:rsidR="00CD4747" w:rsidRPr="00011D5D" w:rsidRDefault="00CD4747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Telephone: </w:t>
      </w:r>
      <w:r w:rsidRPr="00011D5D">
        <w:rPr>
          <w:rFonts w:ascii="Book Antiqua" w:hAnsi="Book Antiqua" w:cs="Times New Roman"/>
          <w:sz w:val="24"/>
          <w:szCs w:val="24"/>
        </w:rPr>
        <w:t>+1</w:t>
      </w:r>
      <w:r w:rsidR="00011D5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011D5D">
        <w:rPr>
          <w:rFonts w:ascii="Book Antiqua" w:hAnsi="Book Antiqua" w:cs="Times New Roman"/>
          <w:sz w:val="24"/>
          <w:szCs w:val="24"/>
        </w:rPr>
        <w:t>216</w:t>
      </w:r>
      <w:r w:rsidR="00011D5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011D5D">
        <w:rPr>
          <w:rFonts w:ascii="Book Antiqua" w:hAnsi="Book Antiqua" w:cs="Times New Roman"/>
          <w:sz w:val="24"/>
          <w:szCs w:val="24"/>
        </w:rPr>
        <w:t>444</w:t>
      </w:r>
      <w:r w:rsidRPr="00011D5D">
        <w:rPr>
          <w:rFonts w:ascii="Book Antiqua" w:hAnsi="Book Antiqua" w:cs="Times New Roman"/>
          <w:sz w:val="24"/>
          <w:szCs w:val="24"/>
        </w:rPr>
        <w:t>5914</w:t>
      </w:r>
    </w:p>
    <w:p w:rsidR="00B35BA6" w:rsidRDefault="00CD4747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Fax: </w:t>
      </w:r>
      <w:r w:rsidRPr="00011D5D">
        <w:rPr>
          <w:rFonts w:ascii="Book Antiqua" w:hAnsi="Book Antiqua" w:cs="Times New Roman"/>
          <w:sz w:val="24"/>
          <w:szCs w:val="24"/>
        </w:rPr>
        <w:t>+1</w:t>
      </w:r>
      <w:r w:rsidR="00011D5D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011D5D">
        <w:rPr>
          <w:rFonts w:ascii="Book Antiqua" w:hAnsi="Book Antiqua" w:cs="Times New Roman"/>
          <w:sz w:val="24"/>
          <w:szCs w:val="24"/>
        </w:rPr>
        <w:t>216-444</w:t>
      </w:r>
      <w:r w:rsidRPr="00011D5D">
        <w:rPr>
          <w:rFonts w:ascii="Book Antiqua" w:hAnsi="Book Antiqua" w:cs="Times New Roman"/>
          <w:sz w:val="24"/>
          <w:szCs w:val="24"/>
        </w:rPr>
        <w:t>9375</w:t>
      </w:r>
    </w:p>
    <w:p w:rsid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  <w:lang w:eastAsia="zh-CN"/>
        </w:rPr>
        <w:t>Received:</w:t>
      </w:r>
      <w:r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 w:cs="Times New Roman" w:hint="eastAsia"/>
          <w:sz w:val="24"/>
          <w:szCs w:val="24"/>
          <w:lang w:eastAsia="zh-CN"/>
        </w:rPr>
        <w:t>March 30, 2016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  <w:lang w:eastAsia="zh-CN"/>
        </w:rPr>
        <w:t>Peer-review started:</w:t>
      </w:r>
      <w:r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 w:cs="Times New Roman" w:hint="eastAsia"/>
          <w:sz w:val="24"/>
          <w:szCs w:val="24"/>
          <w:lang w:eastAsia="zh-CN"/>
        </w:rPr>
        <w:t>April 6, 2016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  <w:lang w:eastAsia="zh-CN"/>
        </w:rPr>
        <w:t>First decision:</w:t>
      </w:r>
      <w:r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 w:cs="Times New Roman" w:hint="eastAsia"/>
          <w:sz w:val="24"/>
          <w:szCs w:val="24"/>
          <w:lang w:eastAsia="zh-CN"/>
        </w:rPr>
        <w:t xml:space="preserve">June 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7</w:t>
      </w:r>
      <w:r w:rsidRPr="00011D5D">
        <w:rPr>
          <w:rFonts w:ascii="Book Antiqua" w:hAnsi="Book Antiqua" w:cs="Times New Roman" w:hint="eastAsia"/>
          <w:sz w:val="24"/>
          <w:szCs w:val="24"/>
          <w:lang w:eastAsia="zh-CN"/>
        </w:rPr>
        <w:t>, 2016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  <w:lang w:eastAsia="zh-CN"/>
        </w:rPr>
        <w:t>Revised:</w:t>
      </w:r>
      <w:r w:rsidRPr="00011D5D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 w:cs="Times New Roman" w:hint="eastAsia"/>
          <w:sz w:val="24"/>
          <w:szCs w:val="24"/>
          <w:lang w:eastAsia="zh-CN"/>
        </w:rPr>
        <w:t xml:space="preserve">June 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17</w:t>
      </w:r>
      <w:r w:rsidRPr="00011D5D">
        <w:rPr>
          <w:rFonts w:ascii="Book Antiqua" w:hAnsi="Book Antiqua" w:cs="Times New Roman" w:hint="eastAsia"/>
          <w:sz w:val="24"/>
          <w:szCs w:val="24"/>
          <w:lang w:eastAsia="zh-CN"/>
        </w:rPr>
        <w:t>, 2016</w:t>
      </w:r>
    </w:p>
    <w:p w:rsidR="00011D5D" w:rsidRPr="00F252D2" w:rsidRDefault="00011D5D" w:rsidP="00F252D2">
      <w:pPr>
        <w:rPr>
          <w:rFonts w:ascii="Book Antiqua" w:hAnsi="Book Antiqua"/>
          <w:iCs/>
          <w:sz w:val="24"/>
        </w:rPr>
      </w:pPr>
      <w:r w:rsidRPr="00011D5D">
        <w:rPr>
          <w:rFonts w:ascii="Book Antiqua" w:hAnsi="Book Antiqua" w:cs="Times New Roman"/>
          <w:b/>
          <w:sz w:val="24"/>
          <w:szCs w:val="24"/>
          <w:lang w:eastAsia="zh-CN"/>
        </w:rPr>
        <w:t>Accepted:</w:t>
      </w:r>
      <w:r w:rsidR="00F252D2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F252D2">
        <w:rPr>
          <w:rStyle w:val="Emphasis"/>
        </w:rPr>
        <w:t>July 11</w:t>
      </w:r>
      <w:r w:rsidR="00F252D2" w:rsidRPr="00235CD4">
        <w:rPr>
          <w:rStyle w:val="Emphasis"/>
        </w:rPr>
        <w:t>,</w:t>
      </w:r>
      <w:r w:rsidR="00F252D2">
        <w:rPr>
          <w:rStyle w:val="Emphasis"/>
        </w:rPr>
        <w:t xml:space="preserve"> 2016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  <w:lang w:eastAsia="zh-CN"/>
        </w:rPr>
        <w:t>Article in press: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pl-PL" w:eastAsia="zh-CN"/>
        </w:rPr>
      </w:pPr>
      <w:r w:rsidRPr="00011D5D">
        <w:rPr>
          <w:rFonts w:ascii="Book Antiqua" w:hAnsi="Book Antiqua" w:cs="Times New Roman"/>
          <w:b/>
          <w:sz w:val="24"/>
          <w:szCs w:val="24"/>
          <w:lang w:val="pl-PL" w:eastAsia="zh-CN"/>
        </w:rPr>
        <w:t>Published online</w:t>
      </w:r>
      <w:r w:rsidRPr="00011D5D">
        <w:rPr>
          <w:rFonts w:ascii="Book Antiqua" w:hAnsi="Book Antiqua" w:cs="Times New Roman" w:hint="eastAsia"/>
          <w:b/>
          <w:sz w:val="24"/>
          <w:szCs w:val="24"/>
          <w:lang w:val="pl-PL" w:eastAsia="zh-CN"/>
        </w:rPr>
        <w:t>:</w:t>
      </w:r>
    </w:p>
    <w:p w:rsidR="00011D5D" w:rsidRPr="00011D5D" w:rsidRDefault="00011D5D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011D5D" w:rsidRDefault="00011D5D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2C6AC4" w:rsidRDefault="001F44EC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1F44EC" w:rsidRPr="002C6AC4" w:rsidRDefault="00DE6EB2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 w:cs="Times New Roman"/>
          <w:sz w:val="24"/>
          <w:szCs w:val="24"/>
        </w:rPr>
        <w:t>Liver transplantation (LT)</w:t>
      </w:r>
      <w:r w:rsidR="00B35BA6" w:rsidRPr="00011D5D">
        <w:rPr>
          <w:rFonts w:ascii="Book Antiqua" w:hAnsi="Book Antiqua" w:cs="Times New Roman"/>
          <w:sz w:val="24"/>
          <w:szCs w:val="24"/>
        </w:rPr>
        <w:t xml:space="preserve"> for </w:t>
      </w:r>
      <w:r w:rsidR="0093390E" w:rsidRPr="00011D5D">
        <w:rPr>
          <w:rFonts w:ascii="Book Antiqua" w:hAnsi="Book Antiqua" w:cs="Times New Roman"/>
          <w:sz w:val="24"/>
          <w:szCs w:val="24"/>
        </w:rPr>
        <w:t>hepatocellular carcinoma (</w:t>
      </w:r>
      <w:r w:rsidR="00B35BA6" w:rsidRPr="00011D5D">
        <w:rPr>
          <w:rFonts w:ascii="Book Antiqua" w:hAnsi="Book Antiqua" w:cs="Times New Roman"/>
          <w:sz w:val="24"/>
          <w:szCs w:val="24"/>
        </w:rPr>
        <w:t>HCC</w:t>
      </w:r>
      <w:r w:rsidR="0093390E" w:rsidRPr="00011D5D">
        <w:rPr>
          <w:rFonts w:ascii="Book Antiqua" w:hAnsi="Book Antiqua" w:cs="Times New Roman"/>
          <w:sz w:val="24"/>
          <w:szCs w:val="24"/>
        </w:rPr>
        <w:t>)</w:t>
      </w:r>
      <w:r w:rsidR="00B35BA6" w:rsidRPr="00011D5D">
        <w:rPr>
          <w:rFonts w:ascii="Book Antiqua" w:hAnsi="Book Antiqua" w:cs="Times New Roman"/>
          <w:sz w:val="24"/>
          <w:szCs w:val="24"/>
        </w:rPr>
        <w:t xml:space="preserve"> has been established as a standard treatment in selected patients for the last two and a half </w:t>
      </w:r>
      <w:r w:rsidR="00BA69DA" w:rsidRPr="00011D5D">
        <w:rPr>
          <w:rFonts w:ascii="Book Antiqua" w:hAnsi="Book Antiqua" w:cs="Times New Roman"/>
          <w:sz w:val="24"/>
          <w:szCs w:val="24"/>
        </w:rPr>
        <w:t>decades. After initia</w:t>
      </w:r>
      <w:r w:rsidR="00970C90" w:rsidRPr="00011D5D">
        <w:rPr>
          <w:rFonts w:ascii="Book Antiqua" w:hAnsi="Book Antiqua" w:cs="Times New Roman"/>
          <w:sz w:val="24"/>
          <w:szCs w:val="24"/>
        </w:rPr>
        <w:t>lly</w:t>
      </w:r>
      <w:r w:rsidR="00F00A3E" w:rsidRPr="00011D5D">
        <w:rPr>
          <w:rFonts w:ascii="Book Antiqua" w:hAnsi="Book Antiqua" w:cs="Times New Roman"/>
          <w:sz w:val="24"/>
          <w:szCs w:val="24"/>
        </w:rPr>
        <w:t xml:space="preserve"> dismal outcomes</w:t>
      </w:r>
      <w:r w:rsidR="00BA69DA" w:rsidRPr="00011D5D">
        <w:rPr>
          <w:rFonts w:ascii="Book Antiqua" w:hAnsi="Book Antiqua" w:cs="Times New Roman"/>
          <w:sz w:val="24"/>
          <w:szCs w:val="24"/>
        </w:rPr>
        <w:t>, t</w:t>
      </w:r>
      <w:r w:rsidR="00B35BA6" w:rsidRPr="00011D5D">
        <w:rPr>
          <w:rFonts w:ascii="Book Antiqua" w:hAnsi="Book Antiqua" w:cs="Times New Roman"/>
          <w:sz w:val="24"/>
          <w:szCs w:val="24"/>
        </w:rPr>
        <w:t>he Milan criteria</w:t>
      </w:r>
      <w:r w:rsidR="00A0726C" w:rsidRPr="00011D5D">
        <w:rPr>
          <w:rFonts w:ascii="Book Antiqua" w:hAnsi="Book Antiqua" w:cs="Times New Roman"/>
          <w:sz w:val="24"/>
          <w:szCs w:val="24"/>
        </w:rPr>
        <w:t xml:space="preserve"> (MC)</w:t>
      </w:r>
      <w:r w:rsidR="00B35BA6" w:rsidRPr="00011D5D">
        <w:rPr>
          <w:rFonts w:ascii="Book Antiqua" w:hAnsi="Book Antiqua" w:cs="Times New Roman"/>
          <w:sz w:val="24"/>
          <w:szCs w:val="24"/>
        </w:rPr>
        <w:t xml:space="preserve"> </w:t>
      </w:r>
      <w:r w:rsidR="00F00A3E" w:rsidRPr="00011D5D">
        <w:rPr>
          <w:rFonts w:ascii="Book Antiqua" w:hAnsi="Book Antiqua" w:cs="Times New Roman"/>
          <w:sz w:val="24"/>
          <w:szCs w:val="24"/>
        </w:rPr>
        <w:t>(single HCC ≤ 5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F00A3E" w:rsidRPr="00011D5D">
        <w:rPr>
          <w:rFonts w:ascii="Book Antiqua" w:hAnsi="Book Antiqua" w:cs="Times New Roman"/>
          <w:sz w:val="24"/>
          <w:szCs w:val="24"/>
        </w:rPr>
        <w:t xml:space="preserve">cm or up to 3 HCCs ≤ 3cm) </w:t>
      </w:r>
      <w:r w:rsidR="00B35BA6" w:rsidRPr="00011D5D">
        <w:rPr>
          <w:rFonts w:ascii="Book Antiqua" w:hAnsi="Book Antiqua" w:cs="Times New Roman"/>
          <w:sz w:val="24"/>
          <w:szCs w:val="24"/>
        </w:rPr>
        <w:t xml:space="preserve">have been </w:t>
      </w:r>
      <w:r w:rsidR="00B35BA6" w:rsidRPr="00011D5D">
        <w:rPr>
          <w:rFonts w:ascii="Book Antiqua" w:hAnsi="Book Antiqua"/>
          <w:sz w:val="24"/>
          <w:szCs w:val="24"/>
        </w:rPr>
        <w:t>adopted worldwide to select HCC patients for LT</w:t>
      </w:r>
      <w:r w:rsidR="00BA69DA" w:rsidRPr="00011D5D">
        <w:rPr>
          <w:rFonts w:ascii="Book Antiqua" w:hAnsi="Book Antiqua"/>
          <w:sz w:val="24"/>
          <w:szCs w:val="24"/>
        </w:rPr>
        <w:t>, however c</w:t>
      </w:r>
      <w:r w:rsidR="00B35BA6" w:rsidRPr="00011D5D">
        <w:rPr>
          <w:rFonts w:ascii="Book Antiqua" w:hAnsi="Book Antiqua"/>
          <w:sz w:val="24"/>
          <w:szCs w:val="24"/>
        </w:rPr>
        <w:t xml:space="preserve">umulative experience </w:t>
      </w:r>
      <w:r w:rsidR="00BA69DA" w:rsidRPr="00011D5D">
        <w:rPr>
          <w:rFonts w:ascii="Book Antiqua" w:hAnsi="Book Antiqua"/>
          <w:sz w:val="24"/>
          <w:szCs w:val="24"/>
        </w:rPr>
        <w:t>has</w:t>
      </w:r>
      <w:r w:rsidR="00B35BA6" w:rsidRPr="00011D5D">
        <w:rPr>
          <w:rFonts w:ascii="Book Antiqua" w:hAnsi="Book Antiqua"/>
          <w:sz w:val="24"/>
          <w:szCs w:val="24"/>
        </w:rPr>
        <w:t xml:space="preserve"> shown that MC can be too strict</w:t>
      </w:r>
      <w:r w:rsidR="00970C90" w:rsidRPr="00011D5D">
        <w:rPr>
          <w:rFonts w:ascii="Book Antiqua" w:hAnsi="Book Antiqua"/>
          <w:sz w:val="24"/>
          <w:szCs w:val="24"/>
        </w:rPr>
        <w:t xml:space="preserve">. This has led to the development of numerous </w:t>
      </w:r>
      <w:r w:rsidR="00D562EA" w:rsidRPr="00011D5D">
        <w:rPr>
          <w:rFonts w:ascii="Book Antiqua" w:hAnsi="Book Antiqua"/>
          <w:sz w:val="24"/>
          <w:szCs w:val="24"/>
        </w:rPr>
        <w:t xml:space="preserve">expanded criteria worldwide. Morphometric expansions on MC </w:t>
      </w:r>
      <w:r w:rsidR="00970C90" w:rsidRPr="00011D5D">
        <w:rPr>
          <w:rFonts w:ascii="Book Antiqua" w:hAnsi="Book Antiqua"/>
          <w:sz w:val="24"/>
          <w:szCs w:val="24"/>
        </w:rPr>
        <w:t>as well as</w:t>
      </w:r>
      <w:r w:rsidR="004043AF" w:rsidRPr="00011D5D">
        <w:rPr>
          <w:rFonts w:ascii="Book Antiqua" w:hAnsi="Book Antiqua"/>
          <w:sz w:val="24"/>
          <w:szCs w:val="24"/>
        </w:rPr>
        <w:t xml:space="preserve"> </w:t>
      </w:r>
      <w:r w:rsidR="00D562EA" w:rsidRPr="00011D5D">
        <w:rPr>
          <w:rFonts w:ascii="Book Antiqua" w:hAnsi="Book Antiqua"/>
          <w:sz w:val="24"/>
          <w:szCs w:val="24"/>
        </w:rPr>
        <w:t xml:space="preserve">various </w:t>
      </w:r>
      <w:r w:rsidR="004043AF" w:rsidRPr="00011D5D">
        <w:rPr>
          <w:rFonts w:ascii="Book Antiqua" w:hAnsi="Book Antiqua"/>
          <w:sz w:val="24"/>
          <w:szCs w:val="24"/>
        </w:rPr>
        <w:t xml:space="preserve">criteria which incorporate biomarkers as surrogates of </w:t>
      </w:r>
      <w:r w:rsidR="002259A8" w:rsidRPr="00011D5D">
        <w:rPr>
          <w:rFonts w:ascii="Book Antiqua" w:hAnsi="Book Antiqua"/>
          <w:sz w:val="24"/>
          <w:szCs w:val="24"/>
        </w:rPr>
        <w:t>tumor biology</w:t>
      </w:r>
      <w:r w:rsidR="00D562EA" w:rsidRPr="00011D5D">
        <w:rPr>
          <w:rFonts w:ascii="Book Antiqua" w:hAnsi="Book Antiqua"/>
          <w:sz w:val="24"/>
          <w:szCs w:val="24"/>
        </w:rPr>
        <w:t xml:space="preserve"> have been described</w:t>
      </w:r>
      <w:r w:rsidR="00970C90" w:rsidRPr="00011D5D">
        <w:rPr>
          <w:rFonts w:ascii="Book Antiqua" w:hAnsi="Book Antiqua"/>
          <w:sz w:val="24"/>
          <w:szCs w:val="24"/>
        </w:rPr>
        <w:t>.</w:t>
      </w:r>
      <w:r w:rsidR="002C6AC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D562EA" w:rsidRPr="00011D5D">
        <w:rPr>
          <w:rFonts w:ascii="Book Antiqua" w:hAnsi="Book Antiqua"/>
          <w:sz w:val="24"/>
          <w:szCs w:val="24"/>
        </w:rPr>
        <w:t xml:space="preserve">HCC that presents beyond MC initially can be </w:t>
      </w:r>
      <w:proofErr w:type="spellStart"/>
      <w:r w:rsidR="00D562EA" w:rsidRPr="00011D5D">
        <w:rPr>
          <w:rFonts w:ascii="Book Antiqua" w:hAnsi="Book Antiqua"/>
          <w:sz w:val="24"/>
          <w:szCs w:val="24"/>
        </w:rPr>
        <w:t>downstaged</w:t>
      </w:r>
      <w:proofErr w:type="spellEnd"/>
      <w:r w:rsidR="00D562EA" w:rsidRPr="00011D5D">
        <w:rPr>
          <w:rFonts w:ascii="Book Antiqua" w:hAnsi="Book Antiqua"/>
          <w:sz w:val="24"/>
          <w:szCs w:val="24"/>
        </w:rPr>
        <w:t xml:space="preserve"> with </w:t>
      </w:r>
      <w:proofErr w:type="spellStart"/>
      <w:r w:rsidR="00CE7B6D" w:rsidRPr="00011D5D">
        <w:rPr>
          <w:rFonts w:ascii="Book Antiqua" w:hAnsi="Book Antiqua"/>
          <w:sz w:val="24"/>
          <w:szCs w:val="24"/>
        </w:rPr>
        <w:t>locoregional</w:t>
      </w:r>
      <w:proofErr w:type="spellEnd"/>
      <w:r w:rsidR="00CE7B6D" w:rsidRPr="00011D5D">
        <w:rPr>
          <w:rFonts w:ascii="Book Antiqua" w:hAnsi="Book Antiqua"/>
          <w:sz w:val="24"/>
          <w:szCs w:val="24"/>
        </w:rPr>
        <w:t xml:space="preserve"> therapy (</w:t>
      </w:r>
      <w:r w:rsidR="00D562EA" w:rsidRPr="00011D5D">
        <w:rPr>
          <w:rFonts w:ascii="Book Antiqua" w:hAnsi="Book Antiqua"/>
          <w:sz w:val="24"/>
          <w:szCs w:val="24"/>
        </w:rPr>
        <w:t>LRT</w:t>
      </w:r>
      <w:r w:rsidR="00CE7B6D" w:rsidRPr="00011D5D">
        <w:rPr>
          <w:rFonts w:ascii="Book Antiqua" w:hAnsi="Book Antiqua"/>
          <w:sz w:val="24"/>
          <w:szCs w:val="24"/>
        </w:rPr>
        <w:t>)</w:t>
      </w:r>
      <w:r w:rsidR="00D562EA" w:rsidRPr="00011D5D">
        <w:rPr>
          <w:rFonts w:ascii="Book Antiqua" w:hAnsi="Book Antiqua"/>
          <w:sz w:val="24"/>
          <w:szCs w:val="24"/>
        </w:rPr>
        <w:t xml:space="preserve">. </w:t>
      </w:r>
      <w:r w:rsidR="00F020B9" w:rsidRPr="00011D5D">
        <w:rPr>
          <w:rFonts w:ascii="Book Antiqua" w:hAnsi="Book Antiqua"/>
          <w:sz w:val="24"/>
          <w:szCs w:val="24"/>
        </w:rPr>
        <w:t>P</w:t>
      </w:r>
      <w:r w:rsidR="00D562EA" w:rsidRPr="00011D5D">
        <w:rPr>
          <w:rFonts w:ascii="Book Antiqua" w:hAnsi="Book Antiqua"/>
          <w:sz w:val="24"/>
          <w:szCs w:val="24"/>
        </w:rPr>
        <w:t>ost-LRT</w:t>
      </w:r>
      <w:r w:rsidR="00970C90" w:rsidRPr="00011D5D">
        <w:rPr>
          <w:rFonts w:ascii="Book Antiqua" w:hAnsi="Book Antiqua"/>
          <w:sz w:val="24"/>
          <w:szCs w:val="24"/>
        </w:rPr>
        <w:t xml:space="preserve"> </w:t>
      </w:r>
      <w:r w:rsidR="00D562EA" w:rsidRPr="00011D5D">
        <w:rPr>
          <w:rFonts w:ascii="Book Antiqua" w:hAnsi="Book Antiqua"/>
          <w:sz w:val="24"/>
          <w:szCs w:val="24"/>
        </w:rPr>
        <w:t xml:space="preserve">monitoring </w:t>
      </w:r>
      <w:r w:rsidR="00970C90" w:rsidRPr="00011D5D">
        <w:rPr>
          <w:rFonts w:ascii="Book Antiqua" w:hAnsi="Book Antiqua"/>
          <w:sz w:val="24"/>
          <w:szCs w:val="24"/>
        </w:rPr>
        <w:t>aim</w:t>
      </w:r>
      <w:r w:rsidR="00F020B9" w:rsidRPr="00011D5D">
        <w:rPr>
          <w:rFonts w:ascii="Book Antiqua" w:hAnsi="Book Antiqua"/>
          <w:sz w:val="24"/>
          <w:szCs w:val="24"/>
        </w:rPr>
        <w:t>s</w:t>
      </w:r>
      <w:r w:rsidR="00970C90" w:rsidRPr="00011D5D">
        <w:rPr>
          <w:rFonts w:ascii="Book Antiqua" w:hAnsi="Book Antiqua"/>
          <w:sz w:val="24"/>
          <w:szCs w:val="24"/>
        </w:rPr>
        <w:t xml:space="preserve"> to identify candidates with favorable tumor </w:t>
      </w:r>
      <w:r w:rsidR="003226C4" w:rsidRPr="00011D5D">
        <w:rPr>
          <w:rFonts w:ascii="Book Antiqua" w:hAnsi="Book Antiqua"/>
          <w:sz w:val="24"/>
          <w:szCs w:val="24"/>
        </w:rPr>
        <w:t xml:space="preserve">behavior. </w:t>
      </w:r>
      <w:r w:rsidR="00B575AC" w:rsidRPr="00011D5D">
        <w:rPr>
          <w:rFonts w:ascii="Book Antiqua" w:hAnsi="Book Antiqua"/>
          <w:sz w:val="24"/>
          <w:szCs w:val="24"/>
        </w:rPr>
        <w:t>S</w:t>
      </w:r>
      <w:r w:rsidR="00E4721C" w:rsidRPr="00011D5D">
        <w:rPr>
          <w:rFonts w:ascii="Book Antiqua" w:hAnsi="Book Antiqua"/>
          <w:sz w:val="24"/>
          <w:szCs w:val="24"/>
        </w:rPr>
        <w:t>imilarly, tumor marker</w:t>
      </w:r>
      <w:r w:rsidR="00B575AC" w:rsidRPr="00011D5D">
        <w:rPr>
          <w:rFonts w:ascii="Book Antiqua" w:hAnsi="Book Antiqua"/>
          <w:sz w:val="24"/>
          <w:szCs w:val="24"/>
        </w:rPr>
        <w:t xml:space="preserve"> levels as response to LRT has been utilized as surrogate of </w:t>
      </w:r>
      <w:r w:rsidR="003226C4" w:rsidRPr="00011D5D">
        <w:rPr>
          <w:rFonts w:ascii="Book Antiqua" w:hAnsi="Book Antiqua"/>
          <w:sz w:val="24"/>
          <w:szCs w:val="24"/>
        </w:rPr>
        <w:t>tumor biology</w:t>
      </w:r>
      <w:r w:rsidR="00970C90" w:rsidRPr="00011D5D">
        <w:rPr>
          <w:rFonts w:ascii="Book Antiqua" w:hAnsi="Book Antiqua"/>
          <w:sz w:val="24"/>
          <w:szCs w:val="24"/>
        </w:rPr>
        <w:t>.</w:t>
      </w:r>
      <w:r w:rsidR="002259A8" w:rsidRPr="00011D5D">
        <w:rPr>
          <w:rFonts w:ascii="Book Antiqua" w:hAnsi="Book Antiqua"/>
          <w:sz w:val="24"/>
          <w:szCs w:val="24"/>
        </w:rPr>
        <w:t xml:space="preserve"> Molecular signatures of HCC have</w:t>
      </w:r>
      <w:r w:rsidR="002C6AC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226C4" w:rsidRPr="00011D5D">
        <w:rPr>
          <w:rFonts w:ascii="Book Antiqua" w:hAnsi="Book Antiqua"/>
          <w:sz w:val="24"/>
          <w:szCs w:val="24"/>
        </w:rPr>
        <w:t xml:space="preserve">also </w:t>
      </w:r>
      <w:r w:rsidR="0040169A" w:rsidRPr="00011D5D">
        <w:rPr>
          <w:rFonts w:ascii="Book Antiqua" w:hAnsi="Book Antiqua"/>
          <w:sz w:val="24"/>
          <w:szCs w:val="24"/>
        </w:rPr>
        <w:t xml:space="preserve">been correlated to </w:t>
      </w:r>
      <w:r w:rsidR="003226C4" w:rsidRPr="00011D5D">
        <w:rPr>
          <w:rFonts w:ascii="Book Antiqua" w:hAnsi="Book Antiqua"/>
          <w:sz w:val="24"/>
          <w:szCs w:val="24"/>
        </w:rPr>
        <w:t>outcomes; t</w:t>
      </w:r>
      <w:r w:rsidR="002259A8" w:rsidRPr="00011D5D">
        <w:rPr>
          <w:rFonts w:ascii="Book Antiqua" w:hAnsi="Book Antiqua"/>
          <w:sz w:val="24"/>
          <w:szCs w:val="24"/>
        </w:rPr>
        <w:t xml:space="preserve">hese have </w:t>
      </w:r>
      <w:r w:rsidR="006530A7" w:rsidRPr="00011D5D">
        <w:rPr>
          <w:rFonts w:ascii="Book Antiqua" w:hAnsi="Book Antiqua"/>
          <w:sz w:val="24"/>
          <w:szCs w:val="24"/>
        </w:rPr>
        <w:t xml:space="preserve">yet to be incorporated into </w:t>
      </w:r>
      <w:r w:rsidR="003226C4" w:rsidRPr="00011D5D">
        <w:rPr>
          <w:rFonts w:ascii="Book Antiqua" w:hAnsi="Book Antiqua"/>
          <w:sz w:val="24"/>
          <w:szCs w:val="24"/>
        </w:rPr>
        <w:t xml:space="preserve">HCC-LT </w:t>
      </w:r>
      <w:r w:rsidR="006530A7" w:rsidRPr="00011D5D">
        <w:rPr>
          <w:rFonts w:ascii="Book Antiqua" w:hAnsi="Book Antiqua"/>
          <w:sz w:val="24"/>
          <w:szCs w:val="24"/>
        </w:rPr>
        <w:t xml:space="preserve">selection </w:t>
      </w:r>
      <w:r w:rsidR="00191837" w:rsidRPr="00011D5D">
        <w:rPr>
          <w:rFonts w:ascii="Book Antiqua" w:hAnsi="Book Antiqua"/>
          <w:sz w:val="24"/>
          <w:szCs w:val="24"/>
        </w:rPr>
        <w:t>criteria formally</w:t>
      </w:r>
      <w:r w:rsidR="002259A8" w:rsidRPr="00011D5D">
        <w:rPr>
          <w:rFonts w:ascii="Book Antiqua" w:hAnsi="Book Antiqua"/>
          <w:sz w:val="24"/>
          <w:szCs w:val="24"/>
        </w:rPr>
        <w:t>.</w:t>
      </w:r>
      <w:r w:rsidR="002C6AC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A69DA" w:rsidRPr="00011D5D">
        <w:rPr>
          <w:rFonts w:ascii="Book Antiqua" w:hAnsi="Book Antiqua"/>
          <w:sz w:val="24"/>
          <w:szCs w:val="24"/>
        </w:rPr>
        <w:t xml:space="preserve">The ongoing discrepancy </w:t>
      </w:r>
      <w:r w:rsidR="002259A8" w:rsidRPr="00011D5D">
        <w:rPr>
          <w:rFonts w:ascii="Book Antiqua" w:hAnsi="Book Antiqua"/>
          <w:sz w:val="24"/>
          <w:szCs w:val="24"/>
        </w:rPr>
        <w:t>between organ demand and supply</w:t>
      </w:r>
      <w:r w:rsidR="00BA69DA" w:rsidRPr="00011D5D">
        <w:rPr>
          <w:rFonts w:ascii="Book Antiqua" w:hAnsi="Book Antiqua"/>
          <w:sz w:val="24"/>
          <w:szCs w:val="24"/>
        </w:rPr>
        <w:t xml:space="preserve"> </w:t>
      </w:r>
      <w:r w:rsidR="002259A8" w:rsidRPr="00011D5D">
        <w:rPr>
          <w:rFonts w:ascii="Book Antiqua" w:hAnsi="Book Antiqua"/>
          <w:sz w:val="24"/>
          <w:szCs w:val="24"/>
        </w:rPr>
        <w:t>makes</w:t>
      </w:r>
      <w:r w:rsidR="00BA69DA" w:rsidRPr="00011D5D">
        <w:rPr>
          <w:rFonts w:ascii="Book Antiqua" w:hAnsi="Book Antiqua"/>
          <w:sz w:val="24"/>
          <w:szCs w:val="24"/>
        </w:rPr>
        <w:t xml:space="preserve"> patient selection the most challenging </w:t>
      </w:r>
      <w:r w:rsidR="002259A8" w:rsidRPr="00011D5D">
        <w:rPr>
          <w:rFonts w:ascii="Book Antiqua" w:hAnsi="Book Antiqua"/>
          <w:sz w:val="24"/>
          <w:szCs w:val="24"/>
        </w:rPr>
        <w:t>element of organ allocation.</w:t>
      </w:r>
      <w:r w:rsidR="00BA69DA" w:rsidRPr="00011D5D">
        <w:rPr>
          <w:rFonts w:ascii="Book Antiqua" w:hAnsi="Book Antiqua"/>
          <w:sz w:val="24"/>
          <w:szCs w:val="24"/>
        </w:rPr>
        <w:t xml:space="preserve"> Further validation of extended HCC-LT criteria models and pre-LT treatment strategies </w:t>
      </w:r>
      <w:r w:rsidR="00A03B68" w:rsidRPr="00011D5D">
        <w:rPr>
          <w:rFonts w:ascii="Book Antiqua" w:hAnsi="Book Antiqua"/>
          <w:sz w:val="24"/>
          <w:szCs w:val="24"/>
        </w:rPr>
        <w:t>are</w:t>
      </w:r>
      <w:r w:rsidR="00064F55" w:rsidRPr="00011D5D">
        <w:rPr>
          <w:rFonts w:ascii="Book Antiqua" w:hAnsi="Book Antiqua"/>
          <w:sz w:val="24"/>
          <w:szCs w:val="24"/>
        </w:rPr>
        <w:t xml:space="preserve"> required. </w:t>
      </w:r>
    </w:p>
    <w:p w:rsidR="002C6AC4" w:rsidRDefault="002C6AC4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9D48D3" w:rsidRPr="00011D5D" w:rsidRDefault="009D48D3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Key </w:t>
      </w:r>
      <w:r w:rsidR="002C6AC4" w:rsidRPr="00011D5D">
        <w:rPr>
          <w:rFonts w:ascii="Book Antiqua" w:hAnsi="Book Antiqua" w:cs="Times New Roman"/>
          <w:b/>
          <w:sz w:val="24"/>
          <w:szCs w:val="24"/>
        </w:rPr>
        <w:t>w</w:t>
      </w:r>
      <w:r w:rsidRPr="00011D5D">
        <w:rPr>
          <w:rFonts w:ascii="Book Antiqua" w:hAnsi="Book Antiqua" w:cs="Times New Roman"/>
          <w:b/>
          <w:sz w:val="24"/>
          <w:szCs w:val="24"/>
        </w:rPr>
        <w:t>ords:</w:t>
      </w:r>
      <w:r w:rsidRPr="00011D5D">
        <w:rPr>
          <w:rFonts w:ascii="Book Antiqua" w:hAnsi="Book Antiqua" w:cs="Times New Roman"/>
          <w:sz w:val="24"/>
          <w:szCs w:val="24"/>
        </w:rPr>
        <w:t xml:space="preserve"> Hepatocellular </w:t>
      </w:r>
      <w:r w:rsidR="002C6AC4">
        <w:rPr>
          <w:rFonts w:ascii="Book Antiqua" w:hAnsi="Book Antiqua" w:cs="Times New Roman"/>
          <w:sz w:val="24"/>
          <w:szCs w:val="24"/>
        </w:rPr>
        <w:t>carcinoma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2C6AC4">
        <w:rPr>
          <w:rFonts w:ascii="Book Antiqua" w:hAnsi="Book Antiqua" w:cs="Times New Roman"/>
          <w:caps/>
          <w:sz w:val="24"/>
          <w:szCs w:val="24"/>
        </w:rPr>
        <w:t>l</w:t>
      </w:r>
      <w:r w:rsidRPr="00011D5D">
        <w:rPr>
          <w:rFonts w:ascii="Book Antiqua" w:hAnsi="Book Antiqua" w:cs="Times New Roman"/>
          <w:sz w:val="24"/>
          <w:szCs w:val="24"/>
        </w:rPr>
        <w:t>iver transplantation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011D5D">
        <w:rPr>
          <w:rFonts w:ascii="Book Antiqua" w:hAnsi="Book Antiqua" w:cs="Times New Roman"/>
          <w:sz w:val="24"/>
          <w:szCs w:val="24"/>
        </w:rPr>
        <w:t>Milan criteria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2C6AC4">
        <w:rPr>
          <w:rFonts w:ascii="Book Antiqua" w:hAnsi="Book Antiqua" w:cs="Times New Roman"/>
          <w:caps/>
          <w:sz w:val="24"/>
          <w:szCs w:val="24"/>
        </w:rPr>
        <w:t>e</w:t>
      </w:r>
      <w:r w:rsidRPr="00011D5D">
        <w:rPr>
          <w:rFonts w:ascii="Book Antiqua" w:hAnsi="Book Antiqua" w:cs="Times New Roman"/>
          <w:sz w:val="24"/>
          <w:szCs w:val="24"/>
        </w:rPr>
        <w:t>xpanded criteria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proofErr w:type="spellStart"/>
      <w:r w:rsidRPr="002C6AC4">
        <w:rPr>
          <w:rFonts w:ascii="Book Antiqua" w:hAnsi="Book Antiqua" w:cs="Times New Roman"/>
          <w:caps/>
          <w:sz w:val="24"/>
          <w:szCs w:val="24"/>
        </w:rPr>
        <w:t>l</w:t>
      </w:r>
      <w:r w:rsidRPr="00011D5D">
        <w:rPr>
          <w:rFonts w:ascii="Book Antiqua" w:hAnsi="Book Antiqua" w:cs="Times New Roman"/>
          <w:sz w:val="24"/>
          <w:szCs w:val="24"/>
        </w:rPr>
        <w:t>ocoregional</w:t>
      </w:r>
      <w:proofErr w:type="spellEnd"/>
      <w:r w:rsidRPr="00011D5D">
        <w:rPr>
          <w:rFonts w:ascii="Book Antiqua" w:hAnsi="Book Antiqua" w:cs="Times New Roman"/>
          <w:sz w:val="24"/>
          <w:szCs w:val="24"/>
        </w:rPr>
        <w:t xml:space="preserve"> therapy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2C6AC4">
        <w:rPr>
          <w:rFonts w:ascii="Book Antiqua" w:hAnsi="Book Antiqua" w:cs="Times New Roman"/>
          <w:caps/>
          <w:sz w:val="24"/>
          <w:szCs w:val="24"/>
        </w:rPr>
        <w:t>d</w:t>
      </w:r>
      <w:r w:rsidRPr="00011D5D">
        <w:rPr>
          <w:rFonts w:ascii="Book Antiqua" w:hAnsi="Book Antiqua" w:cs="Times New Roman"/>
          <w:sz w:val="24"/>
          <w:szCs w:val="24"/>
        </w:rPr>
        <w:t>own staging</w:t>
      </w:r>
    </w:p>
    <w:p w:rsidR="002C6AC4" w:rsidRDefault="002C6AC4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2C6AC4" w:rsidRPr="002C6AC4" w:rsidRDefault="002C6AC4" w:rsidP="002C6AC4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18" w:name="OLE_LINK363"/>
      <w:bookmarkStart w:id="19" w:name="OLE_LINK364"/>
      <w:bookmarkStart w:id="20" w:name="OLE_LINK359"/>
      <w:bookmarkStart w:id="21" w:name="OLE_LINK1037"/>
      <w:bookmarkStart w:id="22" w:name="OLE_LINK1195"/>
      <w:bookmarkStart w:id="23" w:name="OLE_LINK1140"/>
      <w:bookmarkStart w:id="24" w:name="OLE_LINK1062"/>
      <w:bookmarkStart w:id="25" w:name="OLE_LINK500"/>
      <w:r w:rsidRPr="002C6AC4">
        <w:rPr>
          <w:rFonts w:ascii="Book Antiqua" w:hAnsi="Book Antiqua" w:cs="Times New Roman" w:hint="eastAsia"/>
          <w:b/>
          <w:sz w:val="24"/>
          <w:szCs w:val="24"/>
          <w:lang w:eastAsia="zh-CN"/>
        </w:rPr>
        <w:t>©</w:t>
      </w:r>
      <w:r w:rsidRPr="002C6AC4">
        <w:rPr>
          <w:rFonts w:ascii="Book Antiqua" w:hAnsi="Book Antiqua" w:cs="Times New Roman"/>
          <w:b/>
          <w:sz w:val="24"/>
          <w:szCs w:val="24"/>
          <w:lang w:eastAsia="zh-CN"/>
        </w:rPr>
        <w:t xml:space="preserve"> The Author(s) 201</w:t>
      </w:r>
      <w:r w:rsidRPr="002C6AC4">
        <w:rPr>
          <w:rFonts w:ascii="Book Antiqua" w:hAnsi="Book Antiqua" w:cs="Times New Roman" w:hint="eastAsia"/>
          <w:b/>
          <w:sz w:val="24"/>
          <w:szCs w:val="24"/>
          <w:lang w:eastAsia="zh-CN"/>
        </w:rPr>
        <w:t>6</w:t>
      </w:r>
      <w:r w:rsidRPr="002C6AC4">
        <w:rPr>
          <w:rFonts w:ascii="Book Antiqua" w:hAnsi="Book Antiqua" w:cs="Times New Roman"/>
          <w:b/>
          <w:sz w:val="24"/>
          <w:szCs w:val="24"/>
          <w:lang w:eastAsia="zh-CN"/>
        </w:rPr>
        <w:t>.</w:t>
      </w:r>
      <w:r w:rsidRPr="002C6AC4">
        <w:rPr>
          <w:rFonts w:ascii="Book Antiqua" w:hAnsi="Book Antiqua" w:cs="Times New Roman"/>
          <w:sz w:val="24"/>
          <w:szCs w:val="24"/>
          <w:lang w:eastAsia="zh-CN"/>
        </w:rPr>
        <w:t xml:space="preserve"> Published by </w:t>
      </w:r>
      <w:proofErr w:type="spellStart"/>
      <w:r w:rsidRPr="002C6AC4">
        <w:rPr>
          <w:rFonts w:ascii="Book Antiqua" w:hAnsi="Book Antiqua" w:cs="Times New Roman"/>
          <w:sz w:val="24"/>
          <w:szCs w:val="24"/>
          <w:lang w:eastAsia="zh-CN"/>
        </w:rPr>
        <w:t>Baishideng</w:t>
      </w:r>
      <w:proofErr w:type="spellEnd"/>
      <w:r w:rsidRPr="002C6AC4">
        <w:rPr>
          <w:rFonts w:ascii="Book Antiqua" w:hAnsi="Book Antiqua" w:cs="Times New Roman"/>
          <w:sz w:val="24"/>
          <w:szCs w:val="24"/>
          <w:lang w:eastAsia="zh-CN"/>
        </w:rPr>
        <w:t xml:space="preserve"> Publishing Group Inc. All rights reserved.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p w:rsidR="002C6AC4" w:rsidRDefault="002C6AC4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1F44EC" w:rsidRPr="00011D5D" w:rsidRDefault="001F44EC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t xml:space="preserve">Core </w:t>
      </w:r>
      <w:r w:rsidR="002C6AC4" w:rsidRPr="00011D5D">
        <w:rPr>
          <w:rFonts w:ascii="Book Antiqua" w:hAnsi="Book Antiqua" w:cs="Times New Roman"/>
          <w:b/>
          <w:sz w:val="24"/>
          <w:szCs w:val="24"/>
        </w:rPr>
        <w:t>t</w:t>
      </w:r>
      <w:r w:rsidRPr="00011D5D">
        <w:rPr>
          <w:rFonts w:ascii="Book Antiqua" w:hAnsi="Book Antiqua" w:cs="Times New Roman"/>
          <w:b/>
          <w:sz w:val="24"/>
          <w:szCs w:val="24"/>
        </w:rPr>
        <w:t>ip:</w:t>
      </w:r>
      <w:r w:rsidR="002C6AC4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064F55" w:rsidRPr="00011D5D">
        <w:rPr>
          <w:rFonts w:ascii="Book Antiqua" w:hAnsi="Book Antiqua" w:cs="Times New Roman"/>
          <w:sz w:val="24"/>
          <w:szCs w:val="24"/>
        </w:rPr>
        <w:t xml:space="preserve">Numerous expanded selection criteria for HCC-LT have been proposed worldwide. </w:t>
      </w:r>
      <w:r w:rsidR="006D32A1" w:rsidRPr="00011D5D">
        <w:rPr>
          <w:rFonts w:ascii="Book Antiqua" w:hAnsi="Book Antiqua" w:cs="Times New Roman"/>
          <w:sz w:val="24"/>
          <w:szCs w:val="24"/>
        </w:rPr>
        <w:t>Surrogates of favorable tumor biology such as Post</w:t>
      </w:r>
      <w:r w:rsidR="0007413D" w:rsidRPr="00011D5D">
        <w:rPr>
          <w:rFonts w:ascii="Book Antiqua" w:hAnsi="Book Antiqua" w:cs="Times New Roman"/>
          <w:sz w:val="24"/>
          <w:szCs w:val="24"/>
        </w:rPr>
        <w:t>-L</w:t>
      </w:r>
      <w:r w:rsidR="006D32A1" w:rsidRPr="00011D5D">
        <w:rPr>
          <w:rFonts w:ascii="Book Antiqua" w:hAnsi="Book Antiqua" w:cs="Times New Roman"/>
          <w:sz w:val="24"/>
          <w:szCs w:val="24"/>
        </w:rPr>
        <w:t>R</w:t>
      </w:r>
      <w:r w:rsidR="0007413D" w:rsidRPr="00011D5D">
        <w:rPr>
          <w:rFonts w:ascii="Book Antiqua" w:hAnsi="Book Antiqua" w:cs="Times New Roman"/>
          <w:sz w:val="24"/>
          <w:szCs w:val="24"/>
        </w:rPr>
        <w:t xml:space="preserve">T strategies which observe tumor behavior, and </w:t>
      </w:r>
      <w:r w:rsidR="006D32A1" w:rsidRPr="00011D5D">
        <w:rPr>
          <w:rFonts w:ascii="Book Antiqua" w:hAnsi="Book Antiqua" w:cs="Times New Roman"/>
          <w:sz w:val="24"/>
          <w:szCs w:val="24"/>
        </w:rPr>
        <w:t xml:space="preserve">the addition of </w:t>
      </w:r>
      <w:r w:rsidR="0007413D" w:rsidRPr="00011D5D">
        <w:rPr>
          <w:rFonts w:ascii="Book Antiqua" w:hAnsi="Book Antiqua" w:cs="Times New Roman"/>
          <w:sz w:val="24"/>
          <w:szCs w:val="24"/>
        </w:rPr>
        <w:t xml:space="preserve">HCC biomarkers to selection criteria </w:t>
      </w:r>
      <w:r w:rsidR="006D32A1" w:rsidRPr="00011D5D">
        <w:rPr>
          <w:rFonts w:ascii="Book Antiqua" w:hAnsi="Book Antiqua" w:cs="Times New Roman"/>
          <w:sz w:val="24"/>
          <w:szCs w:val="24"/>
        </w:rPr>
        <w:t>have been explored.</w:t>
      </w:r>
      <w:r w:rsidR="006D32A1" w:rsidRPr="00011D5D">
        <w:rPr>
          <w:rFonts w:ascii="Book Antiqua" w:hAnsi="Book Antiqua"/>
          <w:sz w:val="24"/>
          <w:szCs w:val="24"/>
        </w:rPr>
        <w:t xml:space="preserve"> </w:t>
      </w:r>
      <w:r w:rsidR="006D32A1" w:rsidRPr="00011D5D">
        <w:rPr>
          <w:rFonts w:ascii="Book Antiqua" w:hAnsi="Book Antiqua" w:cs="Times New Roman"/>
          <w:sz w:val="24"/>
          <w:szCs w:val="24"/>
        </w:rPr>
        <w:t>Further investigation is encouraged to identify patients beyond MC with the most favorable tumor biology for LT.</w:t>
      </w:r>
    </w:p>
    <w:p w:rsidR="002C6AC4" w:rsidRDefault="002C6AC4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1F44EC" w:rsidRPr="00011D5D" w:rsidRDefault="00B35BA6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734451">
        <w:rPr>
          <w:rFonts w:ascii="Book Antiqua" w:hAnsi="Book Antiqua" w:cs="Times New Roman"/>
          <w:sz w:val="24"/>
          <w:szCs w:val="24"/>
        </w:rPr>
        <w:lastRenderedPageBreak/>
        <w:t>Elshamy</w:t>
      </w:r>
      <w:proofErr w:type="spellEnd"/>
      <w:r w:rsidRPr="00734451">
        <w:rPr>
          <w:rFonts w:ascii="Book Antiqua" w:hAnsi="Book Antiqua" w:cs="Times New Roman"/>
          <w:sz w:val="24"/>
          <w:szCs w:val="24"/>
        </w:rPr>
        <w:t xml:space="preserve"> M, </w:t>
      </w:r>
      <w:proofErr w:type="spellStart"/>
      <w:r w:rsidRPr="00011D5D">
        <w:rPr>
          <w:rFonts w:ascii="Book Antiqua" w:hAnsi="Book Antiqua" w:cs="Times New Roman"/>
          <w:sz w:val="24"/>
          <w:szCs w:val="24"/>
        </w:rPr>
        <w:t>Aucejo</w:t>
      </w:r>
      <w:proofErr w:type="spellEnd"/>
      <w:r w:rsidRPr="00011D5D">
        <w:rPr>
          <w:rFonts w:ascii="Book Antiqua" w:hAnsi="Book Antiqua" w:cs="Times New Roman"/>
          <w:sz w:val="24"/>
          <w:szCs w:val="24"/>
        </w:rPr>
        <w:t xml:space="preserve"> F,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E1FDE" w:rsidRPr="00011D5D">
        <w:rPr>
          <w:rFonts w:ascii="Book Antiqua" w:hAnsi="Book Antiqua" w:cs="Times New Roman"/>
          <w:sz w:val="24"/>
          <w:szCs w:val="24"/>
        </w:rPr>
        <w:t xml:space="preserve">Menon KV, </w:t>
      </w:r>
      <w:proofErr w:type="spellStart"/>
      <w:r w:rsidRPr="00011D5D">
        <w:rPr>
          <w:rFonts w:ascii="Book Antiqua" w:hAnsi="Book Antiqua" w:cs="Times New Roman"/>
          <w:sz w:val="24"/>
          <w:szCs w:val="24"/>
        </w:rPr>
        <w:t>Eghtesad</w:t>
      </w:r>
      <w:proofErr w:type="spellEnd"/>
      <w:r w:rsidRPr="00011D5D">
        <w:rPr>
          <w:rFonts w:ascii="Book Antiqua" w:hAnsi="Book Antiqua" w:cs="Times New Roman"/>
          <w:sz w:val="24"/>
          <w:szCs w:val="24"/>
        </w:rPr>
        <w:t xml:space="preserve"> B. Hepatocellular carcinoma beyond Milan criteria: Management and transplant selection criteria.</w:t>
      </w:r>
      <w:r w:rsidR="002C6AC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C6AC4" w:rsidRPr="002C6AC4">
        <w:rPr>
          <w:rFonts w:ascii="Book Antiqua" w:hAnsi="Book Antiqua" w:cs="Times New Roman"/>
          <w:i/>
          <w:sz w:val="24"/>
          <w:szCs w:val="24"/>
        </w:rPr>
        <w:t>World J</w:t>
      </w:r>
      <w:r w:rsidR="002C6AC4" w:rsidRPr="002C6AC4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proofErr w:type="spellStart"/>
      <w:r w:rsidR="002C6AC4" w:rsidRPr="002C6AC4">
        <w:rPr>
          <w:rFonts w:ascii="Book Antiqua" w:hAnsi="Book Antiqua" w:cs="Times New Roman"/>
          <w:i/>
          <w:sz w:val="24"/>
          <w:szCs w:val="24"/>
        </w:rPr>
        <w:t>Hepatol</w:t>
      </w:r>
      <w:proofErr w:type="spellEnd"/>
      <w:r w:rsidR="002C6AC4" w:rsidRPr="002C6AC4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2C6AC4" w:rsidRPr="002C6AC4">
        <w:rPr>
          <w:rFonts w:ascii="Book Antiqua" w:hAnsi="Book Antiqua" w:cs="Times New Roman"/>
          <w:sz w:val="24"/>
          <w:szCs w:val="24"/>
        </w:rPr>
        <w:t>201</w:t>
      </w:r>
      <w:r w:rsidR="002C6AC4" w:rsidRPr="002C6AC4">
        <w:rPr>
          <w:rFonts w:ascii="Book Antiqua" w:hAnsi="Book Antiqua" w:cs="Times New Roman" w:hint="eastAsia"/>
          <w:sz w:val="24"/>
          <w:szCs w:val="24"/>
        </w:rPr>
        <w:t>6</w:t>
      </w:r>
      <w:r w:rsidR="002C6AC4" w:rsidRPr="002C6AC4">
        <w:rPr>
          <w:rFonts w:ascii="Book Antiqua" w:hAnsi="Book Antiqua" w:cs="Times New Roman"/>
          <w:sz w:val="24"/>
          <w:szCs w:val="24"/>
        </w:rPr>
        <w:t>; In press</w:t>
      </w:r>
    </w:p>
    <w:p w:rsidR="001F44EC" w:rsidRPr="00011D5D" w:rsidRDefault="001F44EC" w:rsidP="00011D5D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6AC4" w:rsidRDefault="002C6AC4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:rsidR="00CD4747" w:rsidRPr="00011D5D" w:rsidRDefault="003E1FDE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:rsidR="000B15CE" w:rsidRPr="00011D5D" w:rsidRDefault="006B7F54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Hepatocellular carcinoma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Pr="00011D5D">
        <w:rPr>
          <w:rFonts w:ascii="Book Antiqua" w:hAnsi="Book Antiqua"/>
          <w:sz w:val="24"/>
          <w:szCs w:val="24"/>
        </w:rPr>
        <w:t>HCC</w:t>
      </w:r>
      <w:r w:rsidR="000B2A22" w:rsidRPr="00011D5D">
        <w:rPr>
          <w:rFonts w:ascii="Book Antiqua" w:hAnsi="Book Antiqua"/>
          <w:sz w:val="24"/>
          <w:szCs w:val="24"/>
        </w:rPr>
        <w:t>)</w:t>
      </w:r>
      <w:r w:rsidRPr="00011D5D">
        <w:rPr>
          <w:rFonts w:ascii="Book Antiqua" w:hAnsi="Book Antiqua"/>
          <w:sz w:val="24"/>
          <w:szCs w:val="24"/>
        </w:rPr>
        <w:t xml:space="preserve"> is the most common primary malignancy of the liver, </w:t>
      </w:r>
      <w:r w:rsidR="002C6AC4">
        <w:rPr>
          <w:rFonts w:ascii="Book Antiqua" w:hAnsi="Book Antiqua"/>
          <w:sz w:val="24"/>
          <w:szCs w:val="24"/>
        </w:rPr>
        <w:t>with over 700</w:t>
      </w:r>
      <w:r w:rsidR="00040195" w:rsidRPr="00011D5D">
        <w:rPr>
          <w:rFonts w:ascii="Book Antiqua" w:hAnsi="Book Antiqua"/>
          <w:sz w:val="24"/>
          <w:szCs w:val="24"/>
        </w:rPr>
        <w:t xml:space="preserve">000 new cases </w:t>
      </w:r>
      <w:r w:rsidRPr="00011D5D">
        <w:rPr>
          <w:rFonts w:ascii="Book Antiqua" w:hAnsi="Book Antiqua"/>
          <w:sz w:val="24"/>
          <w:szCs w:val="24"/>
        </w:rPr>
        <w:t xml:space="preserve">diagnosed yearly </w:t>
      </w:r>
      <w:r w:rsidR="002C6AC4">
        <w:rPr>
          <w:rFonts w:ascii="Book Antiqua" w:hAnsi="Book Antiqua"/>
          <w:sz w:val="24"/>
          <w:szCs w:val="24"/>
        </w:rPr>
        <w:t>worldwide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1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53698D" w:rsidRPr="00011D5D">
        <w:rPr>
          <w:rFonts w:ascii="Book Antiqua" w:hAnsi="Book Antiqua"/>
          <w:sz w:val="24"/>
          <w:szCs w:val="24"/>
        </w:rPr>
        <w:t xml:space="preserve">. </w:t>
      </w:r>
      <w:r w:rsidR="00863D25" w:rsidRPr="00011D5D">
        <w:rPr>
          <w:rFonts w:ascii="Book Antiqua" w:hAnsi="Book Antiqua"/>
          <w:sz w:val="24"/>
          <w:szCs w:val="24"/>
        </w:rPr>
        <w:t>HCC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="00040195" w:rsidRPr="00011D5D">
        <w:rPr>
          <w:rFonts w:ascii="Book Antiqua" w:hAnsi="Book Antiqua"/>
          <w:sz w:val="24"/>
          <w:szCs w:val="24"/>
        </w:rPr>
        <w:t>continues to be a global health problem due to insufficient screening and surveillance and po</w:t>
      </w:r>
      <w:r w:rsidR="00863D25" w:rsidRPr="00011D5D">
        <w:rPr>
          <w:rFonts w:ascii="Book Antiqua" w:hAnsi="Book Antiqua"/>
          <w:sz w:val="24"/>
          <w:szCs w:val="24"/>
        </w:rPr>
        <w:t xml:space="preserve">orly controlled risk </w:t>
      </w:r>
      <w:r w:rsidR="0053698D" w:rsidRPr="00011D5D">
        <w:rPr>
          <w:rFonts w:ascii="Book Antiqua" w:hAnsi="Book Antiqua"/>
          <w:sz w:val="24"/>
          <w:szCs w:val="24"/>
        </w:rPr>
        <w:t>factors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2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53698D" w:rsidRPr="00011D5D">
        <w:rPr>
          <w:rFonts w:ascii="Book Antiqua" w:hAnsi="Book Antiqua"/>
          <w:sz w:val="24"/>
          <w:szCs w:val="24"/>
        </w:rPr>
        <w:t xml:space="preserve">. </w:t>
      </w:r>
      <w:r w:rsidR="00863D25" w:rsidRPr="00011D5D">
        <w:rPr>
          <w:rFonts w:ascii="Book Antiqua" w:hAnsi="Book Antiqua"/>
          <w:sz w:val="24"/>
          <w:szCs w:val="24"/>
        </w:rPr>
        <w:t>HCC</w:t>
      </w:r>
      <w:r w:rsidR="00656750" w:rsidRPr="00011D5D">
        <w:rPr>
          <w:rFonts w:ascii="Book Antiqua" w:hAnsi="Book Antiqua"/>
          <w:sz w:val="24"/>
          <w:szCs w:val="24"/>
        </w:rPr>
        <w:t xml:space="preserve"> arises </w:t>
      </w:r>
      <w:r w:rsidRPr="00011D5D">
        <w:rPr>
          <w:rFonts w:ascii="Book Antiqua" w:hAnsi="Book Antiqua"/>
          <w:sz w:val="24"/>
          <w:szCs w:val="24"/>
        </w:rPr>
        <w:t xml:space="preserve">most frequently </w:t>
      </w:r>
      <w:r w:rsidR="00656750" w:rsidRPr="00011D5D">
        <w:rPr>
          <w:rFonts w:ascii="Book Antiqua" w:hAnsi="Book Antiqua"/>
          <w:sz w:val="24"/>
          <w:szCs w:val="24"/>
        </w:rPr>
        <w:t>in patients with chronic liver disease from diverse etiologies, and l</w:t>
      </w:r>
      <w:r w:rsidR="00155619" w:rsidRPr="00011D5D">
        <w:rPr>
          <w:rFonts w:ascii="Book Antiqua" w:hAnsi="Book Antiqua"/>
          <w:sz w:val="24"/>
          <w:szCs w:val="24"/>
        </w:rPr>
        <w:t xml:space="preserve">iver transplantation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="00155619" w:rsidRPr="00011D5D">
        <w:rPr>
          <w:rFonts w:ascii="Book Antiqua" w:hAnsi="Book Antiqua"/>
          <w:sz w:val="24"/>
          <w:szCs w:val="24"/>
        </w:rPr>
        <w:t>LT</w:t>
      </w:r>
      <w:r w:rsidR="000B2A22" w:rsidRPr="00011D5D">
        <w:rPr>
          <w:rFonts w:ascii="Book Antiqua" w:hAnsi="Book Antiqua"/>
          <w:sz w:val="24"/>
          <w:szCs w:val="24"/>
        </w:rPr>
        <w:t>)</w:t>
      </w:r>
      <w:r w:rsidR="00155619" w:rsidRPr="00011D5D">
        <w:rPr>
          <w:rFonts w:ascii="Book Antiqua" w:hAnsi="Book Antiqua"/>
          <w:sz w:val="24"/>
          <w:szCs w:val="24"/>
        </w:rPr>
        <w:t xml:space="preserve"> </w:t>
      </w:r>
      <w:r w:rsidR="00B83E6D" w:rsidRPr="00011D5D">
        <w:rPr>
          <w:rFonts w:ascii="Book Antiqua" w:hAnsi="Book Antiqua"/>
          <w:sz w:val="24"/>
          <w:szCs w:val="24"/>
        </w:rPr>
        <w:t>has been established as a standard treatment in selected patients for the l</w:t>
      </w:r>
      <w:r w:rsidR="00863D25" w:rsidRPr="00011D5D">
        <w:rPr>
          <w:rFonts w:ascii="Book Antiqua" w:hAnsi="Book Antiqua"/>
          <w:sz w:val="24"/>
          <w:szCs w:val="24"/>
        </w:rPr>
        <w:t xml:space="preserve">ast two and a half </w:t>
      </w:r>
      <w:r w:rsidR="0053698D" w:rsidRPr="00011D5D">
        <w:rPr>
          <w:rFonts w:ascii="Book Antiqua" w:hAnsi="Book Antiqua"/>
          <w:sz w:val="24"/>
          <w:szCs w:val="24"/>
        </w:rPr>
        <w:t>decades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53698D" w:rsidRPr="00011D5D">
        <w:rPr>
          <w:rFonts w:ascii="Book Antiqua" w:hAnsi="Book Antiqua"/>
          <w:sz w:val="24"/>
          <w:szCs w:val="24"/>
        </w:rPr>
        <w:t xml:space="preserve">. </w:t>
      </w:r>
      <w:r w:rsidR="00B22551" w:rsidRPr="00011D5D">
        <w:rPr>
          <w:rFonts w:ascii="Book Antiqua" w:hAnsi="Book Antiqua"/>
          <w:sz w:val="24"/>
          <w:szCs w:val="24"/>
        </w:rPr>
        <w:t xml:space="preserve">However, an ongoing conundrum </w:t>
      </w:r>
      <w:r w:rsidR="00C91D55" w:rsidRPr="00011D5D">
        <w:rPr>
          <w:rFonts w:ascii="Book Antiqua" w:hAnsi="Book Antiqua"/>
          <w:sz w:val="24"/>
          <w:szCs w:val="24"/>
        </w:rPr>
        <w:t>is the discrepancy between organ demand and supply, making patient selection the most challenging piece of the puzzle to prev</w:t>
      </w:r>
      <w:r w:rsidR="00863D25" w:rsidRPr="00011D5D">
        <w:rPr>
          <w:rFonts w:ascii="Book Antiqua" w:hAnsi="Book Antiqua"/>
          <w:sz w:val="24"/>
          <w:szCs w:val="24"/>
        </w:rPr>
        <w:t xml:space="preserve">ent organ </w:t>
      </w:r>
      <w:proofErr w:type="spellStart"/>
      <w:r w:rsidR="00863D25" w:rsidRPr="00011D5D">
        <w:rPr>
          <w:rFonts w:ascii="Book Antiqua" w:hAnsi="Book Antiqua"/>
          <w:sz w:val="24"/>
          <w:szCs w:val="24"/>
        </w:rPr>
        <w:t>misutilization</w:t>
      </w:r>
      <w:proofErr w:type="spellEnd"/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53698D" w:rsidRPr="00011D5D">
        <w:rPr>
          <w:rFonts w:ascii="Book Antiqua" w:hAnsi="Book Antiqua"/>
          <w:sz w:val="24"/>
          <w:szCs w:val="24"/>
        </w:rPr>
        <w:t>.</w:t>
      </w:r>
    </w:p>
    <w:p w:rsidR="00D76AA0" w:rsidRPr="00011D5D" w:rsidRDefault="009A1A1A" w:rsidP="002C6AC4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Poor patient selection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Pr="00011D5D">
        <w:rPr>
          <w:rFonts w:ascii="Book Antiqua" w:hAnsi="Book Antiqua"/>
          <w:sz w:val="24"/>
          <w:szCs w:val="24"/>
        </w:rPr>
        <w:t>excessive tumor burden, unknown tumor biology</w:t>
      </w:r>
      <w:r w:rsidR="000B2A22" w:rsidRPr="00011D5D">
        <w:rPr>
          <w:rFonts w:ascii="Book Antiqua" w:hAnsi="Book Antiqua"/>
          <w:sz w:val="24"/>
          <w:szCs w:val="24"/>
        </w:rPr>
        <w:t>)</w:t>
      </w:r>
      <w:r w:rsidRPr="00011D5D">
        <w:rPr>
          <w:rFonts w:ascii="Book Antiqua" w:hAnsi="Book Antiqua"/>
          <w:sz w:val="24"/>
          <w:szCs w:val="24"/>
        </w:rPr>
        <w:t xml:space="preserve"> made i</w:t>
      </w:r>
      <w:r w:rsidR="00155619" w:rsidRPr="00011D5D">
        <w:rPr>
          <w:rFonts w:ascii="Book Antiqua" w:hAnsi="Book Antiqua"/>
          <w:sz w:val="24"/>
          <w:szCs w:val="24"/>
        </w:rPr>
        <w:t xml:space="preserve">nitial results </w:t>
      </w:r>
      <w:r w:rsidR="00863D25" w:rsidRPr="00011D5D">
        <w:rPr>
          <w:rFonts w:ascii="Book Antiqua" w:hAnsi="Book Antiqua"/>
          <w:sz w:val="24"/>
          <w:szCs w:val="24"/>
        </w:rPr>
        <w:t>of LT for HCC quite dismal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5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863D25" w:rsidRPr="00011D5D">
        <w:rPr>
          <w:rFonts w:ascii="Book Antiqua" w:hAnsi="Book Antiqua"/>
          <w:sz w:val="24"/>
          <w:szCs w:val="24"/>
        </w:rPr>
        <w:t>.</w:t>
      </w:r>
      <w:r w:rsidR="005E02AB" w:rsidRPr="00011D5D">
        <w:rPr>
          <w:rFonts w:ascii="Book Antiqua" w:hAnsi="Book Antiqua"/>
          <w:sz w:val="24"/>
          <w:szCs w:val="24"/>
        </w:rPr>
        <w:t xml:space="preserve"> </w:t>
      </w:r>
      <w:r w:rsidR="002C4F17" w:rsidRPr="00011D5D">
        <w:rPr>
          <w:rFonts w:ascii="Book Antiqua" w:hAnsi="Book Antiqua"/>
          <w:sz w:val="24"/>
          <w:szCs w:val="24"/>
        </w:rPr>
        <w:t>It w</w:t>
      </w:r>
      <w:r w:rsidR="00A43B67" w:rsidRPr="00011D5D">
        <w:rPr>
          <w:rFonts w:ascii="Book Antiqua" w:hAnsi="Book Antiqua"/>
          <w:sz w:val="24"/>
          <w:szCs w:val="24"/>
        </w:rPr>
        <w:t xml:space="preserve">asn’t until </w:t>
      </w:r>
      <w:r w:rsidR="00155619" w:rsidRPr="00011D5D">
        <w:rPr>
          <w:rFonts w:ascii="Book Antiqua" w:hAnsi="Book Antiqua"/>
          <w:sz w:val="24"/>
          <w:szCs w:val="24"/>
        </w:rPr>
        <w:t>1996</w:t>
      </w:r>
      <w:r w:rsidR="00D76AA0" w:rsidRPr="00011D5D">
        <w:rPr>
          <w:rFonts w:ascii="Book Antiqua" w:hAnsi="Book Antiqua"/>
          <w:sz w:val="24"/>
          <w:szCs w:val="24"/>
        </w:rPr>
        <w:t>,</w:t>
      </w:r>
      <w:r w:rsidR="00155619" w:rsidRPr="00011D5D">
        <w:rPr>
          <w:rFonts w:ascii="Book Antiqua" w:hAnsi="Book Antiqua"/>
          <w:sz w:val="24"/>
          <w:szCs w:val="24"/>
        </w:rPr>
        <w:t xml:space="preserve"> </w:t>
      </w:r>
      <w:r w:rsidR="00A43B67" w:rsidRPr="00011D5D">
        <w:rPr>
          <w:rFonts w:ascii="Book Antiqua" w:hAnsi="Book Antiqua"/>
          <w:sz w:val="24"/>
          <w:szCs w:val="24"/>
        </w:rPr>
        <w:t xml:space="preserve">when </w:t>
      </w:r>
      <w:proofErr w:type="spellStart"/>
      <w:r w:rsidR="00A43B67" w:rsidRPr="00011D5D">
        <w:rPr>
          <w:rFonts w:ascii="Book Antiqua" w:hAnsi="Book Antiqua"/>
          <w:sz w:val="24"/>
          <w:szCs w:val="24"/>
        </w:rPr>
        <w:t>Mazzaferro</w:t>
      </w:r>
      <w:proofErr w:type="spellEnd"/>
      <w:r w:rsidR="00A43B67" w:rsidRPr="00011D5D">
        <w:rPr>
          <w:rFonts w:ascii="Book Antiqua" w:hAnsi="Book Antiqua"/>
          <w:sz w:val="24"/>
          <w:szCs w:val="24"/>
        </w:rPr>
        <w:t xml:space="preserve"> </w:t>
      </w:r>
      <w:r w:rsidR="00A43B67" w:rsidRPr="002C6AC4">
        <w:rPr>
          <w:rFonts w:ascii="Book Antiqua" w:hAnsi="Book Antiqua"/>
          <w:i/>
          <w:sz w:val="24"/>
          <w:szCs w:val="24"/>
        </w:rPr>
        <w:t>et al</w:t>
      </w:r>
      <w:r w:rsidR="002C6AC4" w:rsidRPr="00011D5D">
        <w:rPr>
          <w:rFonts w:ascii="Book Antiqua" w:hAnsi="Book Antiqua"/>
          <w:sz w:val="24"/>
          <w:szCs w:val="24"/>
          <w:vertAlign w:val="superscript"/>
        </w:rPr>
        <w:t>[6]</w:t>
      </w:r>
      <w:r w:rsidR="002C6AC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D5F44" w:rsidRPr="00011D5D">
        <w:rPr>
          <w:rFonts w:ascii="Book Antiqua" w:hAnsi="Book Antiqua"/>
          <w:sz w:val="24"/>
          <w:szCs w:val="24"/>
        </w:rPr>
        <w:t>defined</w:t>
      </w:r>
      <w:r w:rsidR="00A43B67" w:rsidRPr="00011D5D">
        <w:rPr>
          <w:rFonts w:ascii="Book Antiqua" w:hAnsi="Book Antiqua"/>
          <w:sz w:val="24"/>
          <w:szCs w:val="24"/>
        </w:rPr>
        <w:t xml:space="preserve"> </w:t>
      </w:r>
      <w:r w:rsidR="009805C6" w:rsidRPr="00011D5D">
        <w:rPr>
          <w:rFonts w:ascii="Book Antiqua" w:hAnsi="Book Antiqua"/>
          <w:sz w:val="24"/>
          <w:szCs w:val="24"/>
        </w:rPr>
        <w:t>tumor criteria for</w:t>
      </w:r>
      <w:r w:rsidR="00155619" w:rsidRPr="00011D5D">
        <w:rPr>
          <w:rFonts w:ascii="Book Antiqua" w:hAnsi="Book Antiqua"/>
          <w:sz w:val="24"/>
          <w:szCs w:val="24"/>
        </w:rPr>
        <w:t xml:space="preserve"> </w:t>
      </w:r>
      <w:r w:rsidR="00A43B67" w:rsidRPr="00011D5D">
        <w:rPr>
          <w:rFonts w:ascii="Book Antiqua" w:hAnsi="Book Antiqua"/>
          <w:sz w:val="24"/>
          <w:szCs w:val="24"/>
        </w:rPr>
        <w:t xml:space="preserve">patient selection </w:t>
      </w:r>
      <w:r w:rsidR="002C6AC4">
        <w:rPr>
          <w:rFonts w:ascii="Book Antiqua" w:hAnsi="Book Antiqua" w:hint="eastAsia"/>
          <w:sz w:val="24"/>
          <w:szCs w:val="24"/>
          <w:lang w:eastAsia="zh-CN"/>
        </w:rPr>
        <w:t>(</w:t>
      </w:r>
      <w:r w:rsidR="00155619" w:rsidRPr="00011D5D">
        <w:rPr>
          <w:rFonts w:ascii="Book Antiqua" w:hAnsi="Book Antiqua"/>
          <w:sz w:val="24"/>
          <w:szCs w:val="24"/>
        </w:rPr>
        <w:t xml:space="preserve">single lesion ≤ 5 cm, or up to 3 lesions ≤ 3 cm each in the absence of </w:t>
      </w:r>
      <w:r w:rsidR="009733E9" w:rsidRPr="00011D5D">
        <w:rPr>
          <w:rFonts w:ascii="Book Antiqua" w:hAnsi="Book Antiqua"/>
          <w:sz w:val="24"/>
          <w:szCs w:val="24"/>
        </w:rPr>
        <w:t xml:space="preserve">tumor </w:t>
      </w:r>
      <w:r w:rsidR="00155619" w:rsidRPr="00011D5D">
        <w:rPr>
          <w:rFonts w:ascii="Book Antiqua" w:hAnsi="Book Antiqua"/>
          <w:sz w:val="24"/>
          <w:szCs w:val="24"/>
        </w:rPr>
        <w:t>vascular invasion</w:t>
      </w:r>
      <w:r w:rsidR="00BC27EB" w:rsidRPr="00011D5D">
        <w:rPr>
          <w:rFonts w:ascii="Book Antiqua" w:hAnsi="Book Antiqua"/>
          <w:sz w:val="24"/>
          <w:szCs w:val="24"/>
        </w:rPr>
        <w:t xml:space="preserve"> or </w:t>
      </w:r>
      <w:r w:rsidR="00A43B67" w:rsidRPr="00011D5D">
        <w:rPr>
          <w:rFonts w:ascii="Book Antiqua" w:hAnsi="Book Antiqua"/>
          <w:sz w:val="24"/>
          <w:szCs w:val="24"/>
        </w:rPr>
        <w:t xml:space="preserve">evidence of extra-hepatic </w:t>
      </w:r>
      <w:r w:rsidR="00D76AA0" w:rsidRPr="00011D5D">
        <w:rPr>
          <w:rFonts w:ascii="Book Antiqua" w:hAnsi="Book Antiqua"/>
          <w:sz w:val="24"/>
          <w:szCs w:val="24"/>
        </w:rPr>
        <w:t>metastases</w:t>
      </w:r>
      <w:r w:rsidR="002C6AC4">
        <w:rPr>
          <w:rFonts w:ascii="Book Antiqua" w:hAnsi="Book Antiqua" w:hint="eastAsia"/>
          <w:sz w:val="24"/>
          <w:szCs w:val="24"/>
          <w:lang w:eastAsia="zh-CN"/>
        </w:rPr>
        <w:t>)</w:t>
      </w:r>
      <w:r w:rsidR="00A43B67" w:rsidRPr="00011D5D">
        <w:rPr>
          <w:rFonts w:ascii="Book Antiqua" w:hAnsi="Book Antiqua"/>
          <w:sz w:val="24"/>
          <w:szCs w:val="24"/>
        </w:rPr>
        <w:t xml:space="preserve"> associated with comparable outcome to patien</w:t>
      </w:r>
      <w:r w:rsidR="00863D25" w:rsidRPr="00011D5D">
        <w:rPr>
          <w:rFonts w:ascii="Book Antiqua" w:hAnsi="Book Antiqua"/>
          <w:sz w:val="24"/>
          <w:szCs w:val="24"/>
        </w:rPr>
        <w:t>ts undergoing LT without HCC</w:t>
      </w:r>
      <w:r w:rsidR="005C648B" w:rsidRPr="00011D5D">
        <w:rPr>
          <w:rFonts w:ascii="Book Antiqua" w:hAnsi="Book Antiqua"/>
          <w:sz w:val="24"/>
          <w:szCs w:val="24"/>
        </w:rPr>
        <w:t xml:space="preserve">. The study revealed </w:t>
      </w:r>
      <w:r w:rsidR="00D76AA0" w:rsidRPr="00011D5D">
        <w:rPr>
          <w:rFonts w:ascii="Book Antiqua" w:hAnsi="Book Antiqua"/>
          <w:sz w:val="24"/>
          <w:szCs w:val="24"/>
        </w:rPr>
        <w:t>4 year post-</w:t>
      </w:r>
      <w:r w:rsidR="00155619" w:rsidRPr="00011D5D">
        <w:rPr>
          <w:rFonts w:ascii="Book Antiqua" w:hAnsi="Book Antiqua"/>
          <w:sz w:val="24"/>
          <w:szCs w:val="24"/>
        </w:rPr>
        <w:t>LT survival</w:t>
      </w:r>
      <w:r w:rsidR="009733E9" w:rsidRPr="00011D5D">
        <w:rPr>
          <w:rFonts w:ascii="Book Antiqua" w:hAnsi="Book Antiqua"/>
          <w:sz w:val="24"/>
          <w:szCs w:val="24"/>
        </w:rPr>
        <w:t xml:space="preserve"> &gt;</w:t>
      </w:r>
      <w:r w:rsidR="002C6AC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733E9" w:rsidRPr="00011D5D">
        <w:rPr>
          <w:rFonts w:ascii="Book Antiqua" w:hAnsi="Book Antiqua"/>
          <w:sz w:val="24"/>
          <w:szCs w:val="24"/>
        </w:rPr>
        <w:t>7</w:t>
      </w:r>
      <w:r w:rsidR="004D5F44" w:rsidRPr="00011D5D">
        <w:rPr>
          <w:rFonts w:ascii="Book Antiqua" w:hAnsi="Book Antiqua"/>
          <w:sz w:val="24"/>
          <w:szCs w:val="24"/>
        </w:rPr>
        <w:t>5</w:t>
      </w:r>
      <w:r w:rsidR="009733E9" w:rsidRPr="00011D5D">
        <w:rPr>
          <w:rFonts w:ascii="Book Antiqua" w:hAnsi="Book Antiqua"/>
          <w:sz w:val="24"/>
          <w:szCs w:val="24"/>
        </w:rPr>
        <w:t>% and p</w:t>
      </w:r>
      <w:r w:rsidR="00F406A5" w:rsidRPr="00011D5D">
        <w:rPr>
          <w:rFonts w:ascii="Book Antiqua" w:hAnsi="Book Antiqua"/>
          <w:sz w:val="24"/>
          <w:szCs w:val="24"/>
        </w:rPr>
        <w:t>ost-LT</w:t>
      </w:r>
      <w:r w:rsidR="005C648B" w:rsidRPr="00011D5D">
        <w:rPr>
          <w:rFonts w:ascii="Book Antiqua" w:hAnsi="Book Antiqua"/>
          <w:sz w:val="24"/>
          <w:szCs w:val="24"/>
        </w:rPr>
        <w:t xml:space="preserve"> recurrence rate </w:t>
      </w:r>
      <w:r w:rsidR="009733E9" w:rsidRPr="00011D5D">
        <w:rPr>
          <w:rFonts w:ascii="Book Antiqua" w:hAnsi="Book Antiqua"/>
          <w:sz w:val="24"/>
          <w:szCs w:val="24"/>
        </w:rPr>
        <w:t>in the order of 8%.</w:t>
      </w:r>
      <w:r w:rsidR="00155619" w:rsidRPr="00011D5D">
        <w:rPr>
          <w:rFonts w:ascii="Book Antiqua" w:hAnsi="Book Antiqua"/>
          <w:sz w:val="24"/>
          <w:szCs w:val="24"/>
        </w:rPr>
        <w:t xml:space="preserve"> </w:t>
      </w:r>
      <w:r w:rsidR="00D76AA0" w:rsidRPr="00011D5D">
        <w:rPr>
          <w:rFonts w:ascii="Book Antiqua" w:hAnsi="Book Antiqua"/>
          <w:sz w:val="24"/>
          <w:szCs w:val="24"/>
        </w:rPr>
        <w:t xml:space="preserve">These criteria have since been known as the Milan criteria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="004D5F44" w:rsidRPr="00011D5D">
        <w:rPr>
          <w:rFonts w:ascii="Book Antiqua" w:hAnsi="Book Antiqua"/>
          <w:sz w:val="24"/>
          <w:szCs w:val="24"/>
        </w:rPr>
        <w:t>MC</w:t>
      </w:r>
      <w:r w:rsidR="000B2A22" w:rsidRPr="00011D5D">
        <w:rPr>
          <w:rFonts w:ascii="Book Antiqua" w:hAnsi="Book Antiqua"/>
          <w:sz w:val="24"/>
          <w:szCs w:val="24"/>
        </w:rPr>
        <w:t>)</w:t>
      </w:r>
      <w:r w:rsidR="006057E9" w:rsidRPr="00011D5D">
        <w:rPr>
          <w:rFonts w:ascii="Book Antiqua" w:hAnsi="Book Antiqua"/>
          <w:sz w:val="24"/>
          <w:szCs w:val="24"/>
        </w:rPr>
        <w:t xml:space="preserve">, and have been adopted worldwide to select </w:t>
      </w:r>
      <w:r w:rsidR="00F406A5" w:rsidRPr="00011D5D">
        <w:rPr>
          <w:rFonts w:ascii="Book Antiqua" w:hAnsi="Book Antiqua"/>
          <w:sz w:val="24"/>
          <w:szCs w:val="24"/>
        </w:rPr>
        <w:t xml:space="preserve">HCC </w:t>
      </w:r>
      <w:r w:rsidR="006057E9" w:rsidRPr="00011D5D">
        <w:rPr>
          <w:rFonts w:ascii="Book Antiqua" w:hAnsi="Book Antiqua"/>
          <w:sz w:val="24"/>
          <w:szCs w:val="24"/>
        </w:rPr>
        <w:t>patien</w:t>
      </w:r>
      <w:r w:rsidR="00863D25" w:rsidRPr="00011D5D">
        <w:rPr>
          <w:rFonts w:ascii="Book Antiqua" w:hAnsi="Book Antiqua"/>
          <w:sz w:val="24"/>
          <w:szCs w:val="24"/>
        </w:rPr>
        <w:t>ts for LT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7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53698D" w:rsidRPr="00011D5D">
        <w:rPr>
          <w:rFonts w:ascii="Book Antiqua" w:hAnsi="Book Antiqua"/>
          <w:sz w:val="24"/>
          <w:szCs w:val="24"/>
        </w:rPr>
        <w:t>.</w:t>
      </w:r>
    </w:p>
    <w:p w:rsidR="00155619" w:rsidRPr="00011D5D" w:rsidRDefault="00D76AA0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Patients who present with HCC beyond MC can be down</w:t>
      </w:r>
      <w:r w:rsidR="00A048FD" w:rsidRPr="00011D5D">
        <w:rPr>
          <w:rFonts w:ascii="Book Antiqua" w:hAnsi="Book Antiqua"/>
          <w:sz w:val="24"/>
          <w:szCs w:val="24"/>
        </w:rPr>
        <w:t>-</w:t>
      </w:r>
      <w:r w:rsidRPr="00011D5D">
        <w:rPr>
          <w:rFonts w:ascii="Book Antiqua" w:hAnsi="Book Antiqua"/>
          <w:sz w:val="24"/>
          <w:szCs w:val="24"/>
        </w:rPr>
        <w:t xml:space="preserve">staged </w:t>
      </w:r>
      <w:r w:rsidR="00251046" w:rsidRPr="00011D5D">
        <w:rPr>
          <w:rFonts w:ascii="Book Antiqua" w:hAnsi="Book Antiqua"/>
          <w:sz w:val="24"/>
          <w:szCs w:val="24"/>
        </w:rPr>
        <w:t>via</w:t>
      </w:r>
      <w:r w:rsidRPr="00011D5D">
        <w:rPr>
          <w:rFonts w:ascii="Book Antiqua" w:hAnsi="Book Antiqua"/>
          <w:sz w:val="24"/>
          <w:szCs w:val="24"/>
        </w:rPr>
        <w:t xml:space="preserve"> loco-regional</w:t>
      </w:r>
      <w:r w:rsidR="00251046" w:rsidRPr="00011D5D">
        <w:rPr>
          <w:rFonts w:ascii="Book Antiqua" w:hAnsi="Book Antiqua"/>
          <w:sz w:val="24"/>
          <w:szCs w:val="24"/>
        </w:rPr>
        <w:t xml:space="preserve"> therapy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Pr="00011D5D">
        <w:rPr>
          <w:rFonts w:ascii="Book Antiqua" w:hAnsi="Book Antiqua"/>
          <w:sz w:val="24"/>
          <w:szCs w:val="24"/>
        </w:rPr>
        <w:t>LRT</w:t>
      </w:r>
      <w:r w:rsidR="000B2A22" w:rsidRPr="00011D5D">
        <w:rPr>
          <w:rFonts w:ascii="Book Antiqua" w:hAnsi="Book Antiqua"/>
          <w:sz w:val="24"/>
          <w:szCs w:val="24"/>
        </w:rPr>
        <w:t>)</w:t>
      </w:r>
      <w:r w:rsidRPr="00011D5D">
        <w:rPr>
          <w:rFonts w:ascii="Book Antiqua" w:hAnsi="Book Antiqua"/>
          <w:sz w:val="24"/>
          <w:szCs w:val="24"/>
        </w:rPr>
        <w:t xml:space="preserve">. </w:t>
      </w:r>
      <w:r w:rsidR="009733E9" w:rsidRPr="00011D5D">
        <w:rPr>
          <w:rFonts w:ascii="Book Antiqua" w:hAnsi="Book Antiqua"/>
          <w:sz w:val="24"/>
          <w:szCs w:val="24"/>
        </w:rPr>
        <w:t xml:space="preserve"> </w:t>
      </w:r>
      <w:r w:rsidR="00A048FD" w:rsidRPr="00011D5D">
        <w:rPr>
          <w:rFonts w:ascii="Book Antiqua" w:hAnsi="Book Antiqua"/>
          <w:sz w:val="24"/>
          <w:szCs w:val="24"/>
        </w:rPr>
        <w:t>LRT are trans-</w:t>
      </w:r>
      <w:r w:rsidR="00251046" w:rsidRPr="00011D5D">
        <w:rPr>
          <w:rFonts w:ascii="Book Antiqua" w:hAnsi="Book Antiqua"/>
          <w:sz w:val="24"/>
          <w:szCs w:val="24"/>
        </w:rPr>
        <w:t xml:space="preserve">catheter, needle based or radiation treatments which target the tumor and induce selective </w:t>
      </w:r>
      <w:r w:rsidR="00D20393" w:rsidRPr="00011D5D">
        <w:rPr>
          <w:rFonts w:ascii="Book Antiqua" w:hAnsi="Book Antiqua"/>
          <w:sz w:val="24"/>
          <w:szCs w:val="24"/>
        </w:rPr>
        <w:t xml:space="preserve">tumor </w:t>
      </w:r>
      <w:r w:rsidR="00251046" w:rsidRPr="00011D5D">
        <w:rPr>
          <w:rFonts w:ascii="Book Antiqua" w:hAnsi="Book Antiqua"/>
          <w:sz w:val="24"/>
          <w:szCs w:val="24"/>
        </w:rPr>
        <w:t>necrosis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8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402843" w:rsidRPr="00011D5D">
        <w:rPr>
          <w:rFonts w:ascii="Book Antiqua" w:hAnsi="Book Antiqua"/>
          <w:sz w:val="24"/>
          <w:szCs w:val="24"/>
        </w:rPr>
        <w:t>. The</w:t>
      </w:r>
      <w:r w:rsidR="00251046" w:rsidRPr="00011D5D">
        <w:rPr>
          <w:rFonts w:ascii="Book Antiqua" w:hAnsi="Book Antiqua"/>
          <w:sz w:val="24"/>
          <w:szCs w:val="24"/>
        </w:rPr>
        <w:t xml:space="preserve"> efficacy of these treatments is gauged </w:t>
      </w:r>
      <w:r w:rsidR="00952129" w:rsidRPr="00011D5D">
        <w:rPr>
          <w:rFonts w:ascii="Book Antiqua" w:hAnsi="Book Antiqua"/>
          <w:sz w:val="24"/>
          <w:szCs w:val="24"/>
        </w:rPr>
        <w:t xml:space="preserve">radiologically </w:t>
      </w:r>
      <w:r w:rsidR="00251046" w:rsidRPr="00011D5D">
        <w:rPr>
          <w:rFonts w:ascii="Book Antiqua" w:hAnsi="Book Antiqua"/>
          <w:sz w:val="24"/>
          <w:szCs w:val="24"/>
        </w:rPr>
        <w:t xml:space="preserve">by the modified Response Evaluation Criteria in Solid Tumors </w:t>
      </w:r>
      <w:r w:rsidR="000B2A22" w:rsidRPr="00011D5D">
        <w:rPr>
          <w:rFonts w:ascii="Book Antiqua" w:hAnsi="Book Antiqua"/>
          <w:sz w:val="24"/>
          <w:szCs w:val="24"/>
        </w:rPr>
        <w:t>(</w:t>
      </w:r>
      <w:proofErr w:type="spellStart"/>
      <w:r w:rsidR="00251046" w:rsidRPr="00011D5D">
        <w:rPr>
          <w:rFonts w:ascii="Book Antiqua" w:hAnsi="Book Antiqua"/>
          <w:sz w:val="24"/>
          <w:szCs w:val="24"/>
        </w:rPr>
        <w:t>mRECIST</w:t>
      </w:r>
      <w:proofErr w:type="spellEnd"/>
      <w:r w:rsidR="000B2A22" w:rsidRPr="00011D5D">
        <w:rPr>
          <w:rFonts w:ascii="Book Antiqua" w:hAnsi="Book Antiqua"/>
          <w:sz w:val="24"/>
          <w:szCs w:val="24"/>
        </w:rPr>
        <w:t>)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9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952129" w:rsidRPr="00011D5D">
        <w:rPr>
          <w:rFonts w:ascii="Book Antiqua" w:hAnsi="Book Antiqua"/>
          <w:sz w:val="24"/>
          <w:szCs w:val="24"/>
        </w:rPr>
        <w:t>. Tumor response to LR</w:t>
      </w:r>
      <w:r w:rsidR="00F6713D" w:rsidRPr="00011D5D">
        <w:rPr>
          <w:rFonts w:ascii="Book Antiqua" w:hAnsi="Book Antiqua"/>
          <w:sz w:val="24"/>
          <w:szCs w:val="24"/>
        </w:rPr>
        <w:t xml:space="preserve">T, </w:t>
      </w:r>
      <w:r w:rsidR="00952129" w:rsidRPr="00011D5D">
        <w:rPr>
          <w:rFonts w:ascii="Book Antiqua" w:hAnsi="Book Antiqua"/>
          <w:sz w:val="24"/>
          <w:szCs w:val="24"/>
        </w:rPr>
        <w:t>post LRT observation</w:t>
      </w:r>
      <w:r w:rsidR="00D92B53" w:rsidRPr="00011D5D">
        <w:rPr>
          <w:rFonts w:ascii="Book Antiqua" w:hAnsi="Book Antiqua"/>
          <w:sz w:val="24"/>
          <w:szCs w:val="24"/>
        </w:rPr>
        <w:t xml:space="preserve"> bef</w:t>
      </w:r>
      <w:r w:rsidR="00F6713D" w:rsidRPr="00011D5D">
        <w:rPr>
          <w:rFonts w:ascii="Book Antiqua" w:hAnsi="Book Antiqua"/>
          <w:sz w:val="24"/>
          <w:szCs w:val="24"/>
        </w:rPr>
        <w:t>ore LT</w:t>
      </w:r>
      <w:r w:rsidR="00C03A06" w:rsidRPr="00011D5D">
        <w:rPr>
          <w:rFonts w:ascii="Book Antiqua" w:hAnsi="Book Antiqua"/>
          <w:sz w:val="24"/>
          <w:szCs w:val="24"/>
        </w:rPr>
        <w:t>, and</w:t>
      </w:r>
      <w:r w:rsidR="00F6713D" w:rsidRPr="00011D5D">
        <w:rPr>
          <w:rFonts w:ascii="Book Antiqua" w:hAnsi="Book Antiqua"/>
          <w:sz w:val="24"/>
          <w:szCs w:val="24"/>
        </w:rPr>
        <w:t xml:space="preserve"> HCC</w:t>
      </w:r>
      <w:r w:rsidR="00952129" w:rsidRPr="00011D5D">
        <w:rPr>
          <w:rFonts w:ascii="Book Antiqua" w:hAnsi="Book Antiqua"/>
          <w:sz w:val="24"/>
          <w:szCs w:val="24"/>
        </w:rPr>
        <w:t xml:space="preserve"> biomarkers have been described for </w:t>
      </w:r>
      <w:r w:rsidR="00F6713D" w:rsidRPr="00011D5D">
        <w:rPr>
          <w:rFonts w:ascii="Book Antiqua" w:hAnsi="Book Antiqua"/>
          <w:sz w:val="24"/>
          <w:szCs w:val="24"/>
        </w:rPr>
        <w:t>selecting the most favorable tumor biology</w:t>
      </w:r>
      <w:r w:rsidR="00C03A06" w:rsidRPr="00011D5D">
        <w:rPr>
          <w:rFonts w:ascii="Book Antiqua" w:hAnsi="Book Antiqua"/>
          <w:sz w:val="24"/>
          <w:szCs w:val="24"/>
        </w:rPr>
        <w:t xml:space="preserve"> in patients presenting with HCC beyond MC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9-11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6713D" w:rsidRPr="00011D5D">
        <w:rPr>
          <w:rFonts w:ascii="Book Antiqua" w:hAnsi="Book Antiqua"/>
          <w:sz w:val="24"/>
          <w:szCs w:val="24"/>
        </w:rPr>
        <w:t>.</w:t>
      </w:r>
    </w:p>
    <w:p w:rsidR="00F922C5" w:rsidRPr="00011D5D" w:rsidRDefault="0007654C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Although s</w:t>
      </w:r>
      <w:r w:rsidR="009733E9" w:rsidRPr="00011D5D">
        <w:rPr>
          <w:rFonts w:ascii="Book Antiqua" w:hAnsi="Book Antiqua"/>
          <w:sz w:val="24"/>
          <w:szCs w:val="24"/>
        </w:rPr>
        <w:t xml:space="preserve">trict adherence to </w:t>
      </w:r>
      <w:r w:rsidRPr="00011D5D">
        <w:rPr>
          <w:rFonts w:ascii="Book Antiqua" w:hAnsi="Book Antiqua"/>
          <w:sz w:val="24"/>
          <w:szCs w:val="24"/>
        </w:rPr>
        <w:t>MC</w:t>
      </w:r>
      <w:r w:rsidR="00347E0A" w:rsidRPr="00011D5D">
        <w:rPr>
          <w:rFonts w:ascii="Book Antiqua" w:hAnsi="Book Antiqua"/>
          <w:sz w:val="24"/>
          <w:szCs w:val="24"/>
        </w:rPr>
        <w:t xml:space="preserve"> can produce </w:t>
      </w:r>
      <w:r w:rsidR="009733E9" w:rsidRPr="00011D5D">
        <w:rPr>
          <w:rFonts w:ascii="Book Antiqua" w:hAnsi="Book Antiqua"/>
          <w:sz w:val="24"/>
          <w:szCs w:val="24"/>
        </w:rPr>
        <w:t xml:space="preserve">outcomes comparable </w:t>
      </w:r>
      <w:r w:rsidR="00A65EB4" w:rsidRPr="00011D5D">
        <w:rPr>
          <w:rFonts w:ascii="Book Antiqua" w:hAnsi="Book Antiqua"/>
          <w:sz w:val="24"/>
          <w:szCs w:val="24"/>
        </w:rPr>
        <w:t>to LT for non-HCC</w:t>
      </w:r>
      <w:r w:rsidR="009733E9" w:rsidRPr="00011D5D">
        <w:rPr>
          <w:rFonts w:ascii="Book Antiqua" w:hAnsi="Book Antiqua"/>
          <w:sz w:val="24"/>
          <w:szCs w:val="24"/>
        </w:rPr>
        <w:t>,</w:t>
      </w:r>
      <w:r w:rsidR="00A65EB4" w:rsidRPr="00011D5D">
        <w:rPr>
          <w:rFonts w:ascii="Book Antiqua" w:hAnsi="Book Antiqua"/>
          <w:sz w:val="24"/>
          <w:szCs w:val="24"/>
        </w:rPr>
        <w:t xml:space="preserve"> cumulative experience over the last two decades have shown </w:t>
      </w:r>
      <w:r w:rsidR="00D76AA0" w:rsidRPr="00011D5D">
        <w:rPr>
          <w:rFonts w:ascii="Book Antiqua" w:hAnsi="Book Antiqua"/>
          <w:sz w:val="24"/>
          <w:szCs w:val="24"/>
        </w:rPr>
        <w:t>that</w:t>
      </w:r>
      <w:r w:rsidR="00347E0A" w:rsidRPr="00011D5D">
        <w:rPr>
          <w:rFonts w:ascii="Book Antiqua" w:hAnsi="Book Antiqua"/>
          <w:sz w:val="24"/>
          <w:szCs w:val="24"/>
        </w:rPr>
        <w:t xml:space="preserve"> </w:t>
      </w:r>
      <w:r w:rsidR="00A65EB4" w:rsidRPr="00011D5D">
        <w:rPr>
          <w:rFonts w:ascii="Book Antiqua" w:hAnsi="Book Antiqua"/>
          <w:sz w:val="24"/>
          <w:szCs w:val="24"/>
        </w:rPr>
        <w:t xml:space="preserve">MC can be </w:t>
      </w:r>
      <w:r w:rsidRPr="00011D5D">
        <w:rPr>
          <w:rFonts w:ascii="Book Antiqua" w:hAnsi="Book Antiqua"/>
          <w:sz w:val="24"/>
          <w:szCs w:val="24"/>
        </w:rPr>
        <w:t xml:space="preserve">too </w:t>
      </w:r>
      <w:r w:rsidR="00D76AA0" w:rsidRPr="00011D5D">
        <w:rPr>
          <w:rFonts w:ascii="Book Antiqua" w:hAnsi="Book Antiqua"/>
          <w:sz w:val="24"/>
          <w:szCs w:val="24"/>
        </w:rPr>
        <w:t>strict</w:t>
      </w:r>
      <w:r w:rsidRPr="00011D5D">
        <w:rPr>
          <w:rFonts w:ascii="Book Antiqua" w:hAnsi="Book Antiqua"/>
          <w:sz w:val="24"/>
          <w:szCs w:val="24"/>
        </w:rPr>
        <w:t xml:space="preserve">, and that select patients beyond MC </w:t>
      </w:r>
      <w:r w:rsidR="00E64F84" w:rsidRPr="00011D5D">
        <w:rPr>
          <w:rFonts w:ascii="Book Antiqua" w:hAnsi="Book Antiqua"/>
          <w:sz w:val="24"/>
          <w:szCs w:val="24"/>
        </w:rPr>
        <w:t xml:space="preserve">may benefit from LT </w:t>
      </w:r>
      <w:r w:rsidR="00347E0A" w:rsidRPr="00011D5D">
        <w:rPr>
          <w:rFonts w:ascii="Book Antiqua" w:hAnsi="Book Antiqua"/>
          <w:sz w:val="24"/>
          <w:szCs w:val="24"/>
        </w:rPr>
        <w:t>with adequate survival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12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A65EB4" w:rsidRPr="00011D5D">
        <w:rPr>
          <w:rFonts w:ascii="Book Antiqua" w:hAnsi="Book Antiqua"/>
          <w:sz w:val="24"/>
          <w:szCs w:val="24"/>
        </w:rPr>
        <w:t xml:space="preserve">. </w:t>
      </w:r>
      <w:r w:rsidR="005305DA" w:rsidRPr="00011D5D">
        <w:rPr>
          <w:rFonts w:ascii="Book Antiqua" w:hAnsi="Book Antiqua"/>
          <w:sz w:val="24"/>
          <w:szCs w:val="24"/>
        </w:rPr>
        <w:t>T</w:t>
      </w:r>
      <w:r w:rsidRPr="00011D5D">
        <w:rPr>
          <w:rFonts w:ascii="Book Antiqua" w:hAnsi="Book Antiqua"/>
          <w:sz w:val="24"/>
          <w:szCs w:val="24"/>
        </w:rPr>
        <w:t xml:space="preserve">his has led to the development of numerous </w:t>
      </w:r>
      <w:r w:rsidR="008C3D62" w:rsidRPr="00011D5D">
        <w:rPr>
          <w:rFonts w:ascii="Book Antiqua" w:hAnsi="Book Antiqua"/>
          <w:sz w:val="24"/>
          <w:szCs w:val="24"/>
        </w:rPr>
        <w:t xml:space="preserve">HCC expanded criteria </w:t>
      </w:r>
      <w:r w:rsidR="00164AB2" w:rsidRPr="00011D5D">
        <w:rPr>
          <w:rFonts w:ascii="Book Antiqua" w:hAnsi="Book Antiqua"/>
          <w:sz w:val="24"/>
          <w:szCs w:val="24"/>
        </w:rPr>
        <w:t xml:space="preserve">worldwide, applied for both cadaveric and live donor liver transplantation. </w:t>
      </w:r>
    </w:p>
    <w:p w:rsidR="002E504F" w:rsidRPr="00011D5D" w:rsidRDefault="0007654C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011D5D">
        <w:rPr>
          <w:rFonts w:ascii="Book Antiqua" w:hAnsi="Book Antiqua"/>
          <w:sz w:val="24"/>
          <w:szCs w:val="24"/>
        </w:rPr>
        <w:lastRenderedPageBreak/>
        <w:t>Herein</w:t>
      </w:r>
      <w:r w:rsidR="00D76AA0" w:rsidRPr="00011D5D">
        <w:rPr>
          <w:rFonts w:ascii="Book Antiqua" w:hAnsi="Book Antiqua"/>
          <w:sz w:val="24"/>
          <w:szCs w:val="24"/>
        </w:rPr>
        <w:t>,</w:t>
      </w:r>
      <w:r w:rsidR="002428B4" w:rsidRPr="00011D5D">
        <w:rPr>
          <w:rFonts w:ascii="Book Antiqua" w:hAnsi="Book Antiqua"/>
          <w:sz w:val="24"/>
          <w:szCs w:val="24"/>
        </w:rPr>
        <w:t xml:space="preserve"> we review various </w:t>
      </w:r>
      <w:r w:rsidR="00522198" w:rsidRPr="00011D5D">
        <w:rPr>
          <w:rFonts w:ascii="Book Antiqua" w:hAnsi="Book Antiqua"/>
          <w:sz w:val="24"/>
          <w:szCs w:val="24"/>
        </w:rPr>
        <w:t xml:space="preserve">expanded HCC </w:t>
      </w:r>
      <w:r w:rsidR="009733E9" w:rsidRPr="00011D5D">
        <w:rPr>
          <w:rFonts w:ascii="Book Antiqua" w:hAnsi="Book Antiqua"/>
          <w:sz w:val="24"/>
          <w:szCs w:val="24"/>
        </w:rPr>
        <w:t>criteria</w:t>
      </w:r>
      <w:r w:rsidR="00522198" w:rsidRPr="00011D5D">
        <w:rPr>
          <w:rFonts w:ascii="Book Antiqua" w:hAnsi="Book Antiqua"/>
          <w:sz w:val="24"/>
          <w:szCs w:val="24"/>
        </w:rPr>
        <w:t xml:space="preserve"> </w:t>
      </w:r>
      <w:r w:rsidR="00942608" w:rsidRPr="00011D5D">
        <w:rPr>
          <w:rFonts w:ascii="Book Antiqua" w:hAnsi="Book Antiqua"/>
          <w:sz w:val="24"/>
          <w:szCs w:val="24"/>
        </w:rPr>
        <w:t xml:space="preserve">and </w:t>
      </w:r>
      <w:r w:rsidR="00780363" w:rsidRPr="00011D5D">
        <w:rPr>
          <w:rFonts w:ascii="Book Antiqua" w:hAnsi="Book Antiqua"/>
          <w:sz w:val="24"/>
          <w:szCs w:val="24"/>
        </w:rPr>
        <w:t>outcomes, impact of tumor response to LRT in post-LT outcome and emerging HCC molecular signatures that may be incorporated into patient selectio</w:t>
      </w:r>
      <w:r w:rsidR="001408A1">
        <w:rPr>
          <w:rFonts w:ascii="Book Antiqua" w:hAnsi="Book Antiqua"/>
          <w:sz w:val="24"/>
          <w:szCs w:val="24"/>
        </w:rPr>
        <w:t>n criteria in the near future.</w:t>
      </w:r>
    </w:p>
    <w:p w:rsidR="001408A1" w:rsidRDefault="001408A1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13029C" w:rsidRPr="00011D5D" w:rsidRDefault="003E1FDE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11D5D">
        <w:rPr>
          <w:rFonts w:ascii="Book Antiqua" w:hAnsi="Book Antiqua"/>
          <w:b/>
          <w:sz w:val="24"/>
          <w:szCs w:val="24"/>
        </w:rPr>
        <w:t xml:space="preserve">EXTENDED LT-HCC CRITERIA </w:t>
      </w:r>
    </w:p>
    <w:p w:rsidR="00B445E8" w:rsidRPr="00011D5D" w:rsidRDefault="007379BE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In 200</w:t>
      </w:r>
      <w:r w:rsidR="00B63C73" w:rsidRPr="00011D5D">
        <w:rPr>
          <w:rFonts w:ascii="Book Antiqua" w:hAnsi="Book Antiqua"/>
          <w:sz w:val="24"/>
          <w:szCs w:val="24"/>
        </w:rPr>
        <w:t>1</w:t>
      </w:r>
      <w:r w:rsidRPr="00011D5D">
        <w:rPr>
          <w:rFonts w:ascii="Book Antiqua" w:hAnsi="Book Antiqua"/>
          <w:sz w:val="24"/>
          <w:szCs w:val="24"/>
        </w:rPr>
        <w:t xml:space="preserve">, Yao </w:t>
      </w:r>
      <w:r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[13]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published one of the </w:t>
      </w:r>
      <w:r w:rsidR="00E64F84" w:rsidRPr="00011D5D">
        <w:rPr>
          <w:rFonts w:ascii="Book Antiqua" w:hAnsi="Book Antiqua"/>
          <w:sz w:val="24"/>
          <w:szCs w:val="24"/>
        </w:rPr>
        <w:t>most popular</w:t>
      </w:r>
      <w:r w:rsidRPr="00011D5D">
        <w:rPr>
          <w:rFonts w:ascii="Book Antiqua" w:hAnsi="Book Antiqua"/>
          <w:sz w:val="24"/>
          <w:szCs w:val="24"/>
        </w:rPr>
        <w:t xml:space="preserve"> expanded</w:t>
      </w:r>
      <w:r w:rsidR="00A26766" w:rsidRPr="00011D5D">
        <w:rPr>
          <w:rFonts w:ascii="Book Antiqua" w:hAnsi="Book Antiqua"/>
          <w:sz w:val="24"/>
          <w:szCs w:val="24"/>
        </w:rPr>
        <w:t xml:space="preserve"> </w:t>
      </w:r>
      <w:r w:rsidR="00B445E8" w:rsidRPr="00011D5D">
        <w:rPr>
          <w:rFonts w:ascii="Book Antiqua" w:hAnsi="Book Antiqua"/>
          <w:sz w:val="24"/>
          <w:szCs w:val="24"/>
        </w:rPr>
        <w:t>LT-</w:t>
      </w:r>
      <w:r w:rsidR="00A26766" w:rsidRPr="00011D5D">
        <w:rPr>
          <w:rFonts w:ascii="Book Antiqua" w:hAnsi="Book Antiqua"/>
          <w:sz w:val="24"/>
          <w:szCs w:val="24"/>
        </w:rPr>
        <w:t>HCC</w:t>
      </w:r>
      <w:r w:rsidR="008C4EA4" w:rsidRPr="00011D5D">
        <w:rPr>
          <w:rFonts w:ascii="Book Antiqua" w:hAnsi="Book Antiqua"/>
          <w:sz w:val="24"/>
          <w:szCs w:val="24"/>
        </w:rPr>
        <w:t xml:space="preserve"> criteria</w:t>
      </w:r>
      <w:r w:rsidR="00A26766" w:rsidRPr="00011D5D">
        <w:rPr>
          <w:rFonts w:ascii="Book Antiqua" w:hAnsi="Book Antiqua"/>
          <w:sz w:val="24"/>
          <w:szCs w:val="24"/>
        </w:rPr>
        <w:t>. T</w:t>
      </w:r>
      <w:r w:rsidRPr="00011D5D">
        <w:rPr>
          <w:rFonts w:ascii="Book Antiqua" w:hAnsi="Book Antiqua"/>
          <w:sz w:val="24"/>
          <w:szCs w:val="24"/>
        </w:rPr>
        <w:t xml:space="preserve">he University of California, San Francisco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Pr="00011D5D">
        <w:rPr>
          <w:rFonts w:ascii="Book Antiqua" w:hAnsi="Book Antiqua"/>
          <w:sz w:val="24"/>
          <w:szCs w:val="24"/>
        </w:rPr>
        <w:t>U</w:t>
      </w:r>
      <w:r w:rsidR="008C4EA4" w:rsidRPr="00011D5D">
        <w:rPr>
          <w:rFonts w:ascii="Book Antiqua" w:hAnsi="Book Antiqua"/>
          <w:sz w:val="24"/>
          <w:szCs w:val="24"/>
        </w:rPr>
        <w:t>CSF</w:t>
      </w:r>
      <w:r w:rsidR="000B2A22" w:rsidRPr="00011D5D">
        <w:rPr>
          <w:rFonts w:ascii="Book Antiqua" w:hAnsi="Book Antiqua"/>
          <w:sz w:val="24"/>
          <w:szCs w:val="24"/>
        </w:rPr>
        <w:t>)</w:t>
      </w:r>
      <w:r w:rsidR="008C4EA4" w:rsidRPr="00011D5D">
        <w:rPr>
          <w:rFonts w:ascii="Book Antiqua" w:hAnsi="Book Antiqua"/>
          <w:sz w:val="24"/>
          <w:szCs w:val="24"/>
        </w:rPr>
        <w:t xml:space="preserve"> criteria considered </w:t>
      </w:r>
      <w:r w:rsidR="00B445E8" w:rsidRPr="00011D5D">
        <w:rPr>
          <w:rFonts w:ascii="Book Antiqua" w:hAnsi="Book Antiqua"/>
          <w:sz w:val="24"/>
          <w:szCs w:val="24"/>
        </w:rPr>
        <w:t xml:space="preserve">a </w:t>
      </w:r>
      <w:r w:rsidR="008C4EA4" w:rsidRPr="00011D5D">
        <w:rPr>
          <w:rFonts w:ascii="Book Antiqua" w:hAnsi="Book Antiqua"/>
          <w:sz w:val="24"/>
          <w:szCs w:val="24"/>
        </w:rPr>
        <w:t xml:space="preserve">single lesion </w:t>
      </w:r>
      <w:r w:rsidRPr="00011D5D">
        <w:rPr>
          <w:rFonts w:ascii="Book Antiqua" w:hAnsi="Book Antiqua"/>
          <w:sz w:val="24"/>
          <w:szCs w:val="24"/>
        </w:rPr>
        <w:t xml:space="preserve"> ≤ 6.5 cm, </w:t>
      </w:r>
      <w:r w:rsidR="008C4EA4" w:rsidRPr="00011D5D">
        <w:rPr>
          <w:rFonts w:ascii="Book Antiqua" w:hAnsi="Book Antiqua"/>
          <w:sz w:val="24"/>
          <w:szCs w:val="24"/>
        </w:rPr>
        <w:t>or 2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>-</w:t>
      </w:r>
      <w:r w:rsidR="008C4EA4" w:rsidRPr="00011D5D">
        <w:rPr>
          <w:rFonts w:ascii="Book Antiqua" w:hAnsi="Book Antiqua"/>
          <w:sz w:val="24"/>
          <w:szCs w:val="24"/>
        </w:rPr>
        <w:t xml:space="preserve">3 lesions ≤ 4.5 cm each, with </w:t>
      </w:r>
      <w:r w:rsidRPr="00011D5D">
        <w:rPr>
          <w:rFonts w:ascii="Book Antiqua" w:hAnsi="Book Antiqua"/>
          <w:sz w:val="24"/>
          <w:szCs w:val="24"/>
        </w:rPr>
        <w:t xml:space="preserve">total </w:t>
      </w:r>
      <w:r w:rsidR="008C4EA4" w:rsidRPr="00011D5D">
        <w:rPr>
          <w:rFonts w:ascii="Book Antiqua" w:hAnsi="Book Antiqua"/>
          <w:sz w:val="24"/>
          <w:szCs w:val="24"/>
        </w:rPr>
        <w:t xml:space="preserve">tumor diameter ≤ </w:t>
      </w:r>
      <w:r w:rsidR="00B77752" w:rsidRPr="00011D5D">
        <w:rPr>
          <w:rFonts w:ascii="Book Antiqua" w:hAnsi="Book Antiqua"/>
          <w:sz w:val="24"/>
          <w:szCs w:val="24"/>
        </w:rPr>
        <w:t>8 cm</w:t>
      </w:r>
      <w:r w:rsidR="0053698D" w:rsidRPr="00011D5D">
        <w:rPr>
          <w:rFonts w:ascii="Book Antiqua" w:hAnsi="Book Antiqua"/>
          <w:sz w:val="24"/>
          <w:szCs w:val="24"/>
        </w:rPr>
        <w:t>.</w:t>
      </w:r>
    </w:p>
    <w:p w:rsidR="0013029C" w:rsidRPr="00011D5D" w:rsidRDefault="00B63C73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T</w:t>
      </w:r>
      <w:r w:rsidR="00306D33" w:rsidRPr="00011D5D">
        <w:rPr>
          <w:rFonts w:ascii="Book Antiqua" w:hAnsi="Book Antiqua"/>
          <w:sz w:val="24"/>
          <w:szCs w:val="24"/>
        </w:rPr>
        <w:t xml:space="preserve">umor recurrence was 11.4% </w:t>
      </w:r>
      <w:r w:rsidRPr="00011D5D">
        <w:rPr>
          <w:rFonts w:ascii="Book Antiqua" w:hAnsi="Book Antiqua"/>
          <w:sz w:val="24"/>
          <w:szCs w:val="24"/>
        </w:rPr>
        <w:t>and 5 year</w:t>
      </w:r>
      <w:r w:rsidR="00F922C5" w:rsidRPr="00011D5D">
        <w:rPr>
          <w:rFonts w:ascii="Book Antiqua" w:hAnsi="Book Antiqua"/>
          <w:sz w:val="24"/>
          <w:szCs w:val="24"/>
        </w:rPr>
        <w:t>s</w:t>
      </w:r>
      <w:r w:rsidR="00306D33" w:rsidRPr="00011D5D">
        <w:rPr>
          <w:rFonts w:ascii="Book Antiqua" w:hAnsi="Book Antiqua"/>
          <w:sz w:val="24"/>
          <w:szCs w:val="24"/>
        </w:rPr>
        <w:t xml:space="preserve"> post-LT</w:t>
      </w:r>
      <w:r w:rsidRPr="00011D5D">
        <w:rPr>
          <w:rFonts w:ascii="Book Antiqua" w:hAnsi="Book Antiqua"/>
          <w:sz w:val="24"/>
          <w:szCs w:val="24"/>
        </w:rPr>
        <w:t xml:space="preserve"> survival </w:t>
      </w:r>
      <w:r w:rsidR="00306D33" w:rsidRPr="00011D5D">
        <w:rPr>
          <w:rFonts w:ascii="Book Antiqua" w:hAnsi="Book Antiqua"/>
          <w:sz w:val="24"/>
          <w:szCs w:val="24"/>
        </w:rPr>
        <w:t xml:space="preserve">was </w:t>
      </w:r>
      <w:r w:rsidRPr="00011D5D">
        <w:rPr>
          <w:rFonts w:ascii="Book Antiqua" w:hAnsi="Book Antiqua"/>
          <w:sz w:val="24"/>
          <w:szCs w:val="24"/>
        </w:rPr>
        <w:t>in the order of 72</w:t>
      </w:r>
      <w:r w:rsidR="00B77752" w:rsidRPr="00011D5D">
        <w:rPr>
          <w:rFonts w:ascii="Book Antiqua" w:hAnsi="Book Antiqua"/>
          <w:sz w:val="24"/>
          <w:szCs w:val="24"/>
        </w:rPr>
        <w:t>.4%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3698D" w:rsidRPr="00011D5D">
        <w:rPr>
          <w:rFonts w:ascii="Book Antiqua" w:hAnsi="Book Antiqua"/>
          <w:sz w:val="24"/>
          <w:szCs w:val="24"/>
          <w:vertAlign w:val="superscript"/>
        </w:rPr>
        <w:t>13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B77752" w:rsidRPr="00011D5D">
        <w:rPr>
          <w:rFonts w:ascii="Book Antiqua" w:hAnsi="Book Antiqua"/>
          <w:sz w:val="24"/>
          <w:szCs w:val="24"/>
        </w:rPr>
        <w:t>.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The </w:t>
      </w:r>
      <w:r w:rsidR="00306D33" w:rsidRPr="00011D5D">
        <w:rPr>
          <w:rFonts w:ascii="Book Antiqua" w:hAnsi="Book Antiqua"/>
          <w:sz w:val="24"/>
          <w:szCs w:val="24"/>
        </w:rPr>
        <w:t>original UCSF criteria were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developed based on </w:t>
      </w:r>
      <w:r w:rsidR="00272E95" w:rsidRPr="00011D5D">
        <w:rPr>
          <w:rFonts w:ascii="Book Antiqua" w:hAnsi="Book Antiqua"/>
          <w:sz w:val="24"/>
          <w:szCs w:val="24"/>
        </w:rPr>
        <w:t>explant histopathological analysis</w:t>
      </w:r>
      <w:r w:rsidR="00CF3D6F" w:rsidRPr="00011D5D">
        <w:rPr>
          <w:rFonts w:ascii="Book Antiqua" w:hAnsi="Book Antiqua"/>
          <w:sz w:val="24"/>
          <w:szCs w:val="24"/>
        </w:rPr>
        <w:t xml:space="preserve">, but subsequently have been </w:t>
      </w:r>
      <w:r w:rsidR="005D6B25" w:rsidRPr="00011D5D">
        <w:rPr>
          <w:rFonts w:ascii="Book Antiqua" w:hAnsi="Book Antiqua"/>
          <w:sz w:val="24"/>
          <w:szCs w:val="24"/>
        </w:rPr>
        <w:t>validated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="00BE42AA" w:rsidRPr="00011D5D">
        <w:rPr>
          <w:rFonts w:ascii="Book Antiqua" w:hAnsi="Book Antiqua"/>
          <w:sz w:val="24"/>
          <w:szCs w:val="24"/>
        </w:rPr>
        <w:t xml:space="preserve">utilizing </w:t>
      </w:r>
      <w:r w:rsidR="00CF3D6F" w:rsidRPr="00011D5D">
        <w:rPr>
          <w:rFonts w:ascii="Book Antiqua" w:hAnsi="Book Antiqua"/>
          <w:sz w:val="24"/>
          <w:szCs w:val="24"/>
        </w:rPr>
        <w:t>pre-LT</w:t>
      </w:r>
      <w:r w:rsidR="005D6B25" w:rsidRPr="00011D5D">
        <w:rPr>
          <w:rFonts w:ascii="Book Antiqua" w:hAnsi="Book Antiqua"/>
          <w:sz w:val="24"/>
          <w:szCs w:val="24"/>
        </w:rPr>
        <w:t xml:space="preserve"> imaging. In 2</w:t>
      </w:r>
      <w:r w:rsidR="00B32AAC" w:rsidRPr="00011D5D">
        <w:rPr>
          <w:rFonts w:ascii="Book Antiqua" w:hAnsi="Book Antiqua"/>
          <w:sz w:val="24"/>
          <w:szCs w:val="24"/>
        </w:rPr>
        <w:t>007, Yao et al. published a prospective study utilizing the UCSF criteria revealing</w:t>
      </w:r>
      <w:r w:rsidR="003C0C39" w:rsidRPr="00011D5D">
        <w:rPr>
          <w:rFonts w:ascii="Book Antiqua" w:hAnsi="Book Antiqua"/>
          <w:sz w:val="24"/>
          <w:szCs w:val="24"/>
        </w:rPr>
        <w:t xml:space="preserve"> 80%</w:t>
      </w:r>
      <w:r w:rsidR="00B32AAC" w:rsidRPr="00011D5D">
        <w:rPr>
          <w:rFonts w:ascii="Book Antiqua" w:hAnsi="Book Antiqua"/>
          <w:sz w:val="24"/>
          <w:szCs w:val="24"/>
        </w:rPr>
        <w:t xml:space="preserve"> 5 years post-LT r</w:t>
      </w:r>
      <w:r w:rsidR="00B77752" w:rsidRPr="00011D5D">
        <w:rPr>
          <w:rFonts w:ascii="Book Antiqua" w:hAnsi="Book Antiqua"/>
          <w:sz w:val="24"/>
          <w:szCs w:val="24"/>
        </w:rPr>
        <w:t xml:space="preserve">ecurrence free survival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="00B77752" w:rsidRPr="00011D5D">
        <w:rPr>
          <w:rFonts w:ascii="Book Antiqua" w:hAnsi="Book Antiqua"/>
          <w:sz w:val="24"/>
          <w:szCs w:val="24"/>
        </w:rPr>
        <w:t>RFS</w:t>
      </w:r>
      <w:r w:rsidR="000B2A22" w:rsidRPr="00011D5D">
        <w:rPr>
          <w:rFonts w:ascii="Book Antiqua" w:hAnsi="Book Antiqua"/>
          <w:sz w:val="24"/>
          <w:szCs w:val="24"/>
        </w:rPr>
        <w:t>)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14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B77752" w:rsidRPr="00011D5D">
        <w:rPr>
          <w:rFonts w:ascii="Book Antiqua" w:hAnsi="Book Antiqua"/>
          <w:sz w:val="24"/>
          <w:szCs w:val="24"/>
        </w:rPr>
        <w:t>.</w:t>
      </w:r>
      <w:r w:rsidR="00CA3EF8" w:rsidRPr="00011D5D">
        <w:rPr>
          <w:rFonts w:ascii="Book Antiqua" w:hAnsi="Book Antiqua"/>
          <w:sz w:val="24"/>
          <w:szCs w:val="24"/>
        </w:rPr>
        <w:t xml:space="preserve"> </w:t>
      </w:r>
      <w:r w:rsidR="0085121E" w:rsidRPr="00011D5D">
        <w:rPr>
          <w:rFonts w:ascii="Book Antiqua" w:hAnsi="Book Antiqua"/>
          <w:sz w:val="24"/>
          <w:szCs w:val="24"/>
        </w:rPr>
        <w:t>Alongside MC, U</w:t>
      </w:r>
      <w:r w:rsidR="007379BE" w:rsidRPr="00011D5D">
        <w:rPr>
          <w:rFonts w:ascii="Book Antiqua" w:hAnsi="Book Antiqua"/>
          <w:sz w:val="24"/>
          <w:szCs w:val="24"/>
        </w:rPr>
        <w:t>C</w:t>
      </w:r>
      <w:r w:rsidR="0085121E" w:rsidRPr="00011D5D">
        <w:rPr>
          <w:rFonts w:ascii="Book Antiqua" w:hAnsi="Book Antiqua"/>
          <w:sz w:val="24"/>
          <w:szCs w:val="24"/>
        </w:rPr>
        <w:t>S</w:t>
      </w:r>
      <w:r w:rsidR="007379BE" w:rsidRPr="00011D5D">
        <w:rPr>
          <w:rFonts w:ascii="Book Antiqua" w:hAnsi="Book Antiqua"/>
          <w:sz w:val="24"/>
          <w:szCs w:val="24"/>
        </w:rPr>
        <w:t>F criteria h</w:t>
      </w:r>
      <w:r w:rsidR="002115D5" w:rsidRPr="00011D5D">
        <w:rPr>
          <w:rFonts w:ascii="Book Antiqua" w:hAnsi="Book Antiqua"/>
          <w:sz w:val="24"/>
          <w:szCs w:val="24"/>
        </w:rPr>
        <w:t xml:space="preserve">ave been </w:t>
      </w:r>
      <w:r w:rsidRPr="00011D5D">
        <w:rPr>
          <w:rFonts w:ascii="Book Antiqua" w:hAnsi="Book Antiqua"/>
          <w:sz w:val="24"/>
          <w:szCs w:val="24"/>
        </w:rPr>
        <w:t xml:space="preserve">the most </w:t>
      </w:r>
      <w:r w:rsidR="002115D5" w:rsidRPr="00011D5D">
        <w:rPr>
          <w:rFonts w:ascii="Book Antiqua" w:hAnsi="Book Antiqua"/>
          <w:sz w:val="24"/>
          <w:szCs w:val="24"/>
        </w:rPr>
        <w:t>widely recognized</w:t>
      </w:r>
      <w:r w:rsidRPr="00011D5D">
        <w:rPr>
          <w:rFonts w:ascii="Book Antiqua" w:hAnsi="Book Antiqua"/>
          <w:sz w:val="24"/>
          <w:szCs w:val="24"/>
        </w:rPr>
        <w:t xml:space="preserve"> transplant criteria for HCC</w:t>
      </w:r>
      <w:r w:rsidR="0085121E" w:rsidRPr="00011D5D">
        <w:rPr>
          <w:rFonts w:ascii="Book Antiqua" w:hAnsi="Book Antiqua"/>
          <w:sz w:val="24"/>
          <w:szCs w:val="24"/>
        </w:rPr>
        <w:t>, and can expand 5</w:t>
      </w:r>
      <w:r w:rsidR="001408A1" w:rsidRPr="00011D5D">
        <w:rPr>
          <w:rFonts w:ascii="Book Antiqua" w:hAnsi="Book Antiqua"/>
          <w:sz w:val="24"/>
          <w:szCs w:val="24"/>
        </w:rPr>
        <w:t>%</w:t>
      </w:r>
      <w:r w:rsidR="0085121E" w:rsidRPr="00011D5D">
        <w:rPr>
          <w:rFonts w:ascii="Book Antiqua" w:hAnsi="Book Antiqua"/>
          <w:sz w:val="24"/>
          <w:szCs w:val="24"/>
        </w:rPr>
        <w:t>-20% the indic</w:t>
      </w:r>
      <w:r w:rsidR="00B77752" w:rsidRPr="00011D5D">
        <w:rPr>
          <w:rFonts w:ascii="Book Antiqua" w:hAnsi="Book Antiqua"/>
          <w:sz w:val="24"/>
          <w:szCs w:val="24"/>
        </w:rPr>
        <w:t>ation of LT for HCC patients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14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B77752" w:rsidRPr="00011D5D">
        <w:rPr>
          <w:rFonts w:ascii="Book Antiqua" w:hAnsi="Book Antiqua"/>
          <w:sz w:val="24"/>
          <w:szCs w:val="24"/>
        </w:rPr>
        <w:t xml:space="preserve">. </w:t>
      </w:r>
      <w:r w:rsidR="00A15CF0" w:rsidRPr="00011D5D">
        <w:rPr>
          <w:rFonts w:ascii="Book Antiqua" w:hAnsi="Book Antiqua"/>
          <w:sz w:val="24"/>
          <w:szCs w:val="24"/>
        </w:rPr>
        <w:t xml:space="preserve">Currently, some worldwide transplant centers utilize </w:t>
      </w:r>
      <w:r w:rsidR="002115D5" w:rsidRPr="00011D5D">
        <w:rPr>
          <w:rFonts w:ascii="Book Antiqua" w:hAnsi="Book Antiqua"/>
          <w:sz w:val="24"/>
          <w:szCs w:val="24"/>
        </w:rPr>
        <w:t xml:space="preserve">UCSF as </w:t>
      </w:r>
      <w:r w:rsidRPr="00011D5D">
        <w:rPr>
          <w:rFonts w:ascii="Book Antiqua" w:hAnsi="Book Antiqua"/>
          <w:sz w:val="24"/>
          <w:szCs w:val="24"/>
        </w:rPr>
        <w:t xml:space="preserve">the </w:t>
      </w:r>
      <w:r w:rsidR="002115D5" w:rsidRPr="00011D5D">
        <w:rPr>
          <w:rFonts w:ascii="Book Antiqua" w:hAnsi="Book Antiqua"/>
          <w:sz w:val="24"/>
          <w:szCs w:val="24"/>
        </w:rPr>
        <w:t xml:space="preserve">standard selection </w:t>
      </w:r>
      <w:r w:rsidR="0085121E" w:rsidRPr="00011D5D">
        <w:rPr>
          <w:rFonts w:ascii="Book Antiqua" w:hAnsi="Book Antiqua"/>
          <w:sz w:val="24"/>
          <w:szCs w:val="24"/>
        </w:rPr>
        <w:t xml:space="preserve">LT </w:t>
      </w:r>
      <w:r w:rsidR="002115D5" w:rsidRPr="00011D5D">
        <w:rPr>
          <w:rFonts w:ascii="Book Antiqua" w:hAnsi="Book Antiqua"/>
          <w:sz w:val="24"/>
          <w:szCs w:val="24"/>
        </w:rPr>
        <w:t>criteria</w:t>
      </w:r>
      <w:r w:rsidRPr="00011D5D">
        <w:rPr>
          <w:rFonts w:ascii="Book Antiqua" w:hAnsi="Book Antiqua"/>
          <w:sz w:val="24"/>
          <w:szCs w:val="24"/>
        </w:rPr>
        <w:t xml:space="preserve"> for HCC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15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70417F" w:rsidRPr="00011D5D" w:rsidRDefault="007323DC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The Navarro extended criteria described by Herrero et al. i</w:t>
      </w:r>
      <w:r w:rsidR="00790A4E" w:rsidRPr="00011D5D">
        <w:rPr>
          <w:rFonts w:ascii="Book Antiqua" w:hAnsi="Book Antiqua"/>
          <w:sz w:val="24"/>
          <w:szCs w:val="24"/>
        </w:rPr>
        <w:t xml:space="preserve">n 2001 </w:t>
      </w:r>
      <w:r w:rsidR="0070417F" w:rsidRPr="00011D5D">
        <w:rPr>
          <w:rFonts w:ascii="Book Antiqua" w:hAnsi="Book Antiqua"/>
          <w:sz w:val="24"/>
          <w:szCs w:val="24"/>
        </w:rPr>
        <w:t xml:space="preserve">can </w:t>
      </w:r>
      <w:r w:rsidR="00790A4E" w:rsidRPr="00011D5D">
        <w:rPr>
          <w:rFonts w:ascii="Book Antiqua" w:hAnsi="Book Antiqua"/>
          <w:sz w:val="24"/>
          <w:szCs w:val="24"/>
        </w:rPr>
        <w:t>expand the MC by considering</w:t>
      </w:r>
      <w:r w:rsidRPr="00011D5D">
        <w:rPr>
          <w:rFonts w:ascii="Book Antiqua" w:hAnsi="Book Antiqua"/>
          <w:sz w:val="24"/>
          <w:szCs w:val="24"/>
        </w:rPr>
        <w:t xml:space="preserve"> LT for a single lesion ≤ 6 cm, or 2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>-</w:t>
      </w:r>
      <w:r w:rsidRPr="00011D5D">
        <w:rPr>
          <w:rFonts w:ascii="Book Antiqua" w:hAnsi="Book Antiqua"/>
          <w:sz w:val="24"/>
          <w:szCs w:val="24"/>
        </w:rPr>
        <w:t>3 lesions ≤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5 cm each. In their </w:t>
      </w:r>
      <w:r w:rsidR="00790A4E" w:rsidRPr="00011D5D">
        <w:rPr>
          <w:rFonts w:ascii="Book Antiqua" w:hAnsi="Book Antiqua"/>
          <w:sz w:val="24"/>
          <w:szCs w:val="24"/>
        </w:rPr>
        <w:t xml:space="preserve">analysis, 12.7% of the </w:t>
      </w:r>
      <w:r w:rsidR="00BE42AA" w:rsidRPr="00011D5D">
        <w:rPr>
          <w:rFonts w:ascii="Book Antiqua" w:hAnsi="Book Antiqua"/>
          <w:sz w:val="24"/>
          <w:szCs w:val="24"/>
        </w:rPr>
        <w:t>cohort experienced tumor recurrence</w:t>
      </w:r>
      <w:r w:rsidR="00790A4E" w:rsidRPr="00011D5D">
        <w:rPr>
          <w:rFonts w:ascii="Book Antiqua" w:hAnsi="Book Antiqua"/>
          <w:sz w:val="24"/>
          <w:szCs w:val="24"/>
        </w:rPr>
        <w:t xml:space="preserve">.  Post-LT 5 years overall </w:t>
      </w:r>
      <w:r w:rsidR="00CC183F" w:rsidRPr="00CC183F">
        <w:rPr>
          <w:rFonts w:ascii="Book Antiqua" w:hAnsi="Book Antiqua"/>
          <w:sz w:val="24"/>
          <w:szCs w:val="24"/>
        </w:rPr>
        <w:t xml:space="preserve">survival </w:t>
      </w:r>
      <w:r w:rsidR="003B54AB" w:rsidRPr="00011D5D">
        <w:rPr>
          <w:rFonts w:ascii="Book Antiqua" w:hAnsi="Book Antiqua"/>
          <w:sz w:val="24"/>
          <w:szCs w:val="24"/>
        </w:rPr>
        <w:t xml:space="preserve">(OS) </w:t>
      </w:r>
      <w:r w:rsidR="00790A4E" w:rsidRPr="00011D5D">
        <w:rPr>
          <w:rFonts w:ascii="Book Antiqua" w:hAnsi="Book Antiqua"/>
          <w:sz w:val="24"/>
          <w:szCs w:val="24"/>
        </w:rPr>
        <w:t xml:space="preserve">and RFS was 79% and </w:t>
      </w:r>
      <w:r w:rsidR="00BE42AA" w:rsidRPr="00011D5D">
        <w:rPr>
          <w:rFonts w:ascii="Book Antiqua" w:hAnsi="Book Antiqua"/>
          <w:sz w:val="24"/>
          <w:szCs w:val="24"/>
        </w:rPr>
        <w:t>70%</w:t>
      </w:r>
      <w:r w:rsidR="00730C30" w:rsidRPr="00011D5D">
        <w:rPr>
          <w:rFonts w:ascii="Book Antiqua" w:hAnsi="Book Antiqua"/>
          <w:sz w:val="24"/>
          <w:szCs w:val="24"/>
        </w:rPr>
        <w:t xml:space="preserve"> respectively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16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2115D5" w:rsidRPr="00011D5D" w:rsidRDefault="0070417F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Silva </w:t>
      </w:r>
      <w:r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[17]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published the </w:t>
      </w:r>
      <w:r w:rsidR="00730C30" w:rsidRPr="00011D5D">
        <w:rPr>
          <w:rFonts w:ascii="Book Antiqua" w:hAnsi="Book Antiqua"/>
          <w:sz w:val="24"/>
          <w:szCs w:val="24"/>
        </w:rPr>
        <w:t>Valencia criteria in 2008</w:t>
      </w:r>
      <w:r w:rsidR="00CA3EF8" w:rsidRPr="00011D5D">
        <w:rPr>
          <w:rFonts w:ascii="Book Antiqua" w:hAnsi="Book Antiqua"/>
          <w:sz w:val="24"/>
          <w:szCs w:val="24"/>
        </w:rPr>
        <w:t xml:space="preserve">.  </w:t>
      </w:r>
      <w:r w:rsidRPr="00011D5D">
        <w:rPr>
          <w:rFonts w:ascii="Book Antiqua" w:hAnsi="Book Antiqua"/>
          <w:sz w:val="24"/>
          <w:szCs w:val="24"/>
        </w:rPr>
        <w:t xml:space="preserve">These would consider </w:t>
      </w:r>
      <w:r w:rsidR="0084272B" w:rsidRPr="00011D5D">
        <w:rPr>
          <w:rFonts w:ascii="Book Antiqua" w:hAnsi="Book Antiqua"/>
          <w:sz w:val="24"/>
          <w:szCs w:val="24"/>
        </w:rPr>
        <w:t xml:space="preserve">LT </w:t>
      </w:r>
      <w:r w:rsidRPr="00011D5D">
        <w:rPr>
          <w:rFonts w:ascii="Book Antiqua" w:hAnsi="Book Antiqua"/>
          <w:sz w:val="24"/>
          <w:szCs w:val="24"/>
        </w:rPr>
        <w:t xml:space="preserve">in HCC patients with </w:t>
      </w:r>
      <w:r w:rsidR="0084272B" w:rsidRPr="00011D5D">
        <w:rPr>
          <w:rFonts w:ascii="Book Antiqua" w:hAnsi="Book Antiqua"/>
          <w:sz w:val="24"/>
          <w:szCs w:val="24"/>
        </w:rPr>
        <w:t>1</w:t>
      </w:r>
      <w:r w:rsidRPr="00011D5D">
        <w:rPr>
          <w:rFonts w:ascii="Book Antiqua" w:hAnsi="Book Antiqua"/>
          <w:sz w:val="24"/>
          <w:szCs w:val="24"/>
        </w:rPr>
        <w:t xml:space="preserve">-3 lesions ≤ 5 cm each, and </w:t>
      </w:r>
      <w:r w:rsidR="0084272B" w:rsidRPr="00011D5D">
        <w:rPr>
          <w:rFonts w:ascii="Book Antiqua" w:hAnsi="Book Antiqua"/>
          <w:sz w:val="24"/>
          <w:szCs w:val="24"/>
        </w:rPr>
        <w:t>tot</w:t>
      </w:r>
      <w:r w:rsidRPr="00011D5D">
        <w:rPr>
          <w:rFonts w:ascii="Book Antiqua" w:hAnsi="Book Antiqua"/>
          <w:sz w:val="24"/>
          <w:szCs w:val="24"/>
        </w:rPr>
        <w:t>al tumor ≤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10 cm</w:t>
      </w:r>
      <w:r w:rsidR="0084272B" w:rsidRPr="00011D5D">
        <w:rPr>
          <w:rFonts w:ascii="Book Antiqua" w:hAnsi="Book Antiqua"/>
          <w:sz w:val="24"/>
          <w:szCs w:val="24"/>
        </w:rPr>
        <w:t>. 257 patients undergoing LT for HCC were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4272B" w:rsidRPr="00011D5D">
        <w:rPr>
          <w:rFonts w:ascii="Book Antiqua" w:hAnsi="Book Antiqua"/>
          <w:sz w:val="24"/>
          <w:szCs w:val="24"/>
        </w:rPr>
        <w:t xml:space="preserve">analyzed, </w:t>
      </w:r>
      <w:r w:rsidRPr="00011D5D">
        <w:rPr>
          <w:rFonts w:ascii="Book Antiqua" w:hAnsi="Book Antiqua"/>
          <w:sz w:val="24"/>
          <w:szCs w:val="24"/>
        </w:rPr>
        <w:t xml:space="preserve">however only 10% </w:t>
      </w:r>
      <w:r w:rsidR="0084272B" w:rsidRPr="00011D5D">
        <w:rPr>
          <w:rFonts w:ascii="Book Antiqua" w:hAnsi="Book Antiqua"/>
          <w:sz w:val="24"/>
          <w:szCs w:val="24"/>
        </w:rPr>
        <w:t>were beyond MC base</w:t>
      </w:r>
      <w:r w:rsidRPr="00011D5D">
        <w:rPr>
          <w:rFonts w:ascii="Book Antiqua" w:hAnsi="Book Antiqua"/>
          <w:sz w:val="24"/>
          <w:szCs w:val="24"/>
        </w:rPr>
        <w:t>d on pre-LT imaging</w:t>
      </w:r>
      <w:r w:rsidR="0084272B" w:rsidRPr="00011D5D">
        <w:rPr>
          <w:rFonts w:ascii="Book Antiqua" w:hAnsi="Book Antiqua"/>
          <w:sz w:val="24"/>
          <w:szCs w:val="24"/>
        </w:rPr>
        <w:t xml:space="preserve">. Patients who fell within the </w:t>
      </w:r>
      <w:r w:rsidRPr="00011D5D">
        <w:rPr>
          <w:rFonts w:ascii="Book Antiqua" w:hAnsi="Book Antiqua"/>
          <w:sz w:val="24"/>
          <w:szCs w:val="24"/>
        </w:rPr>
        <w:t>Valencia criteria demonstrated post-LT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4272B" w:rsidRPr="00011D5D">
        <w:rPr>
          <w:rFonts w:ascii="Book Antiqua" w:hAnsi="Book Antiqua"/>
          <w:sz w:val="24"/>
          <w:szCs w:val="24"/>
        </w:rPr>
        <w:t>5 year</w:t>
      </w:r>
      <w:r w:rsidR="002C4F17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survival comparable to </w:t>
      </w:r>
      <w:r w:rsidR="00400109" w:rsidRPr="00011D5D">
        <w:rPr>
          <w:rFonts w:ascii="Book Antiqua" w:hAnsi="Book Antiqua"/>
          <w:sz w:val="24"/>
          <w:szCs w:val="24"/>
        </w:rPr>
        <w:t>patients within MC. The</w:t>
      </w:r>
      <w:r w:rsidRPr="00011D5D">
        <w:rPr>
          <w:rFonts w:ascii="Book Antiqua" w:hAnsi="Book Antiqua"/>
          <w:sz w:val="24"/>
          <w:szCs w:val="24"/>
        </w:rPr>
        <w:t xml:space="preserve"> Valencia criteria expands LT to a </w:t>
      </w:r>
      <w:r w:rsidR="00400109" w:rsidRPr="00011D5D">
        <w:rPr>
          <w:rFonts w:ascii="Book Antiqua" w:hAnsi="Book Antiqua"/>
          <w:sz w:val="24"/>
          <w:szCs w:val="24"/>
        </w:rPr>
        <w:t>higher maximum tumor burden compared to both</w:t>
      </w:r>
      <w:r w:rsidRPr="00011D5D">
        <w:rPr>
          <w:rFonts w:ascii="Book Antiqua" w:hAnsi="Book Antiqua"/>
          <w:sz w:val="24"/>
          <w:szCs w:val="24"/>
        </w:rPr>
        <w:t xml:space="preserve"> MC and UCSF criteria, without</w:t>
      </w:r>
      <w:r w:rsidR="00400109" w:rsidRPr="00011D5D">
        <w:rPr>
          <w:rFonts w:ascii="Book Antiqua" w:hAnsi="Book Antiqua"/>
          <w:sz w:val="24"/>
          <w:szCs w:val="24"/>
        </w:rPr>
        <w:t xml:space="preserve"> detriment to patient survival, ho</w:t>
      </w:r>
      <w:r w:rsidRPr="00011D5D">
        <w:rPr>
          <w:rFonts w:ascii="Book Antiqua" w:hAnsi="Book Antiqua"/>
          <w:sz w:val="24"/>
          <w:szCs w:val="24"/>
        </w:rPr>
        <w:t xml:space="preserve">wever </w:t>
      </w:r>
      <w:r w:rsidR="00874DD8" w:rsidRPr="00011D5D">
        <w:rPr>
          <w:rFonts w:ascii="Book Antiqua" w:hAnsi="Book Antiqua"/>
          <w:sz w:val="24"/>
          <w:szCs w:val="24"/>
        </w:rPr>
        <w:t xml:space="preserve">similar to the Navarro criteria, </w:t>
      </w:r>
      <w:r w:rsidRPr="00011D5D">
        <w:rPr>
          <w:rFonts w:ascii="Book Antiqua" w:hAnsi="Book Antiqua"/>
          <w:sz w:val="24"/>
          <w:szCs w:val="24"/>
        </w:rPr>
        <w:t xml:space="preserve">due to the small number of </w:t>
      </w:r>
      <w:r w:rsidR="00400109" w:rsidRPr="00011D5D">
        <w:rPr>
          <w:rFonts w:ascii="Book Antiqua" w:hAnsi="Book Antiqua"/>
          <w:sz w:val="24"/>
          <w:szCs w:val="24"/>
        </w:rPr>
        <w:t>patients in this cohort</w:t>
      </w:r>
      <w:r w:rsidRPr="00011D5D">
        <w:rPr>
          <w:rFonts w:ascii="Book Antiqua" w:hAnsi="Book Antiqua"/>
          <w:sz w:val="24"/>
          <w:szCs w:val="24"/>
        </w:rPr>
        <w:t xml:space="preserve">, these criteria </w:t>
      </w:r>
      <w:r w:rsidR="00874DD8" w:rsidRPr="00011D5D">
        <w:rPr>
          <w:rFonts w:ascii="Book Antiqua" w:hAnsi="Book Antiqua"/>
          <w:sz w:val="24"/>
          <w:szCs w:val="24"/>
        </w:rPr>
        <w:t>require</w:t>
      </w:r>
      <w:r w:rsidR="00400109" w:rsidRPr="00011D5D">
        <w:rPr>
          <w:rFonts w:ascii="Book Antiqua" w:hAnsi="Book Antiqua"/>
          <w:sz w:val="24"/>
          <w:szCs w:val="24"/>
        </w:rPr>
        <w:t xml:space="preserve"> further validat</w:t>
      </w:r>
      <w:r w:rsidR="00AA01B7" w:rsidRPr="00011D5D">
        <w:rPr>
          <w:rFonts w:ascii="Book Antiqua" w:hAnsi="Book Antiqua"/>
          <w:sz w:val="24"/>
          <w:szCs w:val="24"/>
        </w:rPr>
        <w:t>ion</w:t>
      </w:r>
      <w:r w:rsidR="00400109" w:rsidRPr="00011D5D">
        <w:rPr>
          <w:rFonts w:ascii="Book Antiqua" w:hAnsi="Book Antiqua"/>
          <w:sz w:val="24"/>
          <w:szCs w:val="24"/>
        </w:rPr>
        <w:t>.</w:t>
      </w:r>
    </w:p>
    <w:p w:rsidR="0084272B" w:rsidRPr="00011D5D" w:rsidRDefault="00471A58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C</w:t>
      </w:r>
      <w:r w:rsidR="00084902" w:rsidRPr="00011D5D">
        <w:rPr>
          <w:rFonts w:ascii="Book Antiqua" w:hAnsi="Book Antiqua"/>
          <w:sz w:val="24"/>
          <w:szCs w:val="24"/>
        </w:rPr>
        <w:t xml:space="preserve">orrelation of tumor size and number according to explant pathology </w:t>
      </w:r>
      <w:r w:rsidRPr="00011D5D">
        <w:rPr>
          <w:rFonts w:ascii="Book Antiqua" w:hAnsi="Book Antiqua"/>
          <w:sz w:val="24"/>
          <w:szCs w:val="24"/>
        </w:rPr>
        <w:t xml:space="preserve">and post-LT survival in </w:t>
      </w:r>
      <w:r w:rsidR="00084902" w:rsidRPr="00011D5D">
        <w:rPr>
          <w:rFonts w:ascii="Book Antiqua" w:hAnsi="Book Antiqua"/>
          <w:sz w:val="24"/>
          <w:szCs w:val="24"/>
        </w:rPr>
        <w:t>1206 patients from the International Registry of Hepatic</w:t>
      </w:r>
      <w:r w:rsidRPr="00011D5D">
        <w:rPr>
          <w:rFonts w:ascii="Book Antiqua" w:hAnsi="Book Antiqua"/>
          <w:sz w:val="24"/>
          <w:szCs w:val="24"/>
        </w:rPr>
        <w:t xml:space="preserve"> Tumors</w:t>
      </w:r>
      <w:r w:rsidR="00084902" w:rsidRPr="00011D5D">
        <w:rPr>
          <w:rFonts w:ascii="Book Antiqua" w:hAnsi="Book Antiqua"/>
          <w:sz w:val="24"/>
          <w:szCs w:val="24"/>
        </w:rPr>
        <w:t xml:space="preserve">, led to the </w:t>
      </w:r>
      <w:r w:rsidR="00084902" w:rsidRPr="00011D5D">
        <w:rPr>
          <w:rFonts w:ascii="Book Antiqua" w:hAnsi="Book Antiqua"/>
          <w:sz w:val="24"/>
          <w:szCs w:val="24"/>
        </w:rPr>
        <w:lastRenderedPageBreak/>
        <w:t>recommendation of LT for a single lesion ≤ 6 cm, or 2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>-</w:t>
      </w:r>
      <w:r w:rsidR="00084902" w:rsidRPr="00011D5D">
        <w:rPr>
          <w:rFonts w:ascii="Book Antiqua" w:hAnsi="Book Antiqua"/>
          <w:sz w:val="24"/>
          <w:szCs w:val="24"/>
        </w:rPr>
        <w:t xml:space="preserve">4 lesions ≤ 5 cm each by </w:t>
      </w:r>
      <w:proofErr w:type="spellStart"/>
      <w:r w:rsidR="00084902" w:rsidRPr="00011D5D">
        <w:rPr>
          <w:rFonts w:ascii="Book Antiqua" w:hAnsi="Book Antiqua"/>
          <w:sz w:val="24"/>
          <w:szCs w:val="24"/>
        </w:rPr>
        <w:t>Onaca</w:t>
      </w:r>
      <w:proofErr w:type="spellEnd"/>
      <w:r w:rsidR="00084902" w:rsidRPr="00011D5D">
        <w:rPr>
          <w:rFonts w:ascii="Book Antiqua" w:hAnsi="Book Antiqua"/>
          <w:sz w:val="24"/>
          <w:szCs w:val="24"/>
        </w:rPr>
        <w:t xml:space="preserve"> </w:t>
      </w:r>
      <w:r w:rsidR="00084902"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[18]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84902" w:rsidRPr="00011D5D">
        <w:rPr>
          <w:rFonts w:ascii="Book Antiqua" w:hAnsi="Book Antiqua"/>
          <w:sz w:val="24"/>
          <w:szCs w:val="24"/>
        </w:rPr>
        <w:t xml:space="preserve">in 2007. </w:t>
      </w:r>
      <w:r w:rsidRPr="00011D5D">
        <w:rPr>
          <w:rFonts w:ascii="Book Antiqua" w:hAnsi="Book Antiqua"/>
          <w:sz w:val="24"/>
          <w:szCs w:val="24"/>
        </w:rPr>
        <w:t xml:space="preserve">Survival in </w:t>
      </w:r>
      <w:r w:rsidR="001917C3" w:rsidRPr="00011D5D">
        <w:rPr>
          <w:rFonts w:ascii="Book Antiqua" w:hAnsi="Book Antiqua"/>
          <w:sz w:val="24"/>
          <w:szCs w:val="24"/>
        </w:rPr>
        <w:t>patients exceeding MC but meeting these criteria were not significantly lower than for patients meeting MC. 5 year</w:t>
      </w:r>
      <w:r w:rsidRPr="00011D5D">
        <w:rPr>
          <w:rFonts w:ascii="Book Antiqua" w:hAnsi="Book Antiqua"/>
          <w:sz w:val="24"/>
          <w:szCs w:val="24"/>
        </w:rPr>
        <w:t xml:space="preserve">s post-LT RFS </w:t>
      </w:r>
      <w:r w:rsidR="001917C3" w:rsidRPr="00011D5D">
        <w:rPr>
          <w:rFonts w:ascii="Book Antiqua" w:hAnsi="Book Antiqua"/>
          <w:sz w:val="24"/>
          <w:szCs w:val="24"/>
        </w:rPr>
        <w:t>with a single lesion 5.1-6.0 cm</w:t>
      </w:r>
      <w:r w:rsidRPr="00011D5D">
        <w:rPr>
          <w:rFonts w:ascii="Book Antiqua" w:hAnsi="Book Antiqua"/>
          <w:sz w:val="24"/>
          <w:szCs w:val="24"/>
        </w:rPr>
        <w:t xml:space="preserve"> in diameter, or </w:t>
      </w:r>
      <w:r w:rsidR="001917C3" w:rsidRPr="00011D5D">
        <w:rPr>
          <w:rFonts w:ascii="Book Antiqua" w:hAnsi="Book Antiqua"/>
          <w:sz w:val="24"/>
          <w:szCs w:val="24"/>
        </w:rPr>
        <w:t>with 2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>-</w:t>
      </w:r>
      <w:r w:rsidR="001917C3" w:rsidRPr="00011D5D">
        <w:rPr>
          <w:rFonts w:ascii="Book Antiqua" w:hAnsi="Book Antiqua"/>
          <w:sz w:val="24"/>
          <w:szCs w:val="24"/>
        </w:rPr>
        <w:t xml:space="preserve">4 lesions </w:t>
      </w:r>
      <w:r w:rsidR="003E52AC">
        <w:rPr>
          <w:rFonts w:ascii="Book Antiqua" w:hAnsi="Book Antiqua" w:hint="eastAsia"/>
          <w:sz w:val="24"/>
          <w:szCs w:val="24"/>
          <w:lang w:eastAsia="zh-CN"/>
        </w:rPr>
        <w:t>(</w:t>
      </w:r>
      <w:r w:rsidR="00B935C1" w:rsidRPr="00011D5D">
        <w:rPr>
          <w:rFonts w:ascii="Book Antiqua" w:hAnsi="Book Antiqua"/>
          <w:sz w:val="24"/>
          <w:szCs w:val="24"/>
        </w:rPr>
        <w:t>largest 3.1</w:t>
      </w:r>
      <w:r w:rsidR="001917C3" w:rsidRPr="00011D5D">
        <w:rPr>
          <w:rFonts w:ascii="Book Antiqua" w:hAnsi="Book Antiqua"/>
          <w:sz w:val="24"/>
          <w:szCs w:val="24"/>
        </w:rPr>
        <w:t>-5.0 cm</w:t>
      </w:r>
      <w:r w:rsidR="003E52AC">
        <w:rPr>
          <w:rFonts w:ascii="Book Antiqua" w:hAnsi="Book Antiqua" w:hint="eastAsia"/>
          <w:sz w:val="24"/>
          <w:szCs w:val="24"/>
          <w:lang w:eastAsia="zh-CN"/>
        </w:rPr>
        <w:t>)</w:t>
      </w:r>
      <w:r w:rsidR="001917C3" w:rsidRPr="00011D5D">
        <w:rPr>
          <w:rFonts w:ascii="Book Antiqua" w:hAnsi="Book Antiqua"/>
          <w:sz w:val="24"/>
          <w:szCs w:val="24"/>
        </w:rPr>
        <w:t xml:space="preserve"> </w:t>
      </w:r>
      <w:r w:rsidR="00B935C1" w:rsidRPr="00011D5D">
        <w:rPr>
          <w:rFonts w:ascii="Book Antiqua" w:hAnsi="Book Antiqua"/>
          <w:sz w:val="24"/>
          <w:szCs w:val="24"/>
        </w:rPr>
        <w:t>were 63.9%, and 64.6% respectively,</w:t>
      </w:r>
      <w:r w:rsidR="001917C3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compared to </w:t>
      </w:r>
      <w:r w:rsidR="001917C3" w:rsidRPr="00011D5D">
        <w:rPr>
          <w:rFonts w:ascii="Book Antiqua" w:hAnsi="Book Antiqua"/>
          <w:sz w:val="24"/>
          <w:szCs w:val="24"/>
        </w:rPr>
        <w:t>5 year</w:t>
      </w:r>
      <w:r w:rsidRPr="00011D5D">
        <w:rPr>
          <w:rFonts w:ascii="Book Antiqua" w:hAnsi="Book Antiqua"/>
          <w:sz w:val="24"/>
          <w:szCs w:val="24"/>
        </w:rPr>
        <w:t>s post-LT</w:t>
      </w:r>
      <w:r w:rsidR="001917C3" w:rsidRPr="00011D5D">
        <w:rPr>
          <w:rFonts w:ascii="Book Antiqua" w:hAnsi="Book Antiqua"/>
          <w:sz w:val="24"/>
          <w:szCs w:val="24"/>
        </w:rPr>
        <w:t xml:space="preserve"> RFS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="00B935C1" w:rsidRPr="00011D5D">
        <w:rPr>
          <w:rFonts w:ascii="Book Antiqua" w:hAnsi="Book Antiqua"/>
          <w:sz w:val="24"/>
          <w:szCs w:val="24"/>
        </w:rPr>
        <w:t>of 61.8%</w:t>
      </w:r>
      <w:r w:rsidR="00730C30" w:rsidRPr="00011D5D">
        <w:rPr>
          <w:rFonts w:ascii="Book Antiqua" w:hAnsi="Book Antiqua"/>
          <w:sz w:val="24"/>
          <w:szCs w:val="24"/>
        </w:rPr>
        <w:t xml:space="preserve"> if MC were met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18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B935C1" w:rsidRPr="00011D5D" w:rsidRDefault="0016385C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Other proposed extended criteria do not put a limit to number of tumors recommended for LT</w:t>
      </w:r>
      <w:r w:rsidR="00F60E68" w:rsidRPr="00011D5D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11D5D">
        <w:rPr>
          <w:rFonts w:ascii="Book Antiqua" w:hAnsi="Book Antiqua"/>
          <w:sz w:val="24"/>
          <w:szCs w:val="24"/>
        </w:rPr>
        <w:t>Roayaie</w:t>
      </w:r>
      <w:proofErr w:type="spellEnd"/>
      <w:r w:rsidRPr="00011D5D">
        <w:rPr>
          <w:rFonts w:ascii="Book Antiqua" w:hAnsi="Book Antiqua"/>
          <w:sz w:val="24"/>
          <w:szCs w:val="24"/>
        </w:rPr>
        <w:t xml:space="preserve"> et al. </w:t>
      </w:r>
      <w:r w:rsidR="008C5F9F" w:rsidRPr="00011D5D">
        <w:rPr>
          <w:rFonts w:ascii="Book Antiqua" w:hAnsi="Book Antiqua"/>
          <w:sz w:val="24"/>
          <w:szCs w:val="24"/>
        </w:rPr>
        <w:t xml:space="preserve">in 2002, </w:t>
      </w:r>
      <w:r w:rsidRPr="00011D5D">
        <w:rPr>
          <w:rFonts w:ascii="Book Antiqua" w:hAnsi="Book Antiqua"/>
          <w:sz w:val="24"/>
          <w:szCs w:val="24"/>
        </w:rPr>
        <w:t xml:space="preserve">demonstrated </w:t>
      </w:r>
      <w:r w:rsidR="008A5F04" w:rsidRPr="00011D5D">
        <w:rPr>
          <w:rFonts w:ascii="Book Antiqua" w:hAnsi="Book Antiqua"/>
          <w:sz w:val="24"/>
          <w:szCs w:val="24"/>
        </w:rPr>
        <w:t>55% 5 year</w:t>
      </w:r>
      <w:r w:rsidR="008C5F9F" w:rsidRPr="00011D5D">
        <w:rPr>
          <w:rFonts w:ascii="Book Antiqua" w:hAnsi="Book Antiqua"/>
          <w:sz w:val="24"/>
          <w:szCs w:val="24"/>
        </w:rPr>
        <w:t>s</w:t>
      </w:r>
      <w:r w:rsidR="008A5F04" w:rsidRPr="00011D5D">
        <w:rPr>
          <w:rFonts w:ascii="Book Antiqua" w:hAnsi="Book Antiqua"/>
          <w:sz w:val="24"/>
          <w:szCs w:val="24"/>
        </w:rPr>
        <w:t xml:space="preserve"> post- LT RFS for </w:t>
      </w:r>
      <w:r w:rsidR="008C5F9F" w:rsidRPr="00011D5D">
        <w:rPr>
          <w:rFonts w:ascii="Book Antiqua" w:hAnsi="Book Antiqua"/>
          <w:sz w:val="24"/>
          <w:szCs w:val="24"/>
        </w:rPr>
        <w:t>patients with lesions 5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>-</w:t>
      </w:r>
      <w:r w:rsidRPr="00011D5D">
        <w:rPr>
          <w:rFonts w:ascii="Book Antiqua" w:hAnsi="Book Antiqua"/>
          <w:sz w:val="24"/>
          <w:szCs w:val="24"/>
        </w:rPr>
        <w:t xml:space="preserve">7 cm </w:t>
      </w:r>
      <w:r w:rsidR="008A5F04" w:rsidRPr="00011D5D">
        <w:rPr>
          <w:rFonts w:ascii="Book Antiqua" w:hAnsi="Book Antiqua"/>
          <w:sz w:val="24"/>
          <w:szCs w:val="24"/>
        </w:rPr>
        <w:t>in diameter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19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 xml:space="preserve">. </w:t>
      </w:r>
      <w:r w:rsidR="008A5F04" w:rsidRPr="00011D5D">
        <w:rPr>
          <w:rFonts w:ascii="Book Antiqua" w:hAnsi="Book Antiqua"/>
          <w:sz w:val="24"/>
          <w:szCs w:val="24"/>
        </w:rPr>
        <w:t xml:space="preserve">In 2004, </w:t>
      </w:r>
      <w:proofErr w:type="spellStart"/>
      <w:r w:rsidR="008A5F04" w:rsidRPr="00011D5D">
        <w:rPr>
          <w:rFonts w:ascii="Book Antiqua" w:hAnsi="Book Antiqua"/>
          <w:sz w:val="24"/>
          <w:szCs w:val="24"/>
        </w:rPr>
        <w:t>Keneteman</w:t>
      </w:r>
      <w:proofErr w:type="spellEnd"/>
      <w:r w:rsidR="008A5F04" w:rsidRPr="00011D5D">
        <w:rPr>
          <w:rFonts w:ascii="Book Antiqua" w:hAnsi="Book Antiqua"/>
          <w:sz w:val="24"/>
          <w:szCs w:val="24"/>
        </w:rPr>
        <w:t xml:space="preserve"> </w:t>
      </w:r>
      <w:r w:rsidR="00F250AC"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[20]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250AC" w:rsidRPr="00011D5D">
        <w:rPr>
          <w:rFonts w:ascii="Book Antiqua" w:hAnsi="Book Antiqua"/>
          <w:sz w:val="24"/>
          <w:szCs w:val="24"/>
        </w:rPr>
        <w:t>reported the outcomes of LT utilizing extended criteria described as a singles lesion &lt;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250AC" w:rsidRPr="00011D5D">
        <w:rPr>
          <w:rFonts w:ascii="Book Antiqua" w:hAnsi="Book Antiqua"/>
          <w:sz w:val="24"/>
          <w:szCs w:val="24"/>
        </w:rPr>
        <w:t>7.5 cm, or multiple lesions &lt;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250AC" w:rsidRPr="00011D5D">
        <w:rPr>
          <w:rFonts w:ascii="Book Antiqua" w:hAnsi="Book Antiqua"/>
          <w:sz w:val="24"/>
          <w:szCs w:val="24"/>
        </w:rPr>
        <w:t>5 cm each.</w:t>
      </w:r>
      <w:r w:rsidR="008C5F9F" w:rsidRPr="00011D5D">
        <w:rPr>
          <w:rFonts w:ascii="Book Antiqua" w:hAnsi="Book Antiqua"/>
          <w:sz w:val="24"/>
          <w:szCs w:val="24"/>
        </w:rPr>
        <w:t xml:space="preserve"> </w:t>
      </w:r>
      <w:r w:rsidR="00586F48" w:rsidRPr="00011D5D">
        <w:rPr>
          <w:rFonts w:ascii="Book Antiqua" w:hAnsi="Book Antiqua"/>
          <w:sz w:val="24"/>
          <w:szCs w:val="24"/>
        </w:rPr>
        <w:t>4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86F48" w:rsidRPr="00011D5D">
        <w:rPr>
          <w:rFonts w:ascii="Book Antiqua" w:hAnsi="Book Antiqua"/>
          <w:sz w:val="24"/>
          <w:szCs w:val="24"/>
        </w:rPr>
        <w:t xml:space="preserve">year </w:t>
      </w:r>
      <w:r w:rsidR="008C5F9F" w:rsidRPr="00011D5D">
        <w:rPr>
          <w:rFonts w:ascii="Book Antiqua" w:hAnsi="Book Antiqua"/>
          <w:sz w:val="24"/>
          <w:szCs w:val="24"/>
        </w:rPr>
        <w:t xml:space="preserve">post-LT survival was </w:t>
      </w:r>
      <w:r w:rsidR="00586F48" w:rsidRPr="00011D5D">
        <w:rPr>
          <w:rFonts w:ascii="Book Antiqua" w:hAnsi="Book Antiqua"/>
          <w:sz w:val="24"/>
          <w:szCs w:val="24"/>
        </w:rPr>
        <w:t xml:space="preserve">82.9% </w:t>
      </w:r>
      <w:r w:rsidR="00586F48" w:rsidRPr="003E52AC">
        <w:rPr>
          <w:rFonts w:ascii="Book Antiqua" w:hAnsi="Book Antiqua"/>
          <w:i/>
          <w:sz w:val="24"/>
          <w:szCs w:val="24"/>
        </w:rPr>
        <w:t>vs</w:t>
      </w:r>
      <w:r w:rsidR="00586F48" w:rsidRPr="00011D5D">
        <w:rPr>
          <w:rFonts w:ascii="Book Antiqua" w:hAnsi="Book Antiqua"/>
          <w:sz w:val="24"/>
          <w:szCs w:val="24"/>
        </w:rPr>
        <w:t xml:space="preserve"> 87.4</w:t>
      </w:r>
      <w:r w:rsidR="00730C30" w:rsidRPr="00011D5D">
        <w:rPr>
          <w:rFonts w:ascii="Book Antiqua" w:hAnsi="Book Antiqua"/>
          <w:sz w:val="24"/>
          <w:szCs w:val="24"/>
        </w:rPr>
        <w:t>% in the MC group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6545E6" w:rsidRPr="00011D5D" w:rsidRDefault="00721543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One of the more recently proposed extended criteria is the Up-to-7 </w:t>
      </w:r>
      <w:proofErr w:type="gramStart"/>
      <w:r w:rsidRPr="00011D5D">
        <w:rPr>
          <w:rFonts w:ascii="Book Antiqua" w:hAnsi="Book Antiqua"/>
          <w:sz w:val="24"/>
          <w:szCs w:val="24"/>
        </w:rPr>
        <w:t>criteria</w:t>
      </w:r>
      <w:proofErr w:type="gramEnd"/>
      <w:r w:rsidRPr="00011D5D">
        <w:rPr>
          <w:rFonts w:ascii="Book Antiqua" w:hAnsi="Book Antiqua"/>
          <w:sz w:val="24"/>
          <w:szCs w:val="24"/>
        </w:rPr>
        <w:t xml:space="preserve"> proposed by </w:t>
      </w:r>
      <w:proofErr w:type="spellStart"/>
      <w:r w:rsidRPr="00011D5D">
        <w:rPr>
          <w:rFonts w:ascii="Book Antiqua" w:hAnsi="Book Antiqua"/>
          <w:sz w:val="24"/>
          <w:szCs w:val="24"/>
        </w:rPr>
        <w:t>Mazzaferro</w:t>
      </w:r>
      <w:proofErr w:type="spellEnd"/>
      <w:r w:rsidRPr="00011D5D">
        <w:rPr>
          <w:rFonts w:ascii="Book Antiqua" w:hAnsi="Book Antiqua"/>
          <w:sz w:val="24"/>
          <w:szCs w:val="24"/>
        </w:rPr>
        <w:t xml:space="preserve"> </w:t>
      </w:r>
      <w:r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[21]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in 2009. A cohort of 1556 patients undergoing cadaveric LT and LDLT for HCC from 36 transplant centers was analyzed, 71.5% of the cohort had HCC exceeding MC. The Up-to-7 criteria are defined as the sum of the size of the largest tumor in cm and the total number of tumors in the absence of tumor m</w:t>
      </w:r>
      <w:r w:rsidR="00FB37E6" w:rsidRPr="00011D5D">
        <w:rPr>
          <w:rFonts w:ascii="Book Antiqua" w:hAnsi="Book Antiqua"/>
          <w:sz w:val="24"/>
          <w:szCs w:val="24"/>
        </w:rPr>
        <w:t>icrovascular invasion. 5 years p</w:t>
      </w:r>
      <w:r w:rsidRPr="00011D5D">
        <w:rPr>
          <w:rFonts w:ascii="Book Antiqua" w:hAnsi="Book Antiqua"/>
          <w:sz w:val="24"/>
          <w:szCs w:val="24"/>
        </w:rPr>
        <w:t xml:space="preserve">ost-LT </w:t>
      </w:r>
      <w:proofErr w:type="gramStart"/>
      <w:r w:rsidRPr="00011D5D">
        <w:rPr>
          <w:rFonts w:ascii="Book Antiqua" w:hAnsi="Book Antiqua"/>
          <w:sz w:val="24"/>
          <w:szCs w:val="24"/>
        </w:rPr>
        <w:t>survival for patients within the Up-to-7 criteria compared to MC were</w:t>
      </w:r>
      <w:proofErr w:type="gramEnd"/>
      <w:r w:rsidRPr="00011D5D">
        <w:rPr>
          <w:rFonts w:ascii="Book Antiqua" w:hAnsi="Book Antiqua"/>
          <w:sz w:val="24"/>
          <w:szCs w:val="24"/>
        </w:rPr>
        <w:t xml:space="preserve"> 7</w:t>
      </w:r>
      <w:r w:rsidR="00730C30" w:rsidRPr="00011D5D">
        <w:rPr>
          <w:rFonts w:ascii="Book Antiqua" w:hAnsi="Book Antiqua"/>
          <w:sz w:val="24"/>
          <w:szCs w:val="24"/>
        </w:rPr>
        <w:t xml:space="preserve">1.2% </w:t>
      </w:r>
      <w:r w:rsidR="00730C30" w:rsidRPr="001408A1">
        <w:rPr>
          <w:rFonts w:ascii="Book Antiqua" w:hAnsi="Book Antiqua"/>
          <w:i/>
          <w:sz w:val="24"/>
          <w:szCs w:val="24"/>
        </w:rPr>
        <w:t>vs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730C30" w:rsidRPr="00011D5D">
        <w:rPr>
          <w:rFonts w:ascii="Book Antiqua" w:hAnsi="Book Antiqua"/>
          <w:sz w:val="24"/>
          <w:szCs w:val="24"/>
        </w:rPr>
        <w:t>73.3%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21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 xml:space="preserve">. </w:t>
      </w:r>
      <w:r w:rsidRPr="00011D5D">
        <w:rPr>
          <w:rFonts w:ascii="Book Antiqua" w:hAnsi="Book Antiqua"/>
          <w:sz w:val="24"/>
          <w:szCs w:val="24"/>
        </w:rPr>
        <w:t xml:space="preserve">The major limitation of these criteria is the lack of pre-LT information about microvascular invasion. Currently, this can only be partially projected </w:t>
      </w:r>
      <w:r w:rsidRPr="003E52AC">
        <w:rPr>
          <w:rFonts w:ascii="Book Antiqua" w:hAnsi="Book Antiqua"/>
          <w:i/>
          <w:sz w:val="24"/>
          <w:szCs w:val="24"/>
        </w:rPr>
        <w:t>via</w:t>
      </w:r>
      <w:r w:rsidRPr="00011D5D">
        <w:rPr>
          <w:rFonts w:ascii="Book Antiqua" w:hAnsi="Book Antiqua"/>
          <w:sz w:val="24"/>
          <w:szCs w:val="24"/>
        </w:rPr>
        <w:t xml:space="preserve"> assessment of AFP level.</w:t>
      </w:r>
    </w:p>
    <w:p w:rsidR="00790C4B" w:rsidRPr="00011D5D" w:rsidRDefault="00790C4B" w:rsidP="00011D5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29246C" w:rsidRPr="00011D5D" w:rsidRDefault="00CF23C1" w:rsidP="00011D5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011D5D">
        <w:rPr>
          <w:rFonts w:ascii="Book Antiqua" w:hAnsi="Book Antiqua"/>
          <w:b/>
          <w:i/>
          <w:sz w:val="24"/>
          <w:szCs w:val="24"/>
        </w:rPr>
        <w:t>Extende</w:t>
      </w:r>
      <w:r w:rsidR="0029246C" w:rsidRPr="00011D5D">
        <w:rPr>
          <w:rFonts w:ascii="Book Antiqua" w:hAnsi="Book Antiqua"/>
          <w:b/>
          <w:i/>
          <w:sz w:val="24"/>
          <w:szCs w:val="24"/>
        </w:rPr>
        <w:t>d LT-HCC Criteria using living donors</w:t>
      </w:r>
    </w:p>
    <w:p w:rsidR="00CF23C1" w:rsidRPr="00011D5D" w:rsidRDefault="00D74D04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Outcomes in HCC patients undergoing living donor liver transplantation </w:t>
      </w:r>
      <w:r w:rsidR="000B2A22" w:rsidRPr="00011D5D">
        <w:rPr>
          <w:rFonts w:ascii="Book Antiqua" w:hAnsi="Book Antiqua"/>
          <w:sz w:val="24"/>
          <w:szCs w:val="24"/>
        </w:rPr>
        <w:t>(</w:t>
      </w:r>
      <w:r w:rsidRPr="00011D5D">
        <w:rPr>
          <w:rFonts w:ascii="Book Antiqua" w:hAnsi="Book Antiqua"/>
          <w:sz w:val="24"/>
          <w:szCs w:val="24"/>
        </w:rPr>
        <w:t>LD</w:t>
      </w:r>
      <w:r w:rsidR="00381AAD" w:rsidRPr="00011D5D">
        <w:rPr>
          <w:rFonts w:ascii="Book Antiqua" w:hAnsi="Book Antiqua"/>
          <w:sz w:val="24"/>
          <w:szCs w:val="24"/>
        </w:rPr>
        <w:t>LT</w:t>
      </w:r>
      <w:r w:rsidR="008909E0" w:rsidRPr="00011D5D">
        <w:rPr>
          <w:rFonts w:ascii="Book Antiqua" w:hAnsi="Book Antiqua"/>
          <w:sz w:val="24"/>
          <w:szCs w:val="24"/>
        </w:rPr>
        <w:t>)</w:t>
      </w:r>
      <w:r w:rsidR="00381AAD" w:rsidRPr="00011D5D">
        <w:rPr>
          <w:rFonts w:ascii="Book Antiqua" w:hAnsi="Book Antiqua"/>
          <w:sz w:val="24"/>
          <w:szCs w:val="24"/>
        </w:rPr>
        <w:t xml:space="preserve"> were shown to be equivalent</w:t>
      </w:r>
      <w:r w:rsidR="00FA611A" w:rsidRPr="00011D5D">
        <w:rPr>
          <w:rFonts w:ascii="Book Antiqua" w:hAnsi="Book Antiqua"/>
          <w:sz w:val="24"/>
          <w:szCs w:val="24"/>
        </w:rPr>
        <w:t xml:space="preserve"> to cadaveric liver transplantation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22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812323" w:rsidRPr="00011D5D">
        <w:rPr>
          <w:rFonts w:ascii="Book Antiqua" w:hAnsi="Book Antiqua"/>
          <w:sz w:val="24"/>
          <w:szCs w:val="24"/>
        </w:rPr>
        <w:t>Soejima</w:t>
      </w:r>
      <w:proofErr w:type="spellEnd"/>
      <w:r w:rsidR="00A07EB0" w:rsidRPr="00011D5D">
        <w:rPr>
          <w:rFonts w:ascii="Book Antiqua" w:hAnsi="Book Antiqua"/>
          <w:sz w:val="24"/>
          <w:szCs w:val="24"/>
        </w:rPr>
        <w:t xml:space="preserve"> </w:t>
      </w:r>
      <w:r w:rsidR="00A07EB0"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[23]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07EB0" w:rsidRPr="00011D5D">
        <w:rPr>
          <w:rFonts w:ascii="Book Antiqua" w:hAnsi="Book Antiqua"/>
          <w:sz w:val="24"/>
          <w:szCs w:val="24"/>
        </w:rPr>
        <w:t xml:space="preserve">reported that tumor diameter </w:t>
      </w:r>
      <w:r w:rsidR="00A07EB0" w:rsidRPr="00011D5D">
        <w:rPr>
          <w:rFonts w:ascii="Book Antiqua" w:hAnsi="Book Antiqua" w:cs="Arial"/>
          <w:sz w:val="24"/>
          <w:szCs w:val="24"/>
        </w:rPr>
        <w:t>&gt;</w:t>
      </w:r>
      <w:r w:rsidR="001408A1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EE59E6" w:rsidRPr="00011D5D">
        <w:rPr>
          <w:rFonts w:ascii="Book Antiqua" w:hAnsi="Book Antiqua"/>
          <w:sz w:val="24"/>
          <w:szCs w:val="24"/>
        </w:rPr>
        <w:t xml:space="preserve">5 cm was </w:t>
      </w:r>
      <w:r w:rsidR="00A07EB0" w:rsidRPr="00011D5D">
        <w:rPr>
          <w:rFonts w:ascii="Book Antiqua" w:hAnsi="Book Antiqua"/>
          <w:sz w:val="24"/>
          <w:szCs w:val="24"/>
        </w:rPr>
        <w:t xml:space="preserve">associated with worse </w:t>
      </w:r>
      <w:r w:rsidR="00EE59E6" w:rsidRPr="00011D5D">
        <w:rPr>
          <w:rFonts w:ascii="Book Antiqua" w:hAnsi="Book Antiqua"/>
          <w:sz w:val="24"/>
          <w:szCs w:val="24"/>
        </w:rPr>
        <w:t>prognosis;</w:t>
      </w:r>
      <w:r w:rsidR="00A07EB0" w:rsidRPr="00011D5D">
        <w:rPr>
          <w:rFonts w:ascii="Book Antiqua" w:hAnsi="Book Antiqua"/>
          <w:sz w:val="24"/>
          <w:szCs w:val="24"/>
        </w:rPr>
        <w:t xml:space="preserve"> however the number of tumors was not</w:t>
      </w:r>
      <w:r w:rsidR="00EE59E6" w:rsidRPr="00011D5D">
        <w:rPr>
          <w:rFonts w:ascii="Book Antiqua" w:hAnsi="Book Antiqua"/>
          <w:sz w:val="24"/>
          <w:szCs w:val="24"/>
        </w:rPr>
        <w:t xml:space="preserve">.  In the </w:t>
      </w:r>
      <w:r w:rsidR="00A07EB0" w:rsidRPr="00011D5D">
        <w:rPr>
          <w:rFonts w:ascii="Book Antiqua" w:hAnsi="Book Antiqua"/>
          <w:sz w:val="24"/>
          <w:szCs w:val="24"/>
        </w:rPr>
        <w:t xml:space="preserve">cohort of 60 patients who underwent LDLT for HCC, 67% were beyond MC </w:t>
      </w:r>
      <w:r w:rsidR="00EE59E6" w:rsidRPr="00011D5D">
        <w:rPr>
          <w:rFonts w:ascii="Book Antiqua" w:hAnsi="Book Antiqua"/>
          <w:sz w:val="24"/>
          <w:szCs w:val="24"/>
        </w:rPr>
        <w:t xml:space="preserve">based </w:t>
      </w:r>
      <w:r w:rsidR="00A07EB0" w:rsidRPr="00011D5D">
        <w:rPr>
          <w:rFonts w:ascii="Book Antiqua" w:hAnsi="Book Antiqua"/>
          <w:sz w:val="24"/>
          <w:szCs w:val="24"/>
        </w:rPr>
        <w:t>on pre-LT imaging. 3 year</w:t>
      </w:r>
      <w:r w:rsidR="00EE59E6" w:rsidRPr="00011D5D">
        <w:rPr>
          <w:rFonts w:ascii="Book Antiqua" w:hAnsi="Book Antiqua"/>
          <w:sz w:val="24"/>
          <w:szCs w:val="24"/>
        </w:rPr>
        <w:t>s post-LT</w:t>
      </w:r>
      <w:r w:rsidR="00A07EB0" w:rsidRPr="00011D5D">
        <w:rPr>
          <w:rFonts w:ascii="Book Antiqua" w:hAnsi="Book Antiqua"/>
          <w:sz w:val="24"/>
          <w:szCs w:val="24"/>
        </w:rPr>
        <w:t xml:space="preserve"> survival of </w:t>
      </w:r>
      <w:r w:rsidR="00EE59E6" w:rsidRPr="00011D5D">
        <w:rPr>
          <w:rFonts w:ascii="Book Antiqua" w:hAnsi="Book Antiqua"/>
          <w:sz w:val="24"/>
          <w:szCs w:val="24"/>
        </w:rPr>
        <w:t>68.6</w:t>
      </w:r>
      <w:r w:rsidR="00A07EB0" w:rsidRPr="00011D5D">
        <w:rPr>
          <w:rFonts w:ascii="Book Antiqua" w:hAnsi="Book Antiqua"/>
          <w:sz w:val="24"/>
          <w:szCs w:val="24"/>
        </w:rPr>
        <w:t>% was reported for patients beyond MC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23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0C7FEA" w:rsidRPr="00011D5D" w:rsidRDefault="00D96474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Jonas </w:t>
      </w:r>
      <w:r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[24]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also described their extended criteria based on a cohort of 21 patients undergoing LDLT for H</w:t>
      </w:r>
      <w:r w:rsidR="00AB59B5" w:rsidRPr="00011D5D">
        <w:rPr>
          <w:rFonts w:ascii="Book Antiqua" w:hAnsi="Book Antiqua"/>
          <w:sz w:val="24"/>
          <w:szCs w:val="24"/>
        </w:rPr>
        <w:t>CC.</w:t>
      </w:r>
      <w:r w:rsidRPr="00011D5D">
        <w:rPr>
          <w:rFonts w:ascii="Book Antiqua" w:hAnsi="Book Antiqua"/>
          <w:sz w:val="24"/>
          <w:szCs w:val="24"/>
        </w:rPr>
        <w:t xml:space="preserve"> 3 year survival rates for patients not meeting MC or USCF </w:t>
      </w:r>
      <w:r w:rsidRPr="00011D5D">
        <w:rPr>
          <w:rFonts w:ascii="Book Antiqua" w:hAnsi="Book Antiqua"/>
          <w:sz w:val="24"/>
          <w:szCs w:val="24"/>
        </w:rPr>
        <w:lastRenderedPageBreak/>
        <w:t>criteria were 62% and 53% respectively</w:t>
      </w:r>
      <w:r w:rsidR="00CA3EF8" w:rsidRPr="00011D5D">
        <w:rPr>
          <w:rFonts w:ascii="Book Antiqua" w:hAnsi="Book Antiqua"/>
          <w:sz w:val="24"/>
          <w:szCs w:val="24"/>
        </w:rPr>
        <w:t xml:space="preserve">. </w:t>
      </w:r>
      <w:r w:rsidR="00434E3F" w:rsidRPr="00011D5D">
        <w:rPr>
          <w:rFonts w:ascii="Book Antiqua" w:hAnsi="Book Antiqua"/>
          <w:sz w:val="24"/>
          <w:szCs w:val="24"/>
        </w:rPr>
        <w:t xml:space="preserve">Sugawara </w:t>
      </w:r>
      <w:r w:rsidR="00434E3F"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[25]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34E3F" w:rsidRPr="00011D5D">
        <w:rPr>
          <w:rFonts w:ascii="Book Antiqua" w:hAnsi="Book Antiqua"/>
          <w:sz w:val="24"/>
          <w:szCs w:val="24"/>
        </w:rPr>
        <w:t>propose</w:t>
      </w:r>
      <w:r w:rsidR="00CA0F7E" w:rsidRPr="00011D5D">
        <w:rPr>
          <w:rFonts w:ascii="Book Antiqua" w:hAnsi="Book Antiqua"/>
          <w:sz w:val="24"/>
          <w:szCs w:val="24"/>
        </w:rPr>
        <w:t xml:space="preserve">d </w:t>
      </w:r>
      <w:r w:rsidR="00434E3F" w:rsidRPr="00011D5D">
        <w:rPr>
          <w:rFonts w:ascii="Book Antiqua" w:hAnsi="Book Antiqua"/>
          <w:sz w:val="24"/>
          <w:szCs w:val="24"/>
        </w:rPr>
        <w:t>an expansion of selection criteria to include up to 5</w:t>
      </w:r>
      <w:r w:rsidR="00CA0F7E" w:rsidRPr="00011D5D">
        <w:rPr>
          <w:rFonts w:ascii="Book Antiqua" w:hAnsi="Book Antiqua"/>
          <w:sz w:val="24"/>
          <w:szCs w:val="24"/>
        </w:rPr>
        <w:t xml:space="preserve"> HCC</w:t>
      </w:r>
      <w:r w:rsidR="00434E3F" w:rsidRPr="00011D5D">
        <w:rPr>
          <w:rFonts w:ascii="Book Antiqua" w:hAnsi="Book Antiqua"/>
          <w:sz w:val="24"/>
          <w:szCs w:val="24"/>
        </w:rPr>
        <w:t xml:space="preserve"> lesions, ≤ 5 cm each. In their cohort of 78 patients, </w:t>
      </w:r>
      <w:r w:rsidR="001C68BE" w:rsidRPr="00011D5D">
        <w:rPr>
          <w:rFonts w:ascii="Book Antiqua" w:hAnsi="Book Antiqua"/>
          <w:sz w:val="24"/>
          <w:szCs w:val="24"/>
        </w:rPr>
        <w:t>p</w:t>
      </w:r>
      <w:r w:rsidR="00CA0F7E" w:rsidRPr="00011D5D">
        <w:rPr>
          <w:rFonts w:ascii="Book Antiqua" w:hAnsi="Book Antiqua"/>
          <w:sz w:val="24"/>
          <w:szCs w:val="24"/>
        </w:rPr>
        <w:t xml:space="preserve">ost-LT RFS </w:t>
      </w:r>
      <w:r w:rsidR="00730C30" w:rsidRPr="00011D5D">
        <w:rPr>
          <w:rFonts w:ascii="Book Antiqua" w:hAnsi="Book Antiqua"/>
          <w:sz w:val="24"/>
          <w:szCs w:val="24"/>
        </w:rPr>
        <w:t>at 3 years was 94%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0B4F2E" w:rsidRPr="00011D5D" w:rsidRDefault="00290A9A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Table 1 demonstrate</w:t>
      </w:r>
      <w:r w:rsidR="00524466" w:rsidRPr="00011D5D">
        <w:rPr>
          <w:rFonts w:ascii="Book Antiqua" w:hAnsi="Book Antiqua"/>
          <w:sz w:val="24"/>
          <w:szCs w:val="24"/>
        </w:rPr>
        <w:t>s an over</w:t>
      </w:r>
      <w:r w:rsidRPr="00011D5D">
        <w:rPr>
          <w:rFonts w:ascii="Book Antiqua" w:hAnsi="Book Antiqua"/>
          <w:sz w:val="24"/>
          <w:szCs w:val="24"/>
        </w:rPr>
        <w:t xml:space="preserve">view of </w:t>
      </w:r>
      <w:r w:rsidR="00524466" w:rsidRPr="00011D5D">
        <w:rPr>
          <w:rFonts w:ascii="Book Antiqua" w:hAnsi="Book Antiqua"/>
          <w:sz w:val="24"/>
          <w:szCs w:val="24"/>
        </w:rPr>
        <w:t>proposed morphometric based expanded selection criteria.</w:t>
      </w:r>
    </w:p>
    <w:p w:rsidR="001408A1" w:rsidRDefault="001408A1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524466" w:rsidRPr="00011D5D" w:rsidRDefault="003E1FDE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11D5D">
        <w:rPr>
          <w:rFonts w:ascii="Book Antiqua" w:hAnsi="Book Antiqua"/>
          <w:b/>
          <w:sz w:val="24"/>
          <w:szCs w:val="24"/>
        </w:rPr>
        <w:t>INCORPORATION OF SURROGATES OF TUMOR BIOLOGY TO SELECTION CRITERIA</w:t>
      </w:r>
    </w:p>
    <w:p w:rsidR="00CC5143" w:rsidRPr="00011D5D" w:rsidRDefault="00CC5143" w:rsidP="00011D5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011D5D">
        <w:rPr>
          <w:rFonts w:ascii="Book Antiqua" w:hAnsi="Book Antiqua"/>
          <w:b/>
          <w:i/>
          <w:sz w:val="24"/>
          <w:szCs w:val="24"/>
        </w:rPr>
        <w:t>Tumor markers</w:t>
      </w:r>
    </w:p>
    <w:p w:rsidR="00726E30" w:rsidRPr="00011D5D" w:rsidRDefault="00CC5143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</w:rPr>
      </w:pPr>
      <w:r w:rsidRPr="00011D5D">
        <w:rPr>
          <w:rFonts w:ascii="Book Antiqua" w:hAnsi="Book Antiqua"/>
          <w:sz w:val="24"/>
          <w:szCs w:val="24"/>
        </w:rPr>
        <w:t>Post-LT outcomes in patients with HCC are in part a consequence of tumor biology. As a result of the impossibility to unveil this feature solely through morphometric imaging characteristics, multiple studies have attempted to include other indicators of tumor behavior as selection criteria.</w:t>
      </w:r>
      <w:r w:rsidR="00F44D9D" w:rsidRPr="00011D5D">
        <w:rPr>
          <w:rFonts w:ascii="Book Antiqua" w:hAnsi="Book Antiqua"/>
          <w:sz w:val="24"/>
          <w:szCs w:val="24"/>
        </w:rPr>
        <w:t xml:space="preserve"> </w:t>
      </w:r>
      <w:r w:rsidR="00D7499D" w:rsidRPr="00011D5D">
        <w:rPr>
          <w:rFonts w:ascii="Book Antiqua" w:hAnsi="Book Antiqua"/>
          <w:sz w:val="24"/>
          <w:szCs w:val="24"/>
        </w:rPr>
        <w:t>Alph</w:t>
      </w:r>
      <w:r w:rsidR="00074D41" w:rsidRPr="00011D5D">
        <w:rPr>
          <w:rFonts w:ascii="Book Antiqua" w:hAnsi="Book Antiqua"/>
          <w:sz w:val="24"/>
          <w:szCs w:val="24"/>
        </w:rPr>
        <w:t>a</w:t>
      </w:r>
      <w:r w:rsidR="00D7499D" w:rsidRPr="00011D5D">
        <w:rPr>
          <w:rFonts w:ascii="Book Antiqua" w:hAnsi="Book Antiqua"/>
          <w:sz w:val="24"/>
          <w:szCs w:val="24"/>
        </w:rPr>
        <w:t>-feto</w:t>
      </w:r>
      <w:r w:rsidR="00074D41" w:rsidRPr="00011D5D">
        <w:rPr>
          <w:rFonts w:ascii="Book Antiqua" w:hAnsi="Book Antiqua"/>
          <w:sz w:val="24"/>
          <w:szCs w:val="24"/>
        </w:rPr>
        <w:t>protein (</w:t>
      </w:r>
      <w:r w:rsidR="00F44D9D" w:rsidRPr="00011D5D">
        <w:rPr>
          <w:rFonts w:ascii="Book Antiqua" w:hAnsi="Book Antiqua"/>
          <w:sz w:val="24"/>
          <w:szCs w:val="24"/>
        </w:rPr>
        <w:t>AFP</w:t>
      </w:r>
      <w:r w:rsidR="00074D41" w:rsidRPr="00011D5D">
        <w:rPr>
          <w:rFonts w:ascii="Book Antiqua" w:hAnsi="Book Antiqua"/>
          <w:sz w:val="24"/>
          <w:szCs w:val="24"/>
        </w:rPr>
        <w:t>)</w:t>
      </w:r>
      <w:r w:rsidR="00F44D9D" w:rsidRPr="00011D5D">
        <w:rPr>
          <w:rFonts w:ascii="Book Antiqua" w:hAnsi="Book Antiqua"/>
          <w:sz w:val="24"/>
          <w:szCs w:val="24"/>
        </w:rPr>
        <w:t xml:space="preserve"> and des-γ-</w:t>
      </w:r>
      <w:proofErr w:type="spellStart"/>
      <w:r w:rsidR="00F44D9D" w:rsidRPr="00011D5D">
        <w:rPr>
          <w:rFonts w:ascii="Book Antiqua" w:hAnsi="Book Antiqua"/>
          <w:sz w:val="24"/>
          <w:szCs w:val="24"/>
        </w:rPr>
        <w:t>carboxyprothrombin</w:t>
      </w:r>
      <w:proofErr w:type="spellEnd"/>
      <w:r w:rsidR="00F44D9D" w:rsidRPr="00011D5D">
        <w:rPr>
          <w:rFonts w:ascii="Book Antiqua" w:hAnsi="Book Antiqua"/>
          <w:sz w:val="24"/>
          <w:szCs w:val="24"/>
        </w:rPr>
        <w:t xml:space="preserve"> </w:t>
      </w:r>
      <w:r w:rsidR="008909E0" w:rsidRPr="00011D5D">
        <w:rPr>
          <w:rFonts w:ascii="Book Antiqua" w:hAnsi="Book Antiqua"/>
          <w:sz w:val="24"/>
          <w:szCs w:val="24"/>
        </w:rPr>
        <w:t>(</w:t>
      </w:r>
      <w:r w:rsidR="00F44D9D" w:rsidRPr="00011D5D">
        <w:rPr>
          <w:rFonts w:ascii="Book Antiqua" w:hAnsi="Book Antiqua"/>
          <w:sz w:val="24"/>
          <w:szCs w:val="24"/>
        </w:rPr>
        <w:t>DCP</w:t>
      </w:r>
      <w:r w:rsidR="008909E0" w:rsidRPr="00011D5D">
        <w:rPr>
          <w:rFonts w:ascii="Book Antiqua" w:hAnsi="Book Antiqua"/>
          <w:sz w:val="24"/>
          <w:szCs w:val="24"/>
        </w:rPr>
        <w:t>)</w:t>
      </w:r>
      <w:r w:rsidR="00F44D9D" w:rsidRPr="00011D5D">
        <w:rPr>
          <w:rFonts w:ascii="Book Antiqua" w:hAnsi="Book Antiqua"/>
          <w:sz w:val="24"/>
          <w:szCs w:val="24"/>
        </w:rPr>
        <w:t xml:space="preserve"> both have established correlations </w:t>
      </w:r>
      <w:r w:rsidR="000B357B" w:rsidRPr="00011D5D">
        <w:rPr>
          <w:rFonts w:ascii="Book Antiqua" w:hAnsi="Book Antiqua"/>
          <w:sz w:val="24"/>
          <w:szCs w:val="24"/>
        </w:rPr>
        <w:t>with</w:t>
      </w:r>
      <w:r w:rsidR="00BE5CA8" w:rsidRPr="00011D5D">
        <w:rPr>
          <w:rFonts w:ascii="Book Antiqua" w:hAnsi="Book Antiqua"/>
          <w:sz w:val="24"/>
          <w:szCs w:val="24"/>
        </w:rPr>
        <w:t xml:space="preserve"> </w:t>
      </w:r>
      <w:r w:rsidR="0063358F" w:rsidRPr="00011D5D">
        <w:rPr>
          <w:rFonts w:ascii="Book Antiqua" w:hAnsi="Book Antiqua"/>
          <w:sz w:val="24"/>
          <w:szCs w:val="24"/>
        </w:rPr>
        <w:t>post treatment prognosis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1408A1">
        <w:rPr>
          <w:rFonts w:ascii="Book Antiqua" w:hAnsi="Book Antiqua"/>
          <w:sz w:val="24"/>
          <w:szCs w:val="24"/>
          <w:vertAlign w:val="superscript"/>
        </w:rPr>
        <w:t>26,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27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44D9D" w:rsidRPr="00011D5D">
        <w:rPr>
          <w:rFonts w:ascii="Book Antiqua" w:hAnsi="Book Antiqua"/>
          <w:sz w:val="24"/>
          <w:szCs w:val="24"/>
        </w:rPr>
        <w:t>.</w:t>
      </w:r>
      <w:r w:rsidR="00667D82" w:rsidRPr="00011D5D">
        <w:rPr>
          <w:rFonts w:ascii="Book Antiqua" w:hAnsi="Book Antiqua"/>
          <w:sz w:val="24"/>
          <w:szCs w:val="24"/>
        </w:rPr>
        <w:t xml:space="preserve"> </w:t>
      </w:r>
      <w:r w:rsidR="00067AA1" w:rsidRPr="00011D5D">
        <w:rPr>
          <w:rFonts w:ascii="Book Antiqua" w:hAnsi="Book Antiqua"/>
          <w:sz w:val="24"/>
          <w:szCs w:val="24"/>
        </w:rPr>
        <w:t>A</w:t>
      </w:r>
      <w:r w:rsidR="00726E30" w:rsidRPr="00011D5D">
        <w:rPr>
          <w:rFonts w:ascii="Book Antiqua" w:hAnsi="Book Antiqua"/>
          <w:sz w:val="24"/>
          <w:szCs w:val="24"/>
        </w:rPr>
        <w:t xml:space="preserve"> </w:t>
      </w:r>
      <w:r w:rsidR="00067AA1" w:rsidRPr="00011D5D">
        <w:rPr>
          <w:rFonts w:ascii="Book Antiqua" w:hAnsi="Book Antiqua"/>
          <w:sz w:val="24"/>
          <w:szCs w:val="24"/>
        </w:rPr>
        <w:t xml:space="preserve">pre-LT </w:t>
      </w:r>
      <w:r w:rsidR="00A91C42" w:rsidRPr="00011D5D">
        <w:rPr>
          <w:rFonts w:ascii="Book Antiqua" w:hAnsi="Book Antiqua"/>
          <w:sz w:val="24"/>
          <w:szCs w:val="24"/>
        </w:rPr>
        <w:t xml:space="preserve">AFP level &gt; 1000 ng/mL </w:t>
      </w:r>
      <w:r w:rsidR="00067AA1" w:rsidRPr="00011D5D">
        <w:rPr>
          <w:rFonts w:ascii="Book Antiqua" w:hAnsi="Book Antiqua"/>
          <w:sz w:val="24"/>
          <w:szCs w:val="24"/>
        </w:rPr>
        <w:t>has</w:t>
      </w:r>
      <w:r w:rsidR="00A91C42" w:rsidRPr="00011D5D">
        <w:rPr>
          <w:rFonts w:ascii="Book Antiqua" w:hAnsi="Book Antiqua"/>
          <w:sz w:val="24"/>
          <w:szCs w:val="24"/>
        </w:rPr>
        <w:t xml:space="preserve"> </w:t>
      </w:r>
      <w:r w:rsidR="004A2F7B" w:rsidRPr="00011D5D">
        <w:rPr>
          <w:rFonts w:ascii="Book Antiqua" w:hAnsi="Book Antiqua"/>
          <w:sz w:val="24"/>
          <w:szCs w:val="24"/>
        </w:rPr>
        <w:t xml:space="preserve">been </w:t>
      </w:r>
      <w:r w:rsidR="00A91C42" w:rsidRPr="00011D5D">
        <w:rPr>
          <w:rFonts w:ascii="Book Antiqua" w:hAnsi="Book Antiqua"/>
          <w:sz w:val="24"/>
          <w:szCs w:val="24"/>
        </w:rPr>
        <w:t xml:space="preserve">demonstrated as a </w:t>
      </w:r>
      <w:r w:rsidR="004A2F7B" w:rsidRPr="00011D5D">
        <w:rPr>
          <w:rFonts w:ascii="Book Antiqua" w:hAnsi="Book Antiqua"/>
          <w:sz w:val="24"/>
          <w:szCs w:val="24"/>
        </w:rPr>
        <w:t xml:space="preserve">significant </w:t>
      </w:r>
      <w:r w:rsidR="00A91C42" w:rsidRPr="00011D5D">
        <w:rPr>
          <w:rFonts w:ascii="Book Antiqua" w:hAnsi="Book Antiqua"/>
          <w:sz w:val="24"/>
          <w:szCs w:val="24"/>
        </w:rPr>
        <w:t xml:space="preserve">predictor </w:t>
      </w:r>
      <w:r w:rsidR="004A2F7B" w:rsidRPr="00011D5D">
        <w:rPr>
          <w:rFonts w:ascii="Book Antiqua" w:hAnsi="Book Antiqua"/>
          <w:sz w:val="24"/>
          <w:szCs w:val="24"/>
        </w:rPr>
        <w:t>of</w:t>
      </w:r>
      <w:r w:rsidR="001408A1">
        <w:rPr>
          <w:rFonts w:ascii="Book Antiqua" w:hAnsi="Book Antiqua"/>
          <w:sz w:val="24"/>
          <w:szCs w:val="24"/>
        </w:rPr>
        <w:t xml:space="preserve"> HCC recurrence post-LT</w:t>
      </w:r>
      <w:r w:rsidR="003E6D1E" w:rsidRPr="00011D5D">
        <w:rPr>
          <w:rFonts w:ascii="Book Antiqua" w:hAnsi="Book Antiqua"/>
          <w:sz w:val="24"/>
          <w:szCs w:val="24"/>
          <w:vertAlign w:val="superscript"/>
        </w:rPr>
        <w:t>[26]</w:t>
      </w:r>
      <w:r w:rsidR="003E6D1E" w:rsidRPr="00011D5D">
        <w:rPr>
          <w:rFonts w:ascii="Book Antiqua" w:hAnsi="Book Antiqua"/>
          <w:sz w:val="24"/>
          <w:szCs w:val="24"/>
        </w:rPr>
        <w:t xml:space="preserve">. </w:t>
      </w:r>
      <w:r w:rsidR="00726E30" w:rsidRPr="00011D5D">
        <w:rPr>
          <w:rFonts w:ascii="Book Antiqua" w:hAnsi="Book Antiqua"/>
          <w:sz w:val="24"/>
          <w:szCs w:val="24"/>
        </w:rPr>
        <w:t xml:space="preserve">A large scale analysis of </w:t>
      </w:r>
      <w:r w:rsidR="00287F39" w:rsidRPr="00011D5D">
        <w:rPr>
          <w:rFonts w:ascii="Book Antiqua" w:hAnsi="Book Antiqua"/>
          <w:sz w:val="24"/>
          <w:szCs w:val="24"/>
        </w:rPr>
        <w:t>United Network for</w:t>
      </w:r>
      <w:r w:rsidR="00FD55F4" w:rsidRPr="00011D5D">
        <w:rPr>
          <w:rFonts w:ascii="Book Antiqua" w:hAnsi="Book Antiqua"/>
          <w:sz w:val="24"/>
          <w:szCs w:val="24"/>
        </w:rPr>
        <w:t xml:space="preserve"> Organ Sharing (</w:t>
      </w:r>
      <w:r w:rsidR="00726E30" w:rsidRPr="00011D5D">
        <w:rPr>
          <w:rFonts w:ascii="Book Antiqua" w:hAnsi="Book Antiqua"/>
          <w:sz w:val="24"/>
          <w:szCs w:val="24"/>
        </w:rPr>
        <w:t>UNOS</w:t>
      </w:r>
      <w:r w:rsidR="00FD55F4" w:rsidRPr="00011D5D">
        <w:rPr>
          <w:rFonts w:ascii="Book Antiqua" w:hAnsi="Book Antiqua"/>
          <w:sz w:val="24"/>
          <w:szCs w:val="24"/>
        </w:rPr>
        <w:t>)</w:t>
      </w:r>
      <w:r w:rsidR="00726E30" w:rsidRPr="00011D5D">
        <w:rPr>
          <w:rFonts w:ascii="Book Antiqua" w:hAnsi="Book Antiqua"/>
          <w:sz w:val="24"/>
          <w:szCs w:val="24"/>
        </w:rPr>
        <w:t xml:space="preserve"> data has demonstrated that patients transplanted beyond MC with an AFP level of 0 to 15 ng/mL</w:t>
      </w:r>
      <w:r w:rsidR="00CB1756" w:rsidRPr="00011D5D">
        <w:rPr>
          <w:rFonts w:ascii="Book Antiqua" w:hAnsi="Book Antiqua"/>
          <w:sz w:val="24"/>
          <w:szCs w:val="24"/>
        </w:rPr>
        <w:t xml:space="preserve"> (normal range)</w:t>
      </w:r>
      <w:r w:rsidR="00330AE1" w:rsidRPr="00011D5D">
        <w:rPr>
          <w:rFonts w:ascii="Book Antiqua" w:hAnsi="Book Antiqua"/>
          <w:sz w:val="24"/>
          <w:szCs w:val="24"/>
        </w:rPr>
        <w:t xml:space="preserve"> had </w:t>
      </w:r>
      <w:r w:rsidR="00726E30" w:rsidRPr="00011D5D">
        <w:rPr>
          <w:rFonts w:ascii="Book Antiqua" w:hAnsi="Book Antiqua"/>
          <w:sz w:val="24"/>
          <w:szCs w:val="24"/>
        </w:rPr>
        <w:t>impro</w:t>
      </w:r>
      <w:r w:rsidR="001408A1">
        <w:rPr>
          <w:rFonts w:ascii="Book Antiqua" w:hAnsi="Book Antiqua"/>
          <w:sz w:val="24"/>
          <w:szCs w:val="24"/>
        </w:rPr>
        <w:t>ved survival</w:t>
      </w:r>
      <w:r w:rsidR="00547C26" w:rsidRPr="00011D5D">
        <w:rPr>
          <w:rFonts w:ascii="Book Antiqua" w:hAnsi="Book Antiqua"/>
          <w:sz w:val="24"/>
          <w:szCs w:val="24"/>
          <w:vertAlign w:val="superscript"/>
        </w:rPr>
        <w:t>[28</w:t>
      </w:r>
      <w:r w:rsidR="00726E30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150D85" w:rsidRPr="001408A1">
        <w:rPr>
          <w:rFonts w:ascii="Book Antiqua" w:hAnsi="Book Antiqua"/>
          <w:sz w:val="24"/>
          <w:szCs w:val="24"/>
        </w:rPr>
        <w:t>.</w:t>
      </w:r>
    </w:p>
    <w:p w:rsidR="00F44D9D" w:rsidRPr="00011D5D" w:rsidRDefault="001314E1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One of the </w:t>
      </w:r>
      <w:r w:rsidR="00F44D9D" w:rsidRPr="00011D5D">
        <w:rPr>
          <w:rFonts w:ascii="Book Antiqua" w:hAnsi="Book Antiqua"/>
          <w:sz w:val="24"/>
          <w:szCs w:val="24"/>
        </w:rPr>
        <w:t xml:space="preserve">most </w:t>
      </w:r>
      <w:r w:rsidRPr="00011D5D">
        <w:rPr>
          <w:rFonts w:ascii="Book Antiqua" w:hAnsi="Book Antiqua"/>
          <w:sz w:val="24"/>
          <w:szCs w:val="24"/>
        </w:rPr>
        <w:t xml:space="preserve">popular </w:t>
      </w:r>
      <w:r w:rsidR="00BE5CA8" w:rsidRPr="00011D5D">
        <w:rPr>
          <w:rFonts w:ascii="Book Antiqua" w:hAnsi="Book Antiqua"/>
          <w:sz w:val="24"/>
          <w:szCs w:val="24"/>
        </w:rPr>
        <w:t xml:space="preserve">HCC-LT </w:t>
      </w:r>
      <w:r w:rsidRPr="00011D5D">
        <w:rPr>
          <w:rFonts w:ascii="Book Antiqua" w:hAnsi="Book Antiqua"/>
          <w:sz w:val="24"/>
          <w:szCs w:val="24"/>
        </w:rPr>
        <w:t xml:space="preserve">extended criteria </w:t>
      </w:r>
      <w:r w:rsidR="000B357B" w:rsidRPr="00011D5D">
        <w:rPr>
          <w:rFonts w:ascii="Book Antiqua" w:hAnsi="Book Antiqua"/>
          <w:sz w:val="24"/>
          <w:szCs w:val="24"/>
        </w:rPr>
        <w:t>including</w:t>
      </w:r>
      <w:r w:rsidR="00BE5CA8" w:rsidRPr="00011D5D">
        <w:rPr>
          <w:rFonts w:ascii="Book Antiqua" w:hAnsi="Book Antiqua"/>
          <w:sz w:val="24"/>
          <w:szCs w:val="24"/>
        </w:rPr>
        <w:t xml:space="preserve"> </w:t>
      </w:r>
      <w:r w:rsidR="00F44D9D" w:rsidRPr="00011D5D">
        <w:rPr>
          <w:rFonts w:ascii="Book Antiqua" w:hAnsi="Book Antiqua"/>
          <w:sz w:val="24"/>
          <w:szCs w:val="24"/>
        </w:rPr>
        <w:t>biomarker</w:t>
      </w:r>
      <w:r w:rsidR="00BE5CA8" w:rsidRPr="00011D5D">
        <w:rPr>
          <w:rFonts w:ascii="Book Antiqua" w:hAnsi="Book Antiqua"/>
          <w:sz w:val="24"/>
          <w:szCs w:val="24"/>
        </w:rPr>
        <w:t>s as</w:t>
      </w:r>
      <w:r w:rsidRPr="00011D5D">
        <w:rPr>
          <w:rFonts w:ascii="Book Antiqua" w:hAnsi="Book Antiqua"/>
          <w:sz w:val="24"/>
          <w:szCs w:val="24"/>
        </w:rPr>
        <w:t xml:space="preserve"> surrogates of tumor biology are</w:t>
      </w:r>
      <w:r w:rsidR="000B357B" w:rsidRPr="00011D5D">
        <w:rPr>
          <w:rFonts w:ascii="Book Antiqua" w:hAnsi="Book Antiqua"/>
          <w:sz w:val="24"/>
          <w:szCs w:val="24"/>
        </w:rPr>
        <w:t xml:space="preserve"> the Hangzhou criteria</w:t>
      </w:r>
      <w:r w:rsidR="00A1139E" w:rsidRPr="00011D5D">
        <w:rPr>
          <w:rFonts w:ascii="Book Antiqua" w:hAnsi="Book Antiqua"/>
          <w:sz w:val="24"/>
          <w:szCs w:val="24"/>
        </w:rPr>
        <w:t xml:space="preserve"> (</w:t>
      </w:r>
      <w:r w:rsidR="00822DCA" w:rsidRPr="00011D5D">
        <w:rPr>
          <w:rFonts w:ascii="Book Antiqua" w:hAnsi="Book Antiqua"/>
          <w:sz w:val="24"/>
          <w:szCs w:val="24"/>
        </w:rPr>
        <w:t>absence of macrovascu</w:t>
      </w:r>
      <w:r w:rsidR="00A1139E" w:rsidRPr="00011D5D">
        <w:rPr>
          <w:rFonts w:ascii="Book Antiqua" w:hAnsi="Book Antiqua"/>
          <w:sz w:val="24"/>
          <w:szCs w:val="24"/>
        </w:rPr>
        <w:t xml:space="preserve">lar invasion and </w:t>
      </w:r>
      <w:r w:rsidR="00822DCA" w:rsidRPr="00011D5D">
        <w:rPr>
          <w:rFonts w:ascii="Book Antiqua" w:hAnsi="Book Antiqua"/>
          <w:sz w:val="24"/>
          <w:szCs w:val="24"/>
        </w:rPr>
        <w:t>total tumor diameter ≤ 8 cm. If t</w:t>
      </w:r>
      <w:r w:rsidR="00A1139E" w:rsidRPr="00011D5D">
        <w:rPr>
          <w:rFonts w:ascii="Book Antiqua" w:hAnsi="Book Antiqua"/>
          <w:sz w:val="24"/>
          <w:szCs w:val="24"/>
        </w:rPr>
        <w:t xml:space="preserve">he tumor burden is &gt; </w:t>
      </w:r>
      <w:r w:rsidR="00822DCA" w:rsidRPr="00011D5D">
        <w:rPr>
          <w:rFonts w:ascii="Book Antiqua" w:hAnsi="Book Antiqua"/>
          <w:sz w:val="24"/>
          <w:szCs w:val="24"/>
        </w:rPr>
        <w:t>8 cm</w:t>
      </w:r>
      <w:r w:rsidR="00A1139E" w:rsidRPr="00011D5D">
        <w:rPr>
          <w:rFonts w:ascii="Book Antiqua" w:hAnsi="Book Antiqua"/>
          <w:sz w:val="24"/>
          <w:szCs w:val="24"/>
        </w:rPr>
        <w:t xml:space="preserve">, histopathology via tumor biopsy should be non-poorly differentiated HCC and </w:t>
      </w:r>
      <w:r w:rsidR="00160663" w:rsidRPr="00011D5D">
        <w:rPr>
          <w:rFonts w:ascii="Book Antiqua" w:hAnsi="Book Antiqua"/>
          <w:sz w:val="24"/>
          <w:szCs w:val="24"/>
        </w:rPr>
        <w:t xml:space="preserve">AFP level </w:t>
      </w:r>
      <w:r w:rsidR="00A1139E" w:rsidRPr="00011D5D">
        <w:rPr>
          <w:rFonts w:ascii="Book Antiqua" w:hAnsi="Book Antiqua"/>
          <w:sz w:val="24"/>
          <w:szCs w:val="24"/>
        </w:rPr>
        <w:t xml:space="preserve">should be </w:t>
      </w:r>
      <w:r w:rsidR="00160663" w:rsidRPr="00011D5D">
        <w:rPr>
          <w:rFonts w:ascii="Book Antiqua" w:hAnsi="Book Antiqua"/>
          <w:sz w:val="24"/>
          <w:szCs w:val="24"/>
        </w:rPr>
        <w:t>≤ 400 ng/</w:t>
      </w:r>
      <w:r w:rsidR="00CA3EF8" w:rsidRPr="00011D5D">
        <w:rPr>
          <w:rFonts w:ascii="Book Antiqua" w:hAnsi="Book Antiqua"/>
          <w:sz w:val="24"/>
          <w:szCs w:val="24"/>
        </w:rPr>
        <w:t>mL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47C26" w:rsidRPr="00011D5D">
        <w:rPr>
          <w:rFonts w:ascii="Book Antiqua" w:hAnsi="Book Antiqua"/>
          <w:sz w:val="24"/>
          <w:szCs w:val="24"/>
          <w:vertAlign w:val="superscript"/>
        </w:rPr>
        <w:t>29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F44D9D" w:rsidRPr="00011D5D" w:rsidRDefault="00160663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In </w:t>
      </w:r>
      <w:r w:rsidR="00F44D9D" w:rsidRPr="00011D5D">
        <w:rPr>
          <w:rFonts w:ascii="Book Antiqua" w:hAnsi="Book Antiqua"/>
          <w:sz w:val="24"/>
          <w:szCs w:val="24"/>
        </w:rPr>
        <w:t>the original cohort of</w:t>
      </w:r>
      <w:r w:rsidRPr="00011D5D">
        <w:rPr>
          <w:rFonts w:ascii="Book Antiqua" w:hAnsi="Book Antiqua"/>
          <w:sz w:val="24"/>
          <w:szCs w:val="24"/>
        </w:rPr>
        <w:t xml:space="preserve"> 195 patients, fulfilling Hangzhou criteria led to a 5 year survival of 70.7% and DFS: 62.4%</w:t>
      </w:r>
      <w:r w:rsidR="00F44D9D" w:rsidRPr="00011D5D">
        <w:rPr>
          <w:rFonts w:ascii="Book Antiqua" w:hAnsi="Book Antiqua"/>
          <w:sz w:val="24"/>
          <w:szCs w:val="24"/>
        </w:rPr>
        <w:t xml:space="preserve">. On the other hand, </w:t>
      </w:r>
      <w:r w:rsidRPr="00011D5D">
        <w:rPr>
          <w:rFonts w:ascii="Book Antiqua" w:hAnsi="Book Antiqua"/>
          <w:sz w:val="24"/>
          <w:szCs w:val="24"/>
        </w:rPr>
        <w:t xml:space="preserve">patients beyond Hangzhou </w:t>
      </w:r>
      <w:r w:rsidR="00173DFC" w:rsidRPr="00011D5D">
        <w:rPr>
          <w:rFonts w:ascii="Book Antiqua" w:hAnsi="Book Antiqua"/>
          <w:sz w:val="24"/>
          <w:szCs w:val="24"/>
        </w:rPr>
        <w:t xml:space="preserve">criteria </w:t>
      </w:r>
      <w:r w:rsidRPr="00011D5D">
        <w:rPr>
          <w:rFonts w:ascii="Book Antiqua" w:hAnsi="Book Antiqua"/>
          <w:sz w:val="24"/>
          <w:szCs w:val="24"/>
        </w:rPr>
        <w:t>had a 5 year survival of 18.9% and DFS: 4.7%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547C26" w:rsidRPr="00011D5D">
        <w:rPr>
          <w:rFonts w:ascii="Book Antiqua" w:hAnsi="Book Antiqua"/>
          <w:sz w:val="24"/>
          <w:szCs w:val="24"/>
          <w:vertAlign w:val="superscript"/>
        </w:rPr>
        <w:t>29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Pr="00011D5D">
        <w:rPr>
          <w:rFonts w:ascii="Book Antiqua" w:hAnsi="Book Antiqua"/>
          <w:sz w:val="24"/>
          <w:szCs w:val="24"/>
        </w:rPr>
        <w:t xml:space="preserve">. </w:t>
      </w:r>
      <w:r w:rsidR="00476BF0" w:rsidRPr="00011D5D">
        <w:rPr>
          <w:rFonts w:ascii="Book Antiqua" w:hAnsi="Book Antiqua"/>
          <w:sz w:val="24"/>
          <w:szCs w:val="24"/>
        </w:rPr>
        <w:t>A</w:t>
      </w:r>
      <w:r w:rsidR="0099347B" w:rsidRPr="00011D5D">
        <w:rPr>
          <w:rFonts w:ascii="Book Antiqua" w:hAnsi="Book Antiqua"/>
          <w:sz w:val="24"/>
          <w:szCs w:val="24"/>
        </w:rPr>
        <w:t xml:space="preserve"> large scale comparative study of multiple extended criteria </w:t>
      </w:r>
      <w:r w:rsidR="00F664AC" w:rsidRPr="00011D5D">
        <w:rPr>
          <w:rFonts w:ascii="Book Antiqua" w:hAnsi="Book Antiqua"/>
          <w:sz w:val="24"/>
          <w:szCs w:val="24"/>
        </w:rPr>
        <w:t xml:space="preserve">confirmed </w:t>
      </w:r>
      <w:r w:rsidR="00476BF0" w:rsidRPr="00011D5D">
        <w:rPr>
          <w:rFonts w:ascii="Book Antiqua" w:hAnsi="Book Antiqua"/>
          <w:sz w:val="24"/>
          <w:szCs w:val="24"/>
        </w:rPr>
        <w:t xml:space="preserve">post LT </w:t>
      </w:r>
      <w:r w:rsidR="00F664AC" w:rsidRPr="00011D5D">
        <w:rPr>
          <w:rFonts w:ascii="Book Antiqua" w:hAnsi="Book Antiqua"/>
          <w:sz w:val="24"/>
          <w:szCs w:val="24"/>
        </w:rPr>
        <w:t xml:space="preserve">survival associated with </w:t>
      </w:r>
      <w:r w:rsidR="0019593E" w:rsidRPr="00011D5D">
        <w:rPr>
          <w:rFonts w:ascii="Book Antiqua" w:hAnsi="Book Antiqua"/>
          <w:sz w:val="24"/>
          <w:szCs w:val="24"/>
        </w:rPr>
        <w:t xml:space="preserve">LT </w:t>
      </w:r>
      <w:r w:rsidR="00E410C4" w:rsidRPr="00011D5D">
        <w:rPr>
          <w:rFonts w:ascii="Book Antiqua" w:hAnsi="Book Antiqua"/>
          <w:sz w:val="24"/>
          <w:szCs w:val="24"/>
        </w:rPr>
        <w:t xml:space="preserve">beyond MC but meeting </w:t>
      </w:r>
      <w:r w:rsidR="00476BF0" w:rsidRPr="00011D5D">
        <w:rPr>
          <w:rFonts w:ascii="Book Antiqua" w:hAnsi="Book Antiqua"/>
          <w:sz w:val="24"/>
          <w:szCs w:val="24"/>
        </w:rPr>
        <w:t xml:space="preserve">Hangzhou </w:t>
      </w:r>
      <w:r w:rsidR="00E410C4" w:rsidRPr="00011D5D">
        <w:rPr>
          <w:rFonts w:ascii="Book Antiqua" w:hAnsi="Book Antiqua"/>
          <w:sz w:val="24"/>
          <w:szCs w:val="24"/>
        </w:rPr>
        <w:t>at 1-, 3-, 5-and 10-year</w:t>
      </w:r>
      <w:r w:rsidR="00BE5CA8" w:rsidRPr="00011D5D">
        <w:rPr>
          <w:rFonts w:ascii="Book Antiqua" w:hAnsi="Book Antiqua"/>
          <w:sz w:val="24"/>
          <w:szCs w:val="24"/>
        </w:rPr>
        <w:t>s</w:t>
      </w:r>
      <w:r w:rsidR="00E410C4" w:rsidRPr="00011D5D">
        <w:rPr>
          <w:rFonts w:ascii="Book Antiqua" w:hAnsi="Book Antiqua"/>
          <w:sz w:val="24"/>
          <w:szCs w:val="24"/>
        </w:rPr>
        <w:t xml:space="preserve"> was 89.5%, 70.8%, 62.4% and 52.9% respectively. </w:t>
      </w:r>
      <w:r w:rsidR="0019593E" w:rsidRPr="00011D5D">
        <w:rPr>
          <w:rFonts w:ascii="Book Antiqua" w:hAnsi="Book Antiqua"/>
          <w:sz w:val="24"/>
          <w:szCs w:val="24"/>
        </w:rPr>
        <w:t xml:space="preserve">Additionally, </w:t>
      </w:r>
      <w:r w:rsidR="00E410C4" w:rsidRPr="00011D5D">
        <w:rPr>
          <w:rFonts w:ascii="Book Antiqua" w:hAnsi="Book Antiqua"/>
          <w:sz w:val="24"/>
          <w:szCs w:val="24"/>
        </w:rPr>
        <w:t xml:space="preserve">1-, 3-, 5- and 10-year RFS </w:t>
      </w:r>
      <w:r w:rsidR="00BE5CA8" w:rsidRPr="00011D5D">
        <w:rPr>
          <w:rFonts w:ascii="Book Antiqua" w:hAnsi="Book Antiqua"/>
          <w:sz w:val="24"/>
          <w:szCs w:val="24"/>
        </w:rPr>
        <w:t>was</w:t>
      </w:r>
      <w:r w:rsidR="00E410C4" w:rsidRPr="00011D5D">
        <w:rPr>
          <w:rFonts w:ascii="Book Antiqua" w:hAnsi="Book Antiqua"/>
          <w:sz w:val="24"/>
          <w:szCs w:val="24"/>
        </w:rPr>
        <w:t xml:space="preserve"> 81.6%, 64.3%, 56.5%, and 37.2%</w:t>
      </w:r>
      <w:r w:rsidR="0019593E" w:rsidRPr="00011D5D">
        <w:rPr>
          <w:rFonts w:ascii="Book Antiqua" w:hAnsi="Book Antiqua"/>
          <w:sz w:val="24"/>
          <w:szCs w:val="24"/>
        </w:rPr>
        <w:t xml:space="preserve"> respectively</w:t>
      </w:r>
      <w:r w:rsidR="00E410C4" w:rsidRPr="00011D5D">
        <w:rPr>
          <w:rFonts w:ascii="Book Antiqua" w:hAnsi="Book Antiqua"/>
          <w:sz w:val="24"/>
          <w:szCs w:val="24"/>
        </w:rPr>
        <w:t xml:space="preserve">. </w:t>
      </w:r>
      <w:r w:rsidR="005E55A5" w:rsidRPr="00011D5D">
        <w:rPr>
          <w:rFonts w:ascii="Book Antiqua" w:hAnsi="Book Antiqua"/>
          <w:sz w:val="24"/>
          <w:szCs w:val="24"/>
        </w:rPr>
        <w:t>Compared to MC, e</w:t>
      </w:r>
      <w:r w:rsidR="00862D0B" w:rsidRPr="00011D5D">
        <w:rPr>
          <w:rFonts w:ascii="Book Antiqua" w:hAnsi="Book Antiqua"/>
          <w:sz w:val="24"/>
          <w:szCs w:val="24"/>
        </w:rPr>
        <w:t>xpanded</w:t>
      </w:r>
      <w:r w:rsidR="0099347B" w:rsidRPr="00011D5D">
        <w:rPr>
          <w:rFonts w:ascii="Book Antiqua" w:hAnsi="Book Antiqua"/>
          <w:sz w:val="24"/>
          <w:szCs w:val="24"/>
        </w:rPr>
        <w:t xml:space="preserve"> </w:t>
      </w:r>
      <w:r w:rsidR="00F664AC" w:rsidRPr="00011D5D">
        <w:rPr>
          <w:rFonts w:ascii="Book Antiqua" w:hAnsi="Book Antiqua"/>
          <w:sz w:val="24"/>
          <w:szCs w:val="24"/>
        </w:rPr>
        <w:t xml:space="preserve">criteria </w:t>
      </w:r>
      <w:r w:rsidR="005E55A5" w:rsidRPr="00011D5D">
        <w:rPr>
          <w:rFonts w:ascii="Book Antiqua" w:hAnsi="Book Antiqua"/>
          <w:sz w:val="24"/>
          <w:szCs w:val="24"/>
        </w:rPr>
        <w:t xml:space="preserve">expanded </w:t>
      </w:r>
      <w:r w:rsidR="005E55A5" w:rsidRPr="00011D5D">
        <w:rPr>
          <w:rFonts w:ascii="Book Antiqua" w:hAnsi="Book Antiqua"/>
          <w:sz w:val="24"/>
          <w:szCs w:val="24"/>
        </w:rPr>
        <w:lastRenderedPageBreak/>
        <w:t xml:space="preserve">transplantable patients by </w:t>
      </w:r>
      <w:r w:rsidR="00476BF0" w:rsidRPr="00011D5D">
        <w:rPr>
          <w:rFonts w:ascii="Book Antiqua" w:hAnsi="Book Antiqua"/>
          <w:sz w:val="24"/>
          <w:szCs w:val="24"/>
        </w:rPr>
        <w:t>12.4%</w:t>
      </w:r>
      <w:r w:rsidR="005E55A5" w:rsidRPr="00011D5D">
        <w:rPr>
          <w:rFonts w:ascii="Book Antiqua" w:hAnsi="Book Antiqua"/>
          <w:sz w:val="24"/>
          <w:szCs w:val="24"/>
        </w:rPr>
        <w:t xml:space="preserve"> for Valencia, 16.3% for UCSF, </w:t>
      </w:r>
      <w:r w:rsidR="00476BF0" w:rsidRPr="00011D5D">
        <w:rPr>
          <w:rFonts w:ascii="Book Antiqua" w:hAnsi="Book Antiqua"/>
          <w:sz w:val="24"/>
          <w:szCs w:val="24"/>
        </w:rPr>
        <w:t>19.6%</w:t>
      </w:r>
      <w:r w:rsidR="005E55A5" w:rsidRPr="00011D5D">
        <w:rPr>
          <w:rFonts w:ascii="Book Antiqua" w:hAnsi="Book Antiqua"/>
          <w:sz w:val="24"/>
          <w:szCs w:val="24"/>
        </w:rPr>
        <w:t xml:space="preserve"> for Navarro</w:t>
      </w:r>
      <w:r w:rsidR="00476BF0" w:rsidRPr="00011D5D">
        <w:rPr>
          <w:rFonts w:ascii="Book Antiqua" w:hAnsi="Book Antiqua"/>
          <w:sz w:val="24"/>
          <w:szCs w:val="24"/>
        </w:rPr>
        <w:t xml:space="preserve">, and 51.5% </w:t>
      </w:r>
      <w:r w:rsidR="005E55A5" w:rsidRPr="00011D5D">
        <w:rPr>
          <w:rFonts w:ascii="Book Antiqua" w:hAnsi="Book Antiqua"/>
          <w:sz w:val="24"/>
          <w:szCs w:val="24"/>
        </w:rPr>
        <w:t xml:space="preserve">for Hangzhou. </w:t>
      </w:r>
      <w:r w:rsidR="00E410C4" w:rsidRPr="00011D5D">
        <w:rPr>
          <w:rFonts w:ascii="Book Antiqua" w:hAnsi="Book Antiqua"/>
          <w:sz w:val="24"/>
          <w:szCs w:val="24"/>
        </w:rPr>
        <w:t>RFS rates were comparable to MC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29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F44D9D" w:rsidRPr="00011D5D" w:rsidRDefault="00F44D9D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In 2012, Lai e</w:t>
      </w:r>
      <w:r w:rsidRPr="001408A1">
        <w:rPr>
          <w:rFonts w:ascii="Book Antiqua" w:hAnsi="Book Antiqua"/>
          <w:i/>
          <w:sz w:val="24"/>
          <w:szCs w:val="24"/>
        </w:rPr>
        <w:t>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[31]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also suggested that </w:t>
      </w:r>
      <w:r w:rsidR="00BE5CA8" w:rsidRPr="00011D5D">
        <w:rPr>
          <w:rFonts w:ascii="Book Antiqua" w:hAnsi="Book Antiqua"/>
          <w:sz w:val="24"/>
          <w:szCs w:val="24"/>
        </w:rPr>
        <w:t xml:space="preserve">the </w:t>
      </w:r>
      <w:r w:rsidRPr="00011D5D">
        <w:rPr>
          <w:rFonts w:ascii="Book Antiqua" w:hAnsi="Book Antiqua"/>
          <w:sz w:val="24"/>
          <w:szCs w:val="24"/>
        </w:rPr>
        <w:t>combination of total tumor diameter &gt;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8 cm and an AFP level ≤ 400 ng/mL would </w:t>
      </w:r>
      <w:r w:rsidR="00BE5CA8" w:rsidRPr="00011D5D">
        <w:rPr>
          <w:rFonts w:ascii="Book Antiqua" w:hAnsi="Book Antiqua"/>
          <w:sz w:val="24"/>
          <w:szCs w:val="24"/>
        </w:rPr>
        <w:t>result in</w:t>
      </w:r>
      <w:r w:rsidRPr="00011D5D">
        <w:rPr>
          <w:rFonts w:ascii="Book Antiqua" w:hAnsi="Book Antiqua"/>
          <w:sz w:val="24"/>
          <w:szCs w:val="24"/>
        </w:rPr>
        <w:t xml:space="preserve"> favorable survival outcomes. The 5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year DFS rate was 74.4%</w:t>
      </w:r>
      <w:r w:rsidR="00BE5CA8" w:rsidRPr="00011D5D">
        <w:rPr>
          <w:rFonts w:ascii="Book Antiqua" w:hAnsi="Book Antiqua"/>
          <w:sz w:val="24"/>
          <w:szCs w:val="24"/>
        </w:rPr>
        <w:t xml:space="preserve">. It was also noted that </w:t>
      </w:r>
      <w:r w:rsidRPr="00011D5D">
        <w:rPr>
          <w:rFonts w:ascii="Book Antiqua" w:hAnsi="Book Antiqua"/>
          <w:sz w:val="24"/>
          <w:szCs w:val="24"/>
        </w:rPr>
        <w:t>patients with increased AFP values in response to LRT had higher recurrence rates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547C26" w:rsidRPr="00011D5D">
        <w:rPr>
          <w:rFonts w:ascii="Book Antiqua" w:hAnsi="Book Antiqua"/>
          <w:sz w:val="24"/>
          <w:szCs w:val="24"/>
          <w:vertAlign w:val="superscript"/>
        </w:rPr>
        <w:t>1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  <w:r w:rsidR="00444A87" w:rsidRPr="00011D5D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444A87" w:rsidRPr="00011D5D">
        <w:rPr>
          <w:rFonts w:ascii="Book Antiqua" w:hAnsi="Book Antiqua"/>
          <w:sz w:val="24"/>
          <w:szCs w:val="24"/>
        </w:rPr>
        <w:t>Duvoux</w:t>
      </w:r>
      <w:proofErr w:type="spellEnd"/>
      <w:r w:rsidR="00444A87" w:rsidRPr="00011D5D">
        <w:rPr>
          <w:rFonts w:ascii="Book Antiqua" w:hAnsi="Book Antiqua"/>
          <w:sz w:val="24"/>
          <w:szCs w:val="24"/>
        </w:rPr>
        <w:t xml:space="preserve"> </w:t>
      </w:r>
      <w:r w:rsidR="00444A87"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[32]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44A87" w:rsidRPr="00011D5D">
        <w:rPr>
          <w:rFonts w:ascii="Book Antiqua" w:hAnsi="Book Antiqua"/>
          <w:sz w:val="24"/>
          <w:szCs w:val="24"/>
        </w:rPr>
        <w:t xml:space="preserve">have </w:t>
      </w:r>
      <w:r w:rsidR="00C146FF" w:rsidRPr="00011D5D">
        <w:rPr>
          <w:rFonts w:ascii="Book Antiqua" w:hAnsi="Book Antiqua"/>
          <w:sz w:val="24"/>
          <w:szCs w:val="24"/>
        </w:rPr>
        <w:t xml:space="preserve">suggested a predictive </w:t>
      </w:r>
      <w:r w:rsidR="00B66125" w:rsidRPr="00011D5D">
        <w:rPr>
          <w:rFonts w:ascii="Book Antiqua" w:hAnsi="Book Antiqua"/>
          <w:sz w:val="24"/>
          <w:szCs w:val="24"/>
        </w:rPr>
        <w:t>scoring model that combines the AFP level at listing with MC. In their model, an AFP level ≤ 100 ng/mL in the sett</w:t>
      </w:r>
      <w:r w:rsidR="00D54BD4" w:rsidRPr="00011D5D">
        <w:rPr>
          <w:rFonts w:ascii="Book Antiqua" w:hAnsi="Book Antiqua"/>
          <w:sz w:val="24"/>
          <w:szCs w:val="24"/>
        </w:rPr>
        <w:t xml:space="preserve">ing of patients beyond MC (1-3 lesions with </w:t>
      </w:r>
      <w:r w:rsidR="00B66125" w:rsidRPr="00011D5D">
        <w:rPr>
          <w:rFonts w:ascii="Book Antiqua" w:hAnsi="Book Antiqua"/>
          <w:sz w:val="24"/>
          <w:szCs w:val="24"/>
        </w:rPr>
        <w:t>a maximum tumor diameter of 6 cm</w:t>
      </w:r>
      <w:r w:rsidR="00D54BD4" w:rsidRPr="00011D5D">
        <w:rPr>
          <w:rFonts w:ascii="Book Antiqua" w:hAnsi="Book Antiqua"/>
          <w:sz w:val="24"/>
          <w:szCs w:val="24"/>
        </w:rPr>
        <w:t xml:space="preserve">) </w:t>
      </w:r>
      <w:r w:rsidR="00B66125" w:rsidRPr="00011D5D">
        <w:rPr>
          <w:rFonts w:ascii="Book Antiqua" w:hAnsi="Book Antiqua"/>
          <w:sz w:val="24"/>
          <w:szCs w:val="24"/>
        </w:rPr>
        <w:t xml:space="preserve">demonstrated </w:t>
      </w:r>
      <w:r w:rsidR="00D54BD4" w:rsidRPr="00011D5D">
        <w:rPr>
          <w:rFonts w:ascii="Book Antiqua" w:hAnsi="Book Antiqua"/>
          <w:sz w:val="24"/>
          <w:szCs w:val="24"/>
        </w:rPr>
        <w:t>5- year survival near 70%</w:t>
      </w:r>
      <w:r w:rsidR="00D54BD4" w:rsidRPr="00011D5D">
        <w:rPr>
          <w:rFonts w:ascii="Book Antiqua" w:hAnsi="Book Antiqua"/>
          <w:sz w:val="24"/>
          <w:szCs w:val="24"/>
          <w:vertAlign w:val="superscript"/>
        </w:rPr>
        <w:t xml:space="preserve"> [3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2</w:t>
      </w:r>
      <w:r w:rsidR="00D54BD4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D54BD4" w:rsidRPr="00011D5D">
        <w:rPr>
          <w:rFonts w:ascii="Book Antiqua" w:hAnsi="Book Antiqua"/>
          <w:sz w:val="24"/>
          <w:szCs w:val="24"/>
        </w:rPr>
        <w:t xml:space="preserve">. </w:t>
      </w:r>
    </w:p>
    <w:p w:rsidR="00787805" w:rsidRPr="00011D5D" w:rsidRDefault="00F44D9D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Similar criteria have been applied to LDLT as well. </w:t>
      </w:r>
      <w:r w:rsidR="00B40139" w:rsidRPr="00011D5D">
        <w:rPr>
          <w:rFonts w:ascii="Book Antiqua" w:hAnsi="Book Antiqua"/>
          <w:sz w:val="24"/>
          <w:szCs w:val="24"/>
        </w:rPr>
        <w:t>In a multicenter study from</w:t>
      </w:r>
      <w:r w:rsidR="00300275" w:rsidRPr="00011D5D">
        <w:rPr>
          <w:rFonts w:ascii="Book Antiqua" w:hAnsi="Book Antiqua"/>
          <w:sz w:val="24"/>
          <w:szCs w:val="24"/>
        </w:rPr>
        <w:t xml:space="preserve"> Japan, </w:t>
      </w:r>
      <w:proofErr w:type="spellStart"/>
      <w:r w:rsidR="00300275" w:rsidRPr="00011D5D">
        <w:rPr>
          <w:rFonts w:ascii="Book Antiqua" w:hAnsi="Book Antiqua"/>
          <w:sz w:val="24"/>
          <w:szCs w:val="24"/>
        </w:rPr>
        <w:t>Todo</w:t>
      </w:r>
      <w:proofErr w:type="spellEnd"/>
      <w:r w:rsidR="00300275" w:rsidRPr="00011D5D">
        <w:rPr>
          <w:rFonts w:ascii="Book Antiqua" w:hAnsi="Book Antiqua"/>
          <w:sz w:val="24"/>
          <w:szCs w:val="24"/>
        </w:rPr>
        <w:t xml:space="preserve"> et al</w:t>
      </w:r>
      <w:r w:rsidR="002711E7" w:rsidRPr="00011D5D">
        <w:rPr>
          <w:rFonts w:ascii="Book Antiqua" w:hAnsi="Book Antiqua"/>
          <w:sz w:val="24"/>
          <w:szCs w:val="24"/>
        </w:rPr>
        <w:t xml:space="preserve">. </w:t>
      </w:r>
      <w:r w:rsidR="00300275" w:rsidRPr="00011D5D">
        <w:rPr>
          <w:rFonts w:ascii="Book Antiqua" w:hAnsi="Book Antiqua"/>
          <w:sz w:val="24"/>
          <w:szCs w:val="24"/>
        </w:rPr>
        <w:t xml:space="preserve">suggested that </w:t>
      </w:r>
      <w:r w:rsidR="00067AA1" w:rsidRPr="00011D5D">
        <w:rPr>
          <w:rFonts w:ascii="Book Antiqua" w:hAnsi="Book Antiqua"/>
          <w:sz w:val="24"/>
          <w:szCs w:val="24"/>
        </w:rPr>
        <w:t>the</w:t>
      </w:r>
      <w:r w:rsidR="00787805" w:rsidRPr="00011D5D">
        <w:rPr>
          <w:rFonts w:ascii="Book Antiqua" w:hAnsi="Book Antiqua"/>
          <w:sz w:val="24"/>
          <w:szCs w:val="24"/>
        </w:rPr>
        <w:t xml:space="preserve"> combination of an</w:t>
      </w:r>
      <w:r w:rsidR="00300275" w:rsidRPr="00011D5D">
        <w:rPr>
          <w:rFonts w:ascii="Book Antiqua" w:hAnsi="Book Antiqua"/>
          <w:sz w:val="24"/>
          <w:szCs w:val="24"/>
        </w:rPr>
        <w:t xml:space="preserve"> AFP </w:t>
      </w:r>
      <w:r w:rsidR="00787805" w:rsidRPr="00011D5D">
        <w:rPr>
          <w:rFonts w:ascii="Book Antiqua" w:hAnsi="Book Antiqua"/>
          <w:sz w:val="24"/>
          <w:szCs w:val="24"/>
        </w:rPr>
        <w:t>cut of level</w:t>
      </w:r>
      <w:r w:rsidR="00016405" w:rsidRPr="00011D5D">
        <w:rPr>
          <w:rFonts w:ascii="Book Antiqua" w:hAnsi="Book Antiqua"/>
          <w:sz w:val="24"/>
          <w:szCs w:val="24"/>
        </w:rPr>
        <w:t xml:space="preserve"> ≥ </w:t>
      </w:r>
      <w:r w:rsidR="00787805" w:rsidRPr="00011D5D">
        <w:rPr>
          <w:rFonts w:ascii="Book Antiqua" w:hAnsi="Book Antiqua"/>
          <w:sz w:val="24"/>
          <w:szCs w:val="24"/>
        </w:rPr>
        <w:t xml:space="preserve">200 ng/mL </w:t>
      </w:r>
      <w:r w:rsidR="00300275" w:rsidRPr="00011D5D">
        <w:rPr>
          <w:rFonts w:ascii="Book Antiqua" w:hAnsi="Book Antiqua"/>
          <w:sz w:val="24"/>
          <w:szCs w:val="24"/>
        </w:rPr>
        <w:t xml:space="preserve">and protein induced by vitamin K absence or antagonism factor II (PIVKA II) </w:t>
      </w:r>
      <w:r w:rsidR="00016405" w:rsidRPr="00011D5D">
        <w:rPr>
          <w:rFonts w:ascii="Book Antiqua" w:hAnsi="Book Antiqua"/>
          <w:sz w:val="24"/>
          <w:szCs w:val="24"/>
        </w:rPr>
        <w:t xml:space="preserve">≥ </w:t>
      </w:r>
      <w:r w:rsidR="00787805" w:rsidRPr="00011D5D">
        <w:rPr>
          <w:rFonts w:ascii="Book Antiqua" w:hAnsi="Book Antiqua"/>
          <w:sz w:val="24"/>
          <w:szCs w:val="24"/>
        </w:rPr>
        <w:t xml:space="preserve">100 </w:t>
      </w:r>
      <w:proofErr w:type="spellStart"/>
      <w:r w:rsidR="00787805" w:rsidRPr="00011D5D">
        <w:rPr>
          <w:rFonts w:ascii="Book Antiqua" w:hAnsi="Book Antiqua"/>
          <w:sz w:val="24"/>
          <w:szCs w:val="24"/>
        </w:rPr>
        <w:t>mAU</w:t>
      </w:r>
      <w:proofErr w:type="spellEnd"/>
      <w:r w:rsidR="00787805" w:rsidRPr="00011D5D">
        <w:rPr>
          <w:rFonts w:ascii="Book Antiqua" w:hAnsi="Book Antiqua"/>
          <w:sz w:val="24"/>
          <w:szCs w:val="24"/>
        </w:rPr>
        <w:t xml:space="preserve">/mL </w:t>
      </w:r>
      <w:r w:rsidR="00300275" w:rsidRPr="00011D5D">
        <w:rPr>
          <w:rFonts w:ascii="Book Antiqua" w:hAnsi="Book Antiqua"/>
          <w:sz w:val="24"/>
          <w:szCs w:val="24"/>
        </w:rPr>
        <w:t xml:space="preserve">are </w:t>
      </w:r>
      <w:r w:rsidR="00787805" w:rsidRPr="00011D5D">
        <w:rPr>
          <w:rFonts w:ascii="Book Antiqua" w:hAnsi="Book Antiqua"/>
          <w:sz w:val="24"/>
          <w:szCs w:val="24"/>
        </w:rPr>
        <w:t>significant predictors for</w:t>
      </w:r>
      <w:r w:rsidR="00300275" w:rsidRPr="00011D5D">
        <w:rPr>
          <w:rFonts w:ascii="Book Antiqua" w:hAnsi="Book Antiqua"/>
          <w:sz w:val="24"/>
          <w:szCs w:val="24"/>
        </w:rPr>
        <w:t xml:space="preserve"> poor post LT survival. </w:t>
      </w:r>
      <w:r w:rsidR="00787805" w:rsidRPr="00011D5D">
        <w:rPr>
          <w:rFonts w:ascii="Book Antiqua" w:hAnsi="Book Antiqua"/>
          <w:sz w:val="24"/>
          <w:szCs w:val="24"/>
        </w:rPr>
        <w:t xml:space="preserve">These combined were described as the </w:t>
      </w:r>
      <w:r w:rsidR="00300275" w:rsidRPr="00011D5D">
        <w:rPr>
          <w:rFonts w:ascii="Book Antiqua" w:hAnsi="Book Antiqua"/>
          <w:sz w:val="24"/>
          <w:szCs w:val="24"/>
        </w:rPr>
        <w:t xml:space="preserve">A-P </w:t>
      </w:r>
      <w:r w:rsidR="002C5ABF" w:rsidRPr="00011D5D">
        <w:rPr>
          <w:rFonts w:ascii="Book Antiqua" w:hAnsi="Book Antiqua"/>
          <w:sz w:val="24"/>
          <w:szCs w:val="24"/>
        </w:rPr>
        <w:t>level.  Five</w:t>
      </w:r>
      <w:r w:rsidR="00016405" w:rsidRPr="00011D5D">
        <w:rPr>
          <w:rFonts w:ascii="Book Antiqua" w:hAnsi="Book Antiqua"/>
          <w:sz w:val="24"/>
          <w:szCs w:val="24"/>
        </w:rPr>
        <w:t xml:space="preserve"> </w:t>
      </w:r>
      <w:r w:rsidR="002C5ABF" w:rsidRPr="00011D5D">
        <w:rPr>
          <w:rFonts w:ascii="Book Antiqua" w:hAnsi="Book Antiqua"/>
          <w:sz w:val="24"/>
          <w:szCs w:val="24"/>
        </w:rPr>
        <w:t>year DFS for</w:t>
      </w:r>
      <w:r w:rsidR="00787805" w:rsidRPr="00011D5D">
        <w:rPr>
          <w:rFonts w:ascii="Book Antiqua" w:hAnsi="Book Antiqua"/>
          <w:sz w:val="24"/>
          <w:szCs w:val="24"/>
        </w:rPr>
        <w:t xml:space="preserve"> beyond MC </w:t>
      </w:r>
      <w:r w:rsidR="002C5ABF" w:rsidRPr="00011D5D">
        <w:rPr>
          <w:rFonts w:ascii="Book Antiqua" w:hAnsi="Book Antiqua"/>
          <w:sz w:val="24"/>
          <w:szCs w:val="24"/>
        </w:rPr>
        <w:t xml:space="preserve">HCC patients </w:t>
      </w:r>
      <w:r w:rsidR="00787805" w:rsidRPr="00011D5D">
        <w:rPr>
          <w:rFonts w:ascii="Book Antiqua" w:hAnsi="Book Antiqua"/>
          <w:sz w:val="24"/>
          <w:szCs w:val="24"/>
        </w:rPr>
        <w:t xml:space="preserve">and within the </w:t>
      </w:r>
      <w:r w:rsidR="00BD17CD" w:rsidRPr="00011D5D">
        <w:rPr>
          <w:rFonts w:ascii="Book Antiqua" w:hAnsi="Book Antiqua"/>
          <w:sz w:val="24"/>
          <w:szCs w:val="24"/>
        </w:rPr>
        <w:t xml:space="preserve">A-P </w:t>
      </w:r>
      <w:r w:rsidR="00787805" w:rsidRPr="00011D5D">
        <w:rPr>
          <w:rFonts w:ascii="Book Antiqua" w:hAnsi="Book Antiqua"/>
          <w:sz w:val="24"/>
          <w:szCs w:val="24"/>
        </w:rPr>
        <w:t xml:space="preserve">cutoff </w:t>
      </w:r>
      <w:r w:rsidR="00BD17CD" w:rsidRPr="00011D5D">
        <w:rPr>
          <w:rFonts w:ascii="Book Antiqua" w:hAnsi="Book Antiqua"/>
          <w:sz w:val="24"/>
          <w:szCs w:val="24"/>
        </w:rPr>
        <w:t xml:space="preserve">level </w:t>
      </w:r>
      <w:r w:rsidR="00787805" w:rsidRPr="00011D5D">
        <w:rPr>
          <w:rFonts w:ascii="Book Antiqua" w:hAnsi="Book Antiqua"/>
          <w:sz w:val="24"/>
          <w:szCs w:val="24"/>
        </w:rPr>
        <w:t xml:space="preserve">was similar to those within MC at 78.7% and 90.4% </w:t>
      </w:r>
      <w:r w:rsidR="001408A1">
        <w:rPr>
          <w:rFonts w:ascii="Book Antiqua" w:hAnsi="Book Antiqua"/>
          <w:sz w:val="24"/>
          <w:szCs w:val="24"/>
        </w:rPr>
        <w:t>respectively</w:t>
      </w:r>
      <w:r w:rsidR="002711E7" w:rsidRPr="00011D5D">
        <w:rPr>
          <w:rFonts w:ascii="Book Antiqua" w:hAnsi="Book Antiqua"/>
          <w:sz w:val="24"/>
          <w:szCs w:val="24"/>
          <w:vertAlign w:val="superscript"/>
        </w:rPr>
        <w:t>[3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2711E7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2711E7" w:rsidRPr="00011D5D">
        <w:rPr>
          <w:rFonts w:ascii="Book Antiqua" w:hAnsi="Book Antiqua"/>
          <w:sz w:val="24"/>
          <w:szCs w:val="24"/>
        </w:rPr>
        <w:t>.</w:t>
      </w:r>
    </w:p>
    <w:p w:rsidR="006032CA" w:rsidRPr="00011D5D" w:rsidRDefault="00BD6F0A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Kwon </w:t>
      </w:r>
      <w:r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[34]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44D9D" w:rsidRPr="00011D5D">
        <w:rPr>
          <w:rFonts w:ascii="Book Antiqua" w:hAnsi="Book Antiqua"/>
          <w:sz w:val="24"/>
          <w:szCs w:val="24"/>
        </w:rPr>
        <w:t>demonstrated</w:t>
      </w:r>
      <w:r w:rsidR="0021324A" w:rsidRPr="00011D5D">
        <w:rPr>
          <w:rFonts w:ascii="Book Antiqua" w:hAnsi="Book Antiqua"/>
          <w:sz w:val="24"/>
          <w:szCs w:val="24"/>
        </w:rPr>
        <w:t xml:space="preserve"> their o</w:t>
      </w:r>
      <w:r w:rsidR="00C85FF2" w:rsidRPr="00011D5D">
        <w:rPr>
          <w:rFonts w:ascii="Book Antiqua" w:hAnsi="Book Antiqua"/>
          <w:sz w:val="24"/>
          <w:szCs w:val="24"/>
        </w:rPr>
        <w:t>utcomes incorporating an</w:t>
      </w:r>
      <w:r w:rsidR="0021324A" w:rsidRPr="00011D5D">
        <w:rPr>
          <w:rFonts w:ascii="Book Antiqua" w:hAnsi="Book Antiqua"/>
          <w:sz w:val="24"/>
          <w:szCs w:val="24"/>
        </w:rPr>
        <w:t xml:space="preserve"> AFP level ≤ 400 ng/mL </w:t>
      </w:r>
      <w:r w:rsidR="00342DCF" w:rsidRPr="00011D5D">
        <w:rPr>
          <w:rFonts w:ascii="Book Antiqua" w:hAnsi="Book Antiqua"/>
          <w:sz w:val="24"/>
          <w:szCs w:val="24"/>
        </w:rPr>
        <w:t>as a selection criteria</w:t>
      </w:r>
      <w:r w:rsidR="0021324A" w:rsidRPr="00011D5D">
        <w:rPr>
          <w:rFonts w:ascii="Book Antiqua" w:hAnsi="Book Antiqua"/>
          <w:sz w:val="24"/>
          <w:szCs w:val="24"/>
        </w:rPr>
        <w:t xml:space="preserve"> </w:t>
      </w:r>
      <w:r w:rsidR="00C85FF2" w:rsidRPr="00011D5D">
        <w:rPr>
          <w:rFonts w:ascii="Book Antiqua" w:hAnsi="Book Antiqua"/>
          <w:sz w:val="24"/>
          <w:szCs w:val="24"/>
        </w:rPr>
        <w:t>along with any number of lesions ≤ 5 cm each</w:t>
      </w:r>
      <w:r w:rsidR="00BE5CA8" w:rsidRPr="00011D5D">
        <w:rPr>
          <w:rFonts w:ascii="Book Antiqua" w:hAnsi="Book Antiqua"/>
          <w:sz w:val="24"/>
          <w:szCs w:val="24"/>
        </w:rPr>
        <w:t>.</w:t>
      </w:r>
      <w:r w:rsidR="00C85FF2" w:rsidRPr="00011D5D">
        <w:rPr>
          <w:rFonts w:ascii="Book Antiqua" w:hAnsi="Book Antiqua"/>
          <w:sz w:val="24"/>
          <w:szCs w:val="24"/>
        </w:rPr>
        <w:t xml:space="preserve"> </w:t>
      </w:r>
      <w:r w:rsidR="00BE5CA8" w:rsidRPr="00011D5D">
        <w:rPr>
          <w:rFonts w:ascii="Book Antiqua" w:hAnsi="Book Antiqua"/>
          <w:sz w:val="24"/>
          <w:szCs w:val="24"/>
        </w:rPr>
        <w:t>In</w:t>
      </w:r>
      <w:r w:rsidR="006032CA" w:rsidRPr="00011D5D">
        <w:rPr>
          <w:rFonts w:ascii="Book Antiqua" w:hAnsi="Book Antiqua"/>
          <w:sz w:val="24"/>
          <w:szCs w:val="24"/>
        </w:rPr>
        <w:t xml:space="preserve"> a cohort of 139 patients</w:t>
      </w:r>
      <w:r w:rsidR="00BE5CA8" w:rsidRPr="00011D5D">
        <w:rPr>
          <w:rFonts w:ascii="Book Antiqua" w:hAnsi="Book Antiqua"/>
          <w:sz w:val="24"/>
          <w:szCs w:val="24"/>
        </w:rPr>
        <w:t>,</w:t>
      </w:r>
      <w:r w:rsidR="0021324A" w:rsidRPr="00011D5D">
        <w:rPr>
          <w:rFonts w:ascii="Book Antiqua" w:hAnsi="Book Antiqua"/>
          <w:sz w:val="24"/>
          <w:szCs w:val="24"/>
        </w:rPr>
        <w:t xml:space="preserve"> </w:t>
      </w:r>
      <w:r w:rsidR="00C85FF2" w:rsidRPr="00011D5D">
        <w:rPr>
          <w:rFonts w:ascii="Book Antiqua" w:hAnsi="Book Antiqua"/>
          <w:sz w:val="24"/>
          <w:szCs w:val="24"/>
        </w:rPr>
        <w:t xml:space="preserve">5 year survival </w:t>
      </w:r>
      <w:r w:rsidR="006032CA" w:rsidRPr="00011D5D">
        <w:rPr>
          <w:rFonts w:ascii="Book Antiqua" w:hAnsi="Book Antiqua"/>
          <w:sz w:val="24"/>
          <w:szCs w:val="24"/>
        </w:rPr>
        <w:t xml:space="preserve">was </w:t>
      </w:r>
      <w:r w:rsidR="00C85FF2" w:rsidRPr="00011D5D">
        <w:rPr>
          <w:rFonts w:ascii="Book Antiqua" w:hAnsi="Book Antiqua"/>
          <w:sz w:val="24"/>
          <w:szCs w:val="24"/>
        </w:rPr>
        <w:t xml:space="preserve">noted </w:t>
      </w:r>
      <w:r w:rsidR="006032CA" w:rsidRPr="00011D5D">
        <w:rPr>
          <w:rFonts w:ascii="Book Antiqua" w:hAnsi="Book Antiqua"/>
          <w:sz w:val="24"/>
          <w:szCs w:val="24"/>
        </w:rPr>
        <w:t xml:space="preserve">at </w:t>
      </w:r>
      <w:r w:rsidR="00C85FF2" w:rsidRPr="00011D5D">
        <w:rPr>
          <w:rFonts w:ascii="Book Antiqua" w:hAnsi="Book Antiqua"/>
          <w:sz w:val="24"/>
          <w:szCs w:val="24"/>
        </w:rPr>
        <w:t>79.9%, without a significant difference between patients within or be</w:t>
      </w:r>
      <w:r w:rsidR="00F44D9D" w:rsidRPr="00011D5D">
        <w:rPr>
          <w:rFonts w:ascii="Book Antiqua" w:hAnsi="Book Antiqua"/>
          <w:sz w:val="24"/>
          <w:szCs w:val="24"/>
        </w:rPr>
        <w:t>yond MC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 xml:space="preserve">. </w:t>
      </w:r>
      <w:r w:rsidR="006032CA" w:rsidRPr="00011D5D">
        <w:rPr>
          <w:rFonts w:ascii="Book Antiqua" w:hAnsi="Book Antiqua"/>
          <w:sz w:val="24"/>
          <w:szCs w:val="24"/>
        </w:rPr>
        <w:t>More</w:t>
      </w:r>
      <w:r w:rsidR="00F44D9D" w:rsidRPr="00011D5D">
        <w:rPr>
          <w:rFonts w:ascii="Book Antiqua" w:hAnsi="Book Antiqua"/>
          <w:sz w:val="24"/>
          <w:szCs w:val="24"/>
        </w:rPr>
        <w:t xml:space="preserve"> recently in 2015,</w:t>
      </w:r>
      <w:r w:rsidR="006032CA" w:rsidRPr="00011D5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85FF2" w:rsidRPr="00011D5D">
        <w:rPr>
          <w:rFonts w:ascii="Book Antiqua" w:hAnsi="Book Antiqua"/>
          <w:sz w:val="24"/>
          <w:szCs w:val="24"/>
        </w:rPr>
        <w:t>Toso</w:t>
      </w:r>
      <w:proofErr w:type="spellEnd"/>
      <w:r w:rsidR="00C85FF2" w:rsidRPr="00011D5D">
        <w:rPr>
          <w:rFonts w:ascii="Book Antiqua" w:hAnsi="Book Antiqua"/>
          <w:sz w:val="24"/>
          <w:szCs w:val="24"/>
        </w:rPr>
        <w:t xml:space="preserve"> </w:t>
      </w:r>
      <w:r w:rsidR="00C85FF2"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[35]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032CA" w:rsidRPr="00011D5D">
        <w:rPr>
          <w:rFonts w:ascii="Book Antiqua" w:hAnsi="Book Antiqua"/>
          <w:sz w:val="24"/>
          <w:szCs w:val="24"/>
        </w:rPr>
        <w:t>in</w:t>
      </w:r>
      <w:r w:rsidR="00C85FF2" w:rsidRPr="00011D5D">
        <w:rPr>
          <w:rFonts w:ascii="Book Antiqua" w:hAnsi="Book Antiqua"/>
          <w:sz w:val="24"/>
          <w:szCs w:val="24"/>
        </w:rPr>
        <w:t xml:space="preserve"> a prospective study </w:t>
      </w:r>
      <w:r w:rsidR="00BE5CA8" w:rsidRPr="00011D5D">
        <w:rPr>
          <w:rFonts w:ascii="Book Antiqua" w:hAnsi="Book Antiqua"/>
          <w:sz w:val="24"/>
          <w:szCs w:val="24"/>
        </w:rPr>
        <w:t>suggested</w:t>
      </w:r>
      <w:r w:rsidR="00CA0FCE" w:rsidRPr="00011D5D">
        <w:rPr>
          <w:rFonts w:ascii="Book Antiqua" w:hAnsi="Book Antiqua"/>
          <w:sz w:val="24"/>
          <w:szCs w:val="24"/>
        </w:rPr>
        <w:t xml:space="preserve"> extended LT criteria </w:t>
      </w:r>
      <w:r w:rsidR="006032CA" w:rsidRPr="00011D5D">
        <w:rPr>
          <w:rFonts w:ascii="Book Antiqua" w:hAnsi="Book Antiqua"/>
          <w:sz w:val="24"/>
          <w:szCs w:val="24"/>
        </w:rPr>
        <w:t>described as</w:t>
      </w:r>
      <w:r w:rsidR="00CA0FCE" w:rsidRPr="00011D5D">
        <w:rPr>
          <w:rFonts w:ascii="Book Antiqua" w:hAnsi="Book Antiqua"/>
          <w:sz w:val="24"/>
          <w:szCs w:val="24"/>
        </w:rPr>
        <w:t xml:space="preserve"> a combination of </w:t>
      </w:r>
      <w:r w:rsidR="00BE5CA8" w:rsidRPr="00011D5D">
        <w:rPr>
          <w:rFonts w:ascii="Book Antiqua" w:hAnsi="Book Antiqua"/>
          <w:sz w:val="24"/>
          <w:szCs w:val="24"/>
        </w:rPr>
        <w:t xml:space="preserve">a </w:t>
      </w:r>
      <w:r w:rsidR="00CA0FCE" w:rsidRPr="00011D5D">
        <w:rPr>
          <w:rFonts w:ascii="Book Antiqua" w:hAnsi="Book Antiqua"/>
          <w:sz w:val="24"/>
          <w:szCs w:val="24"/>
        </w:rPr>
        <w:t xml:space="preserve">total tumor volume ≤115 cm3 and </w:t>
      </w:r>
      <w:r w:rsidR="00BE5CA8" w:rsidRPr="00011D5D">
        <w:rPr>
          <w:rFonts w:ascii="Book Antiqua" w:hAnsi="Book Antiqua"/>
          <w:sz w:val="24"/>
          <w:szCs w:val="24"/>
        </w:rPr>
        <w:t xml:space="preserve">an </w:t>
      </w:r>
      <w:r w:rsidR="00CA0FCE" w:rsidRPr="00011D5D">
        <w:rPr>
          <w:rFonts w:ascii="Book Antiqua" w:hAnsi="Book Antiqua"/>
          <w:sz w:val="24"/>
          <w:szCs w:val="24"/>
        </w:rPr>
        <w:t xml:space="preserve">AFP </w:t>
      </w:r>
      <w:r w:rsidR="00BE5CA8" w:rsidRPr="00011D5D">
        <w:rPr>
          <w:rFonts w:ascii="Book Antiqua" w:hAnsi="Book Antiqua"/>
          <w:sz w:val="24"/>
          <w:szCs w:val="24"/>
        </w:rPr>
        <w:t xml:space="preserve">level </w:t>
      </w:r>
      <w:r w:rsidR="00CA0FCE" w:rsidRPr="00011D5D">
        <w:rPr>
          <w:rFonts w:ascii="Book Antiqua" w:hAnsi="Book Antiqua"/>
          <w:sz w:val="24"/>
          <w:szCs w:val="24"/>
        </w:rPr>
        <w:t>≤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A0FCE" w:rsidRPr="00011D5D">
        <w:rPr>
          <w:rFonts w:ascii="Book Antiqua" w:hAnsi="Book Antiqua"/>
          <w:sz w:val="24"/>
          <w:szCs w:val="24"/>
        </w:rPr>
        <w:t xml:space="preserve">400 </w:t>
      </w:r>
      <w:proofErr w:type="spellStart"/>
      <w:r w:rsidR="00CA0FCE" w:rsidRPr="00011D5D">
        <w:rPr>
          <w:rFonts w:ascii="Book Antiqua" w:hAnsi="Book Antiqua"/>
          <w:sz w:val="24"/>
          <w:szCs w:val="24"/>
        </w:rPr>
        <w:t>ng</w:t>
      </w:r>
      <w:proofErr w:type="spellEnd"/>
      <w:r w:rsidR="00CA0FCE" w:rsidRPr="00011D5D">
        <w:rPr>
          <w:rFonts w:ascii="Book Antiqua" w:hAnsi="Book Antiqua"/>
          <w:sz w:val="24"/>
          <w:szCs w:val="24"/>
        </w:rPr>
        <w:t>/</w:t>
      </w:r>
      <w:proofErr w:type="spellStart"/>
      <w:r w:rsidR="00CA0FCE" w:rsidRPr="00011D5D">
        <w:rPr>
          <w:rFonts w:ascii="Book Antiqua" w:hAnsi="Book Antiqua"/>
          <w:sz w:val="24"/>
          <w:szCs w:val="24"/>
        </w:rPr>
        <w:t>mL.</w:t>
      </w:r>
      <w:proofErr w:type="spellEnd"/>
      <w:r w:rsidR="00CA0FCE" w:rsidRPr="00011D5D">
        <w:rPr>
          <w:rFonts w:ascii="Book Antiqua" w:hAnsi="Book Antiqua"/>
          <w:sz w:val="24"/>
          <w:szCs w:val="24"/>
        </w:rPr>
        <w:t xml:space="preserve"> 4 year post LT</w:t>
      </w:r>
      <w:r w:rsidR="007C4BD5" w:rsidRPr="00011D5D">
        <w:rPr>
          <w:rFonts w:ascii="Book Antiqua" w:hAnsi="Book Antiqua"/>
          <w:sz w:val="24"/>
          <w:szCs w:val="24"/>
        </w:rPr>
        <w:t xml:space="preserve"> survival was similar between the extended criteria group and the MC group at 78.7% and 74.6% respectively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5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CA3EF8" w:rsidRPr="00011D5D">
        <w:rPr>
          <w:rFonts w:ascii="Book Antiqua" w:hAnsi="Book Antiqua"/>
          <w:sz w:val="24"/>
          <w:szCs w:val="24"/>
        </w:rPr>
        <w:t>.</w:t>
      </w:r>
    </w:p>
    <w:p w:rsidR="00F06A98" w:rsidRPr="00011D5D" w:rsidRDefault="006032CA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A</w:t>
      </w:r>
      <w:r w:rsidR="007C4BD5" w:rsidRPr="00011D5D">
        <w:rPr>
          <w:rFonts w:ascii="Book Antiqua" w:hAnsi="Book Antiqua"/>
          <w:sz w:val="24"/>
          <w:szCs w:val="24"/>
        </w:rPr>
        <w:t xml:space="preserve"> </w:t>
      </w:r>
      <w:r w:rsidR="00BE5CA8" w:rsidRPr="00011D5D">
        <w:rPr>
          <w:rFonts w:ascii="Book Antiqua" w:hAnsi="Book Antiqua"/>
          <w:sz w:val="24"/>
          <w:szCs w:val="24"/>
        </w:rPr>
        <w:t>lower</w:t>
      </w:r>
      <w:r w:rsidRPr="00011D5D">
        <w:rPr>
          <w:rFonts w:ascii="Book Antiqua" w:hAnsi="Book Antiqua"/>
          <w:sz w:val="24"/>
          <w:szCs w:val="24"/>
        </w:rPr>
        <w:t xml:space="preserve"> AFP cut off rate of &lt; 100 ng/mL </w:t>
      </w:r>
      <w:r w:rsidR="00342DCF" w:rsidRPr="00011D5D">
        <w:rPr>
          <w:rFonts w:ascii="Book Antiqua" w:hAnsi="Book Antiqua"/>
          <w:sz w:val="24"/>
          <w:szCs w:val="24"/>
        </w:rPr>
        <w:t xml:space="preserve">as a </w:t>
      </w:r>
      <w:proofErr w:type="spellStart"/>
      <w:r w:rsidR="00342DCF" w:rsidRPr="00011D5D">
        <w:rPr>
          <w:rFonts w:ascii="Book Antiqua" w:hAnsi="Book Antiqua"/>
          <w:sz w:val="24"/>
          <w:szCs w:val="24"/>
        </w:rPr>
        <w:t>critera</w:t>
      </w:r>
      <w:proofErr w:type="spellEnd"/>
      <w:r w:rsidR="00BE5CA8" w:rsidRPr="00011D5D">
        <w:rPr>
          <w:rFonts w:ascii="Book Antiqua" w:hAnsi="Book Antiqua"/>
          <w:sz w:val="24"/>
          <w:szCs w:val="24"/>
        </w:rPr>
        <w:t xml:space="preserve"> for HCC-LT </w:t>
      </w:r>
      <w:r w:rsidRPr="00011D5D">
        <w:rPr>
          <w:rFonts w:ascii="Book Antiqua" w:hAnsi="Book Antiqua"/>
          <w:sz w:val="24"/>
          <w:szCs w:val="24"/>
        </w:rPr>
        <w:t xml:space="preserve">was recommended by </w:t>
      </w:r>
      <w:proofErr w:type="spellStart"/>
      <w:r w:rsidRPr="00011D5D">
        <w:rPr>
          <w:rFonts w:ascii="Book Antiqua" w:hAnsi="Book Antiqua"/>
          <w:sz w:val="24"/>
          <w:szCs w:val="24"/>
        </w:rPr>
        <w:t>Grat</w:t>
      </w:r>
      <w:proofErr w:type="spellEnd"/>
      <w:r w:rsidRPr="00011D5D">
        <w:rPr>
          <w:rFonts w:ascii="Book Antiqua" w:hAnsi="Book Antiqua"/>
          <w:sz w:val="24"/>
          <w:szCs w:val="24"/>
        </w:rPr>
        <w:t xml:space="preserve"> </w:t>
      </w:r>
      <w:r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[36]</w:t>
      </w:r>
      <w:r w:rsidRPr="00011D5D">
        <w:rPr>
          <w:rFonts w:ascii="Book Antiqua" w:hAnsi="Book Antiqua"/>
          <w:sz w:val="24"/>
          <w:szCs w:val="24"/>
        </w:rPr>
        <w:t>.</w:t>
      </w:r>
      <w:r w:rsidR="007C4BD5" w:rsidRPr="00011D5D">
        <w:rPr>
          <w:rFonts w:ascii="Book Antiqua" w:hAnsi="Book Antiqua"/>
          <w:sz w:val="24"/>
          <w:szCs w:val="24"/>
        </w:rPr>
        <w:t xml:space="preserve"> </w:t>
      </w:r>
      <w:r w:rsidR="00BE5CA8" w:rsidRPr="00011D5D">
        <w:rPr>
          <w:rFonts w:ascii="Book Antiqua" w:hAnsi="Book Antiqua"/>
          <w:sz w:val="24"/>
          <w:szCs w:val="24"/>
        </w:rPr>
        <w:t>A</w:t>
      </w:r>
      <w:r w:rsidRPr="00011D5D">
        <w:rPr>
          <w:rFonts w:ascii="Book Antiqua" w:hAnsi="Book Antiqua"/>
          <w:sz w:val="24"/>
          <w:szCs w:val="24"/>
        </w:rPr>
        <w:t xml:space="preserve"> retrospective analysis of a 121 patients </w:t>
      </w:r>
      <w:r w:rsidR="00BE5CA8" w:rsidRPr="00011D5D">
        <w:rPr>
          <w:rFonts w:ascii="Book Antiqua" w:hAnsi="Book Antiqua"/>
          <w:sz w:val="24"/>
          <w:szCs w:val="24"/>
        </w:rPr>
        <w:t>demonstrated</w:t>
      </w:r>
      <w:r w:rsidR="00F17E4B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significant</w:t>
      </w:r>
      <w:r w:rsidR="00F17E4B" w:rsidRPr="00011D5D">
        <w:rPr>
          <w:rFonts w:ascii="Book Antiqua" w:hAnsi="Book Antiqua"/>
          <w:sz w:val="24"/>
          <w:szCs w:val="24"/>
        </w:rPr>
        <w:t xml:space="preserve"> predict</w:t>
      </w:r>
      <w:r w:rsidRPr="00011D5D">
        <w:rPr>
          <w:rFonts w:ascii="Book Antiqua" w:hAnsi="Book Antiqua"/>
          <w:sz w:val="24"/>
          <w:szCs w:val="24"/>
        </w:rPr>
        <w:t>ion</w:t>
      </w:r>
      <w:r w:rsidR="00F17E4B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of recurrence in patients</w:t>
      </w:r>
      <w:r w:rsidR="00F17E4B" w:rsidRPr="00011D5D">
        <w:rPr>
          <w:rFonts w:ascii="Book Antiqua" w:hAnsi="Book Antiqua"/>
          <w:sz w:val="24"/>
          <w:szCs w:val="24"/>
        </w:rPr>
        <w:t xml:space="preserve"> transplanted within UCSF and Up-to-7 criteria</w:t>
      </w:r>
      <w:r w:rsidR="00BE5CA8" w:rsidRPr="00011D5D">
        <w:rPr>
          <w:rFonts w:ascii="Book Antiqua" w:hAnsi="Book Antiqua"/>
          <w:sz w:val="24"/>
          <w:szCs w:val="24"/>
        </w:rPr>
        <w:t xml:space="preserve"> who surpassed this limit</w:t>
      </w:r>
      <w:r w:rsidR="00F17E4B" w:rsidRPr="00011D5D">
        <w:rPr>
          <w:rFonts w:ascii="Book Antiqua" w:hAnsi="Book Antiqua"/>
          <w:sz w:val="24"/>
          <w:szCs w:val="24"/>
        </w:rPr>
        <w:t xml:space="preserve">. </w:t>
      </w:r>
      <w:r w:rsidR="003E52AC">
        <w:rPr>
          <w:rFonts w:ascii="Book Antiqua" w:hAnsi="Book Antiqua" w:hint="eastAsia"/>
          <w:sz w:val="24"/>
          <w:szCs w:val="24"/>
          <w:lang w:eastAsia="zh-CN"/>
        </w:rPr>
        <w:t>Five</w:t>
      </w:r>
      <w:r w:rsidR="00F17E4B" w:rsidRPr="00011D5D">
        <w:rPr>
          <w:rFonts w:ascii="Book Antiqua" w:hAnsi="Book Antiqua"/>
          <w:sz w:val="24"/>
          <w:szCs w:val="24"/>
        </w:rPr>
        <w:t xml:space="preserve"> year RFS for patients </w:t>
      </w:r>
      <w:r w:rsidRPr="00011D5D">
        <w:rPr>
          <w:rFonts w:ascii="Book Antiqua" w:hAnsi="Book Antiqua"/>
          <w:sz w:val="24"/>
          <w:szCs w:val="24"/>
        </w:rPr>
        <w:t xml:space="preserve">meeting </w:t>
      </w:r>
      <w:r w:rsidR="00F17E4B" w:rsidRPr="00011D5D">
        <w:rPr>
          <w:rFonts w:ascii="Book Antiqua" w:hAnsi="Book Antiqua"/>
          <w:sz w:val="24"/>
          <w:szCs w:val="24"/>
        </w:rPr>
        <w:t xml:space="preserve">UCSF and </w:t>
      </w:r>
      <w:r w:rsidRPr="00011D5D">
        <w:rPr>
          <w:rFonts w:ascii="Book Antiqua" w:hAnsi="Book Antiqua"/>
          <w:sz w:val="24"/>
          <w:szCs w:val="24"/>
        </w:rPr>
        <w:t xml:space="preserve">within the AFP </w:t>
      </w:r>
      <w:r w:rsidR="00F17E4B" w:rsidRPr="00011D5D">
        <w:rPr>
          <w:rFonts w:ascii="Book Antiqua" w:hAnsi="Book Antiqua"/>
          <w:sz w:val="24"/>
          <w:szCs w:val="24"/>
        </w:rPr>
        <w:t xml:space="preserve">cut off </w:t>
      </w:r>
      <w:r w:rsidR="00BE5CA8" w:rsidRPr="00011D5D">
        <w:rPr>
          <w:rFonts w:ascii="Book Antiqua" w:hAnsi="Book Antiqua"/>
          <w:sz w:val="24"/>
          <w:szCs w:val="24"/>
        </w:rPr>
        <w:t>was</w:t>
      </w:r>
      <w:r w:rsidR="00F17E4B" w:rsidRPr="00011D5D">
        <w:rPr>
          <w:rFonts w:ascii="Book Antiqua" w:hAnsi="Book Antiqua"/>
          <w:sz w:val="24"/>
          <w:szCs w:val="24"/>
        </w:rPr>
        <w:t xml:space="preserve"> superior to those </w:t>
      </w:r>
      <w:r w:rsidRPr="00011D5D">
        <w:rPr>
          <w:rFonts w:ascii="Book Antiqua" w:hAnsi="Book Antiqua"/>
          <w:sz w:val="24"/>
          <w:szCs w:val="24"/>
        </w:rPr>
        <w:t>meeting</w:t>
      </w:r>
      <w:r w:rsidR="00F17E4B" w:rsidRPr="00011D5D">
        <w:rPr>
          <w:rFonts w:ascii="Book Antiqua" w:hAnsi="Book Antiqua"/>
          <w:sz w:val="24"/>
          <w:szCs w:val="24"/>
        </w:rPr>
        <w:t xml:space="preserve"> USCF </w:t>
      </w:r>
      <w:r w:rsidR="00BE5CA8" w:rsidRPr="00011D5D">
        <w:rPr>
          <w:rFonts w:ascii="Book Antiqua" w:hAnsi="Book Antiqua"/>
          <w:sz w:val="24"/>
          <w:szCs w:val="24"/>
        </w:rPr>
        <w:t>but</w:t>
      </w:r>
      <w:r w:rsidR="00F17E4B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beyond the</w:t>
      </w:r>
      <w:r w:rsidR="00F17E4B" w:rsidRPr="00011D5D">
        <w:rPr>
          <w:rFonts w:ascii="Book Antiqua" w:hAnsi="Book Antiqua"/>
          <w:sz w:val="24"/>
          <w:szCs w:val="24"/>
        </w:rPr>
        <w:t xml:space="preserve"> cut off limit at 100% </w:t>
      </w:r>
      <w:r w:rsidR="00F17E4B" w:rsidRPr="001408A1">
        <w:rPr>
          <w:rFonts w:ascii="Book Antiqua" w:hAnsi="Book Antiqua"/>
          <w:i/>
          <w:sz w:val="24"/>
          <w:szCs w:val="24"/>
        </w:rPr>
        <w:t>vs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17E4B" w:rsidRPr="00011D5D">
        <w:rPr>
          <w:rFonts w:ascii="Book Antiqua" w:hAnsi="Book Antiqua"/>
          <w:sz w:val="24"/>
          <w:szCs w:val="24"/>
        </w:rPr>
        <w:t xml:space="preserve">69% </w:t>
      </w:r>
      <w:r w:rsidRPr="00011D5D">
        <w:rPr>
          <w:rFonts w:ascii="Book Antiqua" w:hAnsi="Book Antiqua"/>
          <w:sz w:val="24"/>
          <w:szCs w:val="24"/>
        </w:rPr>
        <w:t>respectively</w:t>
      </w:r>
      <w:r w:rsidR="00F17E4B" w:rsidRPr="00011D5D">
        <w:rPr>
          <w:rFonts w:ascii="Book Antiqua" w:hAnsi="Book Antiqua"/>
          <w:sz w:val="24"/>
          <w:szCs w:val="24"/>
        </w:rPr>
        <w:t>. Similar</w:t>
      </w:r>
      <w:r w:rsidR="00BE5CA8" w:rsidRPr="00011D5D">
        <w:rPr>
          <w:rFonts w:ascii="Book Antiqua" w:hAnsi="Book Antiqua"/>
          <w:sz w:val="24"/>
          <w:szCs w:val="24"/>
        </w:rPr>
        <w:t>ly, when applied to the Up-to-7 criteria,</w:t>
      </w:r>
      <w:r w:rsidR="00F17E4B" w:rsidRPr="00011D5D">
        <w:rPr>
          <w:rFonts w:ascii="Book Antiqua" w:hAnsi="Book Antiqua"/>
          <w:sz w:val="24"/>
          <w:szCs w:val="24"/>
        </w:rPr>
        <w:t xml:space="preserve"> 5 year RFS for those </w:t>
      </w:r>
      <w:r w:rsidR="00F17E4B" w:rsidRPr="00011D5D">
        <w:rPr>
          <w:rFonts w:ascii="Book Antiqua" w:hAnsi="Book Antiqua"/>
          <w:sz w:val="24"/>
          <w:szCs w:val="24"/>
        </w:rPr>
        <w:lastRenderedPageBreak/>
        <w:t xml:space="preserve">meeting </w:t>
      </w:r>
      <w:r w:rsidR="00BE5CA8" w:rsidRPr="00011D5D">
        <w:rPr>
          <w:rFonts w:ascii="Book Antiqua" w:hAnsi="Book Antiqua"/>
          <w:sz w:val="24"/>
          <w:szCs w:val="24"/>
        </w:rPr>
        <w:t xml:space="preserve">both </w:t>
      </w:r>
      <w:r w:rsidR="00F17E4B" w:rsidRPr="00011D5D">
        <w:rPr>
          <w:rFonts w:ascii="Book Antiqua" w:hAnsi="Book Antiqua"/>
          <w:sz w:val="24"/>
          <w:szCs w:val="24"/>
        </w:rPr>
        <w:t xml:space="preserve">the criteria and cut off limit </w:t>
      </w:r>
      <w:r w:rsidR="00BE5CA8" w:rsidRPr="00011D5D">
        <w:rPr>
          <w:rFonts w:ascii="Book Antiqua" w:hAnsi="Book Antiqua"/>
          <w:sz w:val="24"/>
          <w:szCs w:val="24"/>
        </w:rPr>
        <w:t xml:space="preserve">was noted </w:t>
      </w:r>
      <w:r w:rsidR="00F17E4B" w:rsidRPr="00011D5D">
        <w:rPr>
          <w:rFonts w:ascii="Book Antiqua" w:hAnsi="Book Antiqua"/>
          <w:sz w:val="24"/>
          <w:szCs w:val="24"/>
        </w:rPr>
        <w:t xml:space="preserve">at 100% </w:t>
      </w:r>
      <w:r w:rsidR="00F17E4B" w:rsidRPr="001408A1">
        <w:rPr>
          <w:rFonts w:ascii="Book Antiqua" w:hAnsi="Book Antiqua"/>
          <w:i/>
          <w:sz w:val="24"/>
          <w:szCs w:val="24"/>
        </w:rPr>
        <w:t>vs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17E4B" w:rsidRPr="00011D5D">
        <w:rPr>
          <w:rFonts w:ascii="Book Antiqua" w:hAnsi="Book Antiqua"/>
          <w:sz w:val="24"/>
          <w:szCs w:val="24"/>
        </w:rPr>
        <w:t xml:space="preserve">71.9% for </w:t>
      </w:r>
      <w:r w:rsidR="00BE5CA8" w:rsidRPr="00011D5D">
        <w:rPr>
          <w:rFonts w:ascii="Book Antiqua" w:hAnsi="Book Antiqua"/>
          <w:sz w:val="24"/>
          <w:szCs w:val="24"/>
        </w:rPr>
        <w:t>beyond</w:t>
      </w:r>
      <w:r w:rsidR="00F17E4B" w:rsidRPr="00011D5D">
        <w:rPr>
          <w:rFonts w:ascii="Book Antiqua" w:hAnsi="Book Antiqua"/>
          <w:sz w:val="24"/>
          <w:szCs w:val="24"/>
        </w:rPr>
        <w:t xml:space="preserve"> the </w:t>
      </w:r>
      <w:r w:rsidR="00BE5CA8" w:rsidRPr="00011D5D">
        <w:rPr>
          <w:rFonts w:ascii="Book Antiqua" w:hAnsi="Book Antiqua"/>
          <w:sz w:val="24"/>
          <w:szCs w:val="24"/>
        </w:rPr>
        <w:t xml:space="preserve">cut off </w:t>
      </w:r>
      <w:r w:rsidR="00F17E4B" w:rsidRPr="00011D5D">
        <w:rPr>
          <w:rFonts w:ascii="Book Antiqua" w:hAnsi="Book Antiqua"/>
          <w:sz w:val="24"/>
          <w:szCs w:val="24"/>
        </w:rPr>
        <w:t>limit</w:t>
      </w:r>
      <w:r w:rsidR="00CA3EF8" w:rsidRPr="00011D5D">
        <w:rPr>
          <w:rFonts w:ascii="Book Antiqua" w:hAnsi="Book Antiqua"/>
          <w:sz w:val="24"/>
          <w:szCs w:val="24"/>
        </w:rPr>
        <w:t xml:space="preserve"> 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6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17E4B" w:rsidRPr="00011D5D">
        <w:rPr>
          <w:rFonts w:ascii="Book Antiqua" w:hAnsi="Book Antiqua"/>
          <w:sz w:val="24"/>
          <w:szCs w:val="24"/>
        </w:rPr>
        <w:t>.</w:t>
      </w:r>
    </w:p>
    <w:p w:rsidR="000C7FEA" w:rsidRPr="00011D5D" w:rsidRDefault="00AD2311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DCP, often utilized as a</w:t>
      </w:r>
      <w:r w:rsidR="006032CA" w:rsidRPr="00011D5D">
        <w:rPr>
          <w:rFonts w:ascii="Book Antiqua" w:hAnsi="Book Antiqua"/>
          <w:sz w:val="24"/>
          <w:szCs w:val="24"/>
        </w:rPr>
        <w:t xml:space="preserve"> tumor marker for HCC in Japan</w:t>
      </w:r>
      <w:r w:rsidR="00E410C4" w:rsidRPr="00011D5D">
        <w:rPr>
          <w:rFonts w:ascii="Book Antiqua" w:hAnsi="Book Antiqua"/>
          <w:sz w:val="24"/>
          <w:szCs w:val="24"/>
        </w:rPr>
        <w:t>,</w:t>
      </w:r>
      <w:r w:rsidR="006032CA" w:rsidRPr="00011D5D">
        <w:rPr>
          <w:rFonts w:ascii="Book Antiqua" w:hAnsi="Book Antiqua"/>
          <w:sz w:val="24"/>
          <w:szCs w:val="24"/>
        </w:rPr>
        <w:t xml:space="preserve"> has been incorporate</w:t>
      </w:r>
      <w:r w:rsidR="00E410C4" w:rsidRPr="00011D5D">
        <w:rPr>
          <w:rFonts w:ascii="Book Antiqua" w:hAnsi="Book Antiqua"/>
          <w:sz w:val="24"/>
          <w:szCs w:val="24"/>
        </w:rPr>
        <w:t>d</w:t>
      </w:r>
      <w:r w:rsidR="006032CA" w:rsidRPr="00011D5D">
        <w:rPr>
          <w:rFonts w:ascii="Book Antiqua" w:hAnsi="Book Antiqua"/>
          <w:sz w:val="24"/>
          <w:szCs w:val="24"/>
        </w:rPr>
        <w:t xml:space="preserve"> into t</w:t>
      </w:r>
      <w:r w:rsidRPr="00011D5D">
        <w:rPr>
          <w:rFonts w:ascii="Book Antiqua" w:hAnsi="Book Antiqua"/>
          <w:sz w:val="24"/>
          <w:szCs w:val="24"/>
        </w:rPr>
        <w:t>he Kyoto criteria pub</w:t>
      </w:r>
      <w:r w:rsidR="006032CA" w:rsidRPr="00011D5D">
        <w:rPr>
          <w:rFonts w:ascii="Book Antiqua" w:hAnsi="Book Antiqua"/>
          <w:sz w:val="24"/>
          <w:szCs w:val="24"/>
        </w:rPr>
        <w:t xml:space="preserve">lished by </w:t>
      </w:r>
      <w:proofErr w:type="spellStart"/>
      <w:r w:rsidR="006032CA" w:rsidRPr="00011D5D">
        <w:rPr>
          <w:rFonts w:ascii="Book Antiqua" w:hAnsi="Book Antiqua"/>
          <w:sz w:val="24"/>
          <w:szCs w:val="24"/>
        </w:rPr>
        <w:t>Fujiki</w:t>
      </w:r>
      <w:proofErr w:type="spellEnd"/>
      <w:r w:rsidR="006032CA" w:rsidRPr="00011D5D">
        <w:rPr>
          <w:rFonts w:ascii="Book Antiqua" w:hAnsi="Book Antiqua"/>
          <w:sz w:val="24"/>
          <w:szCs w:val="24"/>
        </w:rPr>
        <w:t xml:space="preserve"> </w:t>
      </w:r>
      <w:r w:rsidR="006032CA"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[37]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032CA" w:rsidRPr="00011D5D">
        <w:rPr>
          <w:rFonts w:ascii="Book Antiqua" w:hAnsi="Book Antiqua"/>
          <w:sz w:val="24"/>
          <w:szCs w:val="24"/>
        </w:rPr>
        <w:t>in 2009: A</w:t>
      </w:r>
      <w:r w:rsidRPr="00011D5D">
        <w:rPr>
          <w:rFonts w:ascii="Book Antiqua" w:hAnsi="Book Antiqua"/>
          <w:sz w:val="24"/>
          <w:szCs w:val="24"/>
        </w:rPr>
        <w:t xml:space="preserve"> DCP level of ≤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400 </w:t>
      </w:r>
      <w:proofErr w:type="spellStart"/>
      <w:r w:rsidRPr="00011D5D">
        <w:rPr>
          <w:rFonts w:ascii="Book Antiqua" w:hAnsi="Book Antiqua"/>
          <w:sz w:val="24"/>
          <w:szCs w:val="24"/>
        </w:rPr>
        <w:t>mAU</w:t>
      </w:r>
      <w:proofErr w:type="spellEnd"/>
      <w:r w:rsidRPr="00011D5D">
        <w:rPr>
          <w:rFonts w:ascii="Book Antiqua" w:hAnsi="Book Antiqua"/>
          <w:sz w:val="24"/>
          <w:szCs w:val="24"/>
        </w:rPr>
        <w:t>/mL</w:t>
      </w:r>
      <w:r w:rsidR="006032CA" w:rsidRPr="00011D5D">
        <w:rPr>
          <w:rFonts w:ascii="Book Antiqua" w:hAnsi="Book Antiqua"/>
          <w:sz w:val="24"/>
          <w:szCs w:val="24"/>
        </w:rPr>
        <w:t xml:space="preserve"> in addition to </w:t>
      </w:r>
      <w:r w:rsidRPr="00011D5D">
        <w:rPr>
          <w:rFonts w:ascii="Book Antiqua" w:hAnsi="Book Antiqua"/>
          <w:sz w:val="24"/>
          <w:szCs w:val="24"/>
        </w:rPr>
        <w:t>morphometric criteria of up to 10 nodules ≤ 5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cm each.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07374" w:rsidRPr="00011D5D">
        <w:rPr>
          <w:rFonts w:ascii="Book Antiqua" w:hAnsi="Book Antiqua"/>
          <w:sz w:val="24"/>
          <w:szCs w:val="24"/>
        </w:rPr>
        <w:t xml:space="preserve">5 year recurrence </w:t>
      </w:r>
      <w:r w:rsidR="00726E30" w:rsidRPr="00011D5D">
        <w:rPr>
          <w:rFonts w:ascii="Book Antiqua" w:hAnsi="Book Antiqua"/>
          <w:sz w:val="24"/>
          <w:szCs w:val="24"/>
        </w:rPr>
        <w:t>was</w:t>
      </w:r>
      <w:r w:rsidR="00F07374" w:rsidRPr="00011D5D">
        <w:rPr>
          <w:rFonts w:ascii="Book Antiqua" w:hAnsi="Book Antiqua"/>
          <w:sz w:val="24"/>
          <w:szCs w:val="24"/>
        </w:rPr>
        <w:t xml:space="preserve"> similar for patients within MC</w:t>
      </w:r>
      <w:r w:rsidR="00BE5CA8" w:rsidRPr="00011D5D">
        <w:rPr>
          <w:rFonts w:ascii="Book Antiqua" w:hAnsi="Book Antiqua"/>
          <w:sz w:val="24"/>
          <w:szCs w:val="24"/>
        </w:rPr>
        <w:t>,</w:t>
      </w:r>
      <w:r w:rsidR="00F07374" w:rsidRPr="00011D5D">
        <w:rPr>
          <w:rFonts w:ascii="Book Antiqua" w:hAnsi="Book Antiqua"/>
          <w:sz w:val="24"/>
          <w:szCs w:val="24"/>
        </w:rPr>
        <w:t xml:space="preserve"> and patients beyond MC but </w:t>
      </w:r>
      <w:r w:rsidR="00BE5CA8" w:rsidRPr="00011D5D">
        <w:rPr>
          <w:rFonts w:ascii="Book Antiqua" w:hAnsi="Book Antiqua"/>
          <w:sz w:val="24"/>
          <w:szCs w:val="24"/>
        </w:rPr>
        <w:t>meeting</w:t>
      </w:r>
      <w:r w:rsidR="00F07374" w:rsidRPr="00011D5D">
        <w:rPr>
          <w:rFonts w:ascii="Book Antiqua" w:hAnsi="Book Antiqua"/>
          <w:sz w:val="24"/>
          <w:szCs w:val="24"/>
        </w:rPr>
        <w:t xml:space="preserve"> Kyoto criteria at 7% and 4% respectively. 5 year survival for patients meeting Kyoto criteria was 89%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7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07374" w:rsidRPr="00011D5D">
        <w:rPr>
          <w:rFonts w:ascii="Book Antiqua" w:hAnsi="Book Antiqua"/>
          <w:sz w:val="24"/>
          <w:szCs w:val="24"/>
        </w:rPr>
        <w:t xml:space="preserve">. </w:t>
      </w:r>
      <w:r w:rsidR="000C7FEA" w:rsidRPr="00011D5D">
        <w:rPr>
          <w:rFonts w:ascii="Book Antiqua" w:hAnsi="Book Antiqua"/>
          <w:sz w:val="24"/>
          <w:szCs w:val="24"/>
        </w:rPr>
        <w:t xml:space="preserve">Takada et al. </w:t>
      </w:r>
      <w:r w:rsidR="00F07374" w:rsidRPr="00011D5D">
        <w:rPr>
          <w:rFonts w:ascii="Book Antiqua" w:hAnsi="Book Antiqua"/>
          <w:sz w:val="24"/>
          <w:szCs w:val="24"/>
        </w:rPr>
        <w:t xml:space="preserve">also </w:t>
      </w:r>
      <w:r w:rsidR="000C7FEA" w:rsidRPr="00011D5D">
        <w:rPr>
          <w:rFonts w:ascii="Book Antiqua" w:hAnsi="Book Antiqua"/>
          <w:sz w:val="24"/>
          <w:szCs w:val="24"/>
        </w:rPr>
        <w:t xml:space="preserve">propose </w:t>
      </w:r>
      <w:r w:rsidR="00F07374" w:rsidRPr="00011D5D">
        <w:rPr>
          <w:rFonts w:ascii="Book Antiqua" w:hAnsi="Book Antiqua"/>
          <w:sz w:val="24"/>
          <w:szCs w:val="24"/>
        </w:rPr>
        <w:t>similar selection criteria</w:t>
      </w:r>
      <w:r w:rsidR="000C7FEA" w:rsidRPr="00011D5D">
        <w:rPr>
          <w:rFonts w:ascii="Book Antiqua" w:hAnsi="Book Antiqua"/>
          <w:sz w:val="24"/>
          <w:szCs w:val="24"/>
        </w:rPr>
        <w:t xml:space="preserve">. In </w:t>
      </w:r>
      <w:r w:rsidR="00F07374" w:rsidRPr="00011D5D">
        <w:rPr>
          <w:rFonts w:ascii="Book Antiqua" w:hAnsi="Book Antiqua"/>
          <w:sz w:val="24"/>
          <w:szCs w:val="24"/>
        </w:rPr>
        <w:t>their</w:t>
      </w:r>
      <w:r w:rsidR="00BE5CA8" w:rsidRPr="00011D5D">
        <w:rPr>
          <w:rFonts w:ascii="Book Antiqua" w:hAnsi="Book Antiqua"/>
          <w:sz w:val="24"/>
          <w:szCs w:val="24"/>
        </w:rPr>
        <w:t xml:space="preserve"> cohort of 136 patients, those </w:t>
      </w:r>
      <w:r w:rsidR="000C7FEA" w:rsidRPr="00011D5D">
        <w:rPr>
          <w:rFonts w:ascii="Book Antiqua" w:hAnsi="Book Antiqua"/>
          <w:sz w:val="24"/>
          <w:szCs w:val="24"/>
        </w:rPr>
        <w:t xml:space="preserve">who met the proposed selection criteria demonstrated </w:t>
      </w:r>
      <w:r w:rsidR="00BE5CA8" w:rsidRPr="00011D5D">
        <w:rPr>
          <w:rFonts w:ascii="Book Antiqua" w:hAnsi="Book Antiqua"/>
          <w:sz w:val="24"/>
          <w:szCs w:val="24"/>
        </w:rPr>
        <w:t xml:space="preserve">a </w:t>
      </w:r>
      <w:r w:rsidR="000C7FEA" w:rsidRPr="00011D5D">
        <w:rPr>
          <w:rFonts w:ascii="Book Antiqua" w:hAnsi="Book Antiqua"/>
          <w:sz w:val="24"/>
          <w:szCs w:val="24"/>
        </w:rPr>
        <w:t>5 year survival rate</w:t>
      </w:r>
      <w:r w:rsidR="00F07374" w:rsidRPr="00011D5D">
        <w:rPr>
          <w:rFonts w:ascii="Book Antiqua" w:hAnsi="Book Antiqua"/>
          <w:sz w:val="24"/>
          <w:szCs w:val="24"/>
        </w:rPr>
        <w:t xml:space="preserve"> of 87%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CA3EF8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8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0C7FEA" w:rsidRPr="00011D5D">
        <w:rPr>
          <w:rFonts w:ascii="Book Antiqua" w:hAnsi="Book Antiqua"/>
          <w:sz w:val="24"/>
          <w:szCs w:val="24"/>
        </w:rPr>
        <w:t>.</w:t>
      </w:r>
    </w:p>
    <w:p w:rsidR="00F07374" w:rsidRPr="00011D5D" w:rsidRDefault="006C426C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Lee </w:t>
      </w:r>
      <w:r w:rsidRPr="001408A1">
        <w:rPr>
          <w:rFonts w:ascii="Book Antiqua" w:hAnsi="Book Antiqua"/>
          <w:i/>
          <w:sz w:val="24"/>
          <w:szCs w:val="24"/>
        </w:rPr>
        <w:t>et al</w:t>
      </w:r>
      <w:r w:rsidR="001408A1" w:rsidRPr="00011D5D">
        <w:rPr>
          <w:rFonts w:ascii="Book Antiqua" w:hAnsi="Book Antiqua"/>
          <w:sz w:val="24"/>
          <w:szCs w:val="24"/>
          <w:vertAlign w:val="superscript"/>
        </w:rPr>
        <w:t>[39]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proposes </w:t>
      </w:r>
      <w:r w:rsidR="00F07374" w:rsidRPr="00011D5D">
        <w:rPr>
          <w:rFonts w:ascii="Book Antiqua" w:hAnsi="Book Antiqua"/>
          <w:sz w:val="24"/>
          <w:szCs w:val="24"/>
        </w:rPr>
        <w:t xml:space="preserve">the </w:t>
      </w:r>
      <w:r w:rsidRPr="00011D5D">
        <w:rPr>
          <w:rFonts w:ascii="Book Antiqua" w:hAnsi="Book Antiqua"/>
          <w:sz w:val="24"/>
          <w:szCs w:val="24"/>
        </w:rPr>
        <w:t xml:space="preserve">incorporation of 18F-Fluorodeoxyglucose </w:t>
      </w:r>
      <w:r w:rsidR="008909E0" w:rsidRPr="00011D5D">
        <w:rPr>
          <w:rFonts w:ascii="Book Antiqua" w:hAnsi="Book Antiqua"/>
          <w:sz w:val="24"/>
          <w:szCs w:val="24"/>
        </w:rPr>
        <w:t>(</w:t>
      </w:r>
      <w:r w:rsidR="00CE65E2" w:rsidRPr="00011D5D">
        <w:rPr>
          <w:rFonts w:ascii="Book Antiqua" w:hAnsi="Book Antiqua"/>
          <w:sz w:val="24"/>
          <w:szCs w:val="24"/>
        </w:rPr>
        <w:t>FDG</w:t>
      </w:r>
      <w:r w:rsidR="008909E0" w:rsidRPr="00011D5D">
        <w:rPr>
          <w:rFonts w:ascii="Book Antiqua" w:hAnsi="Book Antiqua"/>
          <w:sz w:val="24"/>
          <w:szCs w:val="24"/>
        </w:rPr>
        <w:t>)</w:t>
      </w:r>
      <w:r w:rsidR="00CE65E2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Positron Emission Tomography </w:t>
      </w:r>
      <w:r w:rsidR="008909E0" w:rsidRPr="00011D5D">
        <w:rPr>
          <w:rFonts w:ascii="Book Antiqua" w:hAnsi="Book Antiqua"/>
          <w:sz w:val="24"/>
          <w:szCs w:val="24"/>
        </w:rPr>
        <w:t>(</w:t>
      </w:r>
      <w:r w:rsidR="00CE65E2" w:rsidRPr="00011D5D">
        <w:rPr>
          <w:rFonts w:ascii="Book Antiqua" w:hAnsi="Book Antiqua"/>
          <w:sz w:val="24"/>
          <w:szCs w:val="24"/>
        </w:rPr>
        <w:t>PET</w:t>
      </w:r>
      <w:r w:rsidR="008909E0" w:rsidRPr="00011D5D">
        <w:rPr>
          <w:rFonts w:ascii="Book Antiqua" w:hAnsi="Book Antiqua"/>
          <w:sz w:val="24"/>
          <w:szCs w:val="24"/>
        </w:rPr>
        <w:t>)</w:t>
      </w:r>
      <w:r w:rsidR="00CE65E2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to </w:t>
      </w:r>
      <w:r w:rsidR="00BE5CA8" w:rsidRPr="00011D5D">
        <w:rPr>
          <w:rFonts w:ascii="Book Antiqua" w:hAnsi="Book Antiqua"/>
          <w:sz w:val="24"/>
          <w:szCs w:val="24"/>
        </w:rPr>
        <w:t xml:space="preserve">HCC-LT </w:t>
      </w:r>
      <w:r w:rsidRPr="00011D5D">
        <w:rPr>
          <w:rFonts w:ascii="Book Antiqua" w:hAnsi="Book Antiqua"/>
          <w:sz w:val="24"/>
          <w:szCs w:val="24"/>
        </w:rPr>
        <w:t xml:space="preserve">selection criteria. </w:t>
      </w:r>
      <w:r w:rsidR="00CE65E2" w:rsidRPr="00011D5D">
        <w:rPr>
          <w:rFonts w:ascii="Book Antiqua" w:hAnsi="Book Antiqua"/>
          <w:sz w:val="24"/>
          <w:szCs w:val="24"/>
        </w:rPr>
        <w:t xml:space="preserve">Retrospective analysis of 280 </w:t>
      </w:r>
      <w:r w:rsidR="00162D0C" w:rsidRPr="00011D5D">
        <w:rPr>
          <w:rFonts w:ascii="Book Antiqua" w:hAnsi="Book Antiqua"/>
          <w:sz w:val="24"/>
          <w:szCs w:val="24"/>
        </w:rPr>
        <w:t>6</w:t>
      </w:r>
      <w:r w:rsidR="00CE65E2" w:rsidRPr="00011D5D">
        <w:rPr>
          <w:rFonts w:ascii="Book Antiqua" w:hAnsi="Book Antiqua"/>
          <w:sz w:val="24"/>
          <w:szCs w:val="24"/>
        </w:rPr>
        <w:t xml:space="preserve">patients demonstrated that patients with PET negative scans </w:t>
      </w:r>
      <w:r w:rsidR="00BE5CA8" w:rsidRPr="00011D5D">
        <w:rPr>
          <w:rFonts w:ascii="Book Antiqua" w:hAnsi="Book Antiqua"/>
          <w:sz w:val="24"/>
          <w:szCs w:val="24"/>
        </w:rPr>
        <w:t xml:space="preserve">preoperatively </w:t>
      </w:r>
      <w:r w:rsidR="00CE65E2" w:rsidRPr="00011D5D">
        <w:rPr>
          <w:rFonts w:ascii="Book Antiqua" w:hAnsi="Book Antiqua"/>
          <w:sz w:val="24"/>
          <w:szCs w:val="24"/>
        </w:rPr>
        <w:t xml:space="preserve">in combination with a total tumor diameter ≤ 10 cm demonstrated </w:t>
      </w:r>
      <w:r w:rsidR="00BE5CA8" w:rsidRPr="00011D5D">
        <w:rPr>
          <w:rFonts w:ascii="Book Antiqua" w:hAnsi="Book Antiqua"/>
          <w:sz w:val="24"/>
          <w:szCs w:val="24"/>
        </w:rPr>
        <w:t xml:space="preserve">5 year </w:t>
      </w:r>
      <w:r w:rsidR="00726E30" w:rsidRPr="00011D5D">
        <w:rPr>
          <w:rFonts w:ascii="Book Antiqua" w:hAnsi="Book Antiqua"/>
          <w:sz w:val="24"/>
          <w:szCs w:val="24"/>
        </w:rPr>
        <w:t xml:space="preserve">overall </w:t>
      </w:r>
      <w:r w:rsidR="00CE65E2" w:rsidRPr="00011D5D">
        <w:rPr>
          <w:rFonts w:ascii="Book Antiqua" w:hAnsi="Book Antiqua"/>
          <w:sz w:val="24"/>
          <w:szCs w:val="24"/>
        </w:rPr>
        <w:t xml:space="preserve">survival and DFS rates of 73.4% and </w:t>
      </w:r>
      <w:r w:rsidR="00BE5CA8" w:rsidRPr="00011D5D">
        <w:rPr>
          <w:rFonts w:ascii="Book Antiqua" w:hAnsi="Book Antiqua"/>
          <w:sz w:val="24"/>
          <w:szCs w:val="24"/>
        </w:rPr>
        <w:t xml:space="preserve">80.4% </w:t>
      </w:r>
      <w:r w:rsidR="00CE65E2" w:rsidRPr="00011D5D">
        <w:rPr>
          <w:rFonts w:ascii="Book Antiqua" w:hAnsi="Book Antiqua"/>
          <w:sz w:val="24"/>
          <w:szCs w:val="24"/>
        </w:rPr>
        <w:t>respectively, which was not significantly different from those within MC</w:t>
      </w:r>
      <w:r w:rsidR="00FE1C30" w:rsidRPr="00011D5D">
        <w:rPr>
          <w:rFonts w:ascii="Book Antiqua" w:hAnsi="Book Antiqua"/>
          <w:sz w:val="24"/>
          <w:szCs w:val="24"/>
        </w:rPr>
        <w:t xml:space="preserve"> 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FE1C30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9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</w:p>
    <w:p w:rsidR="00B77752" w:rsidRPr="00011D5D" w:rsidRDefault="00B77752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Table 2 demonstrates an overview of proposed expanded selection criteria which incorporate biomarkers to morphometric tumor measurements.</w:t>
      </w:r>
    </w:p>
    <w:p w:rsidR="001408A1" w:rsidRDefault="001408A1" w:rsidP="00011D5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397F8A" w:rsidRPr="00011D5D" w:rsidRDefault="003E1FDE" w:rsidP="00011D5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proofErr w:type="spellStart"/>
      <w:r w:rsidRPr="00011D5D">
        <w:rPr>
          <w:rFonts w:ascii="Book Antiqua" w:hAnsi="Book Antiqua"/>
          <w:b/>
          <w:i/>
          <w:sz w:val="24"/>
          <w:szCs w:val="24"/>
        </w:rPr>
        <w:t>Downstaging</w:t>
      </w:r>
      <w:proofErr w:type="spellEnd"/>
      <w:r w:rsidRPr="00011D5D">
        <w:rPr>
          <w:rFonts w:ascii="Book Antiqua" w:hAnsi="Book Antiqua"/>
          <w:b/>
          <w:i/>
          <w:sz w:val="24"/>
          <w:szCs w:val="24"/>
        </w:rPr>
        <w:t xml:space="preserve"> and </w:t>
      </w:r>
      <w:r w:rsidR="001408A1" w:rsidRPr="00011D5D">
        <w:rPr>
          <w:rFonts w:ascii="Book Antiqua" w:hAnsi="Book Antiqua"/>
          <w:b/>
          <w:i/>
          <w:sz w:val="24"/>
          <w:szCs w:val="24"/>
        </w:rPr>
        <w:t>r</w:t>
      </w:r>
      <w:r w:rsidRPr="00011D5D">
        <w:rPr>
          <w:rFonts w:ascii="Book Antiqua" w:hAnsi="Book Antiqua"/>
          <w:b/>
          <w:i/>
          <w:sz w:val="24"/>
          <w:szCs w:val="24"/>
        </w:rPr>
        <w:t>esponse to LRT</w:t>
      </w:r>
    </w:p>
    <w:p w:rsidR="00A63A98" w:rsidRPr="00011D5D" w:rsidRDefault="00397F8A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LRT </w:t>
      </w:r>
      <w:r w:rsidR="00BE5CA8" w:rsidRPr="00011D5D">
        <w:rPr>
          <w:rFonts w:ascii="Book Antiqua" w:hAnsi="Book Antiqua"/>
          <w:sz w:val="24"/>
          <w:szCs w:val="24"/>
        </w:rPr>
        <w:t>in</w:t>
      </w:r>
      <w:r w:rsidR="005506F6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HCC-LT candidates is </w:t>
      </w:r>
      <w:r w:rsidR="00BE5CA8" w:rsidRPr="00011D5D">
        <w:rPr>
          <w:rFonts w:ascii="Book Antiqua" w:hAnsi="Book Antiqua"/>
          <w:sz w:val="24"/>
          <w:szCs w:val="24"/>
        </w:rPr>
        <w:t xml:space="preserve">considered </w:t>
      </w:r>
      <w:r w:rsidR="005506F6" w:rsidRPr="00011D5D">
        <w:rPr>
          <w:rFonts w:ascii="Book Antiqua" w:hAnsi="Book Antiqua"/>
          <w:sz w:val="24"/>
          <w:szCs w:val="24"/>
        </w:rPr>
        <w:t xml:space="preserve">an element of </w:t>
      </w:r>
      <w:r w:rsidR="00A7486A" w:rsidRPr="00011D5D">
        <w:rPr>
          <w:rFonts w:ascii="Book Antiqua" w:hAnsi="Book Antiqua"/>
          <w:sz w:val="24"/>
          <w:szCs w:val="24"/>
        </w:rPr>
        <w:t>two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="00A7486A" w:rsidRPr="00011D5D">
        <w:rPr>
          <w:rFonts w:ascii="Book Antiqua" w:hAnsi="Book Antiqua"/>
          <w:sz w:val="24"/>
          <w:szCs w:val="24"/>
        </w:rPr>
        <w:t>approaches</w:t>
      </w:r>
      <w:r w:rsidRPr="00011D5D">
        <w:rPr>
          <w:rFonts w:ascii="Book Antiqua" w:hAnsi="Book Antiqua"/>
          <w:sz w:val="24"/>
          <w:szCs w:val="24"/>
        </w:rPr>
        <w:t xml:space="preserve">: </w:t>
      </w:r>
      <w:r w:rsidR="00A7486A" w:rsidRPr="00011D5D">
        <w:rPr>
          <w:rFonts w:ascii="Book Antiqua" w:hAnsi="Book Antiqua"/>
          <w:sz w:val="24"/>
          <w:szCs w:val="24"/>
        </w:rPr>
        <w:t>For p</w:t>
      </w:r>
      <w:r w:rsidRPr="00011D5D">
        <w:rPr>
          <w:rFonts w:ascii="Book Antiqua" w:hAnsi="Book Antiqua"/>
          <w:sz w:val="24"/>
          <w:szCs w:val="24"/>
        </w:rPr>
        <w:t xml:space="preserve">atients </w:t>
      </w:r>
      <w:r w:rsidR="00A7486A" w:rsidRPr="00011D5D">
        <w:rPr>
          <w:rFonts w:ascii="Book Antiqua" w:hAnsi="Book Antiqua"/>
          <w:sz w:val="24"/>
          <w:szCs w:val="24"/>
        </w:rPr>
        <w:t xml:space="preserve">listed/ to be listed </w:t>
      </w:r>
      <w:r w:rsidRPr="00011D5D">
        <w:rPr>
          <w:rFonts w:ascii="Book Antiqua" w:hAnsi="Book Antiqua"/>
          <w:sz w:val="24"/>
          <w:szCs w:val="24"/>
        </w:rPr>
        <w:t>within MC</w:t>
      </w:r>
      <w:r w:rsidR="00A7486A" w:rsidRPr="00011D5D">
        <w:rPr>
          <w:rFonts w:ascii="Book Antiqua" w:hAnsi="Book Antiqua"/>
          <w:sz w:val="24"/>
          <w:szCs w:val="24"/>
        </w:rPr>
        <w:t>, LRT is applied neo-</w:t>
      </w:r>
      <w:proofErr w:type="spellStart"/>
      <w:r w:rsidR="00A7486A" w:rsidRPr="00011D5D">
        <w:rPr>
          <w:rFonts w:ascii="Book Antiqua" w:hAnsi="Book Antiqua"/>
          <w:sz w:val="24"/>
          <w:szCs w:val="24"/>
        </w:rPr>
        <w:t>adjuvently</w:t>
      </w:r>
      <w:proofErr w:type="spellEnd"/>
      <w:r w:rsidR="00A7486A" w:rsidRPr="00011D5D">
        <w:rPr>
          <w:rFonts w:ascii="Book Antiqua" w:hAnsi="Book Antiqua"/>
          <w:sz w:val="24"/>
          <w:szCs w:val="24"/>
        </w:rPr>
        <w:t xml:space="preserve"> as bridging therapy to halt tumor progression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40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 xml:space="preserve">. </w:t>
      </w:r>
      <w:r w:rsidR="00A7486A" w:rsidRPr="00011D5D">
        <w:rPr>
          <w:rFonts w:ascii="Book Antiqua" w:hAnsi="Book Antiqua"/>
          <w:sz w:val="24"/>
          <w:szCs w:val="24"/>
        </w:rPr>
        <w:t xml:space="preserve">Patients </w:t>
      </w:r>
      <w:r w:rsidR="00BE5CA8" w:rsidRPr="00011D5D">
        <w:rPr>
          <w:rFonts w:ascii="Book Antiqua" w:hAnsi="Book Antiqua"/>
          <w:sz w:val="24"/>
          <w:szCs w:val="24"/>
        </w:rPr>
        <w:t xml:space="preserve">who present initially </w:t>
      </w:r>
      <w:r w:rsidR="00A7486A" w:rsidRPr="00011D5D">
        <w:rPr>
          <w:rFonts w:ascii="Book Antiqua" w:hAnsi="Book Antiqua"/>
          <w:sz w:val="24"/>
          <w:szCs w:val="24"/>
        </w:rPr>
        <w:t xml:space="preserve">beyond MC are </w:t>
      </w:r>
      <w:proofErr w:type="spellStart"/>
      <w:r w:rsidR="00A7486A" w:rsidRPr="00011D5D">
        <w:rPr>
          <w:rFonts w:ascii="Book Antiqua" w:hAnsi="Book Antiqua"/>
          <w:sz w:val="24"/>
          <w:szCs w:val="24"/>
        </w:rPr>
        <w:t>downstaged</w:t>
      </w:r>
      <w:proofErr w:type="spellEnd"/>
      <w:r w:rsidR="00A7486A" w:rsidRPr="00011D5D">
        <w:rPr>
          <w:rFonts w:ascii="Book Antiqua" w:hAnsi="Book Antiqua"/>
          <w:sz w:val="24"/>
          <w:szCs w:val="24"/>
        </w:rPr>
        <w:t xml:space="preserve"> to reduce tumor size to meet</w:t>
      </w:r>
      <w:r w:rsidR="00A63A98" w:rsidRPr="00011D5D">
        <w:rPr>
          <w:rFonts w:ascii="Book Antiqua" w:hAnsi="Book Antiqua"/>
          <w:sz w:val="24"/>
          <w:szCs w:val="24"/>
        </w:rPr>
        <w:t xml:space="preserve"> MC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162D0C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1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  <w:r w:rsidR="005506F6" w:rsidRPr="00011D5D">
        <w:rPr>
          <w:rFonts w:ascii="Book Antiqua" w:hAnsi="Book Antiqua"/>
          <w:sz w:val="24"/>
          <w:szCs w:val="24"/>
        </w:rPr>
        <w:t xml:space="preserve"> Both</w:t>
      </w:r>
      <w:r w:rsidR="00A7486A" w:rsidRPr="00011D5D">
        <w:rPr>
          <w:rFonts w:ascii="Book Antiqua" w:hAnsi="Book Antiqua"/>
          <w:sz w:val="24"/>
          <w:szCs w:val="24"/>
        </w:rPr>
        <w:t xml:space="preserve"> strategies</w:t>
      </w:r>
      <w:r w:rsidR="00A63A98" w:rsidRPr="00011D5D">
        <w:rPr>
          <w:rFonts w:ascii="Book Antiqua" w:hAnsi="Book Antiqua"/>
          <w:sz w:val="24"/>
          <w:szCs w:val="24"/>
        </w:rPr>
        <w:t xml:space="preserve"> </w:t>
      </w:r>
      <w:r w:rsidR="00A7486A" w:rsidRPr="00011D5D">
        <w:rPr>
          <w:rFonts w:ascii="Book Antiqua" w:hAnsi="Book Antiqua"/>
          <w:sz w:val="24"/>
          <w:szCs w:val="24"/>
        </w:rPr>
        <w:t>provide</w:t>
      </w:r>
      <w:r w:rsidR="00A63A98" w:rsidRPr="00011D5D">
        <w:rPr>
          <w:rFonts w:ascii="Book Antiqua" w:hAnsi="Book Antiqua"/>
          <w:sz w:val="24"/>
          <w:szCs w:val="24"/>
        </w:rPr>
        <w:t xml:space="preserve"> the opportunity to evaluate radiological and laboratory surrogates of tumor response</w:t>
      </w:r>
      <w:r w:rsidR="00BE5CA8" w:rsidRPr="00011D5D">
        <w:rPr>
          <w:rFonts w:ascii="Book Antiqua" w:hAnsi="Book Antiqua"/>
          <w:sz w:val="24"/>
          <w:szCs w:val="24"/>
        </w:rPr>
        <w:t>, which</w:t>
      </w:r>
      <w:r w:rsidR="00A63A98" w:rsidRPr="00011D5D">
        <w:rPr>
          <w:rFonts w:ascii="Book Antiqua" w:hAnsi="Book Antiqua"/>
          <w:sz w:val="24"/>
          <w:szCs w:val="24"/>
        </w:rPr>
        <w:t xml:space="preserve"> could unveil more aggressive tumors with less favorable biology </w:t>
      </w:r>
      <w:r w:rsidR="00BE5CA8" w:rsidRPr="00011D5D">
        <w:rPr>
          <w:rFonts w:ascii="Book Antiqua" w:hAnsi="Book Antiqua"/>
          <w:sz w:val="24"/>
          <w:szCs w:val="24"/>
        </w:rPr>
        <w:t xml:space="preserve">in order </w:t>
      </w:r>
      <w:r w:rsidR="00A63A98" w:rsidRPr="00011D5D">
        <w:rPr>
          <w:rFonts w:ascii="Book Antiqua" w:hAnsi="Book Antiqua"/>
          <w:sz w:val="24"/>
          <w:szCs w:val="24"/>
        </w:rPr>
        <w:t xml:space="preserve">to </w:t>
      </w:r>
      <w:r w:rsidR="00D0618A" w:rsidRPr="00011D5D">
        <w:rPr>
          <w:rFonts w:ascii="Book Antiqua" w:hAnsi="Book Antiqua"/>
          <w:sz w:val="24"/>
          <w:szCs w:val="24"/>
        </w:rPr>
        <w:t>be excluded from LT</w:t>
      </w:r>
      <w:r w:rsidR="00A63A98" w:rsidRPr="00011D5D">
        <w:rPr>
          <w:rFonts w:ascii="Book Antiqua" w:hAnsi="Book Antiqua"/>
          <w:sz w:val="24"/>
          <w:szCs w:val="24"/>
        </w:rPr>
        <w:t>.</w:t>
      </w:r>
    </w:p>
    <w:p w:rsidR="00027CDF" w:rsidRPr="00011D5D" w:rsidRDefault="00F355AA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Since tumor behavior over time is a surrogate of tumor biology, LRT followed by a </w:t>
      </w:r>
      <w:r w:rsidR="00726E30" w:rsidRPr="00011D5D">
        <w:rPr>
          <w:rFonts w:ascii="Book Antiqua" w:hAnsi="Book Antiqua"/>
          <w:sz w:val="24"/>
          <w:szCs w:val="24"/>
        </w:rPr>
        <w:t>required</w:t>
      </w:r>
      <w:r w:rsidRPr="00011D5D">
        <w:rPr>
          <w:rFonts w:ascii="Book Antiqua" w:hAnsi="Book Antiqua"/>
          <w:sz w:val="24"/>
          <w:szCs w:val="24"/>
        </w:rPr>
        <w:t xml:space="preserve"> waiting time before LT can </w:t>
      </w:r>
      <w:r w:rsidR="00726E30" w:rsidRPr="00011D5D">
        <w:rPr>
          <w:rFonts w:ascii="Book Antiqua" w:hAnsi="Book Antiqua"/>
          <w:sz w:val="24"/>
          <w:szCs w:val="24"/>
        </w:rPr>
        <w:t>help to unveil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="00726E30" w:rsidRPr="00011D5D">
        <w:rPr>
          <w:rFonts w:ascii="Book Antiqua" w:hAnsi="Book Antiqua"/>
          <w:sz w:val="24"/>
          <w:szCs w:val="24"/>
        </w:rPr>
        <w:t xml:space="preserve">tumor </w:t>
      </w:r>
      <w:r w:rsidR="003438E4" w:rsidRPr="00011D5D">
        <w:rPr>
          <w:rFonts w:ascii="Book Antiqua" w:hAnsi="Book Antiqua"/>
          <w:sz w:val="24"/>
          <w:szCs w:val="24"/>
        </w:rPr>
        <w:t>biology and</w:t>
      </w:r>
      <w:r w:rsidR="00F437A5" w:rsidRPr="00011D5D">
        <w:rPr>
          <w:rFonts w:ascii="Book Antiqua" w:hAnsi="Book Antiqua"/>
          <w:sz w:val="24"/>
          <w:szCs w:val="24"/>
        </w:rPr>
        <w:t xml:space="preserve"> </w:t>
      </w:r>
      <w:r w:rsidR="0029772D" w:rsidRPr="00011D5D">
        <w:rPr>
          <w:rFonts w:ascii="Book Antiqua" w:hAnsi="Book Antiqua"/>
          <w:sz w:val="24"/>
          <w:szCs w:val="24"/>
        </w:rPr>
        <w:t>has be</w:t>
      </w:r>
      <w:r w:rsidR="00E60AB5" w:rsidRPr="00011D5D">
        <w:rPr>
          <w:rFonts w:ascii="Book Antiqua" w:hAnsi="Book Antiqua"/>
          <w:sz w:val="24"/>
          <w:szCs w:val="24"/>
        </w:rPr>
        <w:t>en</w:t>
      </w:r>
      <w:r w:rsidR="0029772D" w:rsidRPr="00011D5D">
        <w:rPr>
          <w:rFonts w:ascii="Book Antiqua" w:hAnsi="Book Antiqua"/>
          <w:sz w:val="24"/>
          <w:szCs w:val="24"/>
        </w:rPr>
        <w:t xml:space="preserve"> </w:t>
      </w:r>
      <w:r w:rsidR="00397F8A" w:rsidRPr="00011D5D">
        <w:rPr>
          <w:rFonts w:ascii="Book Antiqua" w:hAnsi="Book Antiqua"/>
          <w:sz w:val="24"/>
          <w:szCs w:val="24"/>
        </w:rPr>
        <w:t>coined</w:t>
      </w:r>
      <w:r w:rsidR="0029772D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>as the “ablate and wait” strategy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FE1C30" w:rsidRPr="00011D5D">
        <w:rPr>
          <w:rFonts w:ascii="Book Antiqua" w:hAnsi="Book Antiqua"/>
          <w:sz w:val="24"/>
          <w:szCs w:val="24"/>
          <w:vertAlign w:val="superscript"/>
        </w:rPr>
        <w:t>10</w:t>
      </w:r>
      <w:r w:rsidR="003438E4" w:rsidRPr="00011D5D">
        <w:rPr>
          <w:rFonts w:ascii="Book Antiqua" w:hAnsi="Book Antiqua"/>
          <w:sz w:val="24"/>
          <w:szCs w:val="24"/>
          <w:vertAlign w:val="superscript"/>
        </w:rPr>
        <w:t>].</w:t>
      </w:r>
    </w:p>
    <w:p w:rsidR="00397F8A" w:rsidRPr="00011D5D" w:rsidRDefault="007C623F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lastRenderedPageBreak/>
        <w:t xml:space="preserve">A </w:t>
      </w:r>
      <w:r w:rsidR="00C5381A" w:rsidRPr="00011D5D">
        <w:rPr>
          <w:rFonts w:ascii="Book Antiqua" w:hAnsi="Book Antiqua"/>
          <w:sz w:val="24"/>
          <w:szCs w:val="24"/>
        </w:rPr>
        <w:t xml:space="preserve">systematic review and </w:t>
      </w:r>
      <w:r w:rsidR="00EE5746" w:rsidRPr="00011D5D">
        <w:rPr>
          <w:rFonts w:ascii="Book Antiqua" w:hAnsi="Book Antiqua"/>
          <w:sz w:val="24"/>
          <w:szCs w:val="24"/>
        </w:rPr>
        <w:t xml:space="preserve">pooled </w:t>
      </w:r>
      <w:r w:rsidR="00C5381A" w:rsidRPr="00011D5D">
        <w:rPr>
          <w:rFonts w:ascii="Book Antiqua" w:hAnsi="Book Antiqua"/>
          <w:sz w:val="24"/>
          <w:szCs w:val="24"/>
        </w:rPr>
        <w:t>analysis of 1</w:t>
      </w:r>
      <w:r w:rsidR="00EE5746" w:rsidRPr="00011D5D">
        <w:rPr>
          <w:rFonts w:ascii="Book Antiqua" w:hAnsi="Book Antiqua"/>
          <w:sz w:val="24"/>
          <w:szCs w:val="24"/>
        </w:rPr>
        <w:t>3</w:t>
      </w:r>
      <w:r w:rsidR="00C5381A" w:rsidRPr="00011D5D">
        <w:rPr>
          <w:rFonts w:ascii="Book Antiqua" w:hAnsi="Book Antiqua"/>
          <w:sz w:val="24"/>
          <w:szCs w:val="24"/>
        </w:rPr>
        <w:t xml:space="preserve"> studies </w:t>
      </w:r>
      <w:r w:rsidR="00A60355" w:rsidRPr="00011D5D">
        <w:rPr>
          <w:rFonts w:ascii="Book Antiqua" w:hAnsi="Book Antiqua"/>
          <w:sz w:val="24"/>
          <w:szCs w:val="24"/>
        </w:rPr>
        <w:t>reveal</w:t>
      </w:r>
      <w:r w:rsidR="00726E30" w:rsidRPr="00011D5D">
        <w:rPr>
          <w:rFonts w:ascii="Book Antiqua" w:hAnsi="Book Antiqua"/>
          <w:sz w:val="24"/>
          <w:szCs w:val="24"/>
        </w:rPr>
        <w:t>ed</w:t>
      </w:r>
      <w:r w:rsidR="00A60355" w:rsidRPr="00011D5D">
        <w:rPr>
          <w:rFonts w:ascii="Book Antiqua" w:hAnsi="Book Antiqua"/>
          <w:sz w:val="24"/>
          <w:szCs w:val="24"/>
        </w:rPr>
        <w:t xml:space="preserve"> the success rate of </w:t>
      </w:r>
      <w:proofErr w:type="spellStart"/>
      <w:r w:rsidR="00A60355" w:rsidRPr="00011D5D">
        <w:rPr>
          <w:rFonts w:ascii="Book Antiqua" w:hAnsi="Book Antiqua"/>
          <w:sz w:val="24"/>
          <w:szCs w:val="24"/>
        </w:rPr>
        <w:t>downstaging</w:t>
      </w:r>
      <w:proofErr w:type="spellEnd"/>
      <w:r w:rsidR="00EE5746" w:rsidRPr="00011D5D">
        <w:rPr>
          <w:rFonts w:ascii="Book Antiqua" w:hAnsi="Book Antiqua"/>
          <w:sz w:val="24"/>
          <w:szCs w:val="24"/>
        </w:rPr>
        <w:t xml:space="preserve"> </w:t>
      </w:r>
      <w:r w:rsidR="003E5DFC" w:rsidRPr="00011D5D">
        <w:rPr>
          <w:rFonts w:ascii="Book Antiqua" w:hAnsi="Book Antiqua"/>
          <w:sz w:val="24"/>
          <w:szCs w:val="24"/>
        </w:rPr>
        <w:t xml:space="preserve">raging between </w:t>
      </w:r>
      <w:r w:rsidR="00A60355" w:rsidRPr="00011D5D">
        <w:rPr>
          <w:rFonts w:ascii="Book Antiqua" w:hAnsi="Book Antiqua"/>
          <w:sz w:val="24"/>
          <w:szCs w:val="24"/>
        </w:rPr>
        <w:t>11%</w:t>
      </w:r>
      <w:r w:rsidR="001408A1">
        <w:rPr>
          <w:rFonts w:ascii="Book Antiqua" w:hAnsi="Book Antiqua" w:hint="eastAsia"/>
          <w:sz w:val="24"/>
          <w:szCs w:val="24"/>
          <w:lang w:eastAsia="zh-CN"/>
        </w:rPr>
        <w:t>-</w:t>
      </w:r>
      <w:r w:rsidR="00A60355" w:rsidRPr="00011D5D">
        <w:rPr>
          <w:rFonts w:ascii="Book Antiqua" w:hAnsi="Book Antiqua"/>
          <w:sz w:val="24"/>
          <w:szCs w:val="24"/>
        </w:rPr>
        <w:t xml:space="preserve">77%. </w:t>
      </w:r>
      <w:r w:rsidR="00726E30" w:rsidRPr="00011D5D">
        <w:rPr>
          <w:rFonts w:ascii="Book Antiqua" w:hAnsi="Book Antiqua"/>
          <w:sz w:val="24"/>
          <w:szCs w:val="24"/>
        </w:rPr>
        <w:t>There was n</w:t>
      </w:r>
      <w:r w:rsidR="00A60355" w:rsidRPr="00011D5D">
        <w:rPr>
          <w:rFonts w:ascii="Book Antiqua" w:hAnsi="Book Antiqua"/>
          <w:sz w:val="24"/>
          <w:szCs w:val="24"/>
        </w:rPr>
        <w:t xml:space="preserve">o significant difference in </w:t>
      </w:r>
      <w:r w:rsidR="00726E30" w:rsidRPr="00011D5D">
        <w:rPr>
          <w:rFonts w:ascii="Book Antiqua" w:hAnsi="Book Antiqua"/>
          <w:sz w:val="24"/>
          <w:szCs w:val="24"/>
        </w:rPr>
        <w:t xml:space="preserve">utilizing </w:t>
      </w:r>
      <w:proofErr w:type="spellStart"/>
      <w:r w:rsidR="003643BA" w:rsidRPr="00011D5D">
        <w:rPr>
          <w:rFonts w:ascii="Book Antiqua" w:hAnsi="Book Antiqua"/>
          <w:sz w:val="24"/>
          <w:szCs w:val="24"/>
        </w:rPr>
        <w:t>Transarterial</w:t>
      </w:r>
      <w:proofErr w:type="spellEnd"/>
      <w:r w:rsidR="003643BA" w:rsidRPr="00011D5D">
        <w:rPr>
          <w:rFonts w:ascii="Book Antiqua" w:hAnsi="Book Antiqua"/>
          <w:sz w:val="24"/>
          <w:szCs w:val="24"/>
        </w:rPr>
        <w:t xml:space="preserve"> Chemoembolization </w:t>
      </w:r>
      <w:r w:rsidR="008909E0" w:rsidRPr="00011D5D">
        <w:rPr>
          <w:rFonts w:ascii="Book Antiqua" w:hAnsi="Book Antiqua"/>
          <w:sz w:val="24"/>
          <w:szCs w:val="24"/>
        </w:rPr>
        <w:t>(</w:t>
      </w:r>
      <w:r w:rsidR="00EE5746" w:rsidRPr="00011D5D">
        <w:rPr>
          <w:rFonts w:ascii="Book Antiqua" w:hAnsi="Book Antiqua"/>
          <w:sz w:val="24"/>
          <w:szCs w:val="24"/>
        </w:rPr>
        <w:t>TACE</w:t>
      </w:r>
      <w:r w:rsidR="008909E0" w:rsidRPr="00011D5D">
        <w:rPr>
          <w:rFonts w:ascii="Book Antiqua" w:hAnsi="Book Antiqua"/>
          <w:sz w:val="24"/>
          <w:szCs w:val="24"/>
        </w:rPr>
        <w:t>)</w:t>
      </w:r>
      <w:r w:rsidR="00EE5746" w:rsidRPr="00011D5D">
        <w:rPr>
          <w:rFonts w:ascii="Book Antiqua" w:hAnsi="Book Antiqua"/>
          <w:sz w:val="24"/>
          <w:szCs w:val="24"/>
        </w:rPr>
        <w:t xml:space="preserve"> or </w:t>
      </w:r>
      <w:proofErr w:type="spellStart"/>
      <w:r w:rsidR="003643BA" w:rsidRPr="00011D5D">
        <w:rPr>
          <w:rFonts w:ascii="Book Antiqua" w:hAnsi="Book Antiqua"/>
          <w:sz w:val="24"/>
          <w:szCs w:val="24"/>
        </w:rPr>
        <w:t>Transarterial</w:t>
      </w:r>
      <w:proofErr w:type="spellEnd"/>
      <w:r w:rsidR="003643BA" w:rsidRPr="00011D5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643BA" w:rsidRPr="00011D5D">
        <w:rPr>
          <w:rFonts w:ascii="Book Antiqua" w:hAnsi="Book Antiqua"/>
          <w:sz w:val="24"/>
          <w:szCs w:val="24"/>
        </w:rPr>
        <w:t>Radioemobilzation</w:t>
      </w:r>
      <w:proofErr w:type="spellEnd"/>
      <w:r w:rsidR="003643BA" w:rsidRPr="00011D5D">
        <w:rPr>
          <w:rFonts w:ascii="Book Antiqua" w:hAnsi="Book Antiqua"/>
          <w:sz w:val="24"/>
          <w:szCs w:val="24"/>
        </w:rPr>
        <w:t xml:space="preserve"> </w:t>
      </w:r>
      <w:r w:rsidR="008909E0" w:rsidRPr="00011D5D">
        <w:rPr>
          <w:rFonts w:ascii="Book Antiqua" w:hAnsi="Book Antiqua"/>
          <w:sz w:val="24"/>
          <w:szCs w:val="24"/>
        </w:rPr>
        <w:t>(</w:t>
      </w:r>
      <w:r w:rsidR="00EE5746" w:rsidRPr="00011D5D">
        <w:rPr>
          <w:rFonts w:ascii="Book Antiqua" w:hAnsi="Book Antiqua"/>
          <w:sz w:val="24"/>
          <w:szCs w:val="24"/>
        </w:rPr>
        <w:t>TARE</w:t>
      </w:r>
      <w:r w:rsidR="00A60355" w:rsidRPr="00011D5D">
        <w:rPr>
          <w:rFonts w:ascii="Book Antiqua" w:hAnsi="Book Antiqua"/>
          <w:sz w:val="24"/>
          <w:szCs w:val="24"/>
        </w:rPr>
        <w:t>)</w:t>
      </w:r>
      <w:r w:rsidR="00EE5746" w:rsidRPr="00011D5D">
        <w:rPr>
          <w:rFonts w:ascii="Book Antiqua" w:hAnsi="Book Antiqua"/>
          <w:sz w:val="24"/>
          <w:szCs w:val="24"/>
        </w:rPr>
        <w:t xml:space="preserve">. </w:t>
      </w:r>
      <w:r w:rsidR="003643BA" w:rsidRPr="00011D5D">
        <w:rPr>
          <w:rFonts w:ascii="Book Antiqua" w:hAnsi="Book Antiqua"/>
          <w:sz w:val="24"/>
          <w:szCs w:val="24"/>
        </w:rPr>
        <w:t xml:space="preserve">Post LT recurrence rates </w:t>
      </w:r>
      <w:r w:rsidR="00A60355" w:rsidRPr="00011D5D">
        <w:rPr>
          <w:rFonts w:ascii="Book Antiqua" w:hAnsi="Book Antiqua"/>
          <w:sz w:val="24"/>
          <w:szCs w:val="24"/>
        </w:rPr>
        <w:t>were noted to be as high as 16%, however</w:t>
      </w:r>
      <w:r w:rsidR="003643BA" w:rsidRPr="00011D5D">
        <w:rPr>
          <w:rFonts w:ascii="Book Antiqua" w:hAnsi="Book Antiqua"/>
          <w:sz w:val="24"/>
          <w:szCs w:val="24"/>
        </w:rPr>
        <w:t xml:space="preserve"> </w:t>
      </w:r>
      <w:r w:rsidR="00A60355" w:rsidRPr="00011D5D">
        <w:rPr>
          <w:rFonts w:ascii="Book Antiqua" w:hAnsi="Book Antiqua"/>
          <w:sz w:val="24"/>
          <w:szCs w:val="24"/>
        </w:rPr>
        <w:t>s</w:t>
      </w:r>
      <w:r w:rsidR="003643BA" w:rsidRPr="00011D5D">
        <w:rPr>
          <w:rFonts w:ascii="Book Antiqua" w:hAnsi="Book Antiqua"/>
          <w:sz w:val="24"/>
          <w:szCs w:val="24"/>
        </w:rPr>
        <w:t xml:space="preserve">urvival outcomes could not be calculated </w:t>
      </w:r>
      <w:r w:rsidR="00A60355" w:rsidRPr="00011D5D">
        <w:rPr>
          <w:rFonts w:ascii="Book Antiqua" w:hAnsi="Book Antiqua"/>
          <w:sz w:val="24"/>
          <w:szCs w:val="24"/>
        </w:rPr>
        <w:t>due to</w:t>
      </w:r>
      <w:r w:rsidR="003643BA" w:rsidRPr="00011D5D">
        <w:rPr>
          <w:rFonts w:ascii="Book Antiqua" w:hAnsi="Book Antiqua"/>
          <w:sz w:val="24"/>
          <w:szCs w:val="24"/>
        </w:rPr>
        <w:t xml:space="preserve"> heterogeneity of the data </w:t>
      </w:r>
      <w:r w:rsidR="00A60355" w:rsidRPr="00011D5D">
        <w:rPr>
          <w:rFonts w:ascii="Book Antiqua" w:hAnsi="Book Antiqua"/>
          <w:sz w:val="24"/>
          <w:szCs w:val="24"/>
        </w:rPr>
        <w:t xml:space="preserve">which </w:t>
      </w:r>
      <w:r w:rsidR="003643BA" w:rsidRPr="00011D5D">
        <w:rPr>
          <w:rFonts w:ascii="Book Antiqua" w:hAnsi="Book Antiqua"/>
          <w:sz w:val="24"/>
          <w:szCs w:val="24"/>
        </w:rPr>
        <w:t xml:space="preserve">prevented </w:t>
      </w:r>
      <w:r w:rsidR="00A60355" w:rsidRPr="00011D5D">
        <w:rPr>
          <w:rFonts w:ascii="Book Antiqua" w:hAnsi="Book Antiqua"/>
          <w:sz w:val="24"/>
          <w:szCs w:val="24"/>
        </w:rPr>
        <w:t>adequate analysis</w:t>
      </w:r>
      <w:r w:rsidR="003643BA" w:rsidRPr="00011D5D">
        <w:rPr>
          <w:rFonts w:ascii="Book Antiqua" w:hAnsi="Book Antiqua"/>
          <w:sz w:val="24"/>
          <w:szCs w:val="24"/>
        </w:rPr>
        <w:t xml:space="preserve">. </w:t>
      </w:r>
      <w:r w:rsidR="00A60355" w:rsidRPr="00011D5D">
        <w:rPr>
          <w:rFonts w:ascii="Book Antiqua" w:hAnsi="Book Antiqua"/>
          <w:sz w:val="24"/>
          <w:szCs w:val="24"/>
        </w:rPr>
        <w:t>Further investigation is required to determine t</w:t>
      </w:r>
      <w:r w:rsidR="00C5381A" w:rsidRPr="00011D5D">
        <w:rPr>
          <w:rFonts w:ascii="Book Antiqua" w:hAnsi="Book Antiqua"/>
          <w:sz w:val="24"/>
          <w:szCs w:val="24"/>
        </w:rPr>
        <w:t xml:space="preserve">he </w:t>
      </w:r>
      <w:r w:rsidR="00027CDF" w:rsidRPr="00011D5D">
        <w:rPr>
          <w:rFonts w:ascii="Book Antiqua" w:hAnsi="Book Antiqua"/>
          <w:sz w:val="24"/>
          <w:szCs w:val="24"/>
        </w:rPr>
        <w:t xml:space="preserve">effect of </w:t>
      </w:r>
      <w:r w:rsidR="00A60355" w:rsidRPr="00011D5D">
        <w:rPr>
          <w:rFonts w:ascii="Book Antiqua" w:hAnsi="Book Antiqua"/>
          <w:sz w:val="24"/>
          <w:szCs w:val="24"/>
        </w:rPr>
        <w:t>heterogeneous</w:t>
      </w:r>
      <w:r w:rsidR="00C5381A" w:rsidRPr="00011D5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5381A" w:rsidRPr="00011D5D">
        <w:rPr>
          <w:rFonts w:ascii="Book Antiqua" w:hAnsi="Book Antiqua"/>
          <w:sz w:val="24"/>
          <w:szCs w:val="24"/>
        </w:rPr>
        <w:t>downstaging</w:t>
      </w:r>
      <w:proofErr w:type="spellEnd"/>
      <w:r w:rsidR="00C5381A" w:rsidRPr="00011D5D">
        <w:rPr>
          <w:rFonts w:ascii="Book Antiqua" w:hAnsi="Book Antiqua"/>
          <w:sz w:val="24"/>
          <w:szCs w:val="24"/>
        </w:rPr>
        <w:t xml:space="preserve"> protocols in term of LRT m</w:t>
      </w:r>
      <w:r w:rsidR="00A60355" w:rsidRPr="00011D5D">
        <w:rPr>
          <w:rFonts w:ascii="Book Antiqua" w:hAnsi="Book Antiqua"/>
          <w:sz w:val="24"/>
          <w:szCs w:val="24"/>
        </w:rPr>
        <w:t xml:space="preserve">odality, </w:t>
      </w:r>
      <w:r w:rsidR="00027CDF" w:rsidRPr="00011D5D">
        <w:rPr>
          <w:rFonts w:ascii="Book Antiqua" w:hAnsi="Book Antiqua"/>
          <w:sz w:val="24"/>
          <w:szCs w:val="24"/>
        </w:rPr>
        <w:t xml:space="preserve">frequency, </w:t>
      </w:r>
      <w:r w:rsidR="00A60355" w:rsidRPr="00011D5D">
        <w:rPr>
          <w:rFonts w:ascii="Book Antiqua" w:hAnsi="Book Antiqua"/>
          <w:sz w:val="24"/>
          <w:szCs w:val="24"/>
        </w:rPr>
        <w:t>and</w:t>
      </w:r>
      <w:r w:rsidR="00027CDF" w:rsidRPr="00011D5D">
        <w:rPr>
          <w:rFonts w:ascii="Book Antiqua" w:hAnsi="Book Antiqua"/>
          <w:sz w:val="24"/>
          <w:szCs w:val="24"/>
        </w:rPr>
        <w:t xml:space="preserve"> </w:t>
      </w:r>
      <w:r w:rsidR="00C5381A" w:rsidRPr="00011D5D">
        <w:rPr>
          <w:rFonts w:ascii="Book Antiqua" w:hAnsi="Book Antiqua"/>
          <w:sz w:val="24"/>
          <w:szCs w:val="24"/>
        </w:rPr>
        <w:t xml:space="preserve">waiting period </w:t>
      </w:r>
      <w:r w:rsidR="001408A1">
        <w:rPr>
          <w:rFonts w:ascii="Book Antiqua" w:hAnsi="Book Antiqua"/>
          <w:sz w:val="24"/>
          <w:szCs w:val="24"/>
        </w:rPr>
        <w:t>pre- LT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42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</w:p>
    <w:p w:rsidR="00790C4B" w:rsidRPr="00011D5D" w:rsidRDefault="00397F8A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The </w:t>
      </w:r>
      <w:r w:rsidR="00F355AA" w:rsidRPr="00011D5D">
        <w:rPr>
          <w:rFonts w:ascii="Book Antiqua" w:hAnsi="Book Antiqua"/>
          <w:sz w:val="24"/>
          <w:szCs w:val="24"/>
        </w:rPr>
        <w:t xml:space="preserve">correlation between the </w:t>
      </w:r>
      <w:r w:rsidRPr="00011D5D">
        <w:rPr>
          <w:rFonts w:ascii="Book Antiqua" w:hAnsi="Book Antiqua"/>
          <w:sz w:val="24"/>
          <w:szCs w:val="24"/>
        </w:rPr>
        <w:t xml:space="preserve">AFP </w:t>
      </w:r>
      <w:r w:rsidR="00A60355" w:rsidRPr="00011D5D">
        <w:rPr>
          <w:rFonts w:ascii="Book Antiqua" w:hAnsi="Book Antiqua"/>
          <w:sz w:val="24"/>
          <w:szCs w:val="24"/>
        </w:rPr>
        <w:t xml:space="preserve">expression </w:t>
      </w:r>
      <w:r w:rsidRPr="00011D5D">
        <w:rPr>
          <w:rFonts w:ascii="Book Antiqua" w:hAnsi="Book Antiqua"/>
          <w:sz w:val="24"/>
          <w:szCs w:val="24"/>
        </w:rPr>
        <w:t xml:space="preserve">in response to LRT </w:t>
      </w:r>
      <w:r w:rsidR="00F355AA" w:rsidRPr="00011D5D">
        <w:rPr>
          <w:rFonts w:ascii="Book Antiqua" w:hAnsi="Book Antiqua"/>
          <w:sz w:val="24"/>
          <w:szCs w:val="24"/>
        </w:rPr>
        <w:t xml:space="preserve">and post LT survival </w:t>
      </w:r>
      <w:r w:rsidRPr="00011D5D">
        <w:rPr>
          <w:rFonts w:ascii="Book Antiqua" w:hAnsi="Book Antiqua"/>
          <w:sz w:val="24"/>
          <w:szCs w:val="24"/>
        </w:rPr>
        <w:t xml:space="preserve">has also been </w:t>
      </w:r>
      <w:r w:rsidR="00A7486A" w:rsidRPr="00011D5D">
        <w:rPr>
          <w:rFonts w:ascii="Book Antiqua" w:hAnsi="Book Antiqua"/>
          <w:sz w:val="24"/>
          <w:szCs w:val="24"/>
        </w:rPr>
        <w:t>investigated</w:t>
      </w:r>
      <w:r w:rsidR="00F355AA" w:rsidRPr="00011D5D">
        <w:rPr>
          <w:rFonts w:ascii="Book Antiqua" w:hAnsi="Book Antiqua"/>
          <w:sz w:val="24"/>
          <w:szCs w:val="24"/>
        </w:rPr>
        <w:t>.</w:t>
      </w:r>
      <w:r w:rsidR="00CC5143" w:rsidRPr="00011D5D">
        <w:rPr>
          <w:rFonts w:ascii="Book Antiqua" w:hAnsi="Book Antiqua"/>
          <w:sz w:val="24"/>
          <w:szCs w:val="24"/>
        </w:rPr>
        <w:t xml:space="preserve"> </w:t>
      </w:r>
      <w:r w:rsidR="00726E30" w:rsidRPr="00011D5D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726E30" w:rsidRPr="00011D5D">
        <w:rPr>
          <w:rFonts w:ascii="Book Antiqua" w:hAnsi="Book Antiqua"/>
          <w:sz w:val="24"/>
          <w:szCs w:val="24"/>
        </w:rPr>
        <w:t>multicentric</w:t>
      </w:r>
      <w:proofErr w:type="spellEnd"/>
      <w:r w:rsidR="00726E30" w:rsidRPr="00011D5D">
        <w:rPr>
          <w:rFonts w:ascii="Book Antiqua" w:hAnsi="Book Antiqua"/>
          <w:sz w:val="24"/>
          <w:szCs w:val="24"/>
        </w:rPr>
        <w:t xml:space="preserve"> study which included </w:t>
      </w:r>
      <w:r w:rsidR="00CC5143" w:rsidRPr="00011D5D">
        <w:rPr>
          <w:rFonts w:ascii="Book Antiqua" w:hAnsi="Book Antiqua"/>
          <w:sz w:val="24"/>
          <w:szCs w:val="24"/>
        </w:rPr>
        <w:t xml:space="preserve">422 patients who underwent LRT before LT for HCC </w:t>
      </w:r>
      <w:r w:rsidR="008909E0" w:rsidRPr="00011D5D">
        <w:rPr>
          <w:rFonts w:ascii="Book Antiqua" w:hAnsi="Book Antiqua"/>
          <w:sz w:val="24"/>
          <w:szCs w:val="24"/>
        </w:rPr>
        <w:t>(</w:t>
      </w:r>
      <w:r w:rsidR="00B43F7E" w:rsidRPr="00011D5D">
        <w:rPr>
          <w:rFonts w:ascii="Book Antiqua" w:hAnsi="Book Antiqua"/>
          <w:sz w:val="24"/>
          <w:szCs w:val="24"/>
        </w:rPr>
        <w:t>306</w:t>
      </w:r>
      <w:r w:rsidR="00CC5143" w:rsidRPr="00011D5D">
        <w:rPr>
          <w:rFonts w:ascii="Book Antiqua" w:hAnsi="Book Antiqua"/>
          <w:sz w:val="24"/>
          <w:szCs w:val="24"/>
        </w:rPr>
        <w:t xml:space="preserve"> with</w:t>
      </w:r>
      <w:r w:rsidR="000928DB" w:rsidRPr="00011D5D">
        <w:rPr>
          <w:rFonts w:ascii="Book Antiqua" w:hAnsi="Book Antiqua"/>
          <w:sz w:val="24"/>
          <w:szCs w:val="24"/>
        </w:rPr>
        <w:t>in MC, 116 beyond MC</w:t>
      </w:r>
      <w:r w:rsidR="008909E0" w:rsidRPr="00011D5D">
        <w:rPr>
          <w:rFonts w:ascii="Book Antiqua" w:hAnsi="Book Antiqua"/>
          <w:sz w:val="24"/>
          <w:szCs w:val="24"/>
        </w:rPr>
        <w:t>)</w:t>
      </w:r>
      <w:r w:rsidR="000928DB" w:rsidRPr="00011D5D">
        <w:rPr>
          <w:rFonts w:ascii="Book Antiqua" w:hAnsi="Book Antiqua"/>
          <w:sz w:val="24"/>
          <w:szCs w:val="24"/>
        </w:rPr>
        <w:t xml:space="preserve"> demonstrated </w:t>
      </w:r>
      <w:r w:rsidR="00726E30" w:rsidRPr="00011D5D">
        <w:rPr>
          <w:rFonts w:ascii="Book Antiqua" w:hAnsi="Book Antiqua"/>
          <w:sz w:val="24"/>
          <w:szCs w:val="24"/>
        </w:rPr>
        <w:t xml:space="preserve">an </w:t>
      </w:r>
      <w:r w:rsidR="000928DB" w:rsidRPr="00011D5D">
        <w:rPr>
          <w:rFonts w:ascii="Book Antiqua" w:hAnsi="Book Antiqua"/>
          <w:sz w:val="24"/>
          <w:szCs w:val="24"/>
        </w:rPr>
        <w:t xml:space="preserve">increased risk for HCC recurrence and death with an AFP slope &gt; 15 </w:t>
      </w:r>
      <w:proofErr w:type="spellStart"/>
      <w:r w:rsidR="000928DB" w:rsidRPr="00011D5D">
        <w:rPr>
          <w:rFonts w:ascii="Book Antiqua" w:hAnsi="Book Antiqua"/>
          <w:sz w:val="24"/>
          <w:szCs w:val="24"/>
        </w:rPr>
        <w:t>ng</w:t>
      </w:r>
      <w:proofErr w:type="spellEnd"/>
      <w:r w:rsidR="000928DB" w:rsidRPr="00011D5D">
        <w:rPr>
          <w:rFonts w:ascii="Book Antiqua" w:hAnsi="Book Antiqua"/>
          <w:sz w:val="24"/>
          <w:szCs w:val="24"/>
        </w:rPr>
        <w:t>/mL/</w:t>
      </w:r>
      <w:proofErr w:type="spellStart"/>
      <w:r w:rsidR="000928DB" w:rsidRPr="00011D5D">
        <w:rPr>
          <w:rFonts w:ascii="Book Antiqua" w:hAnsi="Book Antiqua"/>
          <w:sz w:val="24"/>
          <w:szCs w:val="24"/>
        </w:rPr>
        <w:t>mo</w:t>
      </w:r>
      <w:proofErr w:type="spellEnd"/>
      <w:r w:rsidR="00547C26" w:rsidRPr="00011D5D">
        <w:rPr>
          <w:rFonts w:ascii="Book Antiqua" w:hAnsi="Book Antiqua"/>
          <w:sz w:val="24"/>
          <w:szCs w:val="24"/>
          <w:vertAlign w:val="superscript"/>
        </w:rPr>
        <w:t>[4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3</w:t>
      </w:r>
      <w:r w:rsidR="00A60355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84460D" w:rsidRPr="00011D5D">
        <w:rPr>
          <w:rFonts w:ascii="Book Antiqua" w:hAnsi="Book Antiqua"/>
          <w:sz w:val="24"/>
          <w:szCs w:val="24"/>
        </w:rPr>
        <w:t>.</w:t>
      </w:r>
    </w:p>
    <w:p w:rsidR="001408A1" w:rsidRDefault="001408A1" w:rsidP="00011D5D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:rsidR="00CC5143" w:rsidRPr="00011D5D" w:rsidRDefault="003E1FDE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b/>
          <w:i/>
          <w:sz w:val="24"/>
          <w:szCs w:val="24"/>
        </w:rPr>
        <w:t xml:space="preserve">Future </w:t>
      </w:r>
      <w:r w:rsidR="001408A1" w:rsidRPr="00011D5D">
        <w:rPr>
          <w:rFonts w:ascii="Book Antiqua" w:hAnsi="Book Antiqua"/>
          <w:b/>
          <w:i/>
          <w:sz w:val="24"/>
          <w:szCs w:val="24"/>
        </w:rPr>
        <w:t>d</w:t>
      </w:r>
      <w:r w:rsidRPr="00011D5D">
        <w:rPr>
          <w:rFonts w:ascii="Book Antiqua" w:hAnsi="Book Antiqua"/>
          <w:b/>
          <w:i/>
          <w:sz w:val="24"/>
          <w:szCs w:val="24"/>
        </w:rPr>
        <w:t xml:space="preserve">irections: Molecular </w:t>
      </w:r>
      <w:r w:rsidR="001408A1" w:rsidRPr="00011D5D">
        <w:rPr>
          <w:rFonts w:ascii="Book Antiqua" w:hAnsi="Book Antiqua"/>
          <w:b/>
          <w:i/>
          <w:sz w:val="24"/>
          <w:szCs w:val="24"/>
        </w:rPr>
        <w:t>s</w:t>
      </w:r>
      <w:r w:rsidRPr="00011D5D">
        <w:rPr>
          <w:rFonts w:ascii="Book Antiqua" w:hAnsi="Book Antiqua"/>
          <w:b/>
          <w:i/>
          <w:sz w:val="24"/>
          <w:szCs w:val="24"/>
        </w:rPr>
        <w:t>ignatures</w:t>
      </w:r>
    </w:p>
    <w:p w:rsidR="00576617" w:rsidRPr="00011D5D" w:rsidRDefault="00020E60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Genetic molecular signatures</w:t>
      </w:r>
      <w:r w:rsidR="00CC5143" w:rsidRPr="00011D5D">
        <w:rPr>
          <w:rFonts w:ascii="Book Antiqua" w:hAnsi="Book Antiqua"/>
          <w:sz w:val="24"/>
          <w:szCs w:val="24"/>
        </w:rPr>
        <w:t xml:space="preserve"> </w:t>
      </w:r>
      <w:r w:rsidR="00F44D9D" w:rsidRPr="00011D5D">
        <w:rPr>
          <w:rFonts w:ascii="Book Antiqua" w:hAnsi="Book Antiqua"/>
          <w:sz w:val="24"/>
          <w:szCs w:val="24"/>
        </w:rPr>
        <w:t xml:space="preserve">have been explored for their </w:t>
      </w:r>
      <w:r w:rsidR="00CC5143" w:rsidRPr="00011D5D">
        <w:rPr>
          <w:rFonts w:ascii="Book Antiqua" w:hAnsi="Book Antiqua"/>
          <w:sz w:val="24"/>
          <w:szCs w:val="24"/>
        </w:rPr>
        <w:t xml:space="preserve">potential </w:t>
      </w:r>
      <w:r w:rsidR="00F44D9D" w:rsidRPr="00011D5D">
        <w:rPr>
          <w:rFonts w:ascii="Book Antiqua" w:hAnsi="Book Antiqua"/>
          <w:sz w:val="24"/>
          <w:szCs w:val="24"/>
        </w:rPr>
        <w:t xml:space="preserve">as </w:t>
      </w:r>
      <w:r w:rsidR="00CC5143" w:rsidRPr="00011D5D">
        <w:rPr>
          <w:rFonts w:ascii="Book Antiqua" w:hAnsi="Book Antiqua"/>
          <w:sz w:val="24"/>
          <w:szCs w:val="24"/>
        </w:rPr>
        <w:t>biomarkers</w:t>
      </w:r>
      <w:r w:rsidR="00F44D9D" w:rsidRPr="00011D5D">
        <w:rPr>
          <w:rFonts w:ascii="Book Antiqua" w:hAnsi="Book Antiqua"/>
          <w:sz w:val="24"/>
          <w:szCs w:val="24"/>
        </w:rPr>
        <w:t xml:space="preserve"> for HCC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FE1C30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  <w:r w:rsidR="00CC5143" w:rsidRPr="00011D5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53AF9" w:rsidRPr="00011D5D">
        <w:rPr>
          <w:rFonts w:ascii="Book Antiqua" w:hAnsi="Book Antiqua"/>
          <w:sz w:val="24"/>
          <w:szCs w:val="24"/>
        </w:rPr>
        <w:t>Dvorchik</w:t>
      </w:r>
      <w:proofErr w:type="spellEnd"/>
      <w:r w:rsidR="00553AF9" w:rsidRPr="00011D5D">
        <w:rPr>
          <w:rFonts w:ascii="Book Antiqua" w:hAnsi="Book Antiqua"/>
          <w:sz w:val="24"/>
          <w:szCs w:val="24"/>
        </w:rPr>
        <w:t xml:space="preserve"> </w:t>
      </w:r>
      <w:r w:rsidR="00553AF9" w:rsidRPr="00C06149">
        <w:rPr>
          <w:rFonts w:ascii="Book Antiqua" w:hAnsi="Book Antiqua"/>
          <w:i/>
          <w:sz w:val="24"/>
          <w:szCs w:val="24"/>
        </w:rPr>
        <w:t>et al</w:t>
      </w:r>
      <w:r w:rsidR="00C06149" w:rsidRPr="00011D5D">
        <w:rPr>
          <w:rFonts w:ascii="Book Antiqua" w:hAnsi="Book Antiqua"/>
          <w:sz w:val="24"/>
          <w:szCs w:val="24"/>
          <w:vertAlign w:val="superscript"/>
        </w:rPr>
        <w:t>[45]</w:t>
      </w:r>
      <w:r w:rsidR="00553AF9" w:rsidRPr="00011D5D">
        <w:rPr>
          <w:rFonts w:ascii="Book Antiqua" w:hAnsi="Book Antiqua"/>
          <w:sz w:val="24"/>
          <w:szCs w:val="24"/>
        </w:rPr>
        <w:t xml:space="preserve"> assessed f</w:t>
      </w:r>
      <w:r w:rsidR="00576617" w:rsidRPr="00011D5D">
        <w:rPr>
          <w:rFonts w:ascii="Book Antiqua" w:hAnsi="Book Antiqua"/>
          <w:sz w:val="24"/>
          <w:szCs w:val="24"/>
        </w:rPr>
        <w:t>ractional</w:t>
      </w:r>
      <w:r w:rsidR="00553AF9" w:rsidRPr="00011D5D">
        <w:rPr>
          <w:rFonts w:ascii="Book Antiqua" w:hAnsi="Book Antiqua"/>
          <w:sz w:val="24"/>
          <w:szCs w:val="24"/>
        </w:rPr>
        <w:t xml:space="preserve"> allelic i</w:t>
      </w:r>
      <w:r w:rsidR="00BD17CD" w:rsidRPr="00011D5D">
        <w:rPr>
          <w:rFonts w:ascii="Book Antiqua" w:hAnsi="Book Antiqua"/>
          <w:sz w:val="24"/>
          <w:szCs w:val="24"/>
        </w:rPr>
        <w:t>mbal</w:t>
      </w:r>
      <w:r w:rsidR="00576617" w:rsidRPr="00011D5D">
        <w:rPr>
          <w:rFonts w:ascii="Book Antiqua" w:hAnsi="Book Antiqua"/>
          <w:sz w:val="24"/>
          <w:szCs w:val="24"/>
        </w:rPr>
        <w:t xml:space="preserve">ance (FAI) rates </w:t>
      </w:r>
      <w:r w:rsidR="00553AF9" w:rsidRPr="00011D5D">
        <w:rPr>
          <w:rFonts w:ascii="Book Antiqua" w:hAnsi="Book Antiqua"/>
          <w:sz w:val="24"/>
          <w:szCs w:val="24"/>
        </w:rPr>
        <w:t>in a panel of</w:t>
      </w:r>
      <w:r w:rsidR="006E0D05" w:rsidRPr="00011D5D">
        <w:rPr>
          <w:rFonts w:ascii="Book Antiqua" w:hAnsi="Book Antiqua"/>
          <w:sz w:val="24"/>
          <w:szCs w:val="24"/>
        </w:rPr>
        <w:t xml:space="preserve"> 9 </w:t>
      </w:r>
      <w:r w:rsidR="00553AF9" w:rsidRPr="00011D5D">
        <w:rPr>
          <w:rFonts w:ascii="Book Antiqua" w:hAnsi="Book Antiqua"/>
          <w:sz w:val="24"/>
          <w:szCs w:val="24"/>
        </w:rPr>
        <w:t>tumor suppressor genes. A higher rate of tumor suppressor gene mutation correlated with worse post-LT outcome independently of tumor vascular invasion or tumor burden</w:t>
      </w:r>
      <w:r w:rsidR="002711E7" w:rsidRPr="00011D5D">
        <w:rPr>
          <w:rFonts w:ascii="Book Antiqua" w:hAnsi="Book Antiqua"/>
          <w:sz w:val="24"/>
          <w:szCs w:val="24"/>
          <w:vertAlign w:val="superscript"/>
        </w:rPr>
        <w:t>[4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5</w:t>
      </w:r>
      <w:r w:rsidR="002711E7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2711E7" w:rsidRPr="00011D5D">
        <w:rPr>
          <w:rFonts w:ascii="Book Antiqua" w:hAnsi="Book Antiqua"/>
          <w:sz w:val="24"/>
          <w:szCs w:val="24"/>
        </w:rPr>
        <w:t>.</w:t>
      </w:r>
      <w:r w:rsidR="00D63B57" w:rsidRPr="00011D5D">
        <w:rPr>
          <w:rFonts w:ascii="Book Antiqua" w:hAnsi="Book Antiqua"/>
          <w:sz w:val="24"/>
          <w:szCs w:val="24"/>
        </w:rPr>
        <w:t xml:space="preserve"> </w:t>
      </w:r>
    </w:p>
    <w:p w:rsidR="00CC5143" w:rsidRPr="00011D5D" w:rsidRDefault="00020E60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MicroRNA </w:t>
      </w:r>
      <w:r w:rsidR="008909E0" w:rsidRPr="00011D5D">
        <w:rPr>
          <w:rFonts w:ascii="Book Antiqua" w:hAnsi="Book Antiqua"/>
          <w:sz w:val="24"/>
          <w:szCs w:val="24"/>
        </w:rPr>
        <w:t>(</w:t>
      </w:r>
      <w:r w:rsidR="001408A1" w:rsidRPr="00011D5D">
        <w:rPr>
          <w:rFonts w:ascii="Book Antiqua" w:hAnsi="Book Antiqua"/>
          <w:sz w:val="24"/>
          <w:szCs w:val="24"/>
        </w:rPr>
        <w:t>m</w:t>
      </w:r>
      <w:r w:rsidRPr="00011D5D">
        <w:rPr>
          <w:rFonts w:ascii="Book Antiqua" w:hAnsi="Book Antiqua"/>
          <w:sz w:val="24"/>
          <w:szCs w:val="24"/>
        </w:rPr>
        <w:t>iRNA</w:t>
      </w:r>
      <w:r w:rsidR="008909E0" w:rsidRPr="00011D5D">
        <w:rPr>
          <w:rFonts w:ascii="Book Antiqua" w:hAnsi="Book Antiqua"/>
          <w:sz w:val="24"/>
          <w:szCs w:val="24"/>
        </w:rPr>
        <w:t>)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="00067AA1" w:rsidRPr="00011D5D">
        <w:rPr>
          <w:rFonts w:ascii="Book Antiqua" w:hAnsi="Book Antiqua"/>
          <w:sz w:val="24"/>
          <w:szCs w:val="24"/>
        </w:rPr>
        <w:t>signatures detected in serum exosomes have also been described as potential bio</w:t>
      </w:r>
      <w:r w:rsidR="00B1383F" w:rsidRPr="00011D5D">
        <w:rPr>
          <w:rFonts w:ascii="Book Antiqua" w:hAnsi="Book Antiqua"/>
          <w:sz w:val="24"/>
          <w:szCs w:val="24"/>
        </w:rPr>
        <w:t xml:space="preserve">markers for HCC. In a </w:t>
      </w:r>
      <w:r w:rsidR="00067AA1" w:rsidRPr="00011D5D">
        <w:rPr>
          <w:rFonts w:ascii="Book Antiqua" w:hAnsi="Book Antiqua"/>
          <w:sz w:val="24"/>
          <w:szCs w:val="24"/>
        </w:rPr>
        <w:t xml:space="preserve">cohort of 6 HCC patients </w:t>
      </w:r>
      <w:r w:rsidR="001408A1" w:rsidRPr="00011D5D">
        <w:rPr>
          <w:rFonts w:ascii="Book Antiqua" w:hAnsi="Book Antiqua"/>
          <w:sz w:val="24"/>
          <w:szCs w:val="24"/>
        </w:rPr>
        <w:t>m</w:t>
      </w:r>
      <w:r w:rsidR="00067AA1" w:rsidRPr="00011D5D">
        <w:rPr>
          <w:rFonts w:ascii="Book Antiqua" w:hAnsi="Book Antiqua"/>
          <w:sz w:val="24"/>
          <w:szCs w:val="24"/>
        </w:rPr>
        <w:t xml:space="preserve">iR-718 was </w:t>
      </w:r>
      <w:r w:rsidR="006E0D05" w:rsidRPr="00011D5D">
        <w:rPr>
          <w:rFonts w:ascii="Book Antiqua" w:hAnsi="Book Antiqua"/>
          <w:sz w:val="24"/>
          <w:szCs w:val="24"/>
        </w:rPr>
        <w:t>described as significantly linked to HCC</w:t>
      </w:r>
      <w:r w:rsidR="00026600" w:rsidRPr="00011D5D">
        <w:rPr>
          <w:rFonts w:ascii="Book Antiqua" w:hAnsi="Book Antiqua"/>
          <w:sz w:val="24"/>
          <w:szCs w:val="24"/>
        </w:rPr>
        <w:t>; and</w:t>
      </w:r>
      <w:r w:rsidR="00CC5143" w:rsidRPr="00011D5D">
        <w:rPr>
          <w:rFonts w:ascii="Book Antiqua" w:hAnsi="Book Antiqua"/>
          <w:sz w:val="24"/>
          <w:szCs w:val="24"/>
        </w:rPr>
        <w:t xml:space="preserve"> </w:t>
      </w:r>
      <w:r w:rsidR="00067AA1" w:rsidRPr="00011D5D">
        <w:rPr>
          <w:rFonts w:ascii="Book Antiqua" w:hAnsi="Book Antiqua"/>
          <w:sz w:val="24"/>
          <w:szCs w:val="24"/>
        </w:rPr>
        <w:t>this was</w:t>
      </w:r>
      <w:r w:rsidR="00CC5143" w:rsidRPr="00011D5D">
        <w:rPr>
          <w:rFonts w:ascii="Book Antiqua" w:hAnsi="Book Antiqua"/>
          <w:sz w:val="24"/>
          <w:szCs w:val="24"/>
        </w:rPr>
        <w:t xml:space="preserve"> further validated in a cohort of 59 LDLT HCC cases. In the validation cohort</w:t>
      </w:r>
      <w:r w:rsidR="00A60355" w:rsidRPr="00011D5D">
        <w:rPr>
          <w:rFonts w:ascii="Book Antiqua" w:hAnsi="Book Antiqua"/>
          <w:sz w:val="24"/>
          <w:szCs w:val="24"/>
        </w:rPr>
        <w:t>,</w:t>
      </w:r>
      <w:r w:rsidR="00CC5143" w:rsidRPr="00011D5D">
        <w:rPr>
          <w:rFonts w:ascii="Book Antiqua" w:hAnsi="Book Antiqua"/>
          <w:sz w:val="24"/>
          <w:szCs w:val="24"/>
        </w:rPr>
        <w:t xml:space="preserve"> </w:t>
      </w:r>
      <w:r w:rsidR="001408A1" w:rsidRPr="00011D5D">
        <w:rPr>
          <w:rFonts w:ascii="Book Antiqua" w:hAnsi="Book Antiqua"/>
          <w:sz w:val="24"/>
          <w:szCs w:val="24"/>
        </w:rPr>
        <w:t>m</w:t>
      </w:r>
      <w:r w:rsidR="00CC5143" w:rsidRPr="00011D5D">
        <w:rPr>
          <w:rFonts w:ascii="Book Antiqua" w:hAnsi="Book Antiqua"/>
          <w:sz w:val="24"/>
          <w:szCs w:val="24"/>
        </w:rPr>
        <w:t>iR-718 expression levels were significantly lower in patients beyond MC</w:t>
      </w:r>
      <w:r w:rsidR="008F1A6D" w:rsidRPr="00011D5D">
        <w:rPr>
          <w:rFonts w:ascii="Book Antiqua" w:hAnsi="Book Antiqua"/>
          <w:sz w:val="24"/>
          <w:szCs w:val="24"/>
        </w:rPr>
        <w:t>, and</w:t>
      </w:r>
      <w:r w:rsidR="00CC5143" w:rsidRPr="00011D5D">
        <w:rPr>
          <w:rFonts w:ascii="Book Antiqua" w:hAnsi="Book Antiqua"/>
          <w:sz w:val="24"/>
          <w:szCs w:val="24"/>
        </w:rPr>
        <w:t xml:space="preserve"> with poorer histological differentiation. </w:t>
      </w:r>
      <w:r w:rsidR="008F1A6D" w:rsidRPr="00011D5D">
        <w:rPr>
          <w:rFonts w:ascii="Book Antiqua" w:hAnsi="Book Antiqua"/>
          <w:sz w:val="24"/>
          <w:szCs w:val="24"/>
        </w:rPr>
        <w:t>However, d</w:t>
      </w:r>
      <w:r w:rsidR="00CC5143" w:rsidRPr="00011D5D">
        <w:rPr>
          <w:rFonts w:ascii="Book Antiqua" w:hAnsi="Book Antiqua"/>
          <w:sz w:val="24"/>
          <w:szCs w:val="24"/>
        </w:rPr>
        <w:t xml:space="preserve">ue to the small incidence of recurrence in this cohort, no </w:t>
      </w:r>
      <w:r w:rsidR="007678E0" w:rsidRPr="00011D5D">
        <w:rPr>
          <w:rFonts w:ascii="Book Antiqua" w:hAnsi="Book Antiqua"/>
          <w:sz w:val="24"/>
          <w:szCs w:val="24"/>
        </w:rPr>
        <w:t xml:space="preserve">direct association </w:t>
      </w:r>
      <w:r w:rsidR="00CC5143" w:rsidRPr="00011D5D">
        <w:rPr>
          <w:rFonts w:ascii="Book Antiqua" w:hAnsi="Book Antiqua"/>
          <w:sz w:val="24"/>
          <w:szCs w:val="24"/>
        </w:rPr>
        <w:t xml:space="preserve">could be </w:t>
      </w:r>
      <w:r w:rsidR="00A60355" w:rsidRPr="00011D5D">
        <w:rPr>
          <w:rFonts w:ascii="Book Antiqua" w:hAnsi="Book Antiqua"/>
          <w:sz w:val="24"/>
          <w:szCs w:val="24"/>
        </w:rPr>
        <w:t>linked</w:t>
      </w:r>
      <w:r w:rsidR="00CC5143" w:rsidRPr="00011D5D">
        <w:rPr>
          <w:rFonts w:ascii="Book Antiqua" w:hAnsi="Book Antiqua"/>
          <w:sz w:val="24"/>
          <w:szCs w:val="24"/>
        </w:rPr>
        <w:t xml:space="preserve"> to miR-718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FE1C30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6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</w:p>
    <w:p w:rsidR="00CC5143" w:rsidRPr="00011D5D" w:rsidRDefault="00CC5143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Another study </w:t>
      </w:r>
      <w:r w:rsidR="00C6008D" w:rsidRPr="00011D5D">
        <w:rPr>
          <w:rFonts w:ascii="Book Antiqua" w:hAnsi="Book Antiqua"/>
          <w:sz w:val="24"/>
          <w:szCs w:val="24"/>
        </w:rPr>
        <w:t>analyzed p</w:t>
      </w:r>
      <w:r w:rsidRPr="00011D5D">
        <w:rPr>
          <w:rFonts w:ascii="Book Antiqua" w:hAnsi="Book Antiqua"/>
          <w:sz w:val="24"/>
          <w:szCs w:val="24"/>
        </w:rPr>
        <w:t xml:space="preserve">araffin embedded tissue from 69 HCC LT patients </w:t>
      </w:r>
      <w:r w:rsidR="000B2A22" w:rsidRPr="00011D5D">
        <w:rPr>
          <w:rFonts w:ascii="Book Antiqua" w:hAnsi="Book Antiqua"/>
          <w:sz w:val="24"/>
          <w:szCs w:val="24"/>
        </w:rPr>
        <w:t>[</w:t>
      </w:r>
      <w:r w:rsidRPr="00011D5D">
        <w:rPr>
          <w:rFonts w:ascii="Book Antiqua" w:hAnsi="Book Antiqua"/>
          <w:sz w:val="24"/>
          <w:szCs w:val="24"/>
        </w:rPr>
        <w:t>which include</w:t>
      </w:r>
      <w:r w:rsidR="008F1A6D" w:rsidRPr="00011D5D">
        <w:rPr>
          <w:rFonts w:ascii="Book Antiqua" w:hAnsi="Book Antiqua"/>
          <w:sz w:val="24"/>
          <w:szCs w:val="24"/>
        </w:rPr>
        <w:t>d</w:t>
      </w:r>
      <w:r w:rsidRPr="00011D5D">
        <w:rPr>
          <w:rFonts w:ascii="Book Antiqua" w:hAnsi="Book Antiqua"/>
          <w:sz w:val="24"/>
          <w:szCs w:val="24"/>
        </w:rPr>
        <w:t xml:space="preserve"> 40 post LT recurrences</w:t>
      </w:r>
      <w:r w:rsidR="000B2A22" w:rsidRPr="00011D5D">
        <w:rPr>
          <w:rFonts w:ascii="Book Antiqua" w:hAnsi="Book Antiqua"/>
          <w:sz w:val="24"/>
          <w:szCs w:val="24"/>
        </w:rPr>
        <w:t>]</w:t>
      </w:r>
      <w:r w:rsidR="00C6008D" w:rsidRPr="00011D5D">
        <w:rPr>
          <w:rFonts w:ascii="Book Antiqua" w:hAnsi="Book Antiqua"/>
          <w:sz w:val="24"/>
          <w:szCs w:val="24"/>
        </w:rPr>
        <w:t xml:space="preserve"> for miRNA expression. The biomarker</w:t>
      </w:r>
      <w:r w:rsidR="000125A8" w:rsidRPr="00011D5D">
        <w:rPr>
          <w:rFonts w:ascii="Book Antiqua" w:hAnsi="Book Antiqua"/>
          <w:sz w:val="24"/>
          <w:szCs w:val="24"/>
        </w:rPr>
        <w:t xml:space="preserve"> proposed by this study consisted</w:t>
      </w:r>
      <w:r w:rsidR="00C6008D" w:rsidRPr="00011D5D">
        <w:rPr>
          <w:rFonts w:ascii="Book Antiqua" w:hAnsi="Book Antiqua"/>
          <w:sz w:val="24"/>
          <w:szCs w:val="24"/>
        </w:rPr>
        <w:t xml:space="preserve"> of 67 miRNAs, this biomarker </w:t>
      </w:r>
      <w:r w:rsidRPr="00011D5D">
        <w:rPr>
          <w:rFonts w:ascii="Book Antiqua" w:hAnsi="Book Antiqua"/>
          <w:sz w:val="24"/>
          <w:szCs w:val="24"/>
        </w:rPr>
        <w:t>ha</w:t>
      </w:r>
      <w:r w:rsidR="00A60355" w:rsidRPr="00011D5D">
        <w:rPr>
          <w:rFonts w:ascii="Book Antiqua" w:hAnsi="Book Antiqua"/>
          <w:sz w:val="24"/>
          <w:szCs w:val="24"/>
        </w:rPr>
        <w:t>d</w:t>
      </w:r>
      <w:r w:rsidRPr="00011D5D">
        <w:rPr>
          <w:rFonts w:ascii="Book Antiqua" w:hAnsi="Book Antiqua"/>
          <w:sz w:val="24"/>
          <w:szCs w:val="24"/>
        </w:rPr>
        <w:t xml:space="preserve"> significantly identifi</w:t>
      </w:r>
      <w:r w:rsidR="00C6008D" w:rsidRPr="00011D5D">
        <w:rPr>
          <w:rFonts w:ascii="Book Antiqua" w:hAnsi="Book Antiqua"/>
          <w:sz w:val="24"/>
          <w:szCs w:val="24"/>
        </w:rPr>
        <w:t xml:space="preserve">ed the HCC </w:t>
      </w:r>
      <w:r w:rsidR="00C6008D" w:rsidRPr="00011D5D">
        <w:rPr>
          <w:rFonts w:ascii="Book Antiqua" w:hAnsi="Book Antiqua"/>
          <w:sz w:val="24"/>
          <w:szCs w:val="24"/>
        </w:rPr>
        <w:lastRenderedPageBreak/>
        <w:t xml:space="preserve">recurrent cases, and it </w:t>
      </w:r>
      <w:r w:rsidRPr="00011D5D">
        <w:rPr>
          <w:rFonts w:ascii="Book Antiqua" w:hAnsi="Book Antiqua"/>
          <w:sz w:val="24"/>
          <w:szCs w:val="24"/>
        </w:rPr>
        <w:t>also displayed significance when applied to patients within and beyond MC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FE1C30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7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</w:p>
    <w:p w:rsidR="00B257B8" w:rsidRPr="00011D5D" w:rsidRDefault="00B257B8" w:rsidP="001408A1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A predictive scoring system was recently published combining </w:t>
      </w:r>
      <w:r w:rsidR="006669D9" w:rsidRPr="00011D5D">
        <w:rPr>
          <w:rFonts w:ascii="Book Antiqua" w:hAnsi="Book Antiqua"/>
          <w:sz w:val="24"/>
          <w:szCs w:val="24"/>
        </w:rPr>
        <w:t xml:space="preserve">MC with </w:t>
      </w:r>
      <w:r w:rsidR="005225B2" w:rsidRPr="00011D5D">
        <w:rPr>
          <w:rFonts w:ascii="Book Antiqua" w:hAnsi="Book Antiqua"/>
          <w:sz w:val="24"/>
          <w:szCs w:val="24"/>
        </w:rPr>
        <w:t xml:space="preserve">miRNA </w:t>
      </w:r>
      <w:r w:rsidR="00A60355" w:rsidRPr="00011D5D">
        <w:rPr>
          <w:rFonts w:ascii="Book Antiqua" w:hAnsi="Book Antiqua"/>
          <w:sz w:val="24"/>
          <w:szCs w:val="24"/>
        </w:rPr>
        <w:t xml:space="preserve">markers </w:t>
      </w:r>
      <w:r w:rsidR="005225B2" w:rsidRPr="00011D5D">
        <w:rPr>
          <w:rFonts w:ascii="Book Antiqua" w:hAnsi="Book Antiqua"/>
          <w:sz w:val="24"/>
          <w:szCs w:val="24"/>
        </w:rPr>
        <w:t xml:space="preserve">to identify </w:t>
      </w:r>
      <w:r w:rsidR="005C1FAE" w:rsidRPr="00011D5D">
        <w:rPr>
          <w:rFonts w:ascii="Book Antiqua" w:hAnsi="Book Antiqua"/>
          <w:sz w:val="24"/>
          <w:szCs w:val="24"/>
        </w:rPr>
        <w:t xml:space="preserve">the risk </w:t>
      </w:r>
      <w:r w:rsidR="005225B2" w:rsidRPr="00011D5D">
        <w:rPr>
          <w:rFonts w:ascii="Book Antiqua" w:hAnsi="Book Antiqua"/>
          <w:sz w:val="24"/>
          <w:szCs w:val="24"/>
        </w:rPr>
        <w:t>of HCC recurrence</w:t>
      </w:r>
      <w:r w:rsidR="005C1FAE" w:rsidRPr="00011D5D">
        <w:rPr>
          <w:rFonts w:ascii="Book Antiqua" w:hAnsi="Book Antiqua"/>
          <w:sz w:val="24"/>
          <w:szCs w:val="24"/>
        </w:rPr>
        <w:t xml:space="preserve"> post- LT</w:t>
      </w:r>
      <w:r w:rsidR="005225B2" w:rsidRPr="00011D5D">
        <w:rPr>
          <w:rFonts w:ascii="Book Antiqua" w:hAnsi="Book Antiqua"/>
          <w:sz w:val="24"/>
          <w:szCs w:val="24"/>
        </w:rPr>
        <w:t xml:space="preserve">. </w:t>
      </w:r>
      <w:r w:rsidR="0094588C" w:rsidRPr="00011D5D">
        <w:rPr>
          <w:rFonts w:ascii="Book Antiqua" w:hAnsi="Book Antiqua"/>
          <w:sz w:val="24"/>
          <w:szCs w:val="24"/>
        </w:rPr>
        <w:t>Two</w:t>
      </w:r>
      <w:r w:rsidR="00A60355" w:rsidRPr="00011D5D">
        <w:rPr>
          <w:rFonts w:ascii="Book Antiqua" w:hAnsi="Book Antiqua"/>
          <w:sz w:val="24"/>
          <w:szCs w:val="24"/>
        </w:rPr>
        <w:t xml:space="preserve"> miRNA</w:t>
      </w:r>
      <w:r w:rsidR="005C1FAE" w:rsidRPr="00011D5D">
        <w:rPr>
          <w:rFonts w:ascii="Book Antiqua" w:hAnsi="Book Antiqua"/>
          <w:sz w:val="24"/>
          <w:szCs w:val="24"/>
        </w:rPr>
        <w:t xml:space="preserve"> markers</w:t>
      </w:r>
      <w:r w:rsidR="00A60355" w:rsidRPr="00011D5D">
        <w:rPr>
          <w:rFonts w:ascii="Book Antiqua" w:hAnsi="Book Antiqua"/>
          <w:sz w:val="24"/>
          <w:szCs w:val="24"/>
        </w:rPr>
        <w:t xml:space="preserve"> significant of tumor recurrence (miR-214, miR-3187) were</w:t>
      </w:r>
      <w:r w:rsidR="00C616E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60355" w:rsidRPr="00011D5D">
        <w:rPr>
          <w:rFonts w:ascii="Book Antiqua" w:hAnsi="Book Antiqua"/>
          <w:sz w:val="24"/>
          <w:szCs w:val="24"/>
        </w:rPr>
        <w:t xml:space="preserve">identified </w:t>
      </w:r>
      <w:r w:rsidR="005C1FAE" w:rsidRPr="00C06149">
        <w:rPr>
          <w:rFonts w:ascii="Book Antiqua" w:hAnsi="Book Antiqua"/>
          <w:i/>
          <w:sz w:val="24"/>
          <w:szCs w:val="24"/>
        </w:rPr>
        <w:t>via</w:t>
      </w:r>
      <w:r w:rsidR="006669D9" w:rsidRPr="00011D5D">
        <w:rPr>
          <w:rFonts w:ascii="Book Antiqua" w:hAnsi="Book Antiqua"/>
          <w:sz w:val="24"/>
          <w:szCs w:val="24"/>
        </w:rPr>
        <w:t xml:space="preserve"> microarray analysis of paraffin</w:t>
      </w:r>
      <w:r w:rsidR="005C1FAE" w:rsidRPr="00011D5D">
        <w:rPr>
          <w:rFonts w:ascii="Book Antiqua" w:hAnsi="Book Antiqua"/>
          <w:sz w:val="24"/>
          <w:szCs w:val="24"/>
        </w:rPr>
        <w:t xml:space="preserve"> explant samples of 40 patients. </w:t>
      </w:r>
      <w:r w:rsidR="006669D9" w:rsidRPr="00011D5D">
        <w:rPr>
          <w:rFonts w:ascii="Book Antiqua" w:hAnsi="Book Antiqua"/>
          <w:sz w:val="24"/>
          <w:szCs w:val="24"/>
        </w:rPr>
        <w:t>In a</w:t>
      </w:r>
      <w:r w:rsidR="005C1FAE" w:rsidRPr="00011D5D">
        <w:rPr>
          <w:rFonts w:ascii="Book Antiqua" w:hAnsi="Book Antiqua"/>
          <w:sz w:val="24"/>
          <w:szCs w:val="24"/>
        </w:rPr>
        <w:t>nother</w:t>
      </w:r>
      <w:r w:rsidR="006669D9" w:rsidRPr="00011D5D">
        <w:rPr>
          <w:rFonts w:ascii="Book Antiqua" w:hAnsi="Book Antiqua"/>
          <w:sz w:val="24"/>
          <w:szCs w:val="24"/>
        </w:rPr>
        <w:t xml:space="preserve"> validation cohort of 22 patients</w:t>
      </w:r>
      <w:r w:rsidR="007678E0" w:rsidRPr="00011D5D">
        <w:rPr>
          <w:rFonts w:ascii="Book Antiqua" w:hAnsi="Book Antiqua"/>
          <w:sz w:val="24"/>
          <w:szCs w:val="24"/>
        </w:rPr>
        <w:t>,</w:t>
      </w:r>
      <w:r w:rsidR="005C1FAE" w:rsidRPr="00011D5D">
        <w:rPr>
          <w:rFonts w:ascii="Book Antiqua" w:hAnsi="Book Antiqua"/>
          <w:sz w:val="24"/>
          <w:szCs w:val="24"/>
        </w:rPr>
        <w:t xml:space="preserve"> </w:t>
      </w:r>
      <w:r w:rsidR="006669D9" w:rsidRPr="00011D5D">
        <w:rPr>
          <w:rFonts w:ascii="Book Antiqua" w:hAnsi="Book Antiqua"/>
          <w:sz w:val="24"/>
          <w:szCs w:val="24"/>
        </w:rPr>
        <w:t xml:space="preserve">high expression of miR-214 and low expression of miR-3187 were significantly associated with HCC recurrence. </w:t>
      </w:r>
      <w:r w:rsidR="005C1FAE" w:rsidRPr="00011D5D">
        <w:rPr>
          <w:rFonts w:ascii="Book Antiqua" w:hAnsi="Book Antiqua"/>
          <w:sz w:val="24"/>
          <w:szCs w:val="24"/>
        </w:rPr>
        <w:t>A predictive s</w:t>
      </w:r>
      <w:r w:rsidR="00DA4BD5" w:rsidRPr="00011D5D">
        <w:rPr>
          <w:rFonts w:ascii="Book Antiqua" w:hAnsi="Book Antiqua"/>
          <w:sz w:val="24"/>
          <w:szCs w:val="24"/>
        </w:rPr>
        <w:t>core</w:t>
      </w:r>
      <w:r w:rsidR="005C1FAE" w:rsidRPr="00011D5D">
        <w:rPr>
          <w:rFonts w:ascii="Book Antiqua" w:hAnsi="Book Antiqua"/>
          <w:sz w:val="24"/>
          <w:szCs w:val="24"/>
        </w:rPr>
        <w:t xml:space="preserve"> </w:t>
      </w:r>
      <w:r w:rsidR="00E4486C" w:rsidRPr="00011D5D">
        <w:rPr>
          <w:rFonts w:ascii="Book Antiqua" w:hAnsi="Book Antiqua"/>
          <w:sz w:val="24"/>
          <w:szCs w:val="24"/>
        </w:rPr>
        <w:t xml:space="preserve">including </w:t>
      </w:r>
      <w:r w:rsidR="005C1FAE" w:rsidRPr="00011D5D">
        <w:rPr>
          <w:rFonts w:ascii="Book Antiqua" w:hAnsi="Book Antiqua"/>
          <w:sz w:val="24"/>
          <w:szCs w:val="24"/>
        </w:rPr>
        <w:t xml:space="preserve">levels of </w:t>
      </w:r>
      <w:r w:rsidR="007678E0" w:rsidRPr="00011D5D">
        <w:rPr>
          <w:rFonts w:ascii="Book Antiqua" w:hAnsi="Book Antiqua"/>
          <w:sz w:val="24"/>
          <w:szCs w:val="24"/>
        </w:rPr>
        <w:t>these</w:t>
      </w:r>
      <w:r w:rsidR="005C1FAE" w:rsidRPr="00011D5D">
        <w:rPr>
          <w:rFonts w:ascii="Book Antiqua" w:hAnsi="Book Antiqua"/>
          <w:sz w:val="24"/>
          <w:szCs w:val="24"/>
        </w:rPr>
        <w:t xml:space="preserve"> miRNAs and MC status was successful in identifying patients with a</w:t>
      </w:r>
      <w:r w:rsidR="00DA4BD5" w:rsidRPr="00011D5D">
        <w:rPr>
          <w:rFonts w:ascii="Book Antiqua" w:hAnsi="Book Antiqua"/>
          <w:sz w:val="24"/>
          <w:szCs w:val="24"/>
        </w:rPr>
        <w:t xml:space="preserve"> low</w:t>
      </w:r>
      <w:r w:rsidR="005C1FAE" w:rsidRPr="00011D5D">
        <w:rPr>
          <w:rFonts w:ascii="Book Antiqua" w:hAnsi="Book Antiqua"/>
          <w:sz w:val="24"/>
          <w:szCs w:val="24"/>
        </w:rPr>
        <w:t>er</w:t>
      </w:r>
      <w:r w:rsidR="006205DB" w:rsidRPr="00011D5D">
        <w:rPr>
          <w:rFonts w:ascii="Book Antiqua" w:hAnsi="Book Antiqua"/>
          <w:sz w:val="24"/>
          <w:szCs w:val="24"/>
        </w:rPr>
        <w:t xml:space="preserve"> risk</w:t>
      </w:r>
      <w:r w:rsidR="00C616E6">
        <w:rPr>
          <w:rFonts w:ascii="Book Antiqua" w:hAnsi="Book Antiqua"/>
          <w:sz w:val="24"/>
          <w:szCs w:val="24"/>
        </w:rPr>
        <w:t xml:space="preserve"> for tumor recurrence and death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FE1C30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8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</w:p>
    <w:p w:rsidR="00790C4B" w:rsidRPr="00011D5D" w:rsidRDefault="00790C4B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90A9A" w:rsidRPr="00011D5D" w:rsidRDefault="003E1FDE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11D5D">
        <w:rPr>
          <w:rFonts w:ascii="Book Antiqua" w:hAnsi="Book Antiqua"/>
          <w:b/>
          <w:sz w:val="24"/>
          <w:szCs w:val="24"/>
        </w:rPr>
        <w:t>CONCLUSION</w:t>
      </w:r>
    </w:p>
    <w:p w:rsidR="00D97186" w:rsidRPr="00011D5D" w:rsidRDefault="00A5786E" w:rsidP="00011D5D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 xml:space="preserve">Although there remains a large discrepancy between cadaveric organ availability </w:t>
      </w:r>
      <w:r w:rsidR="0019681B" w:rsidRPr="00011D5D">
        <w:rPr>
          <w:rFonts w:ascii="Book Antiqua" w:hAnsi="Book Antiqua"/>
          <w:sz w:val="24"/>
          <w:szCs w:val="24"/>
        </w:rPr>
        <w:t xml:space="preserve">and </w:t>
      </w:r>
      <w:r w:rsidRPr="00011D5D">
        <w:rPr>
          <w:rFonts w:ascii="Book Antiqua" w:hAnsi="Book Antiqua"/>
          <w:sz w:val="24"/>
          <w:szCs w:val="24"/>
        </w:rPr>
        <w:t>demand, numerous selection criteria for HCC exceeding the well-established MC have been proposed worldwide.  Only a few of these criteria</w:t>
      </w:r>
      <w:r w:rsidR="00B0678D" w:rsidRPr="00011D5D">
        <w:rPr>
          <w:rFonts w:ascii="Book Antiqua" w:hAnsi="Book Antiqua"/>
          <w:sz w:val="24"/>
          <w:szCs w:val="24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have </w:t>
      </w:r>
      <w:r w:rsidR="00DA4BD5" w:rsidRPr="00011D5D">
        <w:rPr>
          <w:rFonts w:ascii="Book Antiqua" w:hAnsi="Book Antiqua"/>
          <w:sz w:val="24"/>
          <w:szCs w:val="24"/>
        </w:rPr>
        <w:t xml:space="preserve">been </w:t>
      </w:r>
      <w:r w:rsidRPr="00011D5D">
        <w:rPr>
          <w:rFonts w:ascii="Book Antiqua" w:hAnsi="Book Antiqua"/>
          <w:sz w:val="24"/>
          <w:szCs w:val="24"/>
        </w:rPr>
        <w:t xml:space="preserve">validated by multiple independent studies.  The current direction of incorporating biomarkers and other </w:t>
      </w:r>
      <w:r w:rsidR="00B0678D" w:rsidRPr="00011D5D">
        <w:rPr>
          <w:rFonts w:ascii="Book Antiqua" w:hAnsi="Book Antiqua"/>
          <w:sz w:val="24"/>
          <w:szCs w:val="24"/>
        </w:rPr>
        <w:t xml:space="preserve">surrogates of tumor biology </w:t>
      </w:r>
      <w:r w:rsidR="002E582F" w:rsidRPr="00011D5D">
        <w:rPr>
          <w:rFonts w:ascii="Book Antiqua" w:hAnsi="Book Antiqua"/>
          <w:sz w:val="24"/>
          <w:szCs w:val="24"/>
        </w:rPr>
        <w:t xml:space="preserve">to morphometric criteria </w:t>
      </w:r>
      <w:r w:rsidR="00B0678D" w:rsidRPr="00011D5D">
        <w:rPr>
          <w:rFonts w:ascii="Book Antiqua" w:hAnsi="Book Antiqua"/>
          <w:sz w:val="24"/>
          <w:szCs w:val="24"/>
        </w:rPr>
        <w:t>is highly encouraged</w:t>
      </w:r>
      <w:r w:rsidR="00D97186" w:rsidRPr="00011D5D">
        <w:rPr>
          <w:rFonts w:ascii="Book Antiqua" w:hAnsi="Book Antiqua"/>
          <w:sz w:val="24"/>
          <w:szCs w:val="24"/>
        </w:rPr>
        <w:t>, h</w:t>
      </w:r>
      <w:r w:rsidR="002E582F" w:rsidRPr="00011D5D">
        <w:rPr>
          <w:rFonts w:ascii="Book Antiqua" w:hAnsi="Book Antiqua"/>
          <w:sz w:val="24"/>
          <w:szCs w:val="24"/>
        </w:rPr>
        <w:t xml:space="preserve">owever </w:t>
      </w:r>
      <w:r w:rsidR="005C1FAE" w:rsidRPr="00011D5D">
        <w:rPr>
          <w:rFonts w:ascii="Book Antiqua" w:hAnsi="Book Antiqua"/>
          <w:sz w:val="24"/>
          <w:szCs w:val="24"/>
        </w:rPr>
        <w:t>this is not without challenge</w:t>
      </w:r>
      <w:r w:rsidR="00B0678D" w:rsidRPr="00011D5D">
        <w:rPr>
          <w:rFonts w:ascii="Book Antiqua" w:hAnsi="Book Antiqua"/>
          <w:sz w:val="24"/>
          <w:szCs w:val="24"/>
        </w:rPr>
        <w:t xml:space="preserve">. </w:t>
      </w:r>
      <w:r w:rsidR="00010C90" w:rsidRPr="00011D5D">
        <w:rPr>
          <w:rFonts w:ascii="Book Antiqua" w:hAnsi="Book Antiqua"/>
          <w:sz w:val="24"/>
          <w:szCs w:val="24"/>
        </w:rPr>
        <w:t>T</w:t>
      </w:r>
      <w:r w:rsidR="002E582F" w:rsidRPr="00011D5D">
        <w:rPr>
          <w:rFonts w:ascii="Book Antiqua" w:hAnsi="Book Antiqua"/>
          <w:sz w:val="24"/>
          <w:szCs w:val="24"/>
        </w:rPr>
        <w:t xml:space="preserve">he most </w:t>
      </w:r>
      <w:r w:rsidR="00B0678D" w:rsidRPr="00011D5D">
        <w:rPr>
          <w:rFonts w:ascii="Book Antiqua" w:hAnsi="Book Antiqua"/>
          <w:sz w:val="24"/>
          <w:szCs w:val="24"/>
        </w:rPr>
        <w:t>c</w:t>
      </w:r>
      <w:r w:rsidR="00010C90" w:rsidRPr="00011D5D">
        <w:rPr>
          <w:rFonts w:ascii="Book Antiqua" w:hAnsi="Book Antiqua"/>
          <w:sz w:val="24"/>
          <w:szCs w:val="24"/>
        </w:rPr>
        <w:t>ommonly used HCC biomarker</w:t>
      </w:r>
      <w:r w:rsidR="00790C4B" w:rsidRPr="00011D5D">
        <w:rPr>
          <w:rFonts w:ascii="Book Antiqua" w:hAnsi="Book Antiqua"/>
          <w:sz w:val="24"/>
          <w:szCs w:val="24"/>
        </w:rPr>
        <w:t xml:space="preserve"> </w:t>
      </w:r>
      <w:r w:rsidR="00B0678D" w:rsidRPr="00011D5D">
        <w:rPr>
          <w:rFonts w:ascii="Book Antiqua" w:hAnsi="Book Antiqua"/>
          <w:sz w:val="24"/>
          <w:szCs w:val="24"/>
        </w:rPr>
        <w:t>AFP</w:t>
      </w:r>
      <w:r w:rsidR="002E582F" w:rsidRPr="00011D5D">
        <w:rPr>
          <w:rFonts w:ascii="Book Antiqua" w:hAnsi="Book Antiqua"/>
          <w:sz w:val="24"/>
          <w:szCs w:val="24"/>
        </w:rPr>
        <w:t>,</w:t>
      </w:r>
      <w:r w:rsidR="00B0678D" w:rsidRPr="00011D5D">
        <w:rPr>
          <w:rFonts w:ascii="Book Antiqua" w:hAnsi="Book Antiqua"/>
          <w:sz w:val="24"/>
          <w:szCs w:val="24"/>
        </w:rPr>
        <w:t xml:space="preserve"> </w:t>
      </w:r>
      <w:r w:rsidR="009F4C84" w:rsidRPr="00011D5D">
        <w:rPr>
          <w:rFonts w:ascii="Book Antiqua" w:hAnsi="Book Antiqua"/>
          <w:sz w:val="24"/>
          <w:szCs w:val="24"/>
        </w:rPr>
        <w:t xml:space="preserve">is not a reliable indicator for HCC. AFP levels are </w:t>
      </w:r>
      <w:r w:rsidR="006D0CCD" w:rsidRPr="00011D5D">
        <w:rPr>
          <w:rFonts w:ascii="Book Antiqua" w:hAnsi="Book Antiqua"/>
          <w:sz w:val="24"/>
          <w:szCs w:val="24"/>
        </w:rPr>
        <w:t>not elevated</w:t>
      </w:r>
      <w:r w:rsidR="009F4C84" w:rsidRPr="00011D5D">
        <w:rPr>
          <w:rFonts w:ascii="Book Antiqua" w:hAnsi="Book Antiqua"/>
          <w:sz w:val="24"/>
          <w:szCs w:val="24"/>
        </w:rPr>
        <w:t xml:space="preserve"> in </w:t>
      </w:r>
      <w:r w:rsidR="00790C4B" w:rsidRPr="00011D5D">
        <w:rPr>
          <w:rFonts w:ascii="Book Antiqua" w:hAnsi="Book Antiqua"/>
          <w:sz w:val="24"/>
          <w:szCs w:val="24"/>
        </w:rPr>
        <w:t xml:space="preserve">up to </w:t>
      </w:r>
      <w:r w:rsidR="009F4C84" w:rsidRPr="00011D5D">
        <w:rPr>
          <w:rFonts w:ascii="Book Antiqua" w:hAnsi="Book Antiqua"/>
          <w:sz w:val="24"/>
          <w:szCs w:val="24"/>
        </w:rPr>
        <w:t xml:space="preserve">40% of </w:t>
      </w:r>
      <w:r w:rsidR="009A05FB" w:rsidRPr="00011D5D">
        <w:rPr>
          <w:rFonts w:ascii="Book Antiqua" w:hAnsi="Book Antiqua"/>
          <w:sz w:val="24"/>
          <w:szCs w:val="24"/>
        </w:rPr>
        <w:t>cases</w:t>
      </w:r>
      <w:r w:rsidR="009F4C84" w:rsidRPr="00011D5D">
        <w:rPr>
          <w:rFonts w:ascii="Book Antiqua" w:hAnsi="Book Antiqua"/>
          <w:sz w:val="24"/>
          <w:szCs w:val="24"/>
          <w:vertAlign w:val="superscript"/>
        </w:rPr>
        <w:t xml:space="preserve"> [</w:t>
      </w:r>
      <w:r w:rsidR="006E7D3C" w:rsidRPr="00011D5D">
        <w:rPr>
          <w:rFonts w:ascii="Book Antiqua" w:hAnsi="Book Antiqua"/>
          <w:sz w:val="24"/>
          <w:szCs w:val="24"/>
          <w:vertAlign w:val="superscript"/>
        </w:rPr>
        <w:t>49,50</w:t>
      </w:r>
      <w:r w:rsidR="009F4C84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9F4C84" w:rsidRPr="00011D5D">
        <w:rPr>
          <w:rFonts w:ascii="Book Antiqua" w:hAnsi="Book Antiqua"/>
          <w:sz w:val="24"/>
          <w:szCs w:val="24"/>
        </w:rPr>
        <w:t xml:space="preserve">, furthermore AFP is challenged </w:t>
      </w:r>
      <w:r w:rsidR="00B0678D" w:rsidRPr="00011D5D">
        <w:rPr>
          <w:rFonts w:ascii="Book Antiqua" w:hAnsi="Book Antiqua"/>
          <w:sz w:val="24"/>
          <w:szCs w:val="24"/>
        </w:rPr>
        <w:t>by its poor sensitivity and specificity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790C4B" w:rsidRPr="00011D5D">
        <w:rPr>
          <w:rFonts w:ascii="Book Antiqua" w:hAnsi="Book Antiqua"/>
          <w:sz w:val="24"/>
          <w:szCs w:val="24"/>
          <w:vertAlign w:val="superscript"/>
        </w:rPr>
        <w:t>51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 xml:space="preserve">. </w:t>
      </w:r>
      <w:r w:rsidR="00010C90" w:rsidRPr="00011D5D">
        <w:rPr>
          <w:rFonts w:ascii="Book Antiqua" w:hAnsi="Book Antiqua"/>
          <w:sz w:val="24"/>
          <w:szCs w:val="24"/>
        </w:rPr>
        <w:t xml:space="preserve">Pre-LT </w:t>
      </w:r>
      <w:r w:rsidR="00D97186" w:rsidRPr="00011D5D">
        <w:rPr>
          <w:rFonts w:ascii="Book Antiqua" w:hAnsi="Book Antiqua"/>
          <w:sz w:val="24"/>
          <w:szCs w:val="24"/>
        </w:rPr>
        <w:t>tumor biopsy</w:t>
      </w:r>
      <w:r w:rsidR="00F44D9D" w:rsidRPr="00011D5D">
        <w:rPr>
          <w:rFonts w:ascii="Book Antiqua" w:hAnsi="Book Antiqua"/>
          <w:sz w:val="24"/>
          <w:szCs w:val="24"/>
        </w:rPr>
        <w:t xml:space="preserve"> </w:t>
      </w:r>
      <w:r w:rsidR="00B0678D" w:rsidRPr="00011D5D">
        <w:rPr>
          <w:rFonts w:ascii="Book Antiqua" w:hAnsi="Book Antiqua"/>
          <w:sz w:val="24"/>
          <w:szCs w:val="24"/>
        </w:rPr>
        <w:t xml:space="preserve">is </w:t>
      </w:r>
      <w:r w:rsidR="00010C90" w:rsidRPr="00011D5D">
        <w:rPr>
          <w:rFonts w:ascii="Book Antiqua" w:hAnsi="Book Antiqua"/>
          <w:sz w:val="24"/>
          <w:szCs w:val="24"/>
        </w:rPr>
        <w:t xml:space="preserve">somehow </w:t>
      </w:r>
      <w:r w:rsidR="00B0678D" w:rsidRPr="00011D5D">
        <w:rPr>
          <w:rFonts w:ascii="Book Antiqua" w:hAnsi="Book Antiqua"/>
          <w:sz w:val="24"/>
          <w:szCs w:val="24"/>
        </w:rPr>
        <w:t>discouraged, due in part to tumor heterogeneity</w:t>
      </w:r>
      <w:r w:rsidR="002B11E4" w:rsidRPr="00011D5D">
        <w:rPr>
          <w:rFonts w:ascii="Book Antiqua" w:hAnsi="Book Antiqua"/>
          <w:sz w:val="24"/>
          <w:szCs w:val="24"/>
        </w:rPr>
        <w:t xml:space="preserve"> when multifocal HCC is present</w:t>
      </w:r>
      <w:r w:rsidR="00B0678D" w:rsidRPr="00011D5D">
        <w:rPr>
          <w:rFonts w:ascii="Book Antiqua" w:hAnsi="Book Antiqua"/>
          <w:sz w:val="24"/>
          <w:szCs w:val="24"/>
        </w:rPr>
        <w:t>, as well as the risk of needle-trac</w:t>
      </w:r>
      <w:r w:rsidR="00C616E6">
        <w:rPr>
          <w:rFonts w:ascii="Book Antiqua" w:hAnsi="Book Antiqua"/>
          <w:sz w:val="24"/>
          <w:szCs w:val="24"/>
        </w:rPr>
        <w:t>t seeding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790C4B" w:rsidRPr="00011D5D">
        <w:rPr>
          <w:rFonts w:ascii="Book Antiqua" w:hAnsi="Book Antiqua"/>
          <w:sz w:val="24"/>
          <w:szCs w:val="24"/>
          <w:vertAlign w:val="superscript"/>
        </w:rPr>
        <w:t>52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</w:p>
    <w:p w:rsidR="003F75F3" w:rsidRPr="00011D5D" w:rsidRDefault="00BC2E6F" w:rsidP="00C616E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In light of the current organ shortage, h</w:t>
      </w:r>
      <w:r w:rsidR="003F75F3" w:rsidRPr="00011D5D">
        <w:rPr>
          <w:rFonts w:ascii="Book Antiqua" w:hAnsi="Book Antiqua"/>
          <w:sz w:val="24"/>
          <w:szCs w:val="24"/>
        </w:rPr>
        <w:t xml:space="preserve">epatic resection followed by salvage LT has also been suggested as a </w:t>
      </w:r>
      <w:r w:rsidRPr="00011D5D">
        <w:rPr>
          <w:rFonts w:ascii="Book Antiqua" w:hAnsi="Book Antiqua"/>
          <w:sz w:val="24"/>
          <w:szCs w:val="24"/>
        </w:rPr>
        <w:t xml:space="preserve">treatment strategy for HCC. A systematic review by Chan </w:t>
      </w:r>
      <w:r w:rsidRPr="00C616E6">
        <w:rPr>
          <w:rFonts w:ascii="Book Antiqua" w:hAnsi="Book Antiqua"/>
          <w:i/>
          <w:sz w:val="24"/>
          <w:szCs w:val="24"/>
        </w:rPr>
        <w:t>et al</w:t>
      </w:r>
      <w:r w:rsidR="00C616E6" w:rsidRPr="00011D5D">
        <w:rPr>
          <w:rFonts w:ascii="Book Antiqua" w:hAnsi="Book Antiqua"/>
          <w:sz w:val="24"/>
          <w:szCs w:val="24"/>
          <w:vertAlign w:val="superscript"/>
        </w:rPr>
        <w:t>[53]</w:t>
      </w:r>
      <w:r w:rsidR="00C616E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sz w:val="24"/>
          <w:szCs w:val="24"/>
        </w:rPr>
        <w:t xml:space="preserve">demonstrated median overall survival at 1-, 3- and 5- years post LT was 89%, 80%, and 62% </w:t>
      </w:r>
      <w:r w:rsidR="003717E5" w:rsidRPr="00011D5D">
        <w:rPr>
          <w:rFonts w:ascii="Book Antiqua" w:hAnsi="Book Antiqua"/>
          <w:sz w:val="24"/>
          <w:szCs w:val="24"/>
        </w:rPr>
        <w:t xml:space="preserve">respectively. Additionally, </w:t>
      </w:r>
      <w:r w:rsidR="00387C75" w:rsidRPr="00011D5D">
        <w:rPr>
          <w:rFonts w:ascii="Book Antiqua" w:hAnsi="Book Antiqua"/>
          <w:sz w:val="24"/>
          <w:szCs w:val="24"/>
        </w:rPr>
        <w:t>tissue</w:t>
      </w:r>
      <w:r w:rsidR="003717E5" w:rsidRPr="00011D5D">
        <w:rPr>
          <w:rFonts w:ascii="Book Antiqua" w:hAnsi="Book Antiqua"/>
          <w:sz w:val="24"/>
          <w:szCs w:val="24"/>
        </w:rPr>
        <w:t xml:space="preserve"> </w:t>
      </w:r>
      <w:r w:rsidR="00387C75" w:rsidRPr="00011D5D">
        <w:rPr>
          <w:rFonts w:ascii="Book Antiqua" w:hAnsi="Book Antiqua"/>
          <w:sz w:val="24"/>
          <w:szCs w:val="24"/>
        </w:rPr>
        <w:t xml:space="preserve">specimens </w:t>
      </w:r>
      <w:r w:rsidR="003717E5" w:rsidRPr="00011D5D">
        <w:rPr>
          <w:rFonts w:ascii="Book Antiqua" w:hAnsi="Book Antiqua"/>
          <w:sz w:val="24"/>
          <w:szCs w:val="24"/>
        </w:rPr>
        <w:t xml:space="preserve">obtained from a pre-LT resection can assist in selection of tumors with a favorable histopathological profile </w:t>
      </w:r>
      <w:r w:rsidR="00387C75" w:rsidRPr="00011D5D">
        <w:rPr>
          <w:rFonts w:ascii="Book Antiqua" w:hAnsi="Book Antiqua"/>
          <w:sz w:val="24"/>
          <w:szCs w:val="24"/>
        </w:rPr>
        <w:t xml:space="preserve">for LT </w:t>
      </w:r>
      <w:r w:rsidR="007F3476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3717E5" w:rsidRPr="00011D5D">
        <w:rPr>
          <w:rFonts w:ascii="Book Antiqua" w:hAnsi="Book Antiqua"/>
          <w:sz w:val="24"/>
          <w:szCs w:val="24"/>
          <w:vertAlign w:val="superscript"/>
        </w:rPr>
        <w:t>53]</w:t>
      </w:r>
      <w:r w:rsidR="003717E5" w:rsidRPr="00011D5D">
        <w:rPr>
          <w:rFonts w:ascii="Book Antiqua" w:hAnsi="Book Antiqua"/>
          <w:sz w:val="24"/>
          <w:szCs w:val="24"/>
        </w:rPr>
        <w:t>.</w:t>
      </w:r>
    </w:p>
    <w:p w:rsidR="00A5786E" w:rsidRPr="00011D5D" w:rsidRDefault="00403A02" w:rsidP="00C616E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Monitoring</w:t>
      </w:r>
      <w:r w:rsidR="000A559B" w:rsidRPr="00011D5D">
        <w:rPr>
          <w:rFonts w:ascii="Book Antiqua" w:hAnsi="Book Antiqua"/>
          <w:sz w:val="24"/>
          <w:szCs w:val="24"/>
        </w:rPr>
        <w:t xml:space="preserve"> radiologic and laboratory (tumor markers)</w:t>
      </w:r>
      <w:r w:rsidRPr="00011D5D">
        <w:rPr>
          <w:rFonts w:ascii="Book Antiqua" w:hAnsi="Book Antiqua"/>
          <w:sz w:val="24"/>
          <w:szCs w:val="24"/>
        </w:rPr>
        <w:t xml:space="preserve"> tumor response</w:t>
      </w:r>
      <w:r w:rsidR="00B0678D" w:rsidRPr="00011D5D">
        <w:rPr>
          <w:rFonts w:ascii="Book Antiqua" w:hAnsi="Book Antiqua"/>
          <w:sz w:val="24"/>
          <w:szCs w:val="24"/>
        </w:rPr>
        <w:t xml:space="preserve"> </w:t>
      </w:r>
      <w:r w:rsidR="00DA4BD5" w:rsidRPr="00011D5D">
        <w:rPr>
          <w:rFonts w:ascii="Book Antiqua" w:hAnsi="Book Antiqua"/>
          <w:sz w:val="24"/>
          <w:szCs w:val="24"/>
        </w:rPr>
        <w:t>post-</w:t>
      </w:r>
      <w:r w:rsidR="00B0678D" w:rsidRPr="00011D5D">
        <w:rPr>
          <w:rFonts w:ascii="Book Antiqua" w:hAnsi="Book Antiqua"/>
          <w:sz w:val="24"/>
          <w:szCs w:val="24"/>
        </w:rPr>
        <w:t xml:space="preserve"> LRT </w:t>
      </w:r>
      <w:r w:rsidR="00DA4BD5" w:rsidRPr="00011D5D">
        <w:rPr>
          <w:rFonts w:ascii="Book Antiqua" w:hAnsi="Book Antiqua"/>
          <w:sz w:val="24"/>
          <w:szCs w:val="24"/>
        </w:rPr>
        <w:t>has</w:t>
      </w:r>
      <w:r w:rsidR="000B5192" w:rsidRPr="00011D5D">
        <w:rPr>
          <w:rFonts w:ascii="Book Antiqua" w:hAnsi="Book Antiqua"/>
          <w:sz w:val="24"/>
          <w:szCs w:val="24"/>
        </w:rPr>
        <w:t xml:space="preserve"> </w:t>
      </w:r>
      <w:r w:rsidR="00DA4BD5" w:rsidRPr="00011D5D">
        <w:rPr>
          <w:rFonts w:ascii="Book Antiqua" w:hAnsi="Book Antiqua"/>
          <w:sz w:val="24"/>
          <w:szCs w:val="24"/>
        </w:rPr>
        <w:t xml:space="preserve">been </w:t>
      </w:r>
      <w:r w:rsidR="000B5192" w:rsidRPr="00011D5D">
        <w:rPr>
          <w:rFonts w:ascii="Book Antiqua" w:hAnsi="Book Antiqua"/>
          <w:sz w:val="24"/>
          <w:szCs w:val="24"/>
        </w:rPr>
        <w:t>utilized</w:t>
      </w:r>
      <w:r w:rsidR="0019681B" w:rsidRPr="00011D5D">
        <w:rPr>
          <w:rFonts w:ascii="Book Antiqua" w:hAnsi="Book Antiqua"/>
          <w:sz w:val="24"/>
          <w:szCs w:val="24"/>
        </w:rPr>
        <w:t xml:space="preserve"> to </w:t>
      </w:r>
      <w:r w:rsidR="00D97186" w:rsidRPr="00011D5D">
        <w:rPr>
          <w:rFonts w:ascii="Book Antiqua" w:hAnsi="Book Antiqua"/>
          <w:sz w:val="24"/>
          <w:szCs w:val="24"/>
        </w:rPr>
        <w:t xml:space="preserve">identify </w:t>
      </w:r>
      <w:r w:rsidR="0019681B" w:rsidRPr="00011D5D">
        <w:rPr>
          <w:rFonts w:ascii="Book Antiqua" w:hAnsi="Book Antiqua"/>
          <w:sz w:val="24"/>
          <w:szCs w:val="24"/>
        </w:rPr>
        <w:t>tumors</w:t>
      </w:r>
      <w:r w:rsidR="00D97186" w:rsidRPr="00011D5D">
        <w:rPr>
          <w:rFonts w:ascii="Book Antiqua" w:hAnsi="Book Antiqua"/>
          <w:sz w:val="24"/>
          <w:szCs w:val="24"/>
        </w:rPr>
        <w:t xml:space="preserve"> with favorable </w:t>
      </w:r>
      <w:r w:rsidR="000A559B" w:rsidRPr="00011D5D">
        <w:rPr>
          <w:rFonts w:ascii="Book Antiqua" w:hAnsi="Book Antiqua"/>
          <w:sz w:val="24"/>
          <w:szCs w:val="24"/>
        </w:rPr>
        <w:t>biology</w:t>
      </w:r>
      <w:r w:rsidR="007D3DE1" w:rsidRPr="00011D5D">
        <w:rPr>
          <w:rFonts w:ascii="Book Antiqua" w:hAnsi="Book Antiqua"/>
          <w:sz w:val="24"/>
          <w:szCs w:val="24"/>
        </w:rPr>
        <w:t xml:space="preserve">; </w:t>
      </w:r>
      <w:r w:rsidR="005C1C20" w:rsidRPr="00011D5D">
        <w:rPr>
          <w:rFonts w:ascii="Book Antiqua" w:hAnsi="Book Antiqua"/>
          <w:sz w:val="24"/>
          <w:szCs w:val="24"/>
        </w:rPr>
        <w:t xml:space="preserve">and in line with this </w:t>
      </w:r>
      <w:r w:rsidR="00B0678D" w:rsidRPr="00011D5D">
        <w:rPr>
          <w:rFonts w:ascii="Book Antiqua" w:hAnsi="Book Antiqua"/>
          <w:sz w:val="24"/>
          <w:szCs w:val="24"/>
        </w:rPr>
        <w:t xml:space="preserve">current </w:t>
      </w:r>
      <w:r w:rsidR="00B0678D" w:rsidRPr="00011D5D">
        <w:rPr>
          <w:rFonts w:ascii="Book Antiqua" w:hAnsi="Book Antiqua"/>
          <w:sz w:val="24"/>
          <w:szCs w:val="24"/>
        </w:rPr>
        <w:lastRenderedPageBreak/>
        <w:t xml:space="preserve">UNOS guidelines for organ allocation in the United States </w:t>
      </w:r>
      <w:r w:rsidR="00D97186" w:rsidRPr="00011D5D">
        <w:rPr>
          <w:rFonts w:ascii="Book Antiqua" w:hAnsi="Book Antiqua"/>
          <w:sz w:val="24"/>
          <w:szCs w:val="24"/>
        </w:rPr>
        <w:t>require</w:t>
      </w:r>
      <w:r w:rsidR="000A559B" w:rsidRPr="00011D5D">
        <w:rPr>
          <w:rFonts w:ascii="Book Antiqua" w:hAnsi="Book Antiqua"/>
          <w:sz w:val="24"/>
          <w:szCs w:val="24"/>
        </w:rPr>
        <w:t xml:space="preserve"> listing HCC patients</w:t>
      </w:r>
      <w:r w:rsidR="00B0678D" w:rsidRPr="00011D5D">
        <w:rPr>
          <w:rFonts w:ascii="Book Antiqua" w:hAnsi="Book Antiqua"/>
          <w:sz w:val="24"/>
          <w:szCs w:val="24"/>
        </w:rPr>
        <w:t xml:space="preserve"> for 6 </w:t>
      </w:r>
      <w:proofErr w:type="spellStart"/>
      <w:r w:rsidR="00B0678D" w:rsidRPr="00011D5D">
        <w:rPr>
          <w:rFonts w:ascii="Book Antiqua" w:hAnsi="Book Antiqua"/>
          <w:sz w:val="24"/>
          <w:szCs w:val="24"/>
        </w:rPr>
        <w:t>mo</w:t>
      </w:r>
      <w:proofErr w:type="spellEnd"/>
      <w:r w:rsidR="00B0678D" w:rsidRPr="00011D5D">
        <w:rPr>
          <w:rFonts w:ascii="Book Antiqua" w:hAnsi="Book Antiqua"/>
          <w:sz w:val="24"/>
          <w:szCs w:val="24"/>
        </w:rPr>
        <w:t xml:space="preserve"> </w:t>
      </w:r>
      <w:r w:rsidR="003D3447" w:rsidRPr="00011D5D">
        <w:rPr>
          <w:rFonts w:ascii="Book Antiqua" w:hAnsi="Book Antiqua"/>
          <w:sz w:val="24"/>
          <w:szCs w:val="24"/>
        </w:rPr>
        <w:t xml:space="preserve">before qualification </w:t>
      </w:r>
      <w:r w:rsidR="00DA4BD5" w:rsidRPr="00011D5D">
        <w:rPr>
          <w:rFonts w:ascii="Book Antiqua" w:hAnsi="Book Antiqua"/>
          <w:sz w:val="24"/>
          <w:szCs w:val="24"/>
        </w:rPr>
        <w:t>for</w:t>
      </w:r>
      <w:r w:rsidR="003D3447" w:rsidRPr="00011D5D">
        <w:rPr>
          <w:rFonts w:ascii="Book Antiqua" w:hAnsi="Book Antiqua"/>
          <w:sz w:val="24"/>
          <w:szCs w:val="24"/>
        </w:rPr>
        <w:t xml:space="preserve"> HCC exception </w:t>
      </w:r>
      <w:r w:rsidR="00C616E6">
        <w:rPr>
          <w:rFonts w:ascii="Book Antiqua" w:hAnsi="Book Antiqua"/>
          <w:sz w:val="24"/>
          <w:szCs w:val="24"/>
        </w:rPr>
        <w:t>points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162D0C" w:rsidRPr="00011D5D">
        <w:rPr>
          <w:rFonts w:ascii="Book Antiqua" w:hAnsi="Book Antiqua"/>
          <w:sz w:val="24"/>
          <w:szCs w:val="24"/>
          <w:vertAlign w:val="superscript"/>
        </w:rPr>
        <w:t>5</w:t>
      </w:r>
      <w:r w:rsidR="003F75F3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FE1C30" w:rsidRPr="00011D5D">
        <w:rPr>
          <w:rFonts w:ascii="Book Antiqua" w:hAnsi="Book Antiqua"/>
          <w:sz w:val="24"/>
          <w:szCs w:val="24"/>
        </w:rPr>
        <w:t>.</w:t>
      </w:r>
    </w:p>
    <w:p w:rsidR="008A0F2D" w:rsidRPr="00011D5D" w:rsidRDefault="00C616E6" w:rsidP="00C616E6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011D5D">
        <w:rPr>
          <w:rFonts w:ascii="Book Antiqua" w:hAnsi="Book Antiqua"/>
          <w:sz w:val="24"/>
          <w:szCs w:val="24"/>
        </w:rPr>
        <w:t>m</w:t>
      </w:r>
      <w:r w:rsidR="00821B2D" w:rsidRPr="00011D5D">
        <w:rPr>
          <w:rFonts w:ascii="Book Antiqua" w:hAnsi="Book Antiqua"/>
          <w:sz w:val="24"/>
          <w:szCs w:val="24"/>
        </w:rPr>
        <w:t xml:space="preserve">iRNAs </w:t>
      </w:r>
      <w:r w:rsidR="007E1C4B" w:rsidRPr="00011D5D">
        <w:rPr>
          <w:rFonts w:ascii="Book Antiqua" w:hAnsi="Book Antiqua"/>
          <w:sz w:val="24"/>
          <w:szCs w:val="24"/>
        </w:rPr>
        <w:t xml:space="preserve">are stable in blood </w:t>
      </w:r>
      <w:r w:rsidR="00821B2D" w:rsidRPr="00011D5D">
        <w:rPr>
          <w:rFonts w:ascii="Book Antiqua" w:hAnsi="Book Antiqua"/>
          <w:sz w:val="24"/>
          <w:szCs w:val="24"/>
        </w:rPr>
        <w:t xml:space="preserve">and resistant to </w:t>
      </w:r>
      <w:proofErr w:type="spellStart"/>
      <w:r w:rsidR="00821B2D" w:rsidRPr="00011D5D">
        <w:rPr>
          <w:rFonts w:ascii="Book Antiqua" w:hAnsi="Book Antiqua"/>
          <w:sz w:val="24"/>
          <w:szCs w:val="24"/>
        </w:rPr>
        <w:t>RNAases</w:t>
      </w:r>
      <w:proofErr w:type="spellEnd"/>
      <w:r w:rsidR="00821B2D" w:rsidRPr="00011D5D">
        <w:rPr>
          <w:rFonts w:ascii="Book Antiqua" w:hAnsi="Book Antiqua"/>
          <w:sz w:val="24"/>
          <w:szCs w:val="24"/>
        </w:rPr>
        <w:t xml:space="preserve">, </w:t>
      </w:r>
      <w:r w:rsidR="00DA4BD5" w:rsidRPr="00011D5D">
        <w:rPr>
          <w:rFonts w:ascii="Book Antiqua" w:hAnsi="Book Antiqua"/>
          <w:sz w:val="24"/>
          <w:szCs w:val="24"/>
        </w:rPr>
        <w:t>which makes</w:t>
      </w:r>
      <w:r w:rsidR="007E1C4B" w:rsidRPr="00011D5D">
        <w:rPr>
          <w:rFonts w:ascii="Book Antiqua" w:hAnsi="Book Antiqua"/>
          <w:sz w:val="24"/>
          <w:szCs w:val="24"/>
        </w:rPr>
        <w:t xml:space="preserve"> them</w:t>
      </w:r>
      <w:r w:rsidR="002E582F" w:rsidRPr="00011D5D">
        <w:rPr>
          <w:rFonts w:ascii="Book Antiqua" w:hAnsi="Book Antiqua"/>
          <w:sz w:val="24"/>
          <w:szCs w:val="24"/>
        </w:rPr>
        <w:t xml:space="preserve"> </w:t>
      </w:r>
      <w:r w:rsidR="005B2B0A" w:rsidRPr="00011D5D">
        <w:rPr>
          <w:rFonts w:ascii="Book Antiqua" w:hAnsi="Book Antiqua"/>
          <w:sz w:val="24"/>
          <w:szCs w:val="24"/>
        </w:rPr>
        <w:t xml:space="preserve">promising </w:t>
      </w:r>
      <w:r w:rsidR="00A560F6" w:rsidRPr="00011D5D">
        <w:rPr>
          <w:rFonts w:ascii="Book Antiqua" w:hAnsi="Book Antiqua"/>
          <w:sz w:val="24"/>
          <w:szCs w:val="24"/>
        </w:rPr>
        <w:t xml:space="preserve">HCC </w:t>
      </w:r>
      <w:r w:rsidR="005B2B0A" w:rsidRPr="00011D5D">
        <w:rPr>
          <w:rFonts w:ascii="Book Antiqua" w:hAnsi="Book Antiqua"/>
          <w:sz w:val="24"/>
          <w:szCs w:val="24"/>
        </w:rPr>
        <w:t xml:space="preserve">biomarkers 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[</w:t>
      </w:r>
      <w:r w:rsidR="00FE1C30" w:rsidRPr="00011D5D">
        <w:rPr>
          <w:rFonts w:ascii="Book Antiqua" w:hAnsi="Book Antiqua"/>
          <w:sz w:val="24"/>
          <w:szCs w:val="24"/>
          <w:vertAlign w:val="superscript"/>
        </w:rPr>
        <w:t>4</w:t>
      </w:r>
      <w:r w:rsidR="00790C4B" w:rsidRPr="00011D5D">
        <w:rPr>
          <w:rFonts w:ascii="Book Antiqua" w:hAnsi="Book Antiqua"/>
          <w:sz w:val="24"/>
          <w:szCs w:val="24"/>
          <w:vertAlign w:val="superscript"/>
        </w:rPr>
        <w:t>6</w:t>
      </w:r>
      <w:r w:rsidR="000B2A22" w:rsidRPr="00011D5D">
        <w:rPr>
          <w:rFonts w:ascii="Book Antiqua" w:hAnsi="Book Antiqua"/>
          <w:sz w:val="24"/>
          <w:szCs w:val="24"/>
          <w:vertAlign w:val="superscript"/>
        </w:rPr>
        <w:t>]</w:t>
      </w:r>
      <w:r w:rsidR="00A560F6" w:rsidRPr="00011D5D">
        <w:rPr>
          <w:rFonts w:ascii="Book Antiqua" w:hAnsi="Book Antiqua"/>
          <w:sz w:val="24"/>
          <w:szCs w:val="24"/>
          <w:vertAlign w:val="superscript"/>
        </w:rPr>
        <w:t>.</w:t>
      </w:r>
      <w:r w:rsidR="00A560F6" w:rsidRPr="00011D5D">
        <w:rPr>
          <w:rFonts w:ascii="Book Antiqua" w:hAnsi="Book Antiqua"/>
          <w:sz w:val="24"/>
          <w:szCs w:val="24"/>
        </w:rPr>
        <w:t xml:space="preserve"> </w:t>
      </w:r>
      <w:r w:rsidR="005C1FAE" w:rsidRPr="00011D5D">
        <w:rPr>
          <w:rFonts w:ascii="Book Antiqua" w:hAnsi="Book Antiqua"/>
          <w:sz w:val="24"/>
          <w:szCs w:val="24"/>
        </w:rPr>
        <w:t>F</w:t>
      </w:r>
      <w:r w:rsidR="00F04E2E" w:rsidRPr="00011D5D">
        <w:rPr>
          <w:rFonts w:ascii="Book Antiqua" w:hAnsi="Book Antiqua"/>
          <w:sz w:val="24"/>
          <w:szCs w:val="24"/>
        </w:rPr>
        <w:t xml:space="preserve">urther </w:t>
      </w:r>
      <w:r w:rsidR="005C1FAE" w:rsidRPr="00011D5D">
        <w:rPr>
          <w:rFonts w:ascii="Book Antiqua" w:hAnsi="Book Antiqua"/>
          <w:sz w:val="24"/>
          <w:szCs w:val="24"/>
        </w:rPr>
        <w:t xml:space="preserve">validation of </w:t>
      </w:r>
      <w:r w:rsidR="00F04E2E" w:rsidRPr="00011D5D">
        <w:rPr>
          <w:rFonts w:ascii="Book Antiqua" w:hAnsi="Book Antiqua"/>
          <w:sz w:val="24"/>
          <w:szCs w:val="24"/>
        </w:rPr>
        <w:t>extended HCC</w:t>
      </w:r>
      <w:r w:rsidR="00DA4BD5" w:rsidRPr="00011D5D">
        <w:rPr>
          <w:rFonts w:ascii="Book Antiqua" w:hAnsi="Book Antiqua"/>
          <w:sz w:val="24"/>
          <w:szCs w:val="24"/>
        </w:rPr>
        <w:t xml:space="preserve">-LT </w:t>
      </w:r>
      <w:r w:rsidR="00F72A3A" w:rsidRPr="00011D5D">
        <w:rPr>
          <w:rFonts w:ascii="Book Antiqua" w:hAnsi="Book Antiqua"/>
          <w:sz w:val="24"/>
          <w:szCs w:val="24"/>
        </w:rPr>
        <w:t>criteria</w:t>
      </w:r>
      <w:r w:rsidR="00F04E2E" w:rsidRPr="00011D5D">
        <w:rPr>
          <w:rFonts w:ascii="Book Antiqua" w:hAnsi="Book Antiqua"/>
          <w:sz w:val="24"/>
          <w:szCs w:val="24"/>
        </w:rPr>
        <w:t xml:space="preserve"> </w:t>
      </w:r>
      <w:r w:rsidR="001D2E93" w:rsidRPr="00011D5D">
        <w:rPr>
          <w:rFonts w:ascii="Book Antiqua" w:hAnsi="Book Antiqua"/>
          <w:sz w:val="24"/>
          <w:szCs w:val="24"/>
        </w:rPr>
        <w:t xml:space="preserve">models </w:t>
      </w:r>
      <w:r w:rsidR="00F72A3A" w:rsidRPr="00011D5D">
        <w:rPr>
          <w:rFonts w:ascii="Book Antiqua" w:hAnsi="Book Antiqua"/>
          <w:sz w:val="24"/>
          <w:szCs w:val="24"/>
        </w:rPr>
        <w:t xml:space="preserve">that incorporate </w:t>
      </w:r>
      <w:r w:rsidR="00E273EE" w:rsidRPr="00011D5D">
        <w:rPr>
          <w:rFonts w:ascii="Book Antiqua" w:hAnsi="Book Antiqua"/>
          <w:sz w:val="24"/>
          <w:szCs w:val="24"/>
        </w:rPr>
        <w:t>predictors</w:t>
      </w:r>
      <w:r w:rsidR="00391C3B" w:rsidRPr="00011D5D">
        <w:rPr>
          <w:rFonts w:ascii="Book Antiqua" w:hAnsi="Book Antiqua"/>
          <w:sz w:val="24"/>
          <w:szCs w:val="24"/>
        </w:rPr>
        <w:t xml:space="preserve"> of tumor biology are needed to optimize organ utilization in an ongoing era of organ shortage. </w:t>
      </w:r>
    </w:p>
    <w:p w:rsidR="00DA4BD5" w:rsidRPr="00011D5D" w:rsidRDefault="00DA4BD5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C616E6" w:rsidRDefault="00C616E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F06A98" w:rsidRPr="00011D5D" w:rsidRDefault="003E1FDE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11D5D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Ferlay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Shin HR, Bray F, Forman D, Mathers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Parkin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DM. Estimates of worldwide burden of cancer in 2008: GLOBOCAN 2008. 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Cancer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127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2893-2917 [PMID: 21351269 DOI: 10.1002/ijc.25516]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El-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Serag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HB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1118-1127 [PMID: 21992124 DOI: 10.1056/NEJMra1001683]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Freeman RB</w:t>
      </w:r>
      <w:r w:rsidRPr="00C358E6">
        <w:rPr>
          <w:rFonts w:ascii="Book Antiqua" w:eastAsia="宋体" w:hAnsi="Book Antiqua" w:cs="宋体" w:hint="eastAsia"/>
          <w:b/>
          <w:bCs/>
          <w:sz w:val="24"/>
          <w:szCs w:val="24"/>
          <w:lang w:eastAsia="zh-CN"/>
        </w:rPr>
        <w:t xml:space="preserve"> J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Steffick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DE,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Guidinger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MK, Farmer DG, Berg CL, Merion RM. Liver and intestine transplantation in the United States, 1997-2006. </w:t>
      </w:r>
      <w:proofErr w:type="gram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</w:t>
      </w:r>
      <w:proofErr w:type="gram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Transplant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958-976 [PMID: 18336699 DOI: 10.1111/j.1600-6143.2008.02174.x]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Martin P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DiMartini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Feng S, Brown R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J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r, Fallon M. Evaluation for liver transplantation in adults: 2013 practice guideline by the American Association for the Study of Liver Diseases and the American Society of Transplantation.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1144-1165 [PMID: 24716201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DOI: 10.1002/hep.26972]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Iwatsuki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, Gordon RD, Shaw BW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J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Starzl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TE. Role of liver transplantation in cancer therapy.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1985;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202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401-407 [PMID: 2996449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DOI: 10.1097/00000658-198510000-00001]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Mazzaferro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Regalia 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Doci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Andreola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Pulvirenti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Bozzetti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Montalto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Ammatuna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Morabito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Gennari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L. Liver transplantation for the treatment of small hepatocellular carcinomas in patients with cirrhosis.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1996;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334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693-699 [PMID: 8594428 DOI: 10.1056/NEJM199603143341104]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Mazzaferro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Bhoori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Sposito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Bongini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Langer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Miceli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Mariani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L. Milan criteria in liver transplantation for hepatocellular carcinoma: an evidence-based analysis of 15 years of experience.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17 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Suppl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2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S44-S57 [PMID: 21695773 DOI: 10.1002/lt.22365]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8 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Cescon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Cucchetti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Ravaioli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Pinna AD. Hepatocellular carcinoma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locoregional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therapies for patients in the waiting list. Impact on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transplantability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and recurrence rate.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58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609-618 [PMID: 23041304 DOI: 10.1016/j.jhep.2012.09.021]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9 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Lencioni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Llovet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JM. Modified RECIST (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mRECIST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) assessment for hepatocellular carcinoma. 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Liver Dis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52-60 [PMID: 20175033 DOI: 10.1055/s-0030-1247132]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Roberts JP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Venook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Kerlan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Yao F. Hepatocellular carcinoma: Ablate and wait versus rapid transplantation.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925-929 [PMID: 20658555 DOI: 10.1002/lt.22103]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11 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Merani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Majno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Kneteman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Berney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Morel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Mentha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Toso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C. The impact of waiting list alpha-fetoprotein changes on the outcome of liver transplant for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814-819 [PMID: 21334400 DOI: 10.1016/j.jhep.2010.12.040]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12 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Yao FY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Ferrell L, Bass NM,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Bacchetti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Ascher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NL, Roberts JP. Liver transplantation for hepatocellular carcinoma: comparison of the proposed UCSF criteria with the Milan criteria and the Pittsburgh modified TNM criteria.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765-774 [PMID: 12200775 DOI: 10.1053/jlts.2002.34892]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Yao FY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Ferrell L, Bass NM, Watson JJ,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Bacchetti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Venook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Ascher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NL, Roberts JP. Liver transplantation for hepatocellular carcinoma: expansion of the tumor size limits does not adversely impact survival.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1394-1403 [PMID: 11391528 DOI: 10.1053/jhep.2001.24563]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14 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Yao FY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Xiao L, Bass NM,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Kerlan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Ascher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NL, Roberts JP. Liver transplantation for hepatocellular carcinoma: validation of the UCSF-expanded criteria based on preoperative imaging. </w:t>
      </w:r>
      <w:proofErr w:type="gram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</w:t>
      </w:r>
      <w:proofErr w:type="gram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Transplant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2007;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2587-2596 [PMID: 17868066 DOI: 10.1111/j.1600-6143.2007.01965.x]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15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The Transplantation Society Of Australia and New Zealand Organ Transplantation from Deceased Donors: Consensus Statement on Eligibility Cr</w:t>
      </w:r>
      <w:r w:rsidR="00F252D2">
        <w:rPr>
          <w:rFonts w:ascii="Book Antiqua" w:eastAsia="宋体" w:hAnsi="Book Antiqua" w:cs="宋体"/>
          <w:sz w:val="24"/>
          <w:szCs w:val="24"/>
          <w:lang w:eastAsia="zh-CN"/>
        </w:rPr>
        <w:t>iteria and Allocation Protocols. [updated 2015 Apr</w:t>
      </w:r>
      <w:bookmarkStart w:id="26" w:name="_GoBack"/>
      <w:bookmarkEnd w:id="26"/>
      <w:r w:rsidR="00F252D2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15</w:t>
      </w:r>
      <w:r w:rsidR="00F252D2">
        <w:rPr>
          <w:rFonts w:ascii="Book Antiqua" w:eastAsia="宋体" w:hAnsi="Book Antiqua" w:cs="宋体"/>
          <w:sz w:val="24"/>
          <w:szCs w:val="24"/>
          <w:lang w:eastAsia="zh-CN"/>
        </w:rPr>
        <w:t>;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="00F252D2">
        <w:rPr>
          <w:rFonts w:ascii="Book Antiqua" w:eastAsia="宋体" w:hAnsi="Book Antiqua" w:cs="宋体"/>
          <w:sz w:val="24"/>
          <w:szCs w:val="24"/>
          <w:lang w:eastAsia="zh-CN"/>
        </w:rPr>
        <w:t xml:space="preserve">accessed 2016 Mar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28</w:t>
      </w:r>
      <w:r w:rsidR="00F252D2">
        <w:rPr>
          <w:rFonts w:ascii="Book Antiqua" w:eastAsia="宋体" w:hAnsi="Book Antiqua" w:cs="宋体"/>
          <w:sz w:val="24"/>
          <w:szCs w:val="24"/>
          <w:lang w:eastAsia="zh-CN"/>
        </w:rPr>
        <w:t>]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. Available from: URL: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http://www.tsanz.com.au/organallocationprotocols/documents/CSVs1.4_V4_Final.pdf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16 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Herrero JI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Sangro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Quiroga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Pardo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Herraiz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Cienfuegos JA, Prieto J. Influence of tumor characteristics on the outcome of liver transplantation among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patients with liver cirrhosis and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631-636 [PMID: 11460231 DOI: 10.1053/jlts.2001.25458]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17 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Silva M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Moya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Berenguer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Sanjuan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López-Andujar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Pareja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E, Torres-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Quevedo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Aguilera V,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Montalva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E, De Juan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Mattos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Prieto M, Mir J. Expanded criteria for liver transplantation in patients with cirrhosis and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1449-1460 [PMID: 18825681 DOI: 10.1002/lt.21576]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18 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Onaca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Davis GL, Goldstein RM, Jennings LW,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Klintmalm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GB. Expanded criteria for liver transplantation in patients with hepatocellular carcinoma: a report from the International Registry of Hepatic Tumors in Liver Transplantation.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391-399 [PMID: 17318865 DOI: 10.1002/lt.21095]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19 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Roayaie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Frischer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Emre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Fishbein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Sheiner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PA, Sung M, Miller CM, Schwartz ME. Long-term results with multimodal adjuvant therapy and liver transplantation for the treatment of hepatocellular carcinomas larger than 5 centimeters.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235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533-539 [PMID: 11923610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DOI: 10.1097/00000658-200204000-00012]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20 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Kneteman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NM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Oberholzer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Al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Saghier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Meeberg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GA, Blitz M, Ma MM, Wong WW,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Gutfreund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K, Mason AL, Jewell LD, Shapiro AM, Bain VG,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Bigam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DL.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Sirolimus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-based immunosuppression for liver transplantation in the presence of extended criteria for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1301-1311 [PMID: 15376305 DOI: 10.1002/lt.20237]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21 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Mazzaferro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V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Llovet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Miceli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Bhoori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Schiavo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Mariani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Camerini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Roayaie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Schwartz ME,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Grazi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GL, Adam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Neuhaus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Salizzoni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Bruix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Forner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De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Carlis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Cillo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U, Burroughs AK,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Troisi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Rossi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Gerunda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Lerut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Belghiti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Boin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Gugenheim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Rochling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Van Hoek B,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Majno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;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Metroticket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Investigator Study Group. Predicting survival after liver transplantation in patients with hepatocellular carcinoma beyond the Milan criteria: a retrospective, exploratory analysis.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Lancet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35-43 [PMID: 19058754 DOI: 10.1016/S1470-2045[08]70284-5]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22 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Bhangui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Vibert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Majno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Salloum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Andreani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Zocrato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Ichai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Saliba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Adam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Castaing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Azoulay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D. Intention-to-treat analysis of liver transplantation for hepatocellular carcinoma: living versus deceased donor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transplantation.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1570-1579 [PMID: 21520172 DOI: 10.1002/hep.24231]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23 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Soejima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Taketomi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Yoshizumi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Uchiyama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Aishima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Terashi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Shimada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Maehara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Y. Extended indication for living donor liver transplantation in patients with hepatocellular carcinoma.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2007;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893-899 [PMID: 17460559 DOI: 10.1097/01.tp.0000259015.46798.ec]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24 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Jonas 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Mittler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Pascher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Schumacher G,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Theruvath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Benckert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Rudolph B,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Neuhaus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P. Living donor liver transplantation of the right lobe for hepatocellular carcinoma in cirrhosis in a European center.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896-903 [PMID: 17538994 DOI: 10.1002/lt.21189]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25 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Sugawara 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Tamura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Makuuchi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M. Living donor liver transplantation for hepatocellular carcinoma: Tokyo University series.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Dig Dis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310-312 [PMID: 17960065 DOI: 10.1159/000106910]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26 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Hameed B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Mehta N,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Sapisochin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G, Roberts JP, Yao FY. Alpha-fetoprotein level &amp;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; 1000 ng/mL as an exclusion criterion for liver transplantation in patients with hepatocellular carcinoma meeting the Milan criteria.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945-951 [PMID: 24797281 DOI: 10.1002/lt.23904]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27 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Hakamada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Kimura N, Miura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Morohashi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Ishido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K, Nara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Toyoki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Y, Narumi S, Sasaki M. Des-gamma-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carboxy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prothrombin as an important prognostic indicator in patients with small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1370-1377 [PMID: 18322950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DOI: </w:t>
      </w:r>
      <w:r w:rsidR="00F252D2">
        <w:fldChar w:fldCharType="begin"/>
      </w:r>
      <w:r w:rsidR="00F252D2">
        <w:instrText xml:space="preserve"> HYPERLINK "http://dx.doi.org/10.3748/wjg.14.1370" \t "_blank" </w:instrText>
      </w:r>
      <w:r w:rsidR="00F252D2">
        <w:fldChar w:fldCharType="separate"/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10.3748/wjg.14.1370</w:t>
      </w:r>
      <w:r w:rsidR="00F252D2">
        <w:rPr>
          <w:rFonts w:ascii="Book Antiqua" w:eastAsia="宋体" w:hAnsi="Book Antiqua" w:cs="宋体"/>
          <w:sz w:val="24"/>
          <w:szCs w:val="24"/>
          <w:lang w:eastAsia="zh-CN"/>
        </w:rPr>
        <w:fldChar w:fldCharType="end"/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28 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Berry K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Ioannou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GN. Serum alpha-fetoprotein level independently predicts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posttransplant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survival in patients with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634-645 [PMID: 23536495 DOI: 10.1002/lt.23652]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29 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Zheng SS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, Xu X, Wu J, Chen J, Wang WL, Zhang M, Liang TB, Wu LM. Liver transplantation for hepatocellular carcinoma: Hangzhou experiences.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1726-1732 [PMID: 18580463 DOI: 10.1097/TP.0b013e31816b67e4]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30 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Xu X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Lu D, Ling Q, Wei X, Wu J, Zhou L, Yan S, Wu L,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Geng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Q, Gao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Tu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Z, Wang W, Zhang M, Shen Y,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Xie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H, Jiang W, Wang H, Zheng S. Liver transplantation for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hepatocellular carcinoma beyond the Milan criteria.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Gut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1035-1041 [PMID: 25804634 DOI: gutjnl-2014-308513]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31 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Lai Q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Avolio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Manzia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Sorge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Agnes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Tisone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Berloco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PB, Rossi M. Combination of biological and morphological parameters for the selection of patients with hepatocellular carcinoma waiting for liver transplantation. 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Transplant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>2012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E125-E131 [PMID: 22192083 DOI: 10.1111/j.1399-0012.2011.01572.x]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32 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Duvoux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Roudot-Thoraval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Decaens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Pessione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Badran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Piardi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Francoz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Compagnon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Vanlemmens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Dumortier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Dharancy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Gugenheim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Bernard PH, Adam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Radenne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Muscari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Conti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Hardwigsen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Pageaux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Chazouillères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O,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Salame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Hilleret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MN,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Lebray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Abergel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Debette-Gratien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Kluger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MD,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Mallat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Azoulay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Cherqui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D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;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Liver Transplantation French Study Group. Liver transplantation for hepatocellular carcinoma: a model including α-fetoprotein improves the performance of Milan criteria.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986-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>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94.e3; quiz e14-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>e1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5 [PMID: 22750200 DOI: 10.1053/j.gastro.2012.05.052]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33 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Todo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, Furukawa H, Tada M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;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Japanese Liver Transplantation Study Group. Extending indication: role of living donor liver transplantation for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S48-S54 [PMID: 17969069 DOI: 10.1002/lt.21334]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34 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Kwon CH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, Kim DJ, Han YS, Park JB, Choi GS, Kim SJ, Joh JW, Lee SK. HCC in living donor liver transplantation: can we expand the Milan criteria?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Dig Dis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313-319 [PMID: 17960066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DOI: </w:t>
      </w:r>
      <w:r w:rsidR="00F252D2">
        <w:fldChar w:fldCharType="begin"/>
      </w:r>
      <w:r w:rsidR="00F252D2">
        <w:instrText xml:space="preserve"> HYPERLINK "http://dx.doi.org/10.1159/000106911"</w:instrText>
      </w:r>
      <w:r w:rsidR="00F252D2">
        <w:instrText xml:space="preserve"> \t "_blank" </w:instrText>
      </w:r>
      <w:r w:rsidR="00F252D2">
        <w:fldChar w:fldCharType="separate"/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10.1159/000106911</w:t>
      </w:r>
      <w:r w:rsidR="00F252D2">
        <w:rPr>
          <w:rFonts w:ascii="Book Antiqua" w:eastAsia="宋体" w:hAnsi="Book Antiqua" w:cs="宋体"/>
          <w:sz w:val="24"/>
          <w:szCs w:val="24"/>
          <w:lang w:eastAsia="zh-CN"/>
        </w:rPr>
        <w:fldChar w:fldCharType="end"/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35 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Toso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Meeberg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G, Hernandez-Alejandro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Dufour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JF, Marotta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Majno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Kneteman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NM. Total tumor volume and alpha-fetoprotein for selection of transplant candidates with hepatocellular carcinoma: A prospective validation.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62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158-165 [PMID: 25777590 DOI: 10.1002/hep.27787]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36 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Gr</w:t>
      </w:r>
      <w:r w:rsidRPr="00C358E6">
        <w:rPr>
          <w:rFonts w:ascii="Book Antiqua" w:eastAsia="MS Mincho" w:hAnsi="Book Antiqua" w:cs="MS Mincho"/>
          <w:b/>
          <w:bCs/>
          <w:sz w:val="24"/>
          <w:szCs w:val="24"/>
          <w:lang w:eastAsia="zh-CN"/>
        </w:rPr>
        <w:t>ą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Kornasiewicz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O, Lewandowski Z,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Ho</w:t>
      </w:r>
      <w:r w:rsidRPr="00C358E6">
        <w:rPr>
          <w:rFonts w:ascii="Book Antiqua" w:eastAsia="MS Mincho" w:hAnsi="Book Antiqua" w:cs="MS Mincho"/>
          <w:sz w:val="24"/>
          <w:szCs w:val="24"/>
          <w:lang w:eastAsia="zh-CN"/>
        </w:rPr>
        <w:t>ł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ówko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Gr</w:t>
      </w:r>
      <w:r w:rsidRPr="00C358E6">
        <w:rPr>
          <w:rFonts w:ascii="Book Antiqua" w:eastAsia="MS Mincho" w:hAnsi="Book Antiqua" w:cs="MS Mincho"/>
          <w:sz w:val="24"/>
          <w:szCs w:val="24"/>
          <w:lang w:eastAsia="zh-CN"/>
        </w:rPr>
        <w:t>ą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Kobryń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Patkowski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Zieniewicz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Krawczyk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M. Combination of morphologic criteria and α-fetoprotein in selection of patients with hepatocellular carcinoma for liver transplantation minimizes the problem of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posttransplant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tumor recurrence.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2698-2707 [PMID: 24858191 DOI: 10.1007/s00268-014-2647-3]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37 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Fujiki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Takada Y, Ogura Y,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Oike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Kaido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Teramukai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Uemoto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S. Significance of des-gamma-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carboxy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prothrombin in selection criteria for living donor liver transplantation for hepatocellular carcinoma. </w:t>
      </w:r>
      <w:proofErr w:type="gram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</w:t>
      </w:r>
      <w:proofErr w:type="gram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Transplant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2009;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2362-2371 [PMID: 19656125 DOI: 10.1111/j.1600-6143.2009.02783.x]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38 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Takada 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Ito T, Ueda M, Sakamoto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Haga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Maetani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Y, Ogawa K, Ogura Y,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Oike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Egawa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Uemoto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S. Living donor liver transplantation for patients with HCC exceeding the Milan criteria: a proposal of expanded criteria.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Dig Dis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299-302 [PMID: 17960063]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39 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Lee SD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, Kim SH, Kim SK, Kim YK, Park SJ. Clinical Impact of 18F-Fluorodeoxyglucose Positron Emission Tomography/Computed Tomography in Living Donor Liver Transplantation for Advanced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2142-2149 [PMID: 25905981 DOI: 10.1097/TP.0000000000000719]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40 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Otto G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Herber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Heise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Lohse AW,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Mönch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Bittinger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F, Hoppe-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Lotichius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Schuchmann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Victor A,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Pitton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M. Response to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transarterial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chemoembolization as a biological selection criterion for liver transplantation in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1260-1267 [PMID: 16826556 DOI: 10.1002/lt.20837]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41 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Yao FY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Kerlan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RK, Hirose R,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Davern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TJ, Bass NM, Feng S, Peters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Terrault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Freise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Ascher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NL, Roberts JP. Excellent outcome following down-staging of hepatocellular carcinoma prior to liver transplantation: an intention-to-treat analysis.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Hepatology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48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819-827 [PMID: 18688876 DOI: 10.1002/hep.22412]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42 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Parikh ND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Waljee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AK,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Singal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AG.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Downstaging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hepatocellular carcinoma: A systematic review and pooled analysis.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1142-1152 [PMID: 25981135 DOI: 10.1002/lt.24169]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43 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Lai Q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Avolio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Graziadei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I, Otto G, Rossi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Tisone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Goffette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P, Vogel 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Pitton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MB,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Lerut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;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European Hepatocellular Cancer Liver Transplant Study Group.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Alpha-fetoprotein and modified response evaluation criteria in solid tumors progression after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locoregional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therapy as predictors of hepatocellular cancer recurrence and death after transplantation.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1108-1118 [PMID: 23873764 DOI: 10.1002/lt.23706]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44 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Woo HG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Park ES,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Thorgeirsson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SS, Kim YJ. Exploring genomic profiles of hepatocellular carcinoma. 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Carcinog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235-243 [PMID: 21465573 DOI: 10.1002/mc.20691]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45 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Dvorchik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Schwartz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Fiel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MI, Finkelstein SD, Marsh JW. Fractional allelic imbalance could allow for the development of an equitable transplant selection policy for patients with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14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443-450 [PMID: 18266211 DOI: 10.1002/lt.21393]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46 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Sugimachi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Matsumura T, Hirata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Uchi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Ueda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Ueo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Shinden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Y, Iguchi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Eguchi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Shirabe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Ochiya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Maehara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Mimori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K. Identification of a bona fide microRNA biomarker in serum exosomes that predicts hepatocellular carcinoma recurrence after liver transplantation.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Br J Cancer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112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532-538 [PMID: 25584485 DOI: 10.1038/bjc.2014.621]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47 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Barry CT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D'Souza M, McCall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Safadjou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Ryan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Kashyap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R, Marroquin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Orloff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Almudevar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A, Godfrey TE. Micro RNA expression profiles as adjunctive data to assess the risk of hepatocellular carcinoma recurrence after liver transplantation. </w:t>
      </w:r>
      <w:proofErr w:type="gram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</w:t>
      </w:r>
      <w:proofErr w:type="gram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Transplant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428-437 [PMID: 22008552 DOI: 10.1111/j.1600-6143.2011.03788.x]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48 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Liese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Peveling-Oberhag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Doering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Schnitzbauer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AA, Herrmann 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Zangos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Hansmann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ML,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Moench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C, Welker MW,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Zeuzem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Bechstein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WO, Ulrich F. A possible role of microRNAs as predictive markers for the recurrence of hepatocellular carcinoma after liver transplantation. 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369-380 [PMID: 26697811 DOI: 10.1111/tri.12733]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49 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DS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Sung JL,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Sheu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JC, Lai MY, How SW, Hsu HC, Lee CS, Wei TC. Serum alpha-fetoprotein in the early stage of human hepatocellular carcinoma.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Gastroenterology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1984;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86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1404-1409 [PMID: 6201411 DOI: S0016508584001190]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50 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Sherman M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.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Alphafetoprotein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an obituary.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603-605 [PMID:</w:t>
      </w:r>
      <w:r w:rsidRPr="00C358E6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11394662]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51 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Waghray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Murali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AR, Menon KN. Hepatocellular carcinoma: From diagnosis to treatment.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1020-1029 [PMID: 26052391 DOI: 10.4254/wjh.v7.i8.1020]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52 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Durand F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Belghiti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J, Paradis V. Liver transplantation for hepatocellular carcinoma: role of biopsy.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S17-S23 [PMID: 17969095 DOI: 10.1002/lt.21326]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53 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Chan DL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Alzahrani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NA, Morris DL, Chua TC. Systematic review of efficacy and outcomes of salvage liver transplantation after primary hepatic resection for hepatocellular carcinoma.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31-41 [PMID: 24117517 DOI: 10.1111/jgh.12399]</w:t>
      </w:r>
    </w:p>
    <w:p w:rsidR="00C358E6" w:rsidRPr="00C358E6" w:rsidRDefault="00C358E6" w:rsidP="00C358E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54 </w:t>
      </w:r>
      <w:proofErr w:type="spellStart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Wedd</w:t>
      </w:r>
      <w:proofErr w:type="spellEnd"/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JP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, Nordstrom E, </w:t>
      </w:r>
      <w:proofErr w:type="spellStart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Nydam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 xml:space="preserve"> T, Durham J, Zimmerman M, Johnson T, Thomas Purcell W, Biggins SW. Hepatocellular carcinoma in patients listed for liver transplantation: Current and future allocation policy and management strategies for the individual patient. </w:t>
      </w:r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358E6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C358E6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C358E6">
        <w:rPr>
          <w:rFonts w:ascii="Book Antiqua" w:eastAsia="宋体" w:hAnsi="Book Antiqua" w:cs="宋体"/>
          <w:sz w:val="24"/>
          <w:szCs w:val="24"/>
          <w:lang w:eastAsia="zh-CN"/>
        </w:rPr>
        <w:t>: 1543-1552 [PMID: 26457885 DOI: 10.1002/lt.24356]</w:t>
      </w:r>
    </w:p>
    <w:p w:rsidR="001E7811" w:rsidRDefault="001E7811" w:rsidP="00C358E6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</w:pPr>
      <w:bookmarkStart w:id="27" w:name="OLE_LINK51"/>
      <w:bookmarkStart w:id="28" w:name="OLE_LINK52"/>
      <w:bookmarkStart w:id="29" w:name="OLE_LINK120"/>
      <w:bookmarkStart w:id="30" w:name="OLE_LINK148"/>
      <w:bookmarkStart w:id="31" w:name="OLE_LINK72"/>
      <w:bookmarkStart w:id="32" w:name="OLE_LINK112"/>
      <w:bookmarkStart w:id="33" w:name="OLE_LINK320"/>
      <w:bookmarkStart w:id="34" w:name="OLE_LINK387"/>
      <w:bookmarkStart w:id="35" w:name="OLE_LINK183"/>
      <w:bookmarkStart w:id="36" w:name="OLE_LINK254"/>
      <w:bookmarkStart w:id="37" w:name="OLE_LINK149"/>
      <w:bookmarkStart w:id="38" w:name="OLE_LINK225"/>
      <w:bookmarkStart w:id="39" w:name="OLE_LINK207"/>
      <w:bookmarkStart w:id="40" w:name="OLE_LINK226"/>
      <w:bookmarkStart w:id="41" w:name="OLE_LINK212"/>
      <w:bookmarkStart w:id="42" w:name="OLE_LINK250"/>
      <w:bookmarkStart w:id="43" w:name="OLE_LINK281"/>
      <w:bookmarkStart w:id="44" w:name="OLE_LINK282"/>
      <w:bookmarkStart w:id="45" w:name="OLE_LINK313"/>
      <w:bookmarkStart w:id="46" w:name="OLE_LINK304"/>
      <w:bookmarkStart w:id="47" w:name="OLE_LINK321"/>
      <w:bookmarkStart w:id="48" w:name="OLE_LINK385"/>
      <w:bookmarkStart w:id="49" w:name="OLE_LINK400"/>
      <w:bookmarkStart w:id="50" w:name="OLE_LINK346"/>
      <w:bookmarkStart w:id="51" w:name="OLE_LINK371"/>
      <w:bookmarkStart w:id="52" w:name="OLE_LINK334"/>
      <w:bookmarkStart w:id="53" w:name="OLE_LINK1830"/>
      <w:bookmarkStart w:id="54" w:name="OLE_LINK457"/>
      <w:bookmarkStart w:id="55" w:name="OLE_LINK288"/>
      <w:bookmarkStart w:id="56" w:name="OLE_LINK384"/>
      <w:bookmarkStart w:id="57" w:name="OLE_LINK379"/>
      <w:bookmarkStart w:id="58" w:name="OLE_LINK303"/>
      <w:bookmarkStart w:id="59" w:name="OLE_LINK450"/>
      <w:bookmarkStart w:id="60" w:name="OLE_LINK489"/>
      <w:bookmarkStart w:id="61" w:name="OLE_LINK535"/>
      <w:bookmarkStart w:id="62" w:name="OLE_LINK648"/>
      <w:bookmarkStart w:id="63" w:name="OLE_LINK686"/>
      <w:bookmarkStart w:id="64" w:name="OLE_LINK471"/>
      <w:bookmarkStart w:id="65" w:name="OLE_LINK462"/>
      <w:bookmarkStart w:id="66" w:name="OLE_LINK519"/>
      <w:bookmarkStart w:id="67" w:name="OLE_LINK575"/>
      <w:bookmarkStart w:id="68" w:name="OLE_LINK491"/>
      <w:bookmarkStart w:id="69" w:name="OLE_LINK532"/>
      <w:bookmarkStart w:id="70" w:name="OLE_LINK572"/>
      <w:bookmarkStart w:id="71" w:name="OLE_LINK574"/>
      <w:bookmarkStart w:id="72" w:name="OLE_LINK480"/>
      <w:bookmarkStart w:id="73" w:name="OLE_LINK567"/>
      <w:bookmarkStart w:id="74" w:name="OLE_LINK2700"/>
      <w:bookmarkStart w:id="75" w:name="OLE_LINK581"/>
      <w:bookmarkStart w:id="76" w:name="OLE_LINK639"/>
      <w:bookmarkStart w:id="77" w:name="OLE_LINK688"/>
      <w:bookmarkStart w:id="78" w:name="OLE_LINK722"/>
      <w:bookmarkStart w:id="79" w:name="OLE_LINK542"/>
      <w:bookmarkStart w:id="80" w:name="OLE_LINK589"/>
      <w:bookmarkStart w:id="81" w:name="OLE_LINK582"/>
      <w:bookmarkStart w:id="82" w:name="OLE_LINK640"/>
      <w:bookmarkStart w:id="83" w:name="OLE_LINK714"/>
      <w:bookmarkStart w:id="84" w:name="OLE_LINK593"/>
      <w:bookmarkStart w:id="85" w:name="OLE_LINK716"/>
      <w:bookmarkStart w:id="86" w:name="OLE_LINK770"/>
      <w:bookmarkStart w:id="87" w:name="OLE_LINK801"/>
      <w:bookmarkStart w:id="88" w:name="OLE_LINK660"/>
      <w:bookmarkStart w:id="89" w:name="OLE_LINK781"/>
      <w:bookmarkStart w:id="90" w:name="OLE_LINK833"/>
      <w:bookmarkStart w:id="91" w:name="OLE_LINK642"/>
      <w:bookmarkStart w:id="92" w:name="OLE_LINK700"/>
      <w:bookmarkStart w:id="93" w:name="OLE_LINK792"/>
      <w:bookmarkStart w:id="94" w:name="OLE_LINK2882"/>
      <w:bookmarkStart w:id="95" w:name="OLE_LINK836"/>
      <w:bookmarkStart w:id="96" w:name="OLE_LINK889"/>
      <w:bookmarkStart w:id="97" w:name="OLE_LINK782"/>
      <w:bookmarkStart w:id="98" w:name="OLE_LINK826"/>
      <w:bookmarkStart w:id="99" w:name="OLE_LINK865"/>
      <w:bookmarkStart w:id="100" w:name="OLE_LINK856"/>
      <w:bookmarkStart w:id="101" w:name="OLE_LINK908"/>
      <w:bookmarkStart w:id="102" w:name="OLE_LINK980"/>
      <w:bookmarkStart w:id="103" w:name="OLE_LINK1018"/>
      <w:bookmarkStart w:id="104" w:name="OLE_LINK1049"/>
      <w:bookmarkStart w:id="105" w:name="OLE_LINK1076"/>
      <w:bookmarkStart w:id="106" w:name="OLE_LINK1106"/>
      <w:bookmarkStart w:id="107" w:name="OLE_LINK891"/>
      <w:bookmarkStart w:id="108" w:name="OLE_LINK943"/>
      <w:bookmarkStart w:id="109" w:name="OLE_LINK981"/>
      <w:bookmarkStart w:id="110" w:name="OLE_LINK1030"/>
      <w:bookmarkStart w:id="111" w:name="OLE_LINK847"/>
      <w:bookmarkStart w:id="112" w:name="OLE_LINK909"/>
      <w:bookmarkStart w:id="113" w:name="OLE_LINK906"/>
      <w:bookmarkStart w:id="114" w:name="OLE_LINK992"/>
      <w:bookmarkStart w:id="115" w:name="OLE_LINK993"/>
      <w:bookmarkStart w:id="116" w:name="OLE_LINK1052"/>
      <w:bookmarkStart w:id="117" w:name="OLE_LINK946"/>
      <w:bookmarkStart w:id="118" w:name="OLE_LINK911"/>
      <w:bookmarkStart w:id="119" w:name="OLE_LINK930"/>
      <w:bookmarkStart w:id="120" w:name="OLE_LINK1059"/>
      <w:bookmarkStart w:id="121" w:name="OLE_LINK1174"/>
      <w:bookmarkStart w:id="122" w:name="OLE_LINK1137"/>
      <w:bookmarkStart w:id="123" w:name="OLE_LINK1167"/>
      <w:bookmarkStart w:id="124" w:name="OLE_LINK1200"/>
      <w:bookmarkStart w:id="125" w:name="OLE_LINK1241"/>
      <w:bookmarkStart w:id="126" w:name="OLE_LINK1288"/>
      <w:bookmarkStart w:id="127" w:name="OLE_LINK1056"/>
      <w:bookmarkStart w:id="128" w:name="OLE_LINK1158"/>
      <w:bookmarkStart w:id="129" w:name="OLE_LINK1175"/>
      <w:bookmarkStart w:id="130" w:name="OLE_LINK1074"/>
      <w:bookmarkStart w:id="131" w:name="OLE_LINK1169"/>
    </w:p>
    <w:p w:rsidR="00C358E6" w:rsidRPr="00C358E6" w:rsidRDefault="00C358E6" w:rsidP="001E7811">
      <w:pPr>
        <w:widowControl w:val="0"/>
        <w:spacing w:after="0" w:line="360" w:lineRule="auto"/>
        <w:jc w:val="right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r w:rsidRPr="00C358E6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P-Reviewer:</w:t>
      </w:r>
      <w:r w:rsidRPr="00C358E6">
        <w:rPr>
          <w:rFonts w:ascii="Book Antiqua" w:eastAsia="宋体" w:hAnsi="Book Antiqua" w:cs="Times New Roman" w:hint="eastAsia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358E6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Bouras</w:t>
      </w:r>
      <w:proofErr w:type="spellEnd"/>
      <w:r w:rsidRPr="00C358E6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AF</w:t>
      </w:r>
      <w:r w:rsidR="001E7811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>,</w:t>
      </w:r>
      <w:r w:rsidRPr="00C358E6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C358E6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Dondossola</w:t>
      </w:r>
      <w:proofErr w:type="spellEnd"/>
      <w:r w:rsidRPr="00C358E6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D</w:t>
      </w:r>
      <w:r w:rsidRPr="00C358E6">
        <w:rPr>
          <w:rFonts w:ascii="Book Antiqua" w:eastAsia="宋体" w:hAnsi="Book Antiqua" w:cs="Times New Roman" w:hint="eastAsia"/>
          <w:b/>
          <w:bCs/>
          <w:kern w:val="2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S-Editor:</w:t>
      </w:r>
      <w:r w:rsidRPr="00C358E6">
        <w:rPr>
          <w:rFonts w:ascii="Book Antiqua" w:eastAsia="宋体" w:hAnsi="Book Antiqua" w:cs="Times New Roman" w:hint="eastAsia"/>
          <w:kern w:val="2"/>
          <w:sz w:val="24"/>
          <w:szCs w:val="24"/>
          <w:lang w:eastAsia="zh-CN"/>
        </w:rPr>
        <w:t xml:space="preserve"> Gong ZM</w:t>
      </w:r>
    </w:p>
    <w:p w:rsidR="00C358E6" w:rsidRPr="00C358E6" w:rsidRDefault="00C358E6" w:rsidP="00C358E6">
      <w:pPr>
        <w:widowControl w:val="0"/>
        <w:spacing w:after="0" w:line="360" w:lineRule="auto"/>
        <w:jc w:val="right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r w:rsidRPr="00C358E6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L-Editor:</w:t>
      </w:r>
      <w:r w:rsidRPr="00C358E6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 </w:t>
      </w:r>
      <w:r w:rsidRPr="00C358E6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E-Editor: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p w:rsidR="00C616E6" w:rsidRDefault="00C616E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32184" w:rsidRPr="00011D5D" w:rsidRDefault="00932184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011D5D">
        <w:rPr>
          <w:rFonts w:ascii="Book Antiqua" w:hAnsi="Book Antiqua"/>
          <w:b/>
          <w:sz w:val="24"/>
          <w:szCs w:val="24"/>
        </w:rPr>
        <w:lastRenderedPageBreak/>
        <w:t>Table 1</w:t>
      </w:r>
      <w:r w:rsidR="004D79D2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9051A3" w:rsidRPr="00011D5D">
        <w:rPr>
          <w:rFonts w:ascii="Book Antiqua" w:hAnsi="Book Antiqua"/>
          <w:b/>
          <w:sz w:val="24"/>
          <w:szCs w:val="24"/>
        </w:rPr>
        <w:t xml:space="preserve">Expanded </w:t>
      </w:r>
      <w:r w:rsidR="00C616E6" w:rsidRPr="00011D5D">
        <w:rPr>
          <w:rFonts w:ascii="Book Antiqua" w:hAnsi="Book Antiqua"/>
          <w:b/>
          <w:sz w:val="24"/>
          <w:szCs w:val="24"/>
        </w:rPr>
        <w:t>m</w:t>
      </w:r>
      <w:r w:rsidR="00524466" w:rsidRPr="00011D5D">
        <w:rPr>
          <w:rFonts w:ascii="Book Antiqua" w:hAnsi="Book Antiqua"/>
          <w:b/>
          <w:sz w:val="24"/>
          <w:szCs w:val="24"/>
        </w:rPr>
        <w:t xml:space="preserve">orphometric </w:t>
      </w:r>
      <w:r w:rsidR="00C616E6" w:rsidRPr="00011D5D">
        <w:rPr>
          <w:rFonts w:ascii="Book Antiqua" w:hAnsi="Book Antiqua"/>
          <w:b/>
          <w:sz w:val="24"/>
          <w:szCs w:val="24"/>
        </w:rPr>
        <w:t>c</w:t>
      </w:r>
      <w:r w:rsidR="009051A3" w:rsidRPr="00011D5D">
        <w:rPr>
          <w:rFonts w:ascii="Book Antiqua" w:hAnsi="Book Antiqua"/>
          <w:b/>
          <w:sz w:val="24"/>
          <w:szCs w:val="24"/>
        </w:rPr>
        <w:t xml:space="preserve">riteria for </w:t>
      </w:r>
      <w:r w:rsidR="004D79D2" w:rsidRPr="004D79D2">
        <w:rPr>
          <w:rFonts w:ascii="Book Antiqua" w:hAnsi="Book Antiqua"/>
          <w:b/>
          <w:sz w:val="24"/>
          <w:szCs w:val="24"/>
        </w:rPr>
        <w:t>hepatocellular carcinoma</w:t>
      </w:r>
      <w:r w:rsidR="004D79D2" w:rsidRPr="00011D5D">
        <w:rPr>
          <w:rFonts w:ascii="Book Antiqua" w:hAnsi="Book Antiqua"/>
          <w:b/>
          <w:sz w:val="24"/>
          <w:szCs w:val="24"/>
        </w:rPr>
        <w:t>-</w:t>
      </w:r>
      <w:r w:rsidR="004D79D2" w:rsidRPr="004D79D2">
        <w:rPr>
          <w:rFonts w:ascii="Book Antiqua" w:hAnsi="Book Antiqua"/>
          <w:b/>
          <w:sz w:val="24"/>
          <w:szCs w:val="24"/>
        </w:rPr>
        <w:t>liver transplantation</w:t>
      </w:r>
    </w:p>
    <w:tbl>
      <w:tblPr>
        <w:tblStyle w:val="TableGrid"/>
        <w:tblW w:w="0" w:type="auto"/>
        <w:tblInd w:w="-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3"/>
        <w:gridCol w:w="1336"/>
        <w:gridCol w:w="2819"/>
        <w:gridCol w:w="1315"/>
        <w:gridCol w:w="696"/>
        <w:gridCol w:w="1949"/>
      </w:tblGrid>
      <w:tr w:rsidR="00F250AC" w:rsidRPr="00011D5D" w:rsidTr="004D79D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861" w:rsidRPr="004D79D2" w:rsidRDefault="001E7811" w:rsidP="00C616E6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861" w:rsidRPr="004D79D2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>Published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861" w:rsidRPr="004D79D2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33861" w:rsidRPr="004D79D2" w:rsidRDefault="00F250AC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 xml:space="preserve">Donor </w:t>
            </w:r>
            <w:r w:rsidR="004D79D2" w:rsidRPr="004D79D2">
              <w:rPr>
                <w:rFonts w:ascii="Book Antiqua" w:hAnsi="Book Antiqua"/>
                <w:b/>
                <w:sz w:val="24"/>
                <w:szCs w:val="24"/>
              </w:rPr>
              <w:t>t</w:t>
            </w:r>
            <w:r w:rsidRPr="004D79D2">
              <w:rPr>
                <w:rFonts w:ascii="Book Antiqua" w:hAnsi="Book Antiqua"/>
                <w:b/>
                <w:sz w:val="24"/>
                <w:szCs w:val="24"/>
              </w:rPr>
              <w:t>ype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3861" w:rsidRPr="004D79D2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33861" w:rsidRPr="004D79D2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>Survival</w:t>
            </w:r>
          </w:p>
        </w:tc>
      </w:tr>
      <w:tr w:rsidR="00F250AC" w:rsidRPr="00011D5D" w:rsidTr="004D79D2">
        <w:tc>
          <w:tcPr>
            <w:tcW w:w="0" w:type="auto"/>
            <w:tcBorders>
              <w:top w:val="single" w:sz="4" w:space="0" w:color="auto"/>
            </w:tcBorders>
            <w:hideMark/>
          </w:tcPr>
          <w:p w:rsidR="00533861" w:rsidRPr="00011D5D" w:rsidRDefault="00684CC9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Yao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13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33861" w:rsidRPr="00011D5D" w:rsidRDefault="00533861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 lesion ≤ 6.5 cm, or 2</w:t>
            </w:r>
            <w:r w:rsidR="00C616E6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Pr="00011D5D">
              <w:rPr>
                <w:rFonts w:ascii="Book Antiqua" w:hAnsi="Book Antiqua"/>
                <w:sz w:val="24"/>
                <w:szCs w:val="24"/>
              </w:rPr>
              <w:t>3 lesions ≤ 4.5 cm ea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ch Total tumor diameter ≤ 8 cm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3861" w:rsidRPr="00011D5D" w:rsidRDefault="007323DC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33861" w:rsidRPr="00011D5D" w:rsidRDefault="000D3F54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</w:t>
            </w:r>
            <w:r w:rsidR="007323DC" w:rsidRPr="00011D5D">
              <w:rPr>
                <w:rFonts w:ascii="Book Antiqua" w:hAnsi="Book Antiqua"/>
                <w:sz w:val="24"/>
                <w:szCs w:val="24"/>
              </w:rPr>
              <w:t>72.4%</w:t>
            </w:r>
          </w:p>
        </w:tc>
      </w:tr>
      <w:tr w:rsidR="00F250AC" w:rsidRPr="00011D5D" w:rsidTr="004D79D2">
        <w:tc>
          <w:tcPr>
            <w:tcW w:w="0" w:type="auto"/>
            <w:hideMark/>
          </w:tcPr>
          <w:p w:rsidR="00533861" w:rsidRPr="00011D5D" w:rsidRDefault="00684CC9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Herrero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16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2001</w:t>
            </w:r>
          </w:p>
        </w:tc>
        <w:tc>
          <w:tcPr>
            <w:tcW w:w="0" w:type="auto"/>
            <w:hideMark/>
          </w:tcPr>
          <w:p w:rsidR="00533861" w:rsidRPr="00011D5D" w:rsidRDefault="00533861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1 lesion ≤ 6 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cm, or 2</w:t>
            </w:r>
            <w:r w:rsidR="004D79D2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3 lesions ≤</w:t>
            </w:r>
            <w:r w:rsidR="00533DEB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5 cm each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0" w:type="auto"/>
          </w:tcPr>
          <w:p w:rsidR="00533861" w:rsidRPr="00011D5D" w:rsidRDefault="007323DC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533861" w:rsidRPr="00011D5D" w:rsidRDefault="000D3F54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</w:t>
            </w:r>
            <w:r w:rsidR="00BE42AA" w:rsidRPr="00011D5D">
              <w:rPr>
                <w:rFonts w:ascii="Book Antiqua" w:hAnsi="Book Antiqua"/>
                <w:sz w:val="24"/>
                <w:szCs w:val="24"/>
              </w:rPr>
              <w:t>79%</w:t>
            </w:r>
          </w:p>
        </w:tc>
      </w:tr>
      <w:tr w:rsidR="00F250AC" w:rsidRPr="00011D5D" w:rsidTr="004D79D2">
        <w:tc>
          <w:tcPr>
            <w:tcW w:w="0" w:type="auto"/>
            <w:hideMark/>
          </w:tcPr>
          <w:p w:rsidR="00533861" w:rsidRPr="00011D5D" w:rsidRDefault="00684CC9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Roayaie</w:t>
            </w:r>
            <w:proofErr w:type="spellEnd"/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19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2002</w:t>
            </w:r>
          </w:p>
        </w:tc>
        <w:tc>
          <w:tcPr>
            <w:tcW w:w="0" w:type="auto"/>
            <w:hideMark/>
          </w:tcPr>
          <w:p w:rsidR="00533861" w:rsidRPr="00011D5D" w:rsidRDefault="00533861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Any number of lesions, 5</w:t>
            </w:r>
            <w:r w:rsidR="004D79D2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7 cm each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0" w:type="auto"/>
          </w:tcPr>
          <w:p w:rsidR="00533861" w:rsidRPr="00011D5D" w:rsidRDefault="0016385C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33861" w:rsidRPr="00011D5D" w:rsidRDefault="000D3F54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RFS: </w:t>
            </w:r>
            <w:r w:rsidR="0016385C" w:rsidRPr="00011D5D">
              <w:rPr>
                <w:rFonts w:ascii="Book Antiqua" w:hAnsi="Book Antiqua"/>
                <w:sz w:val="24"/>
                <w:szCs w:val="24"/>
              </w:rPr>
              <w:t>55%</w:t>
            </w:r>
          </w:p>
        </w:tc>
      </w:tr>
      <w:tr w:rsidR="00F250AC" w:rsidRPr="00011D5D" w:rsidTr="004D79D2">
        <w:tc>
          <w:tcPr>
            <w:tcW w:w="0" w:type="auto"/>
            <w:hideMark/>
          </w:tcPr>
          <w:p w:rsidR="00533861" w:rsidRPr="00011D5D" w:rsidRDefault="00684CC9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Keneteman</w:t>
            </w:r>
            <w:proofErr w:type="spellEnd"/>
            <w:r w:rsidR="00FE1C30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20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2004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1 lesion </w:t>
            </w:r>
            <w:r w:rsidRPr="00011D5D">
              <w:rPr>
                <w:rFonts w:ascii="Book Antiqua" w:hAnsi="Book Antiqua" w:cs="Arial"/>
                <w:sz w:val="24"/>
                <w:szCs w:val="24"/>
              </w:rPr>
              <w:t>&lt;</w:t>
            </w:r>
            <w:r w:rsidR="004D79D2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011D5D">
              <w:rPr>
                <w:rFonts w:ascii="Book Antiqua" w:hAnsi="Book Antiqua"/>
                <w:sz w:val="24"/>
                <w:szCs w:val="24"/>
              </w:rPr>
              <w:t xml:space="preserve">7.5 cm, or multiple lesions </w:t>
            </w:r>
            <w:r w:rsidRPr="00011D5D">
              <w:rPr>
                <w:rFonts w:ascii="Book Antiqua" w:hAnsi="Book Antiqua" w:cs="Arial"/>
                <w:sz w:val="24"/>
                <w:szCs w:val="24"/>
              </w:rPr>
              <w:t>&lt;</w:t>
            </w:r>
            <w:r w:rsidR="004D79D2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5 cm each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0" w:type="auto"/>
          </w:tcPr>
          <w:p w:rsidR="00533861" w:rsidRPr="00011D5D" w:rsidRDefault="00F250AC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33861" w:rsidRPr="00011D5D" w:rsidRDefault="00687DCF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4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82.9%</w:t>
            </w:r>
          </w:p>
          <w:p w:rsidR="00687DCF" w:rsidRPr="00011D5D" w:rsidRDefault="00687DCF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4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RFS: 76.8%</w:t>
            </w:r>
          </w:p>
        </w:tc>
      </w:tr>
      <w:tr w:rsidR="00F250AC" w:rsidRPr="00011D5D" w:rsidTr="004D79D2">
        <w:tc>
          <w:tcPr>
            <w:tcW w:w="0" w:type="auto"/>
            <w:hideMark/>
          </w:tcPr>
          <w:p w:rsidR="001F4712" w:rsidRPr="00011D5D" w:rsidRDefault="00684CC9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Onaca</w:t>
            </w:r>
            <w:proofErr w:type="spellEnd"/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18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:rsidR="00533861" w:rsidRPr="00011D5D" w:rsidRDefault="00533861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 lesion ≤ 6 cm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, or 2</w:t>
            </w:r>
            <w:r w:rsidR="004D79D2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4 lesions ≤ 5 cm each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0" w:type="auto"/>
          </w:tcPr>
          <w:p w:rsidR="00533861" w:rsidRPr="00011D5D" w:rsidRDefault="00B935C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1206</w:t>
            </w:r>
          </w:p>
        </w:tc>
        <w:tc>
          <w:tcPr>
            <w:tcW w:w="0" w:type="auto"/>
          </w:tcPr>
          <w:p w:rsidR="00533861" w:rsidRPr="00011D5D" w:rsidRDefault="00687DCF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RFS: 1 lesion ≤ 6 cm : 63.9%</w:t>
            </w:r>
            <w:r w:rsidR="00B935C1" w:rsidRPr="00011D5D">
              <w:rPr>
                <w:rFonts w:ascii="Book Antiqua" w:hAnsi="Book Antiqua"/>
                <w:sz w:val="24"/>
                <w:szCs w:val="24"/>
              </w:rPr>
              <w:t>/</w:t>
            </w:r>
            <w:r w:rsidRPr="00011D5D">
              <w:rPr>
                <w:rFonts w:ascii="Book Antiqua" w:hAnsi="Book Antiqua"/>
                <w:sz w:val="24"/>
                <w:szCs w:val="24"/>
              </w:rPr>
              <w:t>or 2</w:t>
            </w:r>
            <w:r w:rsidR="004D79D2">
              <w:rPr>
                <w:rFonts w:ascii="Book Antiqua" w:hAnsi="Book Antiqua" w:hint="eastAsia"/>
                <w:sz w:val="24"/>
                <w:szCs w:val="24"/>
                <w:lang w:eastAsia="zh-CN"/>
              </w:rPr>
              <w:t>-</w:t>
            </w:r>
            <w:r w:rsidRPr="00011D5D">
              <w:rPr>
                <w:rFonts w:ascii="Book Antiqua" w:hAnsi="Book Antiqua"/>
                <w:sz w:val="24"/>
                <w:szCs w:val="24"/>
              </w:rPr>
              <w:t xml:space="preserve">4 lesions 3.1-5 cm each: </w:t>
            </w:r>
            <w:r w:rsidR="00B935C1" w:rsidRPr="00011D5D">
              <w:rPr>
                <w:rFonts w:ascii="Book Antiqua" w:hAnsi="Book Antiqua"/>
                <w:sz w:val="24"/>
                <w:szCs w:val="24"/>
              </w:rPr>
              <w:t>64.6%</w:t>
            </w:r>
          </w:p>
        </w:tc>
      </w:tr>
      <w:tr w:rsidR="00290A9A" w:rsidRPr="00011D5D" w:rsidTr="004D79D2"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Soejima</w:t>
            </w:r>
            <w:proofErr w:type="spellEnd"/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23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Any number lesions ≤ 5 cm each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Living</w:t>
            </w:r>
          </w:p>
        </w:tc>
        <w:tc>
          <w:tcPr>
            <w:tcW w:w="0" w:type="auto"/>
          </w:tcPr>
          <w:p w:rsidR="00290A9A" w:rsidRPr="00011D5D" w:rsidRDefault="00A07EB0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90A9A" w:rsidRPr="00011D5D" w:rsidRDefault="00533DEB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687DCF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687DCF"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687DCF" w:rsidRPr="00011D5D">
              <w:rPr>
                <w:rFonts w:ascii="Book Antiqua" w:hAnsi="Book Antiqua"/>
                <w:sz w:val="24"/>
                <w:szCs w:val="24"/>
              </w:rPr>
              <w:t xml:space="preserve"> OS: </w:t>
            </w:r>
            <w:r w:rsidR="00A07EB0" w:rsidRPr="00011D5D">
              <w:rPr>
                <w:rFonts w:ascii="Book Antiqua" w:hAnsi="Book Antiqua"/>
                <w:sz w:val="24"/>
                <w:szCs w:val="24"/>
              </w:rPr>
              <w:t>68.6 %</w:t>
            </w:r>
          </w:p>
        </w:tc>
      </w:tr>
      <w:tr w:rsidR="00290A9A" w:rsidRPr="00011D5D" w:rsidTr="004D79D2"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Jonas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24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:rsidR="00290A9A" w:rsidRPr="00011D5D" w:rsidRDefault="00D96474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Single lesion and diameter, or a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ny number of lesions ≤ 6 cm each. Total tumor diameter ≤ 15 cm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Living</w:t>
            </w:r>
          </w:p>
        </w:tc>
        <w:tc>
          <w:tcPr>
            <w:tcW w:w="0" w:type="auto"/>
          </w:tcPr>
          <w:p w:rsidR="00290A9A" w:rsidRPr="00011D5D" w:rsidRDefault="00D96474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90A9A" w:rsidRPr="00011D5D" w:rsidRDefault="00687DCF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3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</w:t>
            </w:r>
            <w:r w:rsidR="00D96474" w:rsidRPr="00011D5D">
              <w:rPr>
                <w:rFonts w:ascii="Book Antiqua" w:hAnsi="Book Antiqua"/>
                <w:sz w:val="24"/>
                <w:szCs w:val="24"/>
              </w:rPr>
              <w:t>53%</w:t>
            </w:r>
          </w:p>
        </w:tc>
      </w:tr>
      <w:tr w:rsidR="00290A9A" w:rsidRPr="00011D5D" w:rsidTr="004D79D2"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Sugawara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25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Up to 5 lesions ≤ 5 cm each</w:t>
            </w:r>
          </w:p>
        </w:tc>
        <w:tc>
          <w:tcPr>
            <w:tcW w:w="0" w:type="auto"/>
            <w:hideMark/>
          </w:tcPr>
          <w:p w:rsidR="00290A9A" w:rsidRPr="00011D5D" w:rsidRDefault="00290A9A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Living</w:t>
            </w:r>
          </w:p>
        </w:tc>
        <w:tc>
          <w:tcPr>
            <w:tcW w:w="0" w:type="auto"/>
          </w:tcPr>
          <w:p w:rsidR="00290A9A" w:rsidRPr="00011D5D" w:rsidRDefault="00434E3F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90A9A" w:rsidRPr="00011D5D" w:rsidRDefault="00434E3F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3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011D5D">
              <w:rPr>
                <w:rFonts w:ascii="Book Antiqua" w:hAnsi="Book Antiqua"/>
                <w:sz w:val="24"/>
                <w:szCs w:val="24"/>
              </w:rPr>
              <w:t>RFS: 94%</w:t>
            </w:r>
          </w:p>
        </w:tc>
      </w:tr>
      <w:tr w:rsidR="00F250AC" w:rsidRPr="00011D5D" w:rsidTr="004D79D2">
        <w:tc>
          <w:tcPr>
            <w:tcW w:w="0" w:type="auto"/>
            <w:hideMark/>
          </w:tcPr>
          <w:p w:rsidR="00533861" w:rsidRPr="00011D5D" w:rsidRDefault="00684CC9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lastRenderedPageBreak/>
              <w:t>Silva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17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1-3 lesions ≤ 5 cm ea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ch. Total tumor diameter ≤</w:t>
            </w:r>
            <w:r w:rsidR="004D79D2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="00290A9A" w:rsidRPr="00011D5D">
              <w:rPr>
                <w:rFonts w:ascii="Book Antiqua" w:hAnsi="Book Antiqua"/>
                <w:sz w:val="24"/>
                <w:szCs w:val="24"/>
              </w:rPr>
              <w:t>10 cm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0" w:type="auto"/>
          </w:tcPr>
          <w:p w:rsidR="00533861" w:rsidRPr="00011D5D" w:rsidRDefault="0084272B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533861" w:rsidRPr="00011D5D" w:rsidRDefault="00687DCF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67%</w:t>
            </w:r>
          </w:p>
        </w:tc>
      </w:tr>
      <w:tr w:rsidR="00F250AC" w:rsidRPr="00011D5D" w:rsidTr="004D79D2"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Mazzaferro</w:t>
            </w:r>
            <w:proofErr w:type="spellEnd"/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21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2009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The sum of the size and number of tumors not exceeding 7</w:t>
            </w:r>
            <w:r w:rsidR="004E3DB1" w:rsidRPr="00011D5D">
              <w:rPr>
                <w:rFonts w:ascii="Book Antiqua" w:hAnsi="Book Antiqua"/>
                <w:sz w:val="24"/>
                <w:szCs w:val="24"/>
              </w:rPr>
              <w:t xml:space="preserve"> in the absence of microvascular invasion</w:t>
            </w:r>
          </w:p>
        </w:tc>
        <w:tc>
          <w:tcPr>
            <w:tcW w:w="0" w:type="auto"/>
            <w:hideMark/>
          </w:tcPr>
          <w:p w:rsidR="00533861" w:rsidRPr="00011D5D" w:rsidRDefault="0053386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Both</w:t>
            </w:r>
          </w:p>
        </w:tc>
        <w:tc>
          <w:tcPr>
            <w:tcW w:w="0" w:type="auto"/>
          </w:tcPr>
          <w:p w:rsidR="00533861" w:rsidRPr="00011D5D" w:rsidRDefault="001314E1" w:rsidP="00C616E6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1556</w:t>
            </w:r>
          </w:p>
        </w:tc>
        <w:tc>
          <w:tcPr>
            <w:tcW w:w="0" w:type="auto"/>
          </w:tcPr>
          <w:p w:rsidR="00533861" w:rsidRPr="00011D5D" w:rsidRDefault="00687DCF" w:rsidP="00533DEB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</w:t>
            </w:r>
            <w:r w:rsidR="001314E1" w:rsidRPr="00011D5D">
              <w:rPr>
                <w:rFonts w:ascii="Book Antiqua" w:hAnsi="Book Antiqua"/>
                <w:sz w:val="24"/>
                <w:szCs w:val="24"/>
              </w:rPr>
              <w:t>71.2%</w:t>
            </w:r>
          </w:p>
        </w:tc>
      </w:tr>
    </w:tbl>
    <w:p w:rsidR="00212E24" w:rsidRPr="00011D5D" w:rsidRDefault="004D79D2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11D5D">
        <w:rPr>
          <w:rFonts w:ascii="Book Antiqua" w:hAnsi="Book Antiqua"/>
          <w:sz w:val="24"/>
          <w:szCs w:val="24"/>
        </w:rPr>
        <w:t>RFS</w:t>
      </w:r>
      <w:r>
        <w:rPr>
          <w:rFonts w:ascii="Book Antiqua" w:hAnsi="Book Antiqua" w:hint="eastAsia"/>
          <w:sz w:val="24"/>
          <w:szCs w:val="24"/>
          <w:lang w:eastAsia="zh-CN"/>
        </w:rPr>
        <w:t>: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Pr="004D79D2">
        <w:rPr>
          <w:rFonts w:ascii="Book Antiqua" w:hAnsi="Book Antiqua"/>
          <w:caps/>
          <w:sz w:val="24"/>
          <w:szCs w:val="24"/>
        </w:rPr>
        <w:t>r</w:t>
      </w:r>
      <w:r w:rsidRPr="00011D5D">
        <w:rPr>
          <w:rFonts w:ascii="Book Antiqua" w:hAnsi="Book Antiqua"/>
          <w:sz w:val="24"/>
          <w:szCs w:val="24"/>
        </w:rPr>
        <w:t>ecurrence free survival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; OS: </w:t>
      </w:r>
      <w:r w:rsidRPr="004D79D2">
        <w:rPr>
          <w:rFonts w:ascii="Book Antiqua" w:hAnsi="Book Antiqua"/>
          <w:caps/>
          <w:sz w:val="24"/>
          <w:szCs w:val="24"/>
          <w:lang w:eastAsia="zh-CN"/>
        </w:rPr>
        <w:t>o</w:t>
      </w:r>
      <w:r w:rsidRPr="004D79D2">
        <w:rPr>
          <w:rFonts w:ascii="Book Antiqua" w:hAnsi="Book Antiqua"/>
          <w:sz w:val="24"/>
          <w:szCs w:val="24"/>
          <w:lang w:eastAsia="zh-CN"/>
        </w:rPr>
        <w:t>verall survival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1054AE" w:rsidRPr="00011D5D" w:rsidRDefault="001054AE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C616E6" w:rsidRDefault="00C616E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932184" w:rsidRPr="00011D5D" w:rsidRDefault="009051A3" w:rsidP="00011D5D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011D5D">
        <w:rPr>
          <w:rFonts w:ascii="Book Antiqua" w:hAnsi="Book Antiqua"/>
          <w:b/>
          <w:sz w:val="24"/>
          <w:szCs w:val="24"/>
        </w:rPr>
        <w:lastRenderedPageBreak/>
        <w:t>Table 2</w:t>
      </w:r>
      <w:r w:rsidR="004D79D2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011D5D">
        <w:rPr>
          <w:rFonts w:ascii="Book Antiqua" w:hAnsi="Book Antiqua"/>
          <w:b/>
          <w:sz w:val="24"/>
          <w:szCs w:val="24"/>
        </w:rPr>
        <w:t xml:space="preserve">Expanded </w:t>
      </w:r>
      <w:r w:rsidR="004D79D2" w:rsidRPr="00011D5D">
        <w:rPr>
          <w:rFonts w:ascii="Book Antiqua" w:hAnsi="Book Antiqua"/>
          <w:b/>
          <w:sz w:val="24"/>
          <w:szCs w:val="24"/>
        </w:rPr>
        <w:t>c</w:t>
      </w:r>
      <w:r w:rsidR="001054AE" w:rsidRPr="00011D5D">
        <w:rPr>
          <w:rFonts w:ascii="Book Antiqua" w:hAnsi="Book Antiqua"/>
          <w:b/>
          <w:sz w:val="24"/>
          <w:szCs w:val="24"/>
        </w:rPr>
        <w:t>riteria that</w:t>
      </w:r>
      <w:r w:rsidR="001F4712" w:rsidRPr="00011D5D">
        <w:rPr>
          <w:rFonts w:ascii="Book Antiqua" w:hAnsi="Book Antiqua"/>
          <w:b/>
          <w:sz w:val="24"/>
          <w:szCs w:val="24"/>
        </w:rPr>
        <w:t xml:space="preserve"> </w:t>
      </w:r>
      <w:r w:rsidR="004D79D2" w:rsidRPr="00011D5D">
        <w:rPr>
          <w:rFonts w:ascii="Book Antiqua" w:hAnsi="Book Antiqua"/>
          <w:b/>
          <w:sz w:val="24"/>
          <w:szCs w:val="24"/>
        </w:rPr>
        <w:t>i</w:t>
      </w:r>
      <w:r w:rsidR="001F4712" w:rsidRPr="00011D5D">
        <w:rPr>
          <w:rFonts w:ascii="Book Antiqua" w:hAnsi="Book Antiqua"/>
          <w:b/>
          <w:sz w:val="24"/>
          <w:szCs w:val="24"/>
        </w:rPr>
        <w:t>ncorporate</w:t>
      </w:r>
      <w:r w:rsidRPr="00011D5D">
        <w:rPr>
          <w:rFonts w:ascii="Book Antiqua" w:hAnsi="Book Antiqua"/>
          <w:b/>
          <w:sz w:val="24"/>
          <w:szCs w:val="24"/>
        </w:rPr>
        <w:t xml:space="preserve"> </w:t>
      </w:r>
      <w:r w:rsidR="004D79D2" w:rsidRPr="00011D5D">
        <w:rPr>
          <w:rFonts w:ascii="Book Antiqua" w:hAnsi="Book Antiqua"/>
          <w:b/>
          <w:sz w:val="24"/>
          <w:szCs w:val="24"/>
        </w:rPr>
        <w:t>t</w:t>
      </w:r>
      <w:r w:rsidR="00524466" w:rsidRPr="00011D5D">
        <w:rPr>
          <w:rFonts w:ascii="Book Antiqua" w:hAnsi="Book Antiqua"/>
          <w:b/>
          <w:sz w:val="24"/>
          <w:szCs w:val="24"/>
        </w:rPr>
        <w:t xml:space="preserve">umor </w:t>
      </w:r>
      <w:r w:rsidR="004D79D2" w:rsidRPr="00011D5D">
        <w:rPr>
          <w:rFonts w:ascii="Book Antiqua" w:hAnsi="Book Antiqua"/>
          <w:b/>
          <w:sz w:val="24"/>
          <w:szCs w:val="24"/>
        </w:rPr>
        <w:t>b</w:t>
      </w:r>
      <w:r w:rsidRPr="00011D5D">
        <w:rPr>
          <w:rFonts w:ascii="Book Antiqua" w:hAnsi="Book Antiqua"/>
          <w:b/>
          <w:sz w:val="24"/>
          <w:szCs w:val="24"/>
        </w:rPr>
        <w:t>iomarkers</w:t>
      </w:r>
      <w:r w:rsidR="001F4712" w:rsidRPr="00011D5D">
        <w:rPr>
          <w:rFonts w:ascii="Book Antiqua" w:hAnsi="Book Antiqua"/>
          <w:b/>
          <w:sz w:val="24"/>
          <w:szCs w:val="24"/>
        </w:rPr>
        <w:t xml:space="preserve"> for </w:t>
      </w:r>
      <w:r w:rsidR="004D79D2" w:rsidRPr="004D79D2">
        <w:rPr>
          <w:rFonts w:ascii="Book Antiqua" w:hAnsi="Book Antiqua"/>
          <w:b/>
          <w:sz w:val="24"/>
          <w:szCs w:val="24"/>
        </w:rPr>
        <w:t>hepatocellular carcinoma</w:t>
      </w:r>
      <w:r w:rsidR="001F4712" w:rsidRPr="00011D5D">
        <w:rPr>
          <w:rFonts w:ascii="Book Antiqua" w:hAnsi="Book Antiqua"/>
          <w:b/>
          <w:sz w:val="24"/>
          <w:szCs w:val="24"/>
        </w:rPr>
        <w:t>-</w:t>
      </w:r>
      <w:r w:rsidR="004D79D2" w:rsidRPr="004D79D2">
        <w:rPr>
          <w:rFonts w:ascii="Book Antiqua" w:hAnsi="Book Antiqua"/>
          <w:b/>
          <w:sz w:val="24"/>
          <w:szCs w:val="24"/>
        </w:rPr>
        <w:t>liver transplantation</w:t>
      </w:r>
    </w:p>
    <w:tbl>
      <w:tblPr>
        <w:tblStyle w:val="TableGrid"/>
        <w:tblW w:w="10217" w:type="dxa"/>
        <w:tblInd w:w="-2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121"/>
        <w:gridCol w:w="2631"/>
        <w:gridCol w:w="1853"/>
        <w:gridCol w:w="1319"/>
        <w:gridCol w:w="576"/>
        <w:gridCol w:w="1516"/>
      </w:tblGrid>
      <w:tr w:rsidR="004D79D2" w:rsidRPr="00011D5D" w:rsidTr="00E15336">
        <w:trPr>
          <w:trHeight w:val="874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1A3" w:rsidRPr="004D79D2" w:rsidRDefault="00533DEB" w:rsidP="004D79D2">
            <w:pPr>
              <w:snapToGrid w:val="0"/>
              <w:spacing w:line="360" w:lineRule="auto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>Ref.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1A3" w:rsidRPr="004D79D2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>Published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1A3" w:rsidRPr="004D79D2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 xml:space="preserve">Morphometric </w:t>
            </w:r>
            <w:r w:rsidR="004D79D2" w:rsidRPr="004D79D2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Pr="004D79D2">
              <w:rPr>
                <w:rFonts w:ascii="Book Antiqua" w:hAnsi="Book Antiqua"/>
                <w:b/>
                <w:sz w:val="24"/>
                <w:szCs w:val="24"/>
              </w:rPr>
              <w:t>riteria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051A3" w:rsidRPr="004D79D2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 xml:space="preserve">Biomarker </w:t>
            </w:r>
            <w:r w:rsidR="004D79D2" w:rsidRPr="004D79D2">
              <w:rPr>
                <w:rFonts w:ascii="Book Antiqua" w:hAnsi="Book Antiqua"/>
                <w:b/>
                <w:sz w:val="24"/>
                <w:szCs w:val="24"/>
              </w:rPr>
              <w:t>c</w:t>
            </w:r>
            <w:r w:rsidRPr="004D79D2">
              <w:rPr>
                <w:rFonts w:ascii="Book Antiqua" w:hAnsi="Book Antiqua"/>
                <w:b/>
                <w:sz w:val="24"/>
                <w:szCs w:val="24"/>
              </w:rPr>
              <w:t>riteria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</w:tcPr>
          <w:p w:rsidR="009051A3" w:rsidRPr="004D79D2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 xml:space="preserve">Donor </w:t>
            </w:r>
            <w:r w:rsidR="004D79D2" w:rsidRPr="004D79D2">
              <w:rPr>
                <w:rFonts w:ascii="Book Antiqua" w:hAnsi="Book Antiqua"/>
                <w:b/>
                <w:sz w:val="24"/>
                <w:szCs w:val="24"/>
              </w:rPr>
              <w:t>t</w:t>
            </w:r>
            <w:r w:rsidRPr="004D79D2">
              <w:rPr>
                <w:rFonts w:ascii="Book Antiqua" w:hAnsi="Book Antiqua"/>
                <w:b/>
                <w:sz w:val="24"/>
                <w:szCs w:val="24"/>
              </w:rPr>
              <w:t>ype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9051A3" w:rsidRPr="004D79D2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9051A3" w:rsidRPr="004D79D2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D79D2">
              <w:rPr>
                <w:rFonts w:ascii="Book Antiqua" w:hAnsi="Book Antiqua"/>
                <w:b/>
                <w:sz w:val="24"/>
                <w:szCs w:val="24"/>
              </w:rPr>
              <w:t>Survival</w:t>
            </w:r>
          </w:p>
        </w:tc>
      </w:tr>
      <w:tr w:rsidR="004D79D2" w:rsidRPr="00011D5D" w:rsidTr="00E15336">
        <w:trPr>
          <w:trHeight w:val="936"/>
        </w:trPr>
        <w:tc>
          <w:tcPr>
            <w:tcW w:w="1201" w:type="dxa"/>
            <w:tcBorders>
              <w:top w:val="single" w:sz="4" w:space="0" w:color="auto"/>
            </w:tcBorders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Kwon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="00790C4B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4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Any number of lesions ≤ 5 cm each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AFP ≤ 400 ng/mL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Living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9051A3" w:rsidRPr="00011D5D" w:rsidRDefault="00BD6F0A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139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9051A3" w:rsidRPr="00011D5D" w:rsidRDefault="00BD6F0A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79.9%</w:t>
            </w:r>
          </w:p>
        </w:tc>
      </w:tr>
      <w:tr w:rsidR="004D79D2" w:rsidRPr="00011D5D" w:rsidTr="00E15336">
        <w:trPr>
          <w:trHeight w:val="912"/>
        </w:trPr>
        <w:tc>
          <w:tcPr>
            <w:tcW w:w="1201" w:type="dxa"/>
          </w:tcPr>
          <w:p w:rsidR="00434E3F" w:rsidRPr="00011D5D" w:rsidRDefault="00434E3F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Takada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="00790C4B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8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</w:tcPr>
          <w:p w:rsidR="00434E3F" w:rsidRPr="00011D5D" w:rsidRDefault="00434E3F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2007</w:t>
            </w:r>
          </w:p>
        </w:tc>
        <w:tc>
          <w:tcPr>
            <w:tcW w:w="2631" w:type="dxa"/>
          </w:tcPr>
          <w:p w:rsidR="00434E3F" w:rsidRPr="00011D5D" w:rsidRDefault="004D79D2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sz w:val="24"/>
                <w:szCs w:val="24"/>
              </w:rPr>
              <w:t>Up to 10 lesions ≤ 5 cm each</w:t>
            </w:r>
          </w:p>
        </w:tc>
        <w:tc>
          <w:tcPr>
            <w:tcW w:w="1853" w:type="dxa"/>
          </w:tcPr>
          <w:p w:rsidR="00434E3F" w:rsidRPr="00011D5D" w:rsidRDefault="000C7FEA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PIVKA-II ≤ 400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mAU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>/ml</w:t>
            </w:r>
          </w:p>
        </w:tc>
        <w:tc>
          <w:tcPr>
            <w:tcW w:w="1319" w:type="dxa"/>
          </w:tcPr>
          <w:p w:rsidR="00434E3F" w:rsidRPr="00011D5D" w:rsidRDefault="000C7FEA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Living</w:t>
            </w:r>
          </w:p>
        </w:tc>
        <w:tc>
          <w:tcPr>
            <w:tcW w:w="576" w:type="dxa"/>
          </w:tcPr>
          <w:p w:rsidR="00434E3F" w:rsidRPr="00011D5D" w:rsidRDefault="000C7FEA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136</w:t>
            </w:r>
          </w:p>
        </w:tc>
        <w:tc>
          <w:tcPr>
            <w:tcW w:w="1516" w:type="dxa"/>
          </w:tcPr>
          <w:p w:rsidR="00434E3F" w:rsidRPr="00011D5D" w:rsidRDefault="00D905F1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C7FEA" w:rsidRPr="00011D5D">
              <w:rPr>
                <w:rFonts w:ascii="Book Antiqua" w:hAnsi="Book Antiqua"/>
                <w:sz w:val="24"/>
                <w:szCs w:val="24"/>
              </w:rPr>
              <w:t>OS: 87%</w:t>
            </w:r>
          </w:p>
        </w:tc>
      </w:tr>
      <w:tr w:rsidR="004D79D2" w:rsidRPr="00011D5D" w:rsidTr="00E15336">
        <w:trPr>
          <w:trHeight w:val="2606"/>
        </w:trPr>
        <w:tc>
          <w:tcPr>
            <w:tcW w:w="120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Zheng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29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2008</w:t>
            </w:r>
          </w:p>
        </w:tc>
        <w:tc>
          <w:tcPr>
            <w:tcW w:w="2631" w:type="dxa"/>
            <w:hideMark/>
          </w:tcPr>
          <w:p w:rsidR="001314E1" w:rsidRPr="00011D5D" w:rsidRDefault="00524466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Total tumor diameter ≤ 8 cm.</w:t>
            </w:r>
            <w:r w:rsidR="001314E1" w:rsidRPr="00011D5D">
              <w:rPr>
                <w:rFonts w:ascii="Book Antiqua" w:hAnsi="Book Antiqua"/>
                <w:sz w:val="24"/>
                <w:szCs w:val="24"/>
              </w:rPr>
              <w:t xml:space="preserve"> or total</w:t>
            </w:r>
          </w:p>
          <w:p w:rsidR="009051A3" w:rsidRPr="00011D5D" w:rsidRDefault="001314E1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tumor diameter </w:t>
            </w:r>
            <w:r w:rsidR="00822DCA" w:rsidRPr="00011D5D">
              <w:rPr>
                <w:rFonts w:ascii="Book Antiqua" w:hAnsi="Book Antiqua" w:cs="Arial"/>
                <w:sz w:val="24"/>
                <w:szCs w:val="24"/>
              </w:rPr>
              <w:t>&gt;</w:t>
            </w:r>
            <w:r w:rsidR="00822DCA" w:rsidRPr="00011D5D">
              <w:rPr>
                <w:rFonts w:ascii="Book Antiqua" w:hAnsi="Book Antiqua"/>
                <w:sz w:val="24"/>
                <w:szCs w:val="24"/>
              </w:rPr>
              <w:t xml:space="preserve"> 8 cm </w:t>
            </w:r>
            <w:r w:rsidRPr="00011D5D">
              <w:rPr>
                <w:rFonts w:ascii="Book Antiqua" w:hAnsi="Book Antiqua"/>
                <w:sz w:val="24"/>
                <w:szCs w:val="24"/>
              </w:rPr>
              <w:t>with histopathologic grade I</w:t>
            </w:r>
            <w:r w:rsidR="004D79D2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1D5D">
              <w:rPr>
                <w:rFonts w:ascii="Book Antiqua" w:hAnsi="Book Antiqua"/>
                <w:sz w:val="24"/>
                <w:szCs w:val="24"/>
              </w:rPr>
              <w:t>or II</w:t>
            </w:r>
          </w:p>
        </w:tc>
        <w:tc>
          <w:tcPr>
            <w:tcW w:w="1853" w:type="dxa"/>
            <w:hideMark/>
          </w:tcPr>
          <w:p w:rsidR="00822DCA" w:rsidRPr="00011D5D" w:rsidRDefault="00822DCA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If total</w:t>
            </w:r>
          </w:p>
          <w:p w:rsidR="009051A3" w:rsidRPr="00011D5D" w:rsidRDefault="00822DCA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tumor diameter &gt; 8 cm: </w:t>
            </w:r>
            <w:r w:rsidR="009051A3" w:rsidRPr="00011D5D">
              <w:rPr>
                <w:rFonts w:ascii="Book Antiqua" w:hAnsi="Book Antiqua"/>
                <w:sz w:val="24"/>
                <w:szCs w:val="24"/>
              </w:rPr>
              <w:t>AFP ≤ 400 ng/mL</w:t>
            </w:r>
          </w:p>
        </w:tc>
        <w:tc>
          <w:tcPr>
            <w:tcW w:w="1319" w:type="dxa"/>
          </w:tcPr>
          <w:p w:rsidR="009051A3" w:rsidRPr="00011D5D" w:rsidRDefault="00524466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576" w:type="dxa"/>
          </w:tcPr>
          <w:p w:rsidR="009051A3" w:rsidRPr="00011D5D" w:rsidRDefault="001314E1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195</w:t>
            </w:r>
          </w:p>
        </w:tc>
        <w:tc>
          <w:tcPr>
            <w:tcW w:w="1516" w:type="dxa"/>
          </w:tcPr>
          <w:p w:rsidR="009051A3" w:rsidRPr="00011D5D" w:rsidRDefault="00822DCA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D905F1" w:rsidRPr="00011D5D">
              <w:rPr>
                <w:rFonts w:ascii="Book Antiqua" w:hAnsi="Book Antiqua"/>
                <w:sz w:val="24"/>
                <w:szCs w:val="24"/>
              </w:rPr>
              <w:t xml:space="preserve">OS: 70.7%, 5 yr. </w:t>
            </w:r>
            <w:r w:rsidRPr="00011D5D">
              <w:rPr>
                <w:rFonts w:ascii="Book Antiqua" w:hAnsi="Book Antiqua"/>
                <w:sz w:val="24"/>
                <w:szCs w:val="24"/>
              </w:rPr>
              <w:t>DFS: 62.4%</w:t>
            </w:r>
          </w:p>
        </w:tc>
      </w:tr>
      <w:tr w:rsidR="004D79D2" w:rsidRPr="00011D5D" w:rsidTr="00E15336">
        <w:trPr>
          <w:trHeight w:val="127"/>
        </w:trPr>
        <w:tc>
          <w:tcPr>
            <w:tcW w:w="120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Fujiki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1F471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>et al</w:t>
            </w:r>
            <w:r w:rsidR="003E1FDE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="00790C4B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7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2009</w:t>
            </w:r>
          </w:p>
        </w:tc>
        <w:tc>
          <w:tcPr>
            <w:tcW w:w="263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Up to 10 lesions ≤ 5 cm each</w:t>
            </w:r>
          </w:p>
        </w:tc>
        <w:tc>
          <w:tcPr>
            <w:tcW w:w="1853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DCP ≤ 400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mAU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>/mL</w:t>
            </w:r>
          </w:p>
        </w:tc>
        <w:tc>
          <w:tcPr>
            <w:tcW w:w="1319" w:type="dxa"/>
          </w:tcPr>
          <w:p w:rsidR="009051A3" w:rsidRPr="00011D5D" w:rsidRDefault="00F17E4B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Living</w:t>
            </w:r>
          </w:p>
        </w:tc>
        <w:tc>
          <w:tcPr>
            <w:tcW w:w="576" w:type="dxa"/>
          </w:tcPr>
          <w:p w:rsidR="009051A3" w:rsidRPr="00011D5D" w:rsidRDefault="00F17E4B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144</w:t>
            </w:r>
          </w:p>
        </w:tc>
        <w:tc>
          <w:tcPr>
            <w:tcW w:w="1516" w:type="dxa"/>
          </w:tcPr>
          <w:p w:rsidR="009051A3" w:rsidRPr="00011D5D" w:rsidRDefault="00AD2311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89%</w:t>
            </w:r>
          </w:p>
        </w:tc>
      </w:tr>
      <w:tr w:rsidR="004D79D2" w:rsidRPr="00011D5D" w:rsidTr="00E15336">
        <w:trPr>
          <w:trHeight w:val="899"/>
        </w:trPr>
        <w:tc>
          <w:tcPr>
            <w:tcW w:w="120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Lai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FE1C30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2012</w:t>
            </w:r>
          </w:p>
        </w:tc>
        <w:tc>
          <w:tcPr>
            <w:tcW w:w="263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Total tumor diameter ≤ 8 cm</w:t>
            </w:r>
          </w:p>
        </w:tc>
        <w:tc>
          <w:tcPr>
            <w:tcW w:w="1853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AFP ≤ 400 ng/mL</w:t>
            </w:r>
          </w:p>
        </w:tc>
        <w:tc>
          <w:tcPr>
            <w:tcW w:w="1319" w:type="dxa"/>
          </w:tcPr>
          <w:p w:rsidR="009051A3" w:rsidRPr="00011D5D" w:rsidRDefault="00CA0FCE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576" w:type="dxa"/>
          </w:tcPr>
          <w:p w:rsidR="009051A3" w:rsidRPr="00011D5D" w:rsidRDefault="00BD6F0A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158</w:t>
            </w:r>
          </w:p>
        </w:tc>
        <w:tc>
          <w:tcPr>
            <w:tcW w:w="1516" w:type="dxa"/>
          </w:tcPr>
          <w:p w:rsidR="009051A3" w:rsidRPr="00011D5D" w:rsidRDefault="00D905F1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DFS: </w:t>
            </w:r>
            <w:r w:rsidR="00BD6F0A" w:rsidRPr="00011D5D">
              <w:rPr>
                <w:rFonts w:ascii="Book Antiqua" w:hAnsi="Book Antiqua"/>
                <w:sz w:val="24"/>
                <w:szCs w:val="24"/>
              </w:rPr>
              <w:t>74.4%</w:t>
            </w:r>
          </w:p>
        </w:tc>
      </w:tr>
      <w:tr w:rsidR="004D79D2" w:rsidRPr="00011D5D" w:rsidTr="00E15336">
        <w:trPr>
          <w:trHeight w:val="899"/>
        </w:trPr>
        <w:tc>
          <w:tcPr>
            <w:tcW w:w="120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Grat</w:t>
            </w:r>
            <w:proofErr w:type="spellEnd"/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="00790C4B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6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2014</w:t>
            </w:r>
          </w:p>
        </w:tc>
        <w:tc>
          <w:tcPr>
            <w:tcW w:w="263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UCSF or Up-to-7 </w:t>
            </w:r>
            <w:r w:rsidR="004D79D2" w:rsidRPr="00011D5D">
              <w:rPr>
                <w:rFonts w:ascii="Book Antiqua" w:hAnsi="Book Antiqua"/>
                <w:sz w:val="24"/>
                <w:szCs w:val="24"/>
              </w:rPr>
              <w:t>c</w:t>
            </w:r>
            <w:r w:rsidRPr="00011D5D">
              <w:rPr>
                <w:rFonts w:ascii="Book Antiqua" w:hAnsi="Book Antiqua"/>
                <w:sz w:val="24"/>
                <w:szCs w:val="24"/>
              </w:rPr>
              <w:t>riteria</w:t>
            </w:r>
          </w:p>
        </w:tc>
        <w:tc>
          <w:tcPr>
            <w:tcW w:w="1853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AFP </w:t>
            </w:r>
            <w:r w:rsidRPr="00011D5D">
              <w:rPr>
                <w:rFonts w:ascii="Book Antiqua" w:hAnsi="Book Antiqua" w:cs="Arial"/>
                <w:sz w:val="24"/>
                <w:szCs w:val="24"/>
              </w:rPr>
              <w:t>&lt;</w:t>
            </w:r>
            <w:r w:rsidRPr="00011D5D">
              <w:rPr>
                <w:rFonts w:ascii="Book Antiqua" w:hAnsi="Book Antiqua"/>
                <w:sz w:val="24"/>
                <w:szCs w:val="24"/>
              </w:rPr>
              <w:t xml:space="preserve"> 100 ng/mL</w:t>
            </w:r>
          </w:p>
        </w:tc>
        <w:tc>
          <w:tcPr>
            <w:tcW w:w="1319" w:type="dxa"/>
          </w:tcPr>
          <w:p w:rsidR="009051A3" w:rsidRPr="00011D5D" w:rsidRDefault="007C4BD5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576" w:type="dxa"/>
          </w:tcPr>
          <w:p w:rsidR="009051A3" w:rsidRPr="00011D5D" w:rsidRDefault="007C4BD5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121</w:t>
            </w:r>
          </w:p>
        </w:tc>
        <w:tc>
          <w:tcPr>
            <w:tcW w:w="1516" w:type="dxa"/>
          </w:tcPr>
          <w:p w:rsidR="009051A3" w:rsidRPr="00011D5D" w:rsidRDefault="00F07374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100%</w:t>
            </w:r>
          </w:p>
        </w:tc>
      </w:tr>
      <w:tr w:rsidR="004D79D2" w:rsidRPr="00011D5D" w:rsidTr="00E15336">
        <w:trPr>
          <w:trHeight w:val="899"/>
        </w:trPr>
        <w:tc>
          <w:tcPr>
            <w:tcW w:w="120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Toso</w:t>
            </w:r>
            <w:proofErr w:type="spellEnd"/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="00790C4B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5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2015</w:t>
            </w:r>
          </w:p>
        </w:tc>
        <w:tc>
          <w:tcPr>
            <w:tcW w:w="263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Total tumor volume </w:t>
            </w:r>
            <w:r w:rsidRPr="00011D5D">
              <w:rPr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</w:rPr>
              <w:t>≤</w:t>
            </w:r>
            <w:r w:rsidR="004D79D2">
              <w:rPr>
                <w:rFonts w:ascii="Book Antiqua" w:hAnsi="Book Antiqua" w:cs="Arial" w:hint="eastAsia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011D5D">
              <w:rPr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</w:rPr>
              <w:t>115 cm</w:t>
            </w:r>
            <w:r w:rsidRPr="00011D5D">
              <w:rPr>
                <w:rFonts w:ascii="Book Antiqua" w:hAnsi="Book Antiqua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53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AFP ≤ 400 ng/mL</w:t>
            </w:r>
          </w:p>
        </w:tc>
        <w:tc>
          <w:tcPr>
            <w:tcW w:w="1319" w:type="dxa"/>
          </w:tcPr>
          <w:p w:rsidR="009051A3" w:rsidRPr="00011D5D" w:rsidRDefault="00CA0FCE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Cadaveric</w:t>
            </w:r>
          </w:p>
        </w:tc>
        <w:tc>
          <w:tcPr>
            <w:tcW w:w="576" w:type="dxa"/>
          </w:tcPr>
          <w:p w:rsidR="009051A3" w:rsidRPr="00011D5D" w:rsidRDefault="00CA0FCE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166</w:t>
            </w:r>
          </w:p>
        </w:tc>
        <w:tc>
          <w:tcPr>
            <w:tcW w:w="1516" w:type="dxa"/>
          </w:tcPr>
          <w:p w:rsidR="009051A3" w:rsidRPr="00011D5D" w:rsidRDefault="00CA0FCE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4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OS: 74.6%</w:t>
            </w:r>
          </w:p>
        </w:tc>
      </w:tr>
      <w:tr w:rsidR="004D79D2" w:rsidRPr="00011D5D" w:rsidTr="00E15336">
        <w:trPr>
          <w:trHeight w:val="1367"/>
        </w:trPr>
        <w:tc>
          <w:tcPr>
            <w:tcW w:w="1201" w:type="dxa"/>
            <w:hideMark/>
          </w:tcPr>
          <w:p w:rsidR="009051A3" w:rsidRPr="00011D5D" w:rsidRDefault="00F06A98" w:rsidP="004D79D2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Lee</w:t>
            </w:r>
            <w:r w:rsidR="003E1FDE" w:rsidRPr="00011D5D">
              <w:rPr>
                <w:rFonts w:ascii="Book Antiqua" w:hAnsi="Book Antiqua"/>
                <w:i/>
                <w:sz w:val="24"/>
                <w:szCs w:val="24"/>
              </w:rPr>
              <w:t xml:space="preserve"> et al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[</w:t>
            </w:r>
            <w:r w:rsidR="003A0F07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="00790C4B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9</w:t>
            </w:r>
            <w:r w:rsidR="000B2A22" w:rsidRPr="00011D5D">
              <w:rPr>
                <w:rFonts w:ascii="Book Antiqua" w:hAnsi="Book Antiqua"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112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2015</w:t>
            </w:r>
          </w:p>
        </w:tc>
        <w:tc>
          <w:tcPr>
            <w:tcW w:w="2631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Total tumor diameter ≤ 10 cm</w:t>
            </w:r>
          </w:p>
        </w:tc>
        <w:tc>
          <w:tcPr>
            <w:tcW w:w="1853" w:type="dxa"/>
            <w:hideMark/>
          </w:tcPr>
          <w:p w:rsidR="009051A3" w:rsidRPr="00011D5D" w:rsidRDefault="009051A3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PET/CT negative uptake</w:t>
            </w:r>
          </w:p>
        </w:tc>
        <w:tc>
          <w:tcPr>
            <w:tcW w:w="1319" w:type="dxa"/>
          </w:tcPr>
          <w:p w:rsidR="009051A3" w:rsidRPr="00011D5D" w:rsidRDefault="00F07374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Living</w:t>
            </w:r>
          </w:p>
        </w:tc>
        <w:tc>
          <w:tcPr>
            <w:tcW w:w="576" w:type="dxa"/>
          </w:tcPr>
          <w:p w:rsidR="009051A3" w:rsidRPr="00011D5D" w:rsidRDefault="00F07374" w:rsidP="004D79D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>280</w:t>
            </w:r>
          </w:p>
        </w:tc>
        <w:tc>
          <w:tcPr>
            <w:tcW w:w="1516" w:type="dxa"/>
          </w:tcPr>
          <w:p w:rsidR="00966AA2" w:rsidRDefault="00D905F1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</w:t>
            </w:r>
            <w:proofErr w:type="spellStart"/>
            <w:r w:rsidRPr="00011D5D">
              <w:rPr>
                <w:rFonts w:ascii="Book Antiqua" w:hAnsi="Book Antiqua"/>
                <w:sz w:val="24"/>
                <w:szCs w:val="24"/>
              </w:rPr>
              <w:t>yr</w:t>
            </w:r>
            <w:proofErr w:type="spellEnd"/>
            <w:r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CE65E2" w:rsidRPr="00011D5D">
              <w:rPr>
                <w:rFonts w:ascii="Book Antiqua" w:hAnsi="Book Antiqua"/>
                <w:sz w:val="24"/>
                <w:szCs w:val="24"/>
              </w:rPr>
              <w:t>OS: 73.4%</w:t>
            </w:r>
            <w:r w:rsidRPr="00011D5D">
              <w:rPr>
                <w:rFonts w:ascii="Book Antiqua" w:hAnsi="Book Antiqua"/>
                <w:sz w:val="24"/>
                <w:szCs w:val="24"/>
              </w:rPr>
              <w:t>,</w:t>
            </w:r>
            <w:r w:rsidR="00CE65E2" w:rsidRPr="00011D5D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9051A3" w:rsidRPr="00011D5D" w:rsidRDefault="00D905F1" w:rsidP="00966AA2">
            <w:pPr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011D5D">
              <w:rPr>
                <w:rFonts w:ascii="Book Antiqua" w:hAnsi="Book Antiqua"/>
                <w:sz w:val="24"/>
                <w:szCs w:val="24"/>
              </w:rPr>
              <w:t xml:space="preserve">5 yr </w:t>
            </w:r>
            <w:r w:rsidR="00CE65E2" w:rsidRPr="00011D5D">
              <w:rPr>
                <w:rFonts w:ascii="Book Antiqua" w:hAnsi="Book Antiqua"/>
                <w:sz w:val="24"/>
                <w:szCs w:val="24"/>
              </w:rPr>
              <w:t xml:space="preserve">DFS: </w:t>
            </w:r>
            <w:r w:rsidR="004D79D2">
              <w:rPr>
                <w:rFonts w:ascii="Book Antiqua" w:hAnsi="Book Antiqua"/>
                <w:sz w:val="24"/>
                <w:szCs w:val="24"/>
              </w:rPr>
              <w:t>80.4%</w:t>
            </w:r>
          </w:p>
        </w:tc>
      </w:tr>
    </w:tbl>
    <w:p w:rsidR="004D79D2" w:rsidRPr="004D79D2" w:rsidRDefault="004D79D2" w:rsidP="004D79D2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011D5D">
        <w:rPr>
          <w:rFonts w:ascii="Book Antiqua" w:hAnsi="Book Antiqua"/>
          <w:sz w:val="24"/>
          <w:szCs w:val="24"/>
        </w:rPr>
        <w:t>AFP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4D79D2">
        <w:rPr>
          <w:rFonts w:ascii="Book Antiqua" w:hAnsi="Book Antiqua"/>
          <w:sz w:val="24"/>
          <w:szCs w:val="24"/>
          <w:lang w:eastAsia="zh-CN"/>
        </w:rPr>
        <w:t>Alpha fetal protein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011D5D">
        <w:rPr>
          <w:rFonts w:ascii="Book Antiqua" w:hAnsi="Book Antiqua"/>
          <w:sz w:val="24"/>
          <w:szCs w:val="24"/>
        </w:rPr>
        <w:t>UCSF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011D5D">
        <w:rPr>
          <w:rFonts w:ascii="Book Antiqua" w:hAnsi="Book Antiqua"/>
          <w:sz w:val="24"/>
          <w:szCs w:val="24"/>
        </w:rPr>
        <w:t>University of California, San Francisco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011D5D">
        <w:rPr>
          <w:rFonts w:ascii="Book Antiqua" w:hAnsi="Book Antiqua"/>
          <w:sz w:val="24"/>
          <w:szCs w:val="24"/>
        </w:rPr>
        <w:t>DFS: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hyperlink r:id="rId11" w:history="1">
        <w:r w:rsidRPr="004D79D2">
          <w:rPr>
            <w:rStyle w:val="Hyperlink"/>
            <w:rFonts w:ascii="Book Antiqua" w:hAnsi="Book Antiqua"/>
            <w:caps/>
            <w:color w:val="auto"/>
            <w:sz w:val="24"/>
            <w:szCs w:val="24"/>
            <w:u w:val="none"/>
            <w:lang w:eastAsia="zh-CN"/>
          </w:rPr>
          <w:t>d</w:t>
        </w:r>
        <w:r w:rsidRPr="004D79D2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eastAsia="zh-CN"/>
          </w:rPr>
          <w:t>isease</w:t>
        </w:r>
      </w:hyperlink>
      <w:r w:rsidRPr="004D79D2">
        <w:rPr>
          <w:rFonts w:ascii="Book Antiqua" w:hAnsi="Book Antiqua"/>
          <w:sz w:val="24"/>
          <w:szCs w:val="24"/>
          <w:lang w:eastAsia="zh-CN"/>
        </w:rPr>
        <w:t> </w:t>
      </w:r>
      <w:hyperlink r:id="rId12" w:history="1">
        <w:r w:rsidRPr="004D79D2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eastAsia="zh-CN"/>
          </w:rPr>
          <w:t>free</w:t>
        </w:r>
      </w:hyperlink>
      <w:r w:rsidRPr="004D79D2">
        <w:rPr>
          <w:rFonts w:ascii="Book Antiqua" w:hAnsi="Book Antiqua"/>
          <w:sz w:val="24"/>
          <w:szCs w:val="24"/>
          <w:lang w:eastAsia="zh-CN"/>
        </w:rPr>
        <w:t> </w:t>
      </w:r>
      <w:hyperlink r:id="rId13" w:history="1">
        <w:r w:rsidRPr="004D79D2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eastAsia="zh-CN"/>
          </w:rPr>
          <w:t>survival</w:t>
        </w:r>
      </w:hyperlink>
      <w:r>
        <w:rPr>
          <w:rFonts w:ascii="Book Antiqua" w:hAnsi="Book Antiqua" w:hint="eastAsia"/>
          <w:sz w:val="24"/>
          <w:szCs w:val="24"/>
          <w:lang w:eastAsia="zh-CN"/>
        </w:rPr>
        <w:t xml:space="preserve">; </w:t>
      </w:r>
      <w:r w:rsidRPr="00011D5D">
        <w:rPr>
          <w:rFonts w:ascii="Book Antiqua" w:hAnsi="Book Antiqua"/>
          <w:sz w:val="24"/>
          <w:szCs w:val="24"/>
        </w:rPr>
        <w:t>PIVKA</w:t>
      </w:r>
      <w:r>
        <w:rPr>
          <w:rFonts w:ascii="Book Antiqua" w:hAnsi="Book Antiqua" w:hint="eastAsia"/>
          <w:sz w:val="24"/>
          <w:szCs w:val="24"/>
          <w:lang w:eastAsia="zh-CN"/>
        </w:rPr>
        <w:t>-</w:t>
      </w:r>
      <w:r w:rsidRPr="00011D5D">
        <w:rPr>
          <w:rFonts w:ascii="Book Antiqua" w:hAnsi="Book Antiqua"/>
          <w:sz w:val="24"/>
          <w:szCs w:val="24"/>
        </w:rPr>
        <w:t>II</w:t>
      </w:r>
      <w:r>
        <w:rPr>
          <w:rFonts w:ascii="Book Antiqua" w:hAnsi="Book Antiqua" w:hint="eastAsia"/>
          <w:sz w:val="24"/>
          <w:szCs w:val="24"/>
          <w:lang w:eastAsia="zh-CN"/>
        </w:rPr>
        <w:t>:</w:t>
      </w:r>
      <w:r w:rsidRPr="00011D5D">
        <w:rPr>
          <w:rFonts w:ascii="Book Antiqua" w:hAnsi="Book Antiqua"/>
          <w:sz w:val="24"/>
          <w:szCs w:val="24"/>
        </w:rPr>
        <w:t xml:space="preserve"> </w:t>
      </w:r>
      <w:r w:rsidRPr="004D79D2">
        <w:rPr>
          <w:rFonts w:ascii="Book Antiqua" w:hAnsi="Book Antiqua"/>
          <w:caps/>
          <w:sz w:val="24"/>
          <w:szCs w:val="24"/>
        </w:rPr>
        <w:t>p</w:t>
      </w:r>
      <w:r w:rsidRPr="00011D5D">
        <w:rPr>
          <w:rFonts w:ascii="Book Antiqua" w:hAnsi="Book Antiqua"/>
          <w:sz w:val="24"/>
          <w:szCs w:val="24"/>
        </w:rPr>
        <w:t>rotein induced by vitamin K absence or antagonism factor II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; OS: </w:t>
      </w:r>
      <w:r w:rsidRPr="004D79D2">
        <w:rPr>
          <w:rFonts w:ascii="Book Antiqua" w:hAnsi="Book Antiqua"/>
          <w:caps/>
          <w:sz w:val="24"/>
          <w:szCs w:val="24"/>
          <w:lang w:eastAsia="zh-CN"/>
        </w:rPr>
        <w:t>o</w:t>
      </w:r>
      <w:r w:rsidRPr="004D79D2">
        <w:rPr>
          <w:rFonts w:ascii="Book Antiqua" w:hAnsi="Book Antiqua"/>
          <w:sz w:val="24"/>
          <w:szCs w:val="24"/>
          <w:lang w:eastAsia="zh-CN"/>
        </w:rPr>
        <w:t>verall survival</w:t>
      </w:r>
      <w:r>
        <w:rPr>
          <w:rFonts w:ascii="Book Antiqua" w:hAnsi="Book Antiqua" w:hint="eastAsia"/>
          <w:sz w:val="24"/>
          <w:szCs w:val="24"/>
          <w:lang w:eastAsia="zh-CN"/>
        </w:rPr>
        <w:t>.</w:t>
      </w:r>
    </w:p>
    <w:sectPr w:rsidR="004D79D2" w:rsidRPr="004D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3E" w:rsidRDefault="00B2203E" w:rsidP="00F44D9D">
      <w:pPr>
        <w:spacing w:after="0" w:line="240" w:lineRule="auto"/>
      </w:pPr>
      <w:r>
        <w:separator/>
      </w:r>
    </w:p>
  </w:endnote>
  <w:endnote w:type="continuationSeparator" w:id="0">
    <w:p w:rsidR="00B2203E" w:rsidRDefault="00B2203E" w:rsidP="00F4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3E" w:rsidRDefault="00B2203E" w:rsidP="00F44D9D">
      <w:pPr>
        <w:spacing w:after="0" w:line="240" w:lineRule="auto"/>
      </w:pPr>
      <w:r>
        <w:separator/>
      </w:r>
    </w:p>
  </w:footnote>
  <w:footnote w:type="continuationSeparator" w:id="0">
    <w:p w:rsidR="00B2203E" w:rsidRDefault="00B2203E" w:rsidP="00F4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23"/>
    <w:multiLevelType w:val="multilevel"/>
    <w:tmpl w:val="6C4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86E91"/>
    <w:multiLevelType w:val="hybridMultilevel"/>
    <w:tmpl w:val="E9D65D30"/>
    <w:lvl w:ilvl="0" w:tplc="470C0714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47"/>
    <w:rsid w:val="00010C90"/>
    <w:rsid w:val="00011D5D"/>
    <w:rsid w:val="000125A8"/>
    <w:rsid w:val="00016405"/>
    <w:rsid w:val="00020E60"/>
    <w:rsid w:val="00025603"/>
    <w:rsid w:val="00026600"/>
    <w:rsid w:val="00027CDF"/>
    <w:rsid w:val="00040195"/>
    <w:rsid w:val="000621EC"/>
    <w:rsid w:val="00064F55"/>
    <w:rsid w:val="00067AA1"/>
    <w:rsid w:val="0007413D"/>
    <w:rsid w:val="00074D41"/>
    <w:rsid w:val="0007510B"/>
    <w:rsid w:val="0007654C"/>
    <w:rsid w:val="00084902"/>
    <w:rsid w:val="000928DB"/>
    <w:rsid w:val="000A559B"/>
    <w:rsid w:val="000B15CE"/>
    <w:rsid w:val="000B2A22"/>
    <w:rsid w:val="000B357B"/>
    <w:rsid w:val="000B4F2E"/>
    <w:rsid w:val="000B5192"/>
    <w:rsid w:val="000C7FEA"/>
    <w:rsid w:val="000D3F54"/>
    <w:rsid w:val="001054AE"/>
    <w:rsid w:val="0013029C"/>
    <w:rsid w:val="001306C2"/>
    <w:rsid w:val="001314E1"/>
    <w:rsid w:val="001408A1"/>
    <w:rsid w:val="00150D85"/>
    <w:rsid w:val="001520FE"/>
    <w:rsid w:val="00155619"/>
    <w:rsid w:val="00160663"/>
    <w:rsid w:val="00162D0C"/>
    <w:rsid w:val="0016385C"/>
    <w:rsid w:val="00164AB2"/>
    <w:rsid w:val="00173DFC"/>
    <w:rsid w:val="00182657"/>
    <w:rsid w:val="001917C3"/>
    <w:rsid w:val="00191837"/>
    <w:rsid w:val="0019593E"/>
    <w:rsid w:val="0019681B"/>
    <w:rsid w:val="001B5894"/>
    <w:rsid w:val="001B7E11"/>
    <w:rsid w:val="001C26F0"/>
    <w:rsid w:val="001C68BE"/>
    <w:rsid w:val="001C754E"/>
    <w:rsid w:val="001D2E93"/>
    <w:rsid w:val="001E7811"/>
    <w:rsid w:val="001F44EC"/>
    <w:rsid w:val="001F4712"/>
    <w:rsid w:val="002115D5"/>
    <w:rsid w:val="00212E24"/>
    <w:rsid w:val="0021324A"/>
    <w:rsid w:val="002259A8"/>
    <w:rsid w:val="00232888"/>
    <w:rsid w:val="002428B4"/>
    <w:rsid w:val="00251046"/>
    <w:rsid w:val="002711E7"/>
    <w:rsid w:val="00272E95"/>
    <w:rsid w:val="00287F39"/>
    <w:rsid w:val="00290A9A"/>
    <w:rsid w:val="0029246C"/>
    <w:rsid w:val="0029772D"/>
    <w:rsid w:val="002A530D"/>
    <w:rsid w:val="002B11E4"/>
    <w:rsid w:val="002C4F17"/>
    <w:rsid w:val="002C5ABF"/>
    <w:rsid w:val="002C6AC4"/>
    <w:rsid w:val="002E504F"/>
    <w:rsid w:val="002E582F"/>
    <w:rsid w:val="002F0304"/>
    <w:rsid w:val="00300275"/>
    <w:rsid w:val="0030407C"/>
    <w:rsid w:val="00306849"/>
    <w:rsid w:val="00306D33"/>
    <w:rsid w:val="00311E89"/>
    <w:rsid w:val="003226C4"/>
    <w:rsid w:val="00330AE1"/>
    <w:rsid w:val="00341329"/>
    <w:rsid w:val="00342311"/>
    <w:rsid w:val="00342DCF"/>
    <w:rsid w:val="003438E4"/>
    <w:rsid w:val="00346713"/>
    <w:rsid w:val="00347E0A"/>
    <w:rsid w:val="003626F7"/>
    <w:rsid w:val="003643BA"/>
    <w:rsid w:val="003717E5"/>
    <w:rsid w:val="00381AAD"/>
    <w:rsid w:val="00387C75"/>
    <w:rsid w:val="00391203"/>
    <w:rsid w:val="00391C3B"/>
    <w:rsid w:val="00397EE0"/>
    <w:rsid w:val="00397F8A"/>
    <w:rsid w:val="003A0F07"/>
    <w:rsid w:val="003B54AB"/>
    <w:rsid w:val="003C0C39"/>
    <w:rsid w:val="003C1BDD"/>
    <w:rsid w:val="003D3447"/>
    <w:rsid w:val="003E1FDE"/>
    <w:rsid w:val="003E50EE"/>
    <w:rsid w:val="003E52AC"/>
    <w:rsid w:val="003E5DFC"/>
    <w:rsid w:val="003E6D1E"/>
    <w:rsid w:val="003F11F3"/>
    <w:rsid w:val="003F75F3"/>
    <w:rsid w:val="00400109"/>
    <w:rsid w:val="0040169A"/>
    <w:rsid w:val="00402843"/>
    <w:rsid w:val="00403A02"/>
    <w:rsid w:val="004043AF"/>
    <w:rsid w:val="00412E89"/>
    <w:rsid w:val="00434E3F"/>
    <w:rsid w:val="00444A87"/>
    <w:rsid w:val="00471A58"/>
    <w:rsid w:val="00476BF0"/>
    <w:rsid w:val="004774D4"/>
    <w:rsid w:val="0048684E"/>
    <w:rsid w:val="004A000E"/>
    <w:rsid w:val="004A2F7B"/>
    <w:rsid w:val="004C0B1E"/>
    <w:rsid w:val="004D0243"/>
    <w:rsid w:val="004D5F44"/>
    <w:rsid w:val="004D79D2"/>
    <w:rsid w:val="004E3DB1"/>
    <w:rsid w:val="00501D26"/>
    <w:rsid w:val="00515272"/>
    <w:rsid w:val="00522198"/>
    <w:rsid w:val="005225B2"/>
    <w:rsid w:val="00524466"/>
    <w:rsid w:val="005305DA"/>
    <w:rsid w:val="00533861"/>
    <w:rsid w:val="00533DEB"/>
    <w:rsid w:val="0053698D"/>
    <w:rsid w:val="00547C26"/>
    <w:rsid w:val="005506F6"/>
    <w:rsid w:val="00553AF9"/>
    <w:rsid w:val="0055425F"/>
    <w:rsid w:val="00576617"/>
    <w:rsid w:val="00586F48"/>
    <w:rsid w:val="00595361"/>
    <w:rsid w:val="005B1590"/>
    <w:rsid w:val="005B2B0A"/>
    <w:rsid w:val="005C0001"/>
    <w:rsid w:val="005C1C20"/>
    <w:rsid w:val="005C1FAE"/>
    <w:rsid w:val="005C648B"/>
    <w:rsid w:val="005D6B25"/>
    <w:rsid w:val="005E02AB"/>
    <w:rsid w:val="005E55A5"/>
    <w:rsid w:val="005F4784"/>
    <w:rsid w:val="006032CA"/>
    <w:rsid w:val="006057E9"/>
    <w:rsid w:val="006205DB"/>
    <w:rsid w:val="0063358F"/>
    <w:rsid w:val="006526FF"/>
    <w:rsid w:val="006530A7"/>
    <w:rsid w:val="006545E6"/>
    <w:rsid w:val="00656750"/>
    <w:rsid w:val="006669D9"/>
    <w:rsid w:val="00667D82"/>
    <w:rsid w:val="00684CC9"/>
    <w:rsid w:val="00687DCF"/>
    <w:rsid w:val="006B0249"/>
    <w:rsid w:val="006B51A6"/>
    <w:rsid w:val="006B7F54"/>
    <w:rsid w:val="006C426C"/>
    <w:rsid w:val="006C7BEE"/>
    <w:rsid w:val="006D0CCD"/>
    <w:rsid w:val="006D32A1"/>
    <w:rsid w:val="006D7FDF"/>
    <w:rsid w:val="006E0D05"/>
    <w:rsid w:val="006E7D3C"/>
    <w:rsid w:val="006F2069"/>
    <w:rsid w:val="0070417F"/>
    <w:rsid w:val="00712EAE"/>
    <w:rsid w:val="00721543"/>
    <w:rsid w:val="00723DD5"/>
    <w:rsid w:val="00726E30"/>
    <w:rsid w:val="00730C30"/>
    <w:rsid w:val="007323DC"/>
    <w:rsid w:val="00733890"/>
    <w:rsid w:val="00734451"/>
    <w:rsid w:val="0073451C"/>
    <w:rsid w:val="00735228"/>
    <w:rsid w:val="007379BE"/>
    <w:rsid w:val="007678E0"/>
    <w:rsid w:val="007752BE"/>
    <w:rsid w:val="00780363"/>
    <w:rsid w:val="00782FE9"/>
    <w:rsid w:val="00787805"/>
    <w:rsid w:val="00787E25"/>
    <w:rsid w:val="00790A4E"/>
    <w:rsid w:val="00790C4B"/>
    <w:rsid w:val="00796A44"/>
    <w:rsid w:val="007B6C7C"/>
    <w:rsid w:val="007C409E"/>
    <w:rsid w:val="007C4BD5"/>
    <w:rsid w:val="007C623F"/>
    <w:rsid w:val="007D3DE1"/>
    <w:rsid w:val="007E1C4B"/>
    <w:rsid w:val="007F3476"/>
    <w:rsid w:val="00812323"/>
    <w:rsid w:val="00821B2D"/>
    <w:rsid w:val="00822DCA"/>
    <w:rsid w:val="008356CD"/>
    <w:rsid w:val="00837089"/>
    <w:rsid w:val="0084272B"/>
    <w:rsid w:val="0084460D"/>
    <w:rsid w:val="0084484B"/>
    <w:rsid w:val="0085121E"/>
    <w:rsid w:val="00851757"/>
    <w:rsid w:val="00855BA1"/>
    <w:rsid w:val="00862D0B"/>
    <w:rsid w:val="00863815"/>
    <w:rsid w:val="00863D25"/>
    <w:rsid w:val="00874DD8"/>
    <w:rsid w:val="008909E0"/>
    <w:rsid w:val="008A0F2D"/>
    <w:rsid w:val="008A5F04"/>
    <w:rsid w:val="008B4A26"/>
    <w:rsid w:val="008C3D62"/>
    <w:rsid w:val="008C4EA4"/>
    <w:rsid w:val="008C5F9F"/>
    <w:rsid w:val="008F1A6D"/>
    <w:rsid w:val="009051A3"/>
    <w:rsid w:val="00932184"/>
    <w:rsid w:val="0093390E"/>
    <w:rsid w:val="00942608"/>
    <w:rsid w:val="0094588C"/>
    <w:rsid w:val="00952129"/>
    <w:rsid w:val="0096598E"/>
    <w:rsid w:val="0096643A"/>
    <w:rsid w:val="00966AA2"/>
    <w:rsid w:val="00970C90"/>
    <w:rsid w:val="009733E9"/>
    <w:rsid w:val="00977C68"/>
    <w:rsid w:val="009805C6"/>
    <w:rsid w:val="0099347B"/>
    <w:rsid w:val="009A05FB"/>
    <w:rsid w:val="009A0617"/>
    <w:rsid w:val="009A1A1A"/>
    <w:rsid w:val="009D48D3"/>
    <w:rsid w:val="009D6925"/>
    <w:rsid w:val="009F4C84"/>
    <w:rsid w:val="00A03B68"/>
    <w:rsid w:val="00A048FD"/>
    <w:rsid w:val="00A0726C"/>
    <w:rsid w:val="00A07EB0"/>
    <w:rsid w:val="00A1139E"/>
    <w:rsid w:val="00A15CF0"/>
    <w:rsid w:val="00A26766"/>
    <w:rsid w:val="00A43B67"/>
    <w:rsid w:val="00A560F6"/>
    <w:rsid w:val="00A5786E"/>
    <w:rsid w:val="00A60355"/>
    <w:rsid w:val="00A63A98"/>
    <w:rsid w:val="00A65EB4"/>
    <w:rsid w:val="00A7486A"/>
    <w:rsid w:val="00A91C42"/>
    <w:rsid w:val="00A948D9"/>
    <w:rsid w:val="00AA01B7"/>
    <w:rsid w:val="00AB59B5"/>
    <w:rsid w:val="00AD2311"/>
    <w:rsid w:val="00B0678D"/>
    <w:rsid w:val="00B1383F"/>
    <w:rsid w:val="00B2203E"/>
    <w:rsid w:val="00B22551"/>
    <w:rsid w:val="00B257B8"/>
    <w:rsid w:val="00B30A83"/>
    <w:rsid w:val="00B32AAC"/>
    <w:rsid w:val="00B35BA6"/>
    <w:rsid w:val="00B40139"/>
    <w:rsid w:val="00B43F7E"/>
    <w:rsid w:val="00B445E8"/>
    <w:rsid w:val="00B530D7"/>
    <w:rsid w:val="00B575AC"/>
    <w:rsid w:val="00B623ED"/>
    <w:rsid w:val="00B63C73"/>
    <w:rsid w:val="00B659FE"/>
    <w:rsid w:val="00B66125"/>
    <w:rsid w:val="00B71DBC"/>
    <w:rsid w:val="00B77752"/>
    <w:rsid w:val="00B83E6D"/>
    <w:rsid w:val="00B848AA"/>
    <w:rsid w:val="00B935C1"/>
    <w:rsid w:val="00BA08C5"/>
    <w:rsid w:val="00BA69DA"/>
    <w:rsid w:val="00BC27EB"/>
    <w:rsid w:val="00BC2E6F"/>
    <w:rsid w:val="00BD17CD"/>
    <w:rsid w:val="00BD6F0A"/>
    <w:rsid w:val="00BE42AA"/>
    <w:rsid w:val="00BE5CA8"/>
    <w:rsid w:val="00BF5BF0"/>
    <w:rsid w:val="00C03A06"/>
    <w:rsid w:val="00C06149"/>
    <w:rsid w:val="00C146FF"/>
    <w:rsid w:val="00C358E6"/>
    <w:rsid w:val="00C37D17"/>
    <w:rsid w:val="00C45307"/>
    <w:rsid w:val="00C50EC6"/>
    <w:rsid w:val="00C5381A"/>
    <w:rsid w:val="00C6008D"/>
    <w:rsid w:val="00C616E6"/>
    <w:rsid w:val="00C6517E"/>
    <w:rsid w:val="00C85FF2"/>
    <w:rsid w:val="00C91D55"/>
    <w:rsid w:val="00CA0F7E"/>
    <w:rsid w:val="00CA0FCE"/>
    <w:rsid w:val="00CA3EF8"/>
    <w:rsid w:val="00CB1756"/>
    <w:rsid w:val="00CB39B5"/>
    <w:rsid w:val="00CC183F"/>
    <w:rsid w:val="00CC5143"/>
    <w:rsid w:val="00CD07E8"/>
    <w:rsid w:val="00CD4747"/>
    <w:rsid w:val="00CD6BB5"/>
    <w:rsid w:val="00CE65E2"/>
    <w:rsid w:val="00CE7B6D"/>
    <w:rsid w:val="00CF23C1"/>
    <w:rsid w:val="00CF3D6F"/>
    <w:rsid w:val="00D03804"/>
    <w:rsid w:val="00D0403D"/>
    <w:rsid w:val="00D0618A"/>
    <w:rsid w:val="00D20393"/>
    <w:rsid w:val="00D54BD4"/>
    <w:rsid w:val="00D562EA"/>
    <w:rsid w:val="00D60D9D"/>
    <w:rsid w:val="00D63B57"/>
    <w:rsid w:val="00D7499D"/>
    <w:rsid w:val="00D74D04"/>
    <w:rsid w:val="00D76AA0"/>
    <w:rsid w:val="00D861A4"/>
    <w:rsid w:val="00D905F1"/>
    <w:rsid w:val="00D90E47"/>
    <w:rsid w:val="00D92B53"/>
    <w:rsid w:val="00D96474"/>
    <w:rsid w:val="00D97186"/>
    <w:rsid w:val="00DA154F"/>
    <w:rsid w:val="00DA4BD5"/>
    <w:rsid w:val="00DD3712"/>
    <w:rsid w:val="00DE4352"/>
    <w:rsid w:val="00DE6EB2"/>
    <w:rsid w:val="00E1468B"/>
    <w:rsid w:val="00E14F37"/>
    <w:rsid w:val="00E15336"/>
    <w:rsid w:val="00E21D34"/>
    <w:rsid w:val="00E263DB"/>
    <w:rsid w:val="00E273EE"/>
    <w:rsid w:val="00E410C4"/>
    <w:rsid w:val="00E4486C"/>
    <w:rsid w:val="00E4721C"/>
    <w:rsid w:val="00E60AB5"/>
    <w:rsid w:val="00E64F84"/>
    <w:rsid w:val="00E9087E"/>
    <w:rsid w:val="00E935E0"/>
    <w:rsid w:val="00ED5812"/>
    <w:rsid w:val="00ED78B8"/>
    <w:rsid w:val="00EE5746"/>
    <w:rsid w:val="00EE59E6"/>
    <w:rsid w:val="00F00A3E"/>
    <w:rsid w:val="00F020B9"/>
    <w:rsid w:val="00F04E2E"/>
    <w:rsid w:val="00F06A98"/>
    <w:rsid w:val="00F07374"/>
    <w:rsid w:val="00F17E4B"/>
    <w:rsid w:val="00F250AC"/>
    <w:rsid w:val="00F252D2"/>
    <w:rsid w:val="00F33455"/>
    <w:rsid w:val="00F355AA"/>
    <w:rsid w:val="00F406A5"/>
    <w:rsid w:val="00F437A5"/>
    <w:rsid w:val="00F44D9D"/>
    <w:rsid w:val="00F50452"/>
    <w:rsid w:val="00F50F58"/>
    <w:rsid w:val="00F53B0F"/>
    <w:rsid w:val="00F60E68"/>
    <w:rsid w:val="00F664AC"/>
    <w:rsid w:val="00F6713D"/>
    <w:rsid w:val="00F72A3A"/>
    <w:rsid w:val="00F901A0"/>
    <w:rsid w:val="00F922C5"/>
    <w:rsid w:val="00FA28B3"/>
    <w:rsid w:val="00FA611A"/>
    <w:rsid w:val="00FB22B7"/>
    <w:rsid w:val="00FB37E6"/>
    <w:rsid w:val="00FB4160"/>
    <w:rsid w:val="00FD55F4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9D"/>
  </w:style>
  <w:style w:type="paragraph" w:styleId="Footer">
    <w:name w:val="footer"/>
    <w:basedOn w:val="Normal"/>
    <w:link w:val="FooterChar"/>
    <w:uiPriority w:val="99"/>
    <w:unhideWhenUsed/>
    <w:rsid w:val="00F4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9D"/>
  </w:style>
  <w:style w:type="paragraph" w:styleId="NormalWeb">
    <w:name w:val="Normal (Web)"/>
    <w:basedOn w:val="Normal"/>
    <w:uiPriority w:val="99"/>
    <w:unhideWhenUsed/>
    <w:rsid w:val="0021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E24"/>
  </w:style>
  <w:style w:type="paragraph" w:customStyle="1" w:styleId="1">
    <w:name w:val="正文1"/>
    <w:uiPriority w:val="99"/>
    <w:rsid w:val="00011D5D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Emphasis">
    <w:name w:val="Emphasis"/>
    <w:qFormat/>
    <w:rsid w:val="00F252D2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9D"/>
  </w:style>
  <w:style w:type="paragraph" w:styleId="Footer">
    <w:name w:val="footer"/>
    <w:basedOn w:val="Normal"/>
    <w:link w:val="FooterChar"/>
    <w:uiPriority w:val="99"/>
    <w:unhideWhenUsed/>
    <w:rsid w:val="00F4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9D"/>
  </w:style>
  <w:style w:type="paragraph" w:styleId="NormalWeb">
    <w:name w:val="Normal (Web)"/>
    <w:basedOn w:val="Normal"/>
    <w:uiPriority w:val="99"/>
    <w:unhideWhenUsed/>
    <w:rsid w:val="0021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E24"/>
  </w:style>
  <w:style w:type="paragraph" w:customStyle="1" w:styleId="1">
    <w:name w:val="正文1"/>
    <w:uiPriority w:val="99"/>
    <w:rsid w:val="00011D5D"/>
    <w:pPr>
      <w:spacing w:after="0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Emphasis">
    <w:name w:val="Emphasis"/>
    <w:qFormat/>
    <w:rsid w:val="00F252D2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961">
                  <w:marLeft w:val="0"/>
                  <w:marRight w:val="0"/>
                  <w:marTop w:val="176"/>
                  <w:marBottom w:val="1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eghtesb@c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91A2-7013-2F46-864B-9006F098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5965</Words>
  <Characters>34003</Characters>
  <Application>Microsoft Macintosh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Elshamy, Mohammed</dc:creator>
  <cp:lastModifiedBy>Na Ma</cp:lastModifiedBy>
  <cp:revision>2</cp:revision>
  <cp:lastPrinted>2016-03-29T21:58:00Z</cp:lastPrinted>
  <dcterms:created xsi:type="dcterms:W3CDTF">2016-07-12T21:43:00Z</dcterms:created>
  <dcterms:modified xsi:type="dcterms:W3CDTF">2016-07-12T21:43:00Z</dcterms:modified>
</cp:coreProperties>
</file>