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E3" w:rsidRPr="00BD4525" w:rsidRDefault="002F46E3" w:rsidP="008D5B3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BD4525">
        <w:rPr>
          <w:rFonts w:ascii="Book Antiqua" w:hAnsi="Book Antiqua" w:cs="Times New Roman"/>
          <w:b/>
          <w:i/>
          <w:sz w:val="24"/>
          <w:szCs w:val="24"/>
        </w:rPr>
        <w:t>World Journal of Medical Genetics</w:t>
      </w:r>
    </w:p>
    <w:p w:rsidR="000F2BA0" w:rsidRPr="00BD4525" w:rsidRDefault="000F2BA0" w:rsidP="008D5B3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0" w:name="OLE_LINK283"/>
      <w:r w:rsidRPr="00BD4525">
        <w:rPr>
          <w:rFonts w:ascii="Book Antiqua" w:hAnsi="Book Antiqua"/>
          <w:b/>
          <w:sz w:val="24"/>
          <w:szCs w:val="24"/>
        </w:rPr>
        <w:t xml:space="preserve">ESPS Manuscript NO: </w:t>
      </w:r>
      <w:bookmarkEnd w:id="0"/>
      <w:r w:rsidRPr="00BD4525">
        <w:rPr>
          <w:rFonts w:ascii="Book Antiqua" w:hAnsi="Book Antiqua" w:hint="eastAsia"/>
          <w:b/>
          <w:sz w:val="24"/>
          <w:szCs w:val="24"/>
          <w:lang w:eastAsia="zh-CN"/>
        </w:rPr>
        <w:t>26568</w:t>
      </w:r>
    </w:p>
    <w:p w:rsidR="002F46E3" w:rsidRPr="00BD4525" w:rsidRDefault="002F46E3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Manuscript Type: C</w:t>
      </w:r>
      <w:r w:rsidR="00EC586F" w:rsidRPr="00BD4525">
        <w:rPr>
          <w:rFonts w:ascii="Book Antiqua" w:hAnsi="Book Antiqua" w:cs="Times New Roman"/>
          <w:b/>
          <w:sz w:val="24"/>
          <w:szCs w:val="24"/>
        </w:rPr>
        <w:t>ase</w:t>
      </w:r>
      <w:r w:rsidRPr="00BD4525">
        <w:rPr>
          <w:rFonts w:ascii="Book Antiqua" w:hAnsi="Book Antiqua" w:cs="Times New Roman"/>
          <w:b/>
          <w:sz w:val="24"/>
          <w:szCs w:val="24"/>
        </w:rPr>
        <w:t xml:space="preserve"> R</w:t>
      </w:r>
      <w:r w:rsidR="00EC586F" w:rsidRPr="00BD4525">
        <w:rPr>
          <w:rFonts w:ascii="Book Antiqua" w:hAnsi="Book Antiqua" w:cs="Times New Roman"/>
          <w:b/>
          <w:sz w:val="24"/>
          <w:szCs w:val="24"/>
        </w:rPr>
        <w:t>eport</w:t>
      </w:r>
    </w:p>
    <w:p w:rsidR="0044298F" w:rsidRPr="00BD4525" w:rsidRDefault="0044298F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04085" w:rsidRPr="00BD4525" w:rsidRDefault="003470E8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Mutation in </w:t>
      </w:r>
      <w:r w:rsidRPr="00BD4525">
        <w:rPr>
          <w:rFonts w:ascii="Book Antiqua" w:hAnsi="Book Antiqua" w:cs="Times New Roman"/>
          <w:b/>
          <w:i/>
          <w:sz w:val="24"/>
          <w:szCs w:val="24"/>
        </w:rPr>
        <w:t>TNXB</w:t>
      </w:r>
      <w:r w:rsidRPr="00BD452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03D7A" w:rsidRPr="00BD4525">
        <w:rPr>
          <w:rFonts w:ascii="Book Antiqua" w:hAnsi="Book Antiqua" w:cs="Times New Roman"/>
          <w:b/>
          <w:sz w:val="24"/>
          <w:szCs w:val="24"/>
        </w:rPr>
        <w:t xml:space="preserve">gene </w:t>
      </w:r>
      <w:r w:rsidRPr="00BD4525">
        <w:rPr>
          <w:rFonts w:ascii="Book Antiqua" w:hAnsi="Book Antiqua" w:cs="Times New Roman"/>
          <w:b/>
          <w:sz w:val="24"/>
          <w:szCs w:val="24"/>
        </w:rPr>
        <w:t>causes modera</w:t>
      </w:r>
      <w:r w:rsidR="00C23C4A" w:rsidRPr="00BD4525">
        <w:rPr>
          <w:rFonts w:ascii="Book Antiqua" w:hAnsi="Book Antiqua" w:cs="Times New Roman"/>
          <w:b/>
          <w:sz w:val="24"/>
          <w:szCs w:val="24"/>
        </w:rPr>
        <w:t>te to severe Ehlers-Danlos syndrome</w:t>
      </w:r>
    </w:p>
    <w:p w:rsidR="003B583C" w:rsidRPr="00BD4525" w:rsidRDefault="003B583C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03D7A" w:rsidRPr="00BD4525" w:rsidRDefault="00BF7E9C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sz w:val="24"/>
          <w:szCs w:val="24"/>
        </w:rPr>
        <w:t>Kaufman</w:t>
      </w:r>
      <w:r w:rsidR="00DF1035" w:rsidRPr="00BD4525">
        <w:rPr>
          <w:rFonts w:ascii="Book Antiqua" w:hAnsi="Book Antiqua" w:cs="Times New Roman" w:hint="eastAsia"/>
          <w:sz w:val="24"/>
          <w:szCs w:val="24"/>
          <w:lang w:eastAsia="zh-CN"/>
        </w:rPr>
        <w:t xml:space="preserve"> CS </w:t>
      </w:r>
      <w:r w:rsidR="00DF1035" w:rsidRPr="00BD4525">
        <w:rPr>
          <w:rFonts w:ascii="Book Antiqua" w:hAnsi="Book Antiqua" w:cs="Times New Roman" w:hint="eastAsia"/>
          <w:i/>
          <w:sz w:val="24"/>
          <w:szCs w:val="24"/>
          <w:lang w:eastAsia="zh-CN"/>
        </w:rPr>
        <w:t>et al</w:t>
      </w:r>
      <w:r w:rsidR="00903D7A" w:rsidRPr="00BD4525">
        <w:rPr>
          <w:rFonts w:ascii="Book Antiqua" w:hAnsi="Book Antiqua" w:cs="Times New Roman"/>
          <w:sz w:val="24"/>
          <w:szCs w:val="24"/>
        </w:rPr>
        <w:t xml:space="preserve">. </w:t>
      </w:r>
      <w:r w:rsidR="00903D7A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903D7A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D04229" w:rsidRPr="00BD4525">
        <w:rPr>
          <w:rFonts w:ascii="Book Antiqua" w:hAnsi="Book Antiqua" w:cs="Times New Roman"/>
          <w:sz w:val="24"/>
          <w:szCs w:val="24"/>
        </w:rPr>
        <w:t>m</w:t>
      </w:r>
      <w:r w:rsidR="00903D7A" w:rsidRPr="00BD4525">
        <w:rPr>
          <w:rFonts w:ascii="Book Antiqua" w:hAnsi="Book Antiqua" w:cs="Times New Roman"/>
          <w:sz w:val="24"/>
          <w:szCs w:val="24"/>
        </w:rPr>
        <w:t>utation causes severe EDS</w:t>
      </w:r>
    </w:p>
    <w:p w:rsidR="003B583C" w:rsidRDefault="003B583C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E2D9F" w:rsidRDefault="000E2D9F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Carolyn S</w:t>
      </w:r>
      <w:r w:rsidRPr="00BD4525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b/>
          <w:sz w:val="24"/>
          <w:szCs w:val="24"/>
        </w:rPr>
        <w:t>Kaufman, Merlin G</w:t>
      </w:r>
      <w:r w:rsidRPr="00BD4525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b/>
          <w:sz w:val="24"/>
          <w:szCs w:val="24"/>
        </w:rPr>
        <w:t>Butler</w:t>
      </w:r>
    </w:p>
    <w:p w:rsidR="000E2D9F" w:rsidRPr="00BD4525" w:rsidRDefault="000E2D9F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67DC2" w:rsidRPr="00BD4525" w:rsidRDefault="00C23C4A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Carolyn S</w:t>
      </w:r>
      <w:r w:rsidR="00C95E57" w:rsidRPr="00BD4525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b/>
          <w:sz w:val="24"/>
          <w:szCs w:val="24"/>
        </w:rPr>
        <w:t>Kaufman, Merlin G</w:t>
      </w:r>
      <w:r w:rsidR="00C95E57" w:rsidRPr="00BD4525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b/>
          <w:sz w:val="24"/>
          <w:szCs w:val="24"/>
        </w:rPr>
        <w:t>Butler</w:t>
      </w:r>
      <w:r w:rsidR="00BF7E9C" w:rsidRPr="00BD4525">
        <w:rPr>
          <w:rFonts w:ascii="Book Antiqua" w:hAnsi="Book Antiqua" w:cs="Times New Roman"/>
          <w:b/>
          <w:sz w:val="24"/>
          <w:szCs w:val="24"/>
        </w:rPr>
        <w:t>,</w:t>
      </w:r>
      <w:r w:rsidR="00BF7E9C" w:rsidRPr="00BD4525">
        <w:rPr>
          <w:rFonts w:ascii="Book Antiqua" w:hAnsi="Book Antiqua" w:cs="Times New Roman"/>
          <w:b/>
          <w:sz w:val="24"/>
          <w:szCs w:val="24"/>
          <w:vertAlign w:val="superscript"/>
        </w:rPr>
        <w:t xml:space="preserve"> </w:t>
      </w:r>
      <w:r w:rsidR="002F46E3" w:rsidRPr="00BD4525">
        <w:rPr>
          <w:rFonts w:ascii="Book Antiqua" w:hAnsi="Book Antiqua" w:cs="Times New Roman"/>
          <w:sz w:val="24"/>
          <w:szCs w:val="24"/>
        </w:rPr>
        <w:t>De</w:t>
      </w:r>
      <w:r w:rsidR="00967DC2" w:rsidRPr="00BD4525">
        <w:rPr>
          <w:rFonts w:ascii="Book Antiqua" w:hAnsi="Book Antiqua" w:cs="Times New Roman"/>
          <w:sz w:val="24"/>
          <w:szCs w:val="24"/>
        </w:rPr>
        <w:t>partment of Psychiatry</w:t>
      </w:r>
      <w:r w:rsidR="00AC1EA2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967DC2" w:rsidRPr="00BD4525">
        <w:rPr>
          <w:rFonts w:ascii="Book Antiqua" w:hAnsi="Book Antiqua" w:cs="Times New Roman"/>
          <w:sz w:val="24"/>
          <w:szCs w:val="24"/>
        </w:rPr>
        <w:t xml:space="preserve"> Behavioral Science</w:t>
      </w:r>
      <w:r w:rsidR="00E6406E" w:rsidRPr="00BD4525">
        <w:rPr>
          <w:rFonts w:ascii="Book Antiqua" w:hAnsi="Book Antiqua" w:cs="Times New Roman"/>
          <w:sz w:val="24"/>
          <w:szCs w:val="24"/>
        </w:rPr>
        <w:t>s</w:t>
      </w:r>
      <w:r w:rsidR="00BF7E9C" w:rsidRPr="00BD4525">
        <w:rPr>
          <w:rFonts w:ascii="Book Antiqua" w:hAnsi="Book Antiqua" w:cs="Times New Roman"/>
          <w:sz w:val="24"/>
          <w:szCs w:val="24"/>
        </w:rPr>
        <w:t xml:space="preserve"> and </w:t>
      </w:r>
      <w:r w:rsidR="00967DC2" w:rsidRPr="00BD4525">
        <w:rPr>
          <w:rFonts w:ascii="Book Antiqua" w:hAnsi="Book Antiqua" w:cs="Times New Roman"/>
          <w:sz w:val="24"/>
          <w:szCs w:val="24"/>
        </w:rPr>
        <w:t>Pediatrics, University of Kansas Medi</w:t>
      </w:r>
      <w:r w:rsidR="002F46E3" w:rsidRPr="00BD4525">
        <w:rPr>
          <w:rFonts w:ascii="Book Antiqua" w:hAnsi="Book Antiqua" w:cs="Times New Roman"/>
          <w:sz w:val="24"/>
          <w:szCs w:val="24"/>
        </w:rPr>
        <w:t>cal Center, Kansas City, K</w:t>
      </w:r>
      <w:r w:rsidR="009479F4" w:rsidRPr="00BD4525">
        <w:rPr>
          <w:rFonts w:ascii="Book Antiqua" w:hAnsi="Book Antiqua" w:cs="Times New Roman"/>
          <w:sz w:val="24"/>
          <w:szCs w:val="24"/>
        </w:rPr>
        <w:t>S</w:t>
      </w:r>
      <w:r w:rsidR="002F46E3" w:rsidRPr="00BD4525">
        <w:rPr>
          <w:rFonts w:ascii="Book Antiqua" w:hAnsi="Book Antiqua" w:cs="Times New Roman"/>
          <w:sz w:val="24"/>
          <w:szCs w:val="24"/>
        </w:rPr>
        <w:t xml:space="preserve"> 66160, United States</w:t>
      </w:r>
    </w:p>
    <w:p w:rsidR="00320278" w:rsidRPr="00BD4525" w:rsidRDefault="00320278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20278" w:rsidRPr="00BD4525" w:rsidRDefault="00320278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="00425EB7" w:rsidRPr="00BD4525">
        <w:rPr>
          <w:rFonts w:ascii="Book Antiqua" w:hAnsi="Book Antiqua" w:cs="Times New Roman"/>
          <w:sz w:val="24"/>
          <w:szCs w:val="24"/>
        </w:rPr>
        <w:t>Kaufman CS and Butler MG designed the report and wrote the manuscript</w:t>
      </w:r>
      <w:r w:rsidR="00F01464" w:rsidRPr="00BD4525">
        <w:rPr>
          <w:rFonts w:ascii="Book Antiqua" w:hAnsi="Book Antiqua" w:cs="Times New Roman"/>
          <w:sz w:val="24"/>
          <w:szCs w:val="24"/>
        </w:rPr>
        <w:t>.</w:t>
      </w:r>
    </w:p>
    <w:p w:rsidR="00320278" w:rsidRPr="00BD4525" w:rsidRDefault="00320278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20278" w:rsidRPr="00BD4525" w:rsidRDefault="00320278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Supported by</w:t>
      </w:r>
      <w:r w:rsidR="000D5EAA" w:rsidRPr="00BD4525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15098E" w:rsidRPr="00BD4525">
        <w:rPr>
          <w:rFonts w:ascii="Book Antiqua" w:hAnsi="Book Antiqua" w:cs="Times New Roman"/>
          <w:sz w:val="24"/>
          <w:szCs w:val="24"/>
        </w:rPr>
        <w:t>T</w:t>
      </w:r>
      <w:r w:rsidRPr="00BD4525">
        <w:rPr>
          <w:rFonts w:ascii="Book Antiqua" w:hAnsi="Book Antiqua" w:cs="Times New Roman"/>
          <w:sz w:val="24"/>
          <w:szCs w:val="24"/>
        </w:rPr>
        <w:t>he National Institute of Child Health and Human Development</w:t>
      </w:r>
      <w:r w:rsidR="0015098E" w:rsidRPr="00BD4525">
        <w:rPr>
          <w:rFonts w:ascii="Book Antiqua" w:hAnsi="Book Antiqua" w:cs="Times New Roman"/>
          <w:sz w:val="24"/>
          <w:szCs w:val="24"/>
        </w:rPr>
        <w:t xml:space="preserve"> (NICHD)</w:t>
      </w:r>
      <w:r w:rsidR="0075378A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BD4525">
        <w:rPr>
          <w:rFonts w:ascii="Book Antiqua" w:hAnsi="Book Antiqua" w:cs="Times New Roman"/>
          <w:sz w:val="24"/>
          <w:szCs w:val="24"/>
        </w:rPr>
        <w:t>No. HD02528.</w:t>
      </w:r>
    </w:p>
    <w:p w:rsidR="008B1B97" w:rsidRPr="00BD4525" w:rsidRDefault="008B1B97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57E78" w:rsidRPr="00BD4525" w:rsidRDefault="00E57E78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Institutional review board statement: </w:t>
      </w:r>
      <w:r w:rsidRPr="00BD4525">
        <w:rPr>
          <w:rFonts w:ascii="Book Antiqua" w:hAnsi="Book Antiqua" w:cs="Times New Roman"/>
          <w:sz w:val="24"/>
          <w:szCs w:val="24"/>
        </w:rPr>
        <w:t>University of Kansas Medical Center Institutional Review Board</w:t>
      </w:r>
      <w:r w:rsidR="008C6A53" w:rsidRPr="00BD4525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E57E78" w:rsidRPr="00BD4525" w:rsidRDefault="00E57E78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57E78" w:rsidRPr="00BD4525" w:rsidRDefault="00E57E78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Informed consent statement: </w:t>
      </w:r>
      <w:r w:rsidR="00B75041" w:rsidRPr="00BD4525">
        <w:rPr>
          <w:rFonts w:ascii="Book Antiqua" w:hAnsi="Book Antiqua" w:cs="Times New Roman"/>
          <w:sz w:val="24"/>
          <w:szCs w:val="24"/>
        </w:rPr>
        <w:t>Verbal consent was obtained from the patient</w:t>
      </w:r>
      <w:r w:rsidR="000D2816" w:rsidRPr="00BD4525">
        <w:rPr>
          <w:rFonts w:ascii="Book Antiqua" w:hAnsi="Book Antiqua" w:cs="Times New Roman"/>
          <w:sz w:val="24"/>
          <w:szCs w:val="24"/>
        </w:rPr>
        <w:t>.</w:t>
      </w:r>
      <w:r w:rsidR="00B75041" w:rsidRPr="00BD4525">
        <w:rPr>
          <w:rFonts w:ascii="Book Antiqua" w:hAnsi="Book Antiqua" w:cs="Times New Roman"/>
          <w:sz w:val="24"/>
          <w:szCs w:val="24"/>
        </w:rPr>
        <w:t xml:space="preserve"> There are no identifying images included in the manuscript. </w:t>
      </w:r>
    </w:p>
    <w:p w:rsidR="00E57E78" w:rsidRPr="00BD4525" w:rsidRDefault="00E57E78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B1B97" w:rsidRPr="00BD4525" w:rsidRDefault="008B1B97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Conflict-of-interest statement: </w:t>
      </w:r>
      <w:r w:rsidRPr="00BD4525">
        <w:rPr>
          <w:rFonts w:ascii="Book Antiqua" w:hAnsi="Book Antiqua" w:cs="Times New Roman"/>
          <w:sz w:val="24"/>
          <w:szCs w:val="24"/>
        </w:rPr>
        <w:t>There are no conflicts of interest.</w:t>
      </w:r>
    </w:p>
    <w:p w:rsidR="00BD4525" w:rsidRPr="00BD4525" w:rsidRDefault="00BD4525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D4525" w:rsidRPr="00BD4525" w:rsidRDefault="00BD4525" w:rsidP="008D5B3A">
      <w:pPr>
        <w:spacing w:after="0"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BD4525">
        <w:rPr>
          <w:rFonts w:ascii="Book Antiqua" w:hAnsi="Book Antiqua"/>
          <w:b/>
          <w:sz w:val="24"/>
          <w:szCs w:val="24"/>
        </w:rPr>
        <w:t xml:space="preserve">Open-Access: </w:t>
      </w:r>
      <w:r w:rsidRPr="00BD4525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</w:t>
      </w:r>
      <w:r w:rsidRPr="00BD4525">
        <w:rPr>
          <w:rFonts w:ascii="Book Antiqua" w:hAnsi="Book Antiqua"/>
          <w:sz w:val="24"/>
          <w:szCs w:val="24"/>
        </w:rPr>
        <w:lastRenderedPageBreak/>
        <w:t xml:space="preserve"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BD452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1"/>
      <w:bookmarkEnd w:id="2"/>
      <w:bookmarkEnd w:id="3"/>
      <w:bookmarkEnd w:id="4"/>
    </w:p>
    <w:p w:rsidR="00BD4525" w:rsidRPr="00BD4525" w:rsidRDefault="00BD4525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BD4525" w:rsidRPr="002D527A" w:rsidRDefault="00BD4525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5" w:name="OLE_LINK264"/>
      <w:bookmarkStart w:id="6" w:name="OLE_LINK265"/>
      <w:r w:rsidRPr="002D527A">
        <w:rPr>
          <w:rFonts w:ascii="Book Antiqua" w:hAnsi="Book Antiqua"/>
          <w:b/>
          <w:sz w:val="24"/>
          <w:szCs w:val="24"/>
        </w:rPr>
        <w:t xml:space="preserve">Manuscript source: </w:t>
      </w:r>
      <w:r w:rsidRPr="002D527A">
        <w:rPr>
          <w:rFonts w:ascii="Book Antiqua" w:hAnsi="Book Antiqua"/>
          <w:sz w:val="24"/>
          <w:szCs w:val="24"/>
        </w:rPr>
        <w:t>Invited manuscript</w:t>
      </w:r>
    </w:p>
    <w:bookmarkEnd w:id="5"/>
    <w:bookmarkEnd w:id="6"/>
    <w:p w:rsidR="008B1B97" w:rsidRPr="00BD4525" w:rsidRDefault="008B1B97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67DC2" w:rsidRPr="00BD4525" w:rsidRDefault="00967DC2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Correspondence to</w:t>
      </w:r>
      <w:r w:rsidR="00BA7078" w:rsidRPr="00BD4525">
        <w:rPr>
          <w:rFonts w:ascii="Book Antiqua" w:hAnsi="Book Antiqua" w:cs="Times New Roman"/>
          <w:b/>
          <w:sz w:val="24"/>
          <w:szCs w:val="24"/>
        </w:rPr>
        <w:t>:</w:t>
      </w:r>
      <w:r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Pr="00BD4525">
        <w:rPr>
          <w:rFonts w:ascii="Book Antiqua" w:hAnsi="Book Antiqua" w:cs="Times New Roman"/>
          <w:b/>
          <w:sz w:val="24"/>
          <w:szCs w:val="24"/>
        </w:rPr>
        <w:t>Merlin G</w:t>
      </w:r>
      <w:r w:rsidR="00BD4525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b/>
          <w:sz w:val="24"/>
          <w:szCs w:val="24"/>
        </w:rPr>
        <w:t xml:space="preserve">Butler, MD, PhD, </w:t>
      </w:r>
      <w:r w:rsidRPr="00BD4525">
        <w:rPr>
          <w:rFonts w:ascii="Book Antiqua" w:hAnsi="Book Antiqua" w:cs="Times New Roman"/>
          <w:sz w:val="24"/>
          <w:szCs w:val="24"/>
        </w:rPr>
        <w:t xml:space="preserve">Departments of Psychiatry </w:t>
      </w:r>
      <w:r w:rsidR="00F219FB" w:rsidRPr="00BD4525">
        <w:rPr>
          <w:rFonts w:ascii="Book Antiqua" w:hAnsi="Book Antiqua" w:cs="Times New Roman" w:hint="eastAsia"/>
          <w:sz w:val="24"/>
          <w:szCs w:val="24"/>
          <w:lang w:eastAsia="zh-CN"/>
        </w:rPr>
        <w:t>and</w:t>
      </w:r>
      <w:r w:rsidRPr="00BD4525">
        <w:rPr>
          <w:rFonts w:ascii="Book Antiqua" w:hAnsi="Book Antiqua" w:cs="Times New Roman"/>
          <w:sz w:val="24"/>
          <w:szCs w:val="24"/>
        </w:rPr>
        <w:t xml:space="preserve"> Behavioral Sciences and Pediatrics, University of Kansas Medical Center, 3901 Rainbow Blvd, MS 4015, Kansas City, K</w:t>
      </w:r>
      <w:r w:rsidR="009479F4" w:rsidRPr="00BD4525">
        <w:rPr>
          <w:rFonts w:ascii="Book Antiqua" w:hAnsi="Book Antiqua" w:cs="Times New Roman"/>
          <w:sz w:val="24"/>
          <w:szCs w:val="24"/>
        </w:rPr>
        <w:t>S</w:t>
      </w:r>
      <w:r w:rsidRPr="00BD4525">
        <w:rPr>
          <w:rFonts w:ascii="Book Antiqua" w:hAnsi="Book Antiqua" w:cs="Times New Roman"/>
          <w:sz w:val="24"/>
          <w:szCs w:val="24"/>
        </w:rPr>
        <w:t xml:space="preserve"> 66160, </w:t>
      </w:r>
      <w:r w:rsidR="009479F4" w:rsidRPr="00BD4525">
        <w:rPr>
          <w:rFonts w:ascii="Book Antiqua" w:hAnsi="Book Antiqua" w:cs="Times New Roman"/>
          <w:sz w:val="24"/>
          <w:szCs w:val="24"/>
        </w:rPr>
        <w:t>United States. mbutler4@kumc.edu</w:t>
      </w:r>
    </w:p>
    <w:p w:rsidR="009479F4" w:rsidRPr="00BD4525" w:rsidRDefault="00967DC2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Tel</w:t>
      </w:r>
      <w:r w:rsidR="009479F4" w:rsidRPr="00BD4525">
        <w:rPr>
          <w:rFonts w:ascii="Book Antiqua" w:hAnsi="Book Antiqua" w:cs="Times New Roman"/>
          <w:b/>
          <w:sz w:val="24"/>
          <w:szCs w:val="24"/>
        </w:rPr>
        <w:t>ephone</w:t>
      </w:r>
      <w:r w:rsidR="009479F4" w:rsidRPr="00BD4525">
        <w:rPr>
          <w:rFonts w:ascii="Book Antiqua" w:hAnsi="Book Antiqua" w:cs="Times New Roman"/>
          <w:sz w:val="24"/>
          <w:szCs w:val="24"/>
        </w:rPr>
        <w:t>: +1-913-5881800</w:t>
      </w:r>
    </w:p>
    <w:p w:rsidR="00EA342E" w:rsidRDefault="009479F4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Fax:</w:t>
      </w:r>
      <w:r w:rsidR="0044298F" w:rsidRPr="00BD4525">
        <w:rPr>
          <w:rFonts w:ascii="Book Antiqua" w:hAnsi="Book Antiqua" w:cs="Times New Roman"/>
          <w:sz w:val="24"/>
          <w:szCs w:val="24"/>
        </w:rPr>
        <w:t xml:space="preserve"> +1-913-5881305</w:t>
      </w:r>
    </w:p>
    <w:p w:rsidR="00282257" w:rsidRDefault="00282257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82257" w:rsidRPr="00810F59" w:rsidRDefault="00282257" w:rsidP="008D5B3A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bookmarkStart w:id="7" w:name="OLE_LINK284"/>
      <w:bookmarkStart w:id="8" w:name="OLE_LINK285"/>
      <w:r w:rsidRPr="00810F59">
        <w:rPr>
          <w:rFonts w:ascii="Book Antiqua" w:eastAsiaTheme="minorEastAsia" w:hAnsi="Book Antiqua" w:cstheme="minorBidi"/>
          <w:b/>
          <w:sz w:val="24"/>
          <w:szCs w:val="24"/>
        </w:rPr>
        <w:t>Received: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E07A71">
        <w:rPr>
          <w:rFonts w:ascii="Book Antiqua" w:hAnsi="Book Antiqua" w:cs="Times New Roman"/>
          <w:sz w:val="24"/>
          <w:szCs w:val="24"/>
        </w:rPr>
        <w:t xml:space="preserve">April </w:t>
      </w:r>
      <w:r>
        <w:rPr>
          <w:rFonts w:ascii="Book Antiqua" w:eastAsiaTheme="minorEastAsia" w:hAnsi="Book Antiqua" w:cstheme="minorBidi" w:hint="eastAsia"/>
          <w:sz w:val="24"/>
          <w:szCs w:val="24"/>
        </w:rPr>
        <w:t>1</w:t>
      </w:r>
      <w:r w:rsidR="00E07A71">
        <w:rPr>
          <w:rFonts w:ascii="Book Antiqua" w:eastAsiaTheme="minorEastAsia" w:hAnsi="Book Antiqua" w:cstheme="minorBidi" w:hint="eastAsia"/>
          <w:sz w:val="24"/>
          <w:szCs w:val="24"/>
        </w:rPr>
        <w:t>6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282257" w:rsidRPr="00810F59" w:rsidRDefault="00282257" w:rsidP="008D5B3A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>Peer-review started: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E07A71">
        <w:rPr>
          <w:rFonts w:ascii="Book Antiqua" w:hAnsi="Book Antiqua" w:cs="Times New Roman"/>
          <w:sz w:val="24"/>
          <w:szCs w:val="24"/>
        </w:rPr>
        <w:t xml:space="preserve">April </w:t>
      </w:r>
      <w:r>
        <w:rPr>
          <w:rFonts w:ascii="Book Antiqua" w:eastAsiaTheme="minorEastAsia" w:hAnsi="Book Antiqua" w:cstheme="minorBidi" w:hint="eastAsia"/>
          <w:sz w:val="24"/>
          <w:szCs w:val="24"/>
        </w:rPr>
        <w:t>19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282257" w:rsidRPr="00810F59" w:rsidRDefault="00282257" w:rsidP="008D5B3A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>First decision: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C817D7">
        <w:rPr>
          <w:rFonts w:ascii="Book Antiqua" w:eastAsiaTheme="minorEastAsia" w:hAnsi="Book Antiqua" w:cstheme="minorBidi" w:hint="eastAsia"/>
          <w:sz w:val="24"/>
          <w:szCs w:val="24"/>
        </w:rPr>
        <w:t>May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B30F39">
        <w:rPr>
          <w:rFonts w:ascii="Book Antiqua" w:eastAsiaTheme="minorEastAsia" w:hAnsi="Book Antiqua" w:cstheme="minorBidi" w:hint="eastAsia"/>
          <w:sz w:val="24"/>
          <w:szCs w:val="24"/>
        </w:rPr>
        <w:t>19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282257" w:rsidRPr="00F96EC2" w:rsidRDefault="00282257" w:rsidP="008D5B3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 xml:space="preserve">Revised: </w:t>
      </w:r>
      <w:r w:rsidR="00893E43">
        <w:rPr>
          <w:rFonts w:ascii="Book Antiqua" w:eastAsiaTheme="minorEastAsia" w:hAnsi="Book Antiqua" w:cstheme="minorBidi" w:hint="eastAsia"/>
          <w:sz w:val="24"/>
          <w:szCs w:val="24"/>
        </w:rPr>
        <w:t>May</w:t>
      </w:r>
      <w:r w:rsidR="00893E43" w:rsidRPr="00810F59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893E43">
        <w:rPr>
          <w:rFonts w:ascii="Book Antiqua" w:hAnsi="Book Antiqua" w:cs="Times New Roman" w:hint="eastAsia"/>
          <w:sz w:val="24"/>
          <w:szCs w:val="24"/>
        </w:rPr>
        <w:t>27</w:t>
      </w:r>
      <w:r>
        <w:rPr>
          <w:rFonts w:ascii="Book Antiqua" w:hAnsi="Book Antiqua" w:cs="Times New Roman"/>
          <w:sz w:val="24"/>
          <w:szCs w:val="24"/>
        </w:rPr>
        <w:t>, 2016</w:t>
      </w:r>
    </w:p>
    <w:p w:rsidR="00282257" w:rsidRPr="0022037E" w:rsidRDefault="00282257" w:rsidP="0022037E">
      <w:pPr>
        <w:rPr>
          <w:rFonts w:ascii="Book Antiqua" w:hAnsi="Book Antiqua"/>
          <w:iCs/>
          <w:sz w:val="24"/>
        </w:rPr>
      </w:pPr>
      <w:r w:rsidRPr="00810F59">
        <w:rPr>
          <w:rFonts w:ascii="Book Antiqua" w:hAnsi="Book Antiqua"/>
          <w:b/>
          <w:sz w:val="24"/>
          <w:szCs w:val="24"/>
        </w:rPr>
        <w:t xml:space="preserve">Accepted: </w:t>
      </w:r>
      <w:r w:rsidR="0022037E">
        <w:rPr>
          <w:rStyle w:val="Emphasis"/>
        </w:rPr>
        <w:t>June 14</w:t>
      </w:r>
      <w:r w:rsidR="0022037E" w:rsidRPr="00235CD4">
        <w:rPr>
          <w:rStyle w:val="Emphasis"/>
        </w:rPr>
        <w:t>,</w:t>
      </w:r>
      <w:r w:rsidR="0022037E">
        <w:rPr>
          <w:rStyle w:val="Emphasis"/>
        </w:rPr>
        <w:t xml:space="preserve"> 2016</w:t>
      </w:r>
    </w:p>
    <w:p w:rsidR="00282257" w:rsidRPr="00810F59" w:rsidRDefault="00282257" w:rsidP="008D5B3A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 xml:space="preserve">Article in press: </w:t>
      </w:r>
    </w:p>
    <w:p w:rsidR="00282257" w:rsidRDefault="00282257" w:rsidP="008D5B3A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 xml:space="preserve">Published online: </w:t>
      </w:r>
    </w:p>
    <w:bookmarkEnd w:id="7"/>
    <w:bookmarkEnd w:id="8"/>
    <w:p w:rsidR="00282257" w:rsidRPr="00282257" w:rsidRDefault="00282257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A342E" w:rsidRPr="00BD4525" w:rsidRDefault="00EA342E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82257" w:rsidRDefault="00282257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612E4F" w:rsidRPr="00BD4525" w:rsidRDefault="00CE63DC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612E4F" w:rsidRPr="00BD4525" w:rsidRDefault="00612E4F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t>We report a 28-year-old female who presented with severe joint pain, chronic muscle weakness, Raynaud’s phenomenon,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and hypermobility. She </w:t>
      </w:r>
      <w:r w:rsidRPr="00BD4525">
        <w:rPr>
          <w:rFonts w:ascii="Book Antiqua" w:hAnsi="Book Antiqua" w:cs="Times New Roman"/>
          <w:sz w:val="24"/>
          <w:szCs w:val="24"/>
        </w:rPr>
        <w:t>was found to have a 6074A</w:t>
      </w:r>
      <w:r w:rsidR="00DD7F7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sz w:val="24"/>
          <w:szCs w:val="24"/>
        </w:rPr>
        <w:t>&gt;</w:t>
      </w:r>
      <w:r w:rsidR="00DD7F7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 w:cs="Times New Roman"/>
          <w:sz w:val="24"/>
          <w:szCs w:val="24"/>
        </w:rPr>
        <w:t xml:space="preserve">T nucleotide transition in the </w:t>
      </w:r>
      <w:r w:rsidRPr="00BD4525">
        <w:rPr>
          <w:rFonts w:ascii="Book Antiqua" w:hAnsi="Book Antiqua" w:cs="Times New Roman"/>
          <w:i/>
          <w:sz w:val="24"/>
          <w:szCs w:val="24"/>
        </w:rPr>
        <w:t xml:space="preserve">TNXB </w:t>
      </w:r>
      <w:r w:rsidRPr="00BD4525">
        <w:rPr>
          <w:rFonts w:ascii="Book Antiqua" w:hAnsi="Book Antiqua" w:cs="Times New Roman"/>
          <w:sz w:val="24"/>
          <w:szCs w:val="24"/>
        </w:rPr>
        <w:t>gene causing</w:t>
      </w:r>
      <w:r w:rsidR="00B97E56">
        <w:rPr>
          <w:rFonts w:ascii="Book Antiqua" w:hAnsi="Book Antiqua" w:cs="Times New Roman"/>
          <w:sz w:val="24"/>
          <w:szCs w:val="24"/>
        </w:rPr>
        <w:t xml:space="preserve"> an amino acid protein change at </w:t>
      </w:r>
      <w:r w:rsidRPr="00BD4525">
        <w:rPr>
          <w:rFonts w:ascii="Book Antiqua" w:hAnsi="Book Antiqua" w:cs="Times New Roman"/>
          <w:sz w:val="24"/>
          <w:szCs w:val="24"/>
        </w:rPr>
        <w:t>Asp2025Val</w:t>
      </w:r>
      <w:r w:rsidR="007C2121">
        <w:rPr>
          <w:rFonts w:ascii="Book Antiqua" w:hAnsi="Book Antiqua" w:cs="Times New Roman"/>
          <w:sz w:val="24"/>
          <w:szCs w:val="24"/>
        </w:rPr>
        <w:t xml:space="preserve"> classified as likely pathogen</w:t>
      </w:r>
      <w:r w:rsidR="00935928">
        <w:rPr>
          <w:rFonts w:ascii="Book Antiqua" w:hAnsi="Book Antiqua" w:cs="Times New Roman"/>
          <w:sz w:val="24"/>
          <w:szCs w:val="24"/>
        </w:rPr>
        <w:t>ic</w:t>
      </w:r>
      <w:r w:rsidRPr="00BD4525">
        <w:rPr>
          <w:rFonts w:ascii="Book Antiqua" w:hAnsi="Book Antiqua" w:cs="Times New Roman"/>
          <w:sz w:val="24"/>
          <w:szCs w:val="24"/>
        </w:rPr>
        <w:t xml:space="preserve">. We add this </w:t>
      </w:r>
      <w:r w:rsidR="00425EB7" w:rsidRPr="00BD4525">
        <w:rPr>
          <w:rFonts w:ascii="Book Antiqua" w:hAnsi="Book Antiqua" w:cs="Times New Roman"/>
          <w:sz w:val="24"/>
          <w:szCs w:val="24"/>
        </w:rPr>
        <w:t>clinical</w:t>
      </w:r>
      <w:r w:rsidRPr="00BD4525">
        <w:rPr>
          <w:rFonts w:ascii="Book Antiqua" w:hAnsi="Book Antiqua" w:cs="Times New Roman"/>
          <w:sz w:val="24"/>
          <w:szCs w:val="24"/>
        </w:rPr>
        <w:t xml:space="preserve"> report to the literature and classical human disease gene catalogs to identify this </w:t>
      </w:r>
      <w:r w:rsidR="00425EB7" w:rsidRPr="00BD4525">
        <w:rPr>
          <w:rFonts w:ascii="Book Antiqua" w:hAnsi="Book Antiqua" w:cs="Times New Roman"/>
          <w:sz w:val="24"/>
          <w:szCs w:val="24"/>
        </w:rPr>
        <w:t xml:space="preserve">specific </w:t>
      </w:r>
      <w:r w:rsidRPr="00BD4525">
        <w:rPr>
          <w:rFonts w:ascii="Book Antiqua" w:hAnsi="Book Antiqua" w:cs="Times New Roman"/>
          <w:sz w:val="24"/>
          <w:szCs w:val="24"/>
        </w:rPr>
        <w:t>mutation as disease-causing. This gene variant was reported previously in a different 36-year-old patient who shared our patient’s symptoms of joint hypermobility</w:t>
      </w:r>
      <w:r w:rsidR="007C2121">
        <w:rPr>
          <w:rFonts w:ascii="Book Antiqua" w:hAnsi="Book Antiqua" w:cs="Times New Roman"/>
          <w:sz w:val="24"/>
          <w:szCs w:val="24"/>
        </w:rPr>
        <w:t xml:space="preserve">, skeletal and joint </w:t>
      </w:r>
      <w:r w:rsidRPr="00BD4525">
        <w:rPr>
          <w:rFonts w:ascii="Book Antiqua" w:hAnsi="Book Antiqua" w:cs="Times New Roman"/>
          <w:sz w:val="24"/>
          <w:szCs w:val="24"/>
        </w:rPr>
        <w:t xml:space="preserve">pain, </w:t>
      </w:r>
      <w:r w:rsidR="007C2121">
        <w:rPr>
          <w:rFonts w:ascii="Book Antiqua" w:hAnsi="Book Antiqua" w:cs="Times New Roman"/>
          <w:sz w:val="24"/>
          <w:szCs w:val="24"/>
        </w:rPr>
        <w:t xml:space="preserve">skin elasticity </w:t>
      </w:r>
      <w:r w:rsidRPr="00BD4525">
        <w:rPr>
          <w:rFonts w:ascii="Book Antiqua" w:hAnsi="Book Antiqua" w:cs="Times New Roman"/>
          <w:sz w:val="24"/>
          <w:szCs w:val="24"/>
        </w:rPr>
        <w:t>and musculoskeletal problems, thereby causing</w:t>
      </w:r>
      <w:r w:rsidR="00425EB7" w:rsidRPr="00BD4525">
        <w:rPr>
          <w:rFonts w:ascii="Book Antiqua" w:hAnsi="Book Antiqua" w:cs="Times New Roman"/>
          <w:sz w:val="24"/>
          <w:szCs w:val="24"/>
        </w:rPr>
        <w:t xml:space="preserve"> a more</w:t>
      </w:r>
      <w:r w:rsidRPr="00BD4525">
        <w:rPr>
          <w:rFonts w:ascii="Book Antiqua" w:hAnsi="Book Antiqua" w:cs="Times New Roman"/>
          <w:sz w:val="24"/>
          <w:szCs w:val="24"/>
        </w:rPr>
        <w:t xml:space="preserve"> severe presentation than seen in the hypermobility t</w:t>
      </w:r>
      <w:r w:rsidR="0093089E" w:rsidRPr="00BD4525">
        <w:rPr>
          <w:rFonts w:ascii="Book Antiqua" w:hAnsi="Book Antiqua" w:cs="Times New Roman"/>
          <w:sz w:val="24"/>
          <w:szCs w:val="24"/>
        </w:rPr>
        <w:t xml:space="preserve">ype of </w:t>
      </w:r>
      <w:r w:rsidR="00DE53A1" w:rsidRPr="00BD4525">
        <w:rPr>
          <w:rFonts w:ascii="Book Antiqua" w:hAnsi="Book Antiqua" w:cs="Times New Roman"/>
          <w:sz w:val="24"/>
          <w:szCs w:val="24"/>
        </w:rPr>
        <w:t xml:space="preserve">Ehlers-Danlos syndrome </w:t>
      </w:r>
      <w:r w:rsidR="00DE53A1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93089E" w:rsidRPr="00BD4525">
        <w:rPr>
          <w:rFonts w:ascii="Book Antiqua" w:hAnsi="Book Antiqua" w:cs="Times New Roman"/>
          <w:sz w:val="24"/>
          <w:szCs w:val="24"/>
        </w:rPr>
        <w:t>EDS</w:t>
      </w:r>
      <w:r w:rsidR="00DE53A1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3660E5">
        <w:rPr>
          <w:rFonts w:ascii="Book Antiqua" w:hAnsi="Book Antiqua" w:cs="Times New Roman"/>
          <w:sz w:val="24"/>
          <w:szCs w:val="24"/>
        </w:rPr>
        <w:t xml:space="preserve">. 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At the time of writing, a few mutations in the </w:t>
      </w:r>
      <w:r w:rsidR="005B3D68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gene have been recognized as pathogenic causing </w:t>
      </w:r>
      <w:r w:rsidR="00DE53A1" w:rsidRPr="00BD4525">
        <w:rPr>
          <w:rFonts w:ascii="Book Antiqua" w:hAnsi="Book Antiqua" w:cs="Times New Roman"/>
          <w:sz w:val="24"/>
          <w:szCs w:val="24"/>
        </w:rPr>
        <w:t xml:space="preserve">EDS </w:t>
      </w:r>
      <w:r w:rsidR="005B3D68" w:rsidRPr="00BD4525">
        <w:rPr>
          <w:rFonts w:ascii="Book Antiqua" w:hAnsi="Book Antiqua" w:cs="Times New Roman"/>
          <w:sz w:val="24"/>
          <w:szCs w:val="24"/>
        </w:rPr>
        <w:t>due to tenascin-X deficiency, but the variant identified in our patient has not</w:t>
      </w:r>
      <w:r w:rsidR="00425EB7" w:rsidRPr="00BD4525">
        <w:rPr>
          <w:rFonts w:ascii="Book Antiqua" w:hAnsi="Book Antiqua" w:cs="Times New Roman"/>
          <w:sz w:val="24"/>
          <w:szCs w:val="24"/>
        </w:rPr>
        <w:t xml:space="preserve"> been recognized as pathogenic in online genetic databases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. </w:t>
      </w:r>
      <w:r w:rsidR="00F33416" w:rsidRPr="00BD4525">
        <w:rPr>
          <w:rFonts w:ascii="Book Antiqua" w:hAnsi="Book Antiqua" w:cs="Times New Roman"/>
          <w:sz w:val="24"/>
          <w:szCs w:val="24"/>
        </w:rPr>
        <w:t>Our case study in combination with peer-reviewed literature suggests that the 6074A</w:t>
      </w:r>
      <w:r w:rsidR="0051506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33416" w:rsidRPr="00BD4525">
        <w:rPr>
          <w:rFonts w:ascii="Book Antiqua" w:hAnsi="Book Antiqua" w:cs="Times New Roman"/>
          <w:sz w:val="24"/>
          <w:szCs w:val="24"/>
        </w:rPr>
        <w:t>&gt;</w:t>
      </w:r>
      <w:r w:rsidR="0051506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33416" w:rsidRPr="00BD4525">
        <w:rPr>
          <w:rFonts w:ascii="Book Antiqua" w:hAnsi="Book Antiqua" w:cs="Times New Roman"/>
          <w:sz w:val="24"/>
          <w:szCs w:val="24"/>
        </w:rPr>
        <w:t xml:space="preserve">T nucleotide transition in the </w:t>
      </w:r>
      <w:r w:rsidR="00F33416" w:rsidRPr="00BD4525">
        <w:rPr>
          <w:rFonts w:ascii="Book Antiqua" w:hAnsi="Book Antiqua" w:cs="Times New Roman"/>
          <w:i/>
          <w:sz w:val="24"/>
          <w:szCs w:val="24"/>
        </w:rPr>
        <w:t xml:space="preserve">TNXB </w:t>
      </w:r>
      <w:r w:rsidR="007C2121">
        <w:rPr>
          <w:rFonts w:ascii="Book Antiqua" w:hAnsi="Book Antiqua" w:cs="Times New Roman"/>
          <w:sz w:val="24"/>
          <w:szCs w:val="24"/>
        </w:rPr>
        <w:t>gene may</w:t>
      </w:r>
      <w:r w:rsidR="00F33416" w:rsidRPr="00BD4525">
        <w:rPr>
          <w:rFonts w:ascii="Book Antiqua" w:hAnsi="Book Antiqua" w:cs="Times New Roman"/>
          <w:sz w:val="24"/>
          <w:szCs w:val="24"/>
        </w:rPr>
        <w:t xml:space="preserve"> be classifie</w:t>
      </w:r>
      <w:r w:rsidR="00425EB7" w:rsidRPr="00BD4525">
        <w:rPr>
          <w:rFonts w:ascii="Book Antiqua" w:hAnsi="Book Antiqua" w:cs="Times New Roman"/>
          <w:sz w:val="24"/>
          <w:szCs w:val="24"/>
        </w:rPr>
        <w:t xml:space="preserve">d as disease-causing for </w:t>
      </w:r>
      <w:r w:rsidR="00DE53A1" w:rsidRPr="00BD4525">
        <w:rPr>
          <w:rFonts w:ascii="Book Antiqua" w:hAnsi="Book Antiqua" w:cs="Times New Roman"/>
          <w:sz w:val="24"/>
          <w:szCs w:val="24"/>
        </w:rPr>
        <w:t>EDS</w:t>
      </w:r>
      <w:r w:rsidR="00425EB7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F33416" w:rsidRPr="00BD4525">
        <w:rPr>
          <w:rFonts w:ascii="Book Antiqua" w:hAnsi="Book Antiqua" w:cs="Times New Roman"/>
          <w:sz w:val="24"/>
          <w:szCs w:val="24"/>
        </w:rPr>
        <w:t>due to tenascin-X deficiency.</w:t>
      </w:r>
    </w:p>
    <w:p w:rsidR="005B3D68" w:rsidRPr="00BD4525" w:rsidRDefault="005B3D68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E63DC" w:rsidRDefault="00CE63DC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="005B3D68" w:rsidRPr="00BD4525">
        <w:rPr>
          <w:rFonts w:ascii="Book Antiqua" w:hAnsi="Book Antiqua" w:cs="Times New Roman"/>
          <w:sz w:val="24"/>
          <w:szCs w:val="24"/>
        </w:rPr>
        <w:t>Ehlers-Danlos syndrome; Genetic variants; Mutations; Hypermobility; Joint pain; Muscle weakness; Raynaud’s</w:t>
      </w:r>
      <w:r w:rsidR="007C2121">
        <w:rPr>
          <w:rFonts w:ascii="Book Antiqua" w:hAnsi="Book Antiqua" w:cs="Times New Roman"/>
          <w:sz w:val="24"/>
          <w:szCs w:val="24"/>
        </w:rPr>
        <w:t xml:space="preserve"> phenomenon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; Tenascin-X; </w:t>
      </w:r>
      <w:r w:rsidR="005B3D68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; </w:t>
      </w:r>
      <w:r w:rsidR="001F61A0" w:rsidRPr="00BD4525">
        <w:rPr>
          <w:rFonts w:ascii="Book Antiqua" w:hAnsi="Book Antiqua" w:cs="Times New Roman"/>
          <w:sz w:val="24"/>
          <w:szCs w:val="24"/>
        </w:rPr>
        <w:t>Ehlers-Danlos syndrome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due to tenascin-X deficiency</w:t>
      </w:r>
    </w:p>
    <w:p w:rsidR="00381A35" w:rsidRDefault="00381A35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81A35" w:rsidRPr="00381A35" w:rsidRDefault="00381A35" w:rsidP="008D5B3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26D49">
        <w:rPr>
          <w:rFonts w:ascii="Book Antiqua" w:hAnsi="Book Antiqua"/>
          <w:b/>
          <w:sz w:val="24"/>
          <w:szCs w:val="24"/>
        </w:rPr>
        <w:t xml:space="preserve">© </w:t>
      </w:r>
      <w:r w:rsidRPr="00026D49">
        <w:rPr>
          <w:rFonts w:ascii="Book Antiqua" w:hAnsi="Book Antiqua" w:cs="Arial"/>
          <w:b/>
          <w:sz w:val="24"/>
          <w:szCs w:val="24"/>
        </w:rPr>
        <w:t>The Author(s) 2016.</w:t>
      </w:r>
      <w:r w:rsidRPr="00026D49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026D49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26D49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CE63DC" w:rsidRPr="00BD4525" w:rsidRDefault="00CE63DC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E63DC" w:rsidRDefault="00CE63DC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Core tip:</w:t>
      </w:r>
      <w:r w:rsidR="005B3D68" w:rsidRPr="00BD452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Various types of </w:t>
      </w:r>
      <w:r w:rsidR="00DE53A1" w:rsidRPr="00BD4525">
        <w:rPr>
          <w:rFonts w:ascii="Book Antiqua" w:hAnsi="Book Antiqua" w:cs="Times New Roman"/>
          <w:sz w:val="24"/>
          <w:szCs w:val="24"/>
        </w:rPr>
        <w:t xml:space="preserve">Ehlers-Danlos syndrome </w:t>
      </w:r>
      <w:r w:rsidR="00DE53A1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DE53A1" w:rsidRPr="00BD4525">
        <w:rPr>
          <w:rFonts w:ascii="Book Antiqua" w:hAnsi="Book Antiqua" w:cs="Times New Roman"/>
          <w:sz w:val="24"/>
          <w:szCs w:val="24"/>
        </w:rPr>
        <w:t>EDS</w:t>
      </w:r>
      <w:r w:rsidR="00DE53A1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3D3657" w:rsidRPr="00BD4525">
        <w:rPr>
          <w:rFonts w:ascii="Book Antiqua" w:hAnsi="Book Antiqua" w:cs="Times New Roman"/>
          <w:sz w:val="24"/>
          <w:szCs w:val="24"/>
        </w:rPr>
        <w:t>have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unique phenotypic features and genetic causes that are </w:t>
      </w:r>
      <w:r w:rsidR="00425EB7" w:rsidRPr="00BD4525">
        <w:rPr>
          <w:rFonts w:ascii="Book Antiqua" w:hAnsi="Book Antiqua" w:cs="Times New Roman"/>
          <w:sz w:val="24"/>
          <w:szCs w:val="24"/>
        </w:rPr>
        <w:t>under investigation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. This case report presents a 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gene 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variant </w:t>
      </w:r>
      <w:r w:rsidR="003D3657" w:rsidRPr="00BD4525">
        <w:rPr>
          <w:rFonts w:ascii="Book Antiqua" w:hAnsi="Book Antiqua" w:cs="Times New Roman"/>
          <w:sz w:val="24"/>
          <w:szCs w:val="24"/>
        </w:rPr>
        <w:t>(6074A</w:t>
      </w:r>
      <w:r w:rsidR="00A419D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D3657" w:rsidRPr="00BD4525">
        <w:rPr>
          <w:rFonts w:ascii="Book Antiqua" w:hAnsi="Book Antiqua" w:cs="Times New Roman"/>
          <w:sz w:val="24"/>
          <w:szCs w:val="24"/>
        </w:rPr>
        <w:t>&gt;</w:t>
      </w:r>
      <w:r w:rsidR="00A419D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T nucleotide transition in the </w:t>
      </w:r>
      <w:r w:rsidR="003D3657" w:rsidRPr="00BD4525">
        <w:rPr>
          <w:rFonts w:ascii="Book Antiqua" w:hAnsi="Book Antiqua" w:cs="Times New Roman"/>
          <w:i/>
          <w:sz w:val="24"/>
          <w:szCs w:val="24"/>
        </w:rPr>
        <w:t xml:space="preserve">TNXB 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gene) </w:t>
      </w:r>
      <w:r w:rsidR="005B3D68" w:rsidRPr="00BD4525">
        <w:rPr>
          <w:rFonts w:ascii="Book Antiqua" w:hAnsi="Book Antiqua" w:cs="Times New Roman"/>
          <w:sz w:val="24"/>
          <w:szCs w:val="24"/>
        </w:rPr>
        <w:t>not previously classifi</w:t>
      </w:r>
      <w:r w:rsidR="003D3657" w:rsidRPr="00BD4525">
        <w:rPr>
          <w:rFonts w:ascii="Book Antiqua" w:hAnsi="Book Antiqua" w:cs="Times New Roman"/>
          <w:sz w:val="24"/>
          <w:szCs w:val="24"/>
        </w:rPr>
        <w:t>ed as disease-causing which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we propose 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should be classified as pathogenic. This variant appears to </w:t>
      </w:r>
      <w:r w:rsidR="00425EB7" w:rsidRPr="00BD4525">
        <w:rPr>
          <w:rFonts w:ascii="Book Antiqua" w:hAnsi="Book Antiqua" w:cs="Times New Roman"/>
          <w:sz w:val="24"/>
          <w:szCs w:val="24"/>
        </w:rPr>
        <w:t>produce</w:t>
      </w:r>
      <w:r w:rsidR="005B3D68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joint hypermobility, skeletal pain, and musculoskeletal problems and should be classified as causing </w:t>
      </w:r>
      <w:r w:rsidR="00DE53A1" w:rsidRPr="00BD4525">
        <w:rPr>
          <w:rFonts w:ascii="Book Antiqua" w:hAnsi="Book Antiqua" w:cs="Times New Roman"/>
          <w:sz w:val="24"/>
          <w:szCs w:val="24"/>
        </w:rPr>
        <w:t>EDS</w:t>
      </w:r>
      <w:r w:rsidR="003D3657" w:rsidRPr="00BD4525">
        <w:rPr>
          <w:rFonts w:ascii="Book Antiqua" w:hAnsi="Book Antiqua" w:cs="Times New Roman"/>
          <w:sz w:val="24"/>
          <w:szCs w:val="24"/>
        </w:rPr>
        <w:t xml:space="preserve"> due to tenascin-X deficiency.</w:t>
      </w:r>
      <w:r w:rsidR="00F6553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</w:p>
    <w:p w:rsidR="004F4963" w:rsidRPr="00BD4525" w:rsidRDefault="004F4963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E63DC" w:rsidRPr="00BD4525" w:rsidRDefault="00B81749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sz w:val="24"/>
          <w:szCs w:val="24"/>
        </w:rPr>
        <w:lastRenderedPageBreak/>
        <w:t xml:space="preserve">Kaufman CS, Butler MG. Mutation in </w:t>
      </w:r>
      <w:r w:rsidRPr="002F42C4">
        <w:rPr>
          <w:rFonts w:ascii="Book Antiqua" w:hAnsi="Book Antiqua" w:cs="Times New Roman"/>
          <w:i/>
          <w:sz w:val="24"/>
          <w:szCs w:val="24"/>
        </w:rPr>
        <w:t xml:space="preserve">TNXB </w:t>
      </w:r>
      <w:r w:rsidRPr="00BD4525">
        <w:rPr>
          <w:rFonts w:ascii="Book Antiqua" w:hAnsi="Book Antiqua" w:cs="Times New Roman"/>
          <w:sz w:val="24"/>
          <w:szCs w:val="24"/>
        </w:rPr>
        <w:t>gene causes moderate to severe Ehlers-Danlos syndrome.</w:t>
      </w:r>
      <w:r w:rsidR="0013426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3426C" w:rsidRPr="00125820">
        <w:rPr>
          <w:rFonts w:ascii="Book Antiqua" w:hAnsi="Book Antiqua"/>
          <w:i/>
          <w:iCs/>
          <w:sz w:val="24"/>
          <w:szCs w:val="24"/>
        </w:rPr>
        <w:t>World J Med Genet</w:t>
      </w:r>
      <w:r w:rsidR="0013426C">
        <w:rPr>
          <w:rFonts w:ascii="Book Antiqua" w:hAnsi="Book Antiqua" w:hint="eastAsia"/>
          <w:i/>
          <w:iCs/>
          <w:sz w:val="24"/>
          <w:szCs w:val="24"/>
        </w:rPr>
        <w:t xml:space="preserve"> </w:t>
      </w:r>
      <w:r w:rsidR="0013426C" w:rsidRPr="00125820">
        <w:rPr>
          <w:rFonts w:ascii="Book Antiqua" w:hAnsi="Book Antiqua" w:hint="eastAsia"/>
          <w:iCs/>
          <w:sz w:val="24"/>
          <w:szCs w:val="24"/>
        </w:rPr>
        <w:t>201</w:t>
      </w:r>
      <w:r w:rsidR="0013426C">
        <w:rPr>
          <w:rFonts w:ascii="Book Antiqua" w:hAnsi="Book Antiqua" w:hint="eastAsia"/>
          <w:iCs/>
          <w:sz w:val="24"/>
          <w:szCs w:val="24"/>
        </w:rPr>
        <w:t xml:space="preserve">6; </w:t>
      </w:r>
      <w:proofErr w:type="gramStart"/>
      <w:r w:rsidR="0013426C">
        <w:rPr>
          <w:rFonts w:ascii="Book Antiqua" w:hAnsi="Book Antiqua" w:hint="eastAsia"/>
          <w:iCs/>
          <w:sz w:val="24"/>
          <w:szCs w:val="24"/>
        </w:rPr>
        <w:t>In</w:t>
      </w:r>
      <w:proofErr w:type="gramEnd"/>
      <w:r w:rsidR="0013426C">
        <w:rPr>
          <w:rFonts w:ascii="Book Antiqua" w:hAnsi="Book Antiqua" w:hint="eastAsia"/>
          <w:iCs/>
          <w:sz w:val="24"/>
          <w:szCs w:val="24"/>
        </w:rPr>
        <w:t xml:space="preserve"> press</w:t>
      </w:r>
    </w:p>
    <w:p w:rsidR="003F194A" w:rsidRDefault="003F194A" w:rsidP="008D5B3A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CE63DC" w:rsidRPr="00BD4525" w:rsidRDefault="00951D19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9C6080" w:rsidRDefault="000D0C1D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sz w:val="24"/>
          <w:szCs w:val="24"/>
        </w:rPr>
        <w:t xml:space="preserve">Ehlers-Danlos syndrome </w:t>
      </w:r>
      <w:r w:rsidR="0088796D" w:rsidRPr="00BD4525">
        <w:rPr>
          <w:rFonts w:ascii="Book Antiqua" w:hAnsi="Book Antiqua" w:cs="Times New Roman"/>
          <w:sz w:val="24"/>
          <w:szCs w:val="24"/>
        </w:rPr>
        <w:t>(EDS) encompasses a heterogeneous collection of connective tissue disorders with joint</w:t>
      </w:r>
      <w:r w:rsidR="00A06F95" w:rsidRPr="00BD4525">
        <w:rPr>
          <w:rFonts w:ascii="Book Antiqua" w:hAnsi="Book Antiqua" w:cs="Times New Roman"/>
          <w:sz w:val="24"/>
          <w:szCs w:val="24"/>
        </w:rPr>
        <w:t>,</w:t>
      </w:r>
      <w:r w:rsidR="0088796D" w:rsidRPr="00BD4525">
        <w:rPr>
          <w:rFonts w:ascii="Book Antiqua" w:hAnsi="Book Antiqua" w:cs="Times New Roman"/>
          <w:sz w:val="24"/>
          <w:szCs w:val="24"/>
        </w:rPr>
        <w:t xml:space="preserve"> skin </w:t>
      </w:r>
      <w:r w:rsidR="00A06F95" w:rsidRPr="00BD4525">
        <w:rPr>
          <w:rFonts w:ascii="Book Antiqua" w:hAnsi="Book Antiqua" w:cs="Times New Roman"/>
          <w:sz w:val="24"/>
          <w:szCs w:val="24"/>
        </w:rPr>
        <w:t xml:space="preserve">and vascular </w:t>
      </w:r>
      <w:r w:rsidR="0088796D" w:rsidRPr="00BD4525">
        <w:rPr>
          <w:rFonts w:ascii="Book Antiqua" w:hAnsi="Book Antiqua" w:cs="Times New Roman"/>
          <w:sz w:val="24"/>
          <w:szCs w:val="24"/>
        </w:rPr>
        <w:t>involvement.</w:t>
      </w:r>
      <w:r w:rsidR="00AE4B0A" w:rsidRPr="00BD4525">
        <w:rPr>
          <w:rFonts w:ascii="Book Antiqua" w:hAnsi="Book Antiqua" w:cs="Times New Roman"/>
          <w:sz w:val="24"/>
          <w:szCs w:val="24"/>
        </w:rPr>
        <w:t xml:space="preserve"> Patients diagnosed with EDS have diverse clinical findings, which may be better understood </w:t>
      </w:r>
      <w:r w:rsidR="003470E8" w:rsidRPr="00BD4525">
        <w:rPr>
          <w:rFonts w:ascii="Book Antiqua" w:hAnsi="Book Antiqua" w:cs="Times New Roman"/>
          <w:sz w:val="24"/>
          <w:szCs w:val="24"/>
        </w:rPr>
        <w:t xml:space="preserve">and classified </w:t>
      </w:r>
      <w:r w:rsidR="00AE4B0A" w:rsidRPr="00BD4525">
        <w:rPr>
          <w:rFonts w:ascii="Book Antiqua" w:hAnsi="Book Antiqua" w:cs="Times New Roman"/>
          <w:sz w:val="24"/>
          <w:szCs w:val="24"/>
        </w:rPr>
        <w:t xml:space="preserve">by identifying the genetic contribution to </w:t>
      </w:r>
      <w:proofErr w:type="gramStart"/>
      <w:r w:rsidR="00AE4B0A" w:rsidRPr="00BD4525">
        <w:rPr>
          <w:rFonts w:ascii="Book Antiqua" w:hAnsi="Book Antiqua" w:cs="Times New Roman"/>
          <w:sz w:val="24"/>
          <w:szCs w:val="24"/>
        </w:rPr>
        <w:t>symptoms</w:t>
      </w:r>
      <w:r w:rsidR="000A5E38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A5E38" w:rsidRPr="00BD4525">
        <w:rPr>
          <w:rFonts w:ascii="Book Antiqua" w:hAnsi="Book Antiqua" w:cs="Times New Roman"/>
          <w:sz w:val="24"/>
          <w:szCs w:val="24"/>
          <w:vertAlign w:val="superscript"/>
        </w:rPr>
        <w:t>1,2]</w:t>
      </w:r>
      <w:r w:rsidR="00AE4B0A" w:rsidRPr="00BD4525">
        <w:rPr>
          <w:rFonts w:ascii="Book Antiqua" w:hAnsi="Book Antiqua" w:cs="Times New Roman"/>
          <w:sz w:val="24"/>
          <w:szCs w:val="24"/>
        </w:rPr>
        <w:t xml:space="preserve">. 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Although this condition has been </w:t>
      </w:r>
      <w:r w:rsidR="002C4727" w:rsidRPr="00BD4525">
        <w:rPr>
          <w:rFonts w:ascii="Book Antiqua" w:hAnsi="Book Antiqua" w:cs="Times New Roman"/>
          <w:sz w:val="24"/>
          <w:szCs w:val="24"/>
        </w:rPr>
        <w:t>recognized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2C4727" w:rsidRPr="00BD4525">
        <w:rPr>
          <w:rFonts w:ascii="Book Antiqua" w:hAnsi="Book Antiqua" w:cs="Times New Roman"/>
          <w:sz w:val="24"/>
          <w:szCs w:val="24"/>
        </w:rPr>
        <w:t>since 1901</w:t>
      </w:r>
      <w:r w:rsidR="00984EEF" w:rsidRPr="00BD4525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984EEF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and </w:t>
      </w:r>
      <w:r w:rsidR="00856B01" w:rsidRPr="00BD4525">
        <w:rPr>
          <w:rFonts w:ascii="Book Antiqua" w:hAnsi="Book Antiqua" w:cs="Times New Roman"/>
          <w:sz w:val="24"/>
          <w:szCs w:val="24"/>
        </w:rPr>
        <w:t xml:space="preserve">is </w:t>
      </w:r>
      <w:r w:rsidR="00BA7078" w:rsidRPr="00BD4525">
        <w:rPr>
          <w:rFonts w:ascii="Book Antiqua" w:hAnsi="Book Antiqua" w:cs="Times New Roman"/>
          <w:sz w:val="24"/>
          <w:szCs w:val="24"/>
        </w:rPr>
        <w:t>now classified into nine types, delineation of the types and relations</w:t>
      </w:r>
      <w:r w:rsidR="00E6406E" w:rsidRPr="00BD4525">
        <w:rPr>
          <w:rFonts w:ascii="Book Antiqua" w:hAnsi="Book Antiqua" w:cs="Times New Roman"/>
          <w:sz w:val="24"/>
          <w:szCs w:val="24"/>
        </w:rPr>
        <w:t>hips to causative genes and their variants are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 underway</w:t>
      </w:r>
      <w:r w:rsidR="00856B01" w:rsidRPr="00BD4525">
        <w:rPr>
          <w:rFonts w:ascii="Book Antiqua" w:hAnsi="Book Antiqua" w:cs="Times New Roman"/>
          <w:sz w:val="24"/>
          <w:szCs w:val="24"/>
        </w:rPr>
        <w:t>,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 impacted by advances in genetic technology and next generation (exome) </w:t>
      </w:r>
      <w:proofErr w:type="gramStart"/>
      <w:r w:rsidR="00BA7078" w:rsidRPr="00BD4525">
        <w:rPr>
          <w:rFonts w:ascii="Book Antiqua" w:hAnsi="Book Antiqua" w:cs="Times New Roman"/>
          <w:sz w:val="24"/>
          <w:szCs w:val="24"/>
        </w:rPr>
        <w:t>sequencing</w:t>
      </w:r>
      <w:r w:rsidR="00984EEF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84EEF" w:rsidRPr="00BD4525">
        <w:rPr>
          <w:rFonts w:ascii="Book Antiqua" w:hAnsi="Book Antiqua" w:cs="Times New Roman"/>
          <w:sz w:val="24"/>
          <w:szCs w:val="24"/>
          <w:vertAlign w:val="superscript"/>
        </w:rPr>
        <w:t>4,5]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. </w:t>
      </w:r>
      <w:r w:rsidR="00AE4B0A" w:rsidRPr="00BD4525">
        <w:rPr>
          <w:rFonts w:ascii="Book Antiqua" w:hAnsi="Book Antiqua" w:cs="Times New Roman"/>
          <w:sz w:val="24"/>
          <w:szCs w:val="24"/>
        </w:rPr>
        <w:t>Here</w:t>
      </w:r>
      <w:r w:rsidR="00BA7078" w:rsidRPr="00BD4525">
        <w:rPr>
          <w:rFonts w:ascii="Book Antiqua" w:hAnsi="Book Antiqua" w:cs="Times New Roman"/>
          <w:sz w:val="24"/>
          <w:szCs w:val="24"/>
        </w:rPr>
        <w:t>,</w:t>
      </w:r>
      <w:r w:rsidR="00AE4B0A" w:rsidRPr="00BD4525">
        <w:rPr>
          <w:rFonts w:ascii="Book Antiqua" w:hAnsi="Book Antiqua" w:cs="Times New Roman"/>
          <w:sz w:val="24"/>
          <w:szCs w:val="24"/>
        </w:rPr>
        <w:t xml:space="preserve"> we assert that mutations in the </w:t>
      </w:r>
      <w:r w:rsidR="00AE4B0A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AE4B0A" w:rsidRPr="00BD4525">
        <w:rPr>
          <w:rFonts w:ascii="Book Antiqua" w:hAnsi="Book Antiqua" w:cs="Times New Roman"/>
          <w:sz w:val="24"/>
          <w:szCs w:val="24"/>
        </w:rPr>
        <w:t xml:space="preserve"> gene, which encodes the glycoprotein tenascin-XB</w:t>
      </w:r>
      <w:r w:rsidR="00A06F95" w:rsidRPr="00BD4525">
        <w:rPr>
          <w:rFonts w:ascii="Book Antiqua" w:hAnsi="Book Antiqua" w:cs="Times New Roman"/>
          <w:sz w:val="24"/>
          <w:szCs w:val="24"/>
        </w:rPr>
        <w:t xml:space="preserve"> and related to the </w:t>
      </w:r>
      <w:r w:rsidR="000A5E38" w:rsidRPr="00BD4525">
        <w:rPr>
          <w:rFonts w:ascii="Book Antiqua" w:hAnsi="Book Antiqua" w:cs="Times New Roman"/>
          <w:sz w:val="24"/>
          <w:szCs w:val="24"/>
        </w:rPr>
        <w:t xml:space="preserve">benign </w:t>
      </w:r>
      <w:r w:rsidR="00A06F95" w:rsidRPr="00BD4525">
        <w:rPr>
          <w:rFonts w:ascii="Book Antiqua" w:hAnsi="Book Antiqua" w:cs="Times New Roman"/>
          <w:sz w:val="24"/>
          <w:szCs w:val="24"/>
        </w:rPr>
        <w:t xml:space="preserve">hypermobility form </w:t>
      </w:r>
      <w:r w:rsidR="00BA7078" w:rsidRPr="00BD4525">
        <w:rPr>
          <w:rFonts w:ascii="Book Antiqua" w:hAnsi="Book Antiqua" w:cs="Times New Roman"/>
          <w:sz w:val="24"/>
          <w:szCs w:val="24"/>
        </w:rPr>
        <w:t>of EDS</w:t>
      </w:r>
      <w:r w:rsidR="00AE4B0A" w:rsidRPr="00BD4525">
        <w:rPr>
          <w:rFonts w:ascii="Book Antiqua" w:hAnsi="Book Antiqua" w:cs="Times New Roman"/>
          <w:sz w:val="24"/>
          <w:szCs w:val="24"/>
        </w:rPr>
        <w:t>, may</w:t>
      </w:r>
      <w:r w:rsidR="00BA7078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AE4B0A" w:rsidRPr="00BD4525">
        <w:rPr>
          <w:rFonts w:ascii="Book Antiqua" w:hAnsi="Book Antiqua" w:cs="Times New Roman"/>
          <w:sz w:val="24"/>
          <w:szCs w:val="24"/>
        </w:rPr>
        <w:t>c</w:t>
      </w:r>
      <w:r w:rsidR="009C6080" w:rsidRPr="00BD4525">
        <w:rPr>
          <w:rFonts w:ascii="Book Antiqua" w:hAnsi="Book Antiqua" w:cs="Times New Roman"/>
          <w:sz w:val="24"/>
          <w:szCs w:val="24"/>
        </w:rPr>
        <w:t xml:space="preserve">ause a more severe form </w:t>
      </w:r>
      <w:r w:rsidR="009272C0" w:rsidRPr="00BD4525">
        <w:rPr>
          <w:rFonts w:ascii="Book Antiqua" w:hAnsi="Book Antiqua" w:cs="Times New Roman"/>
          <w:sz w:val="24"/>
          <w:szCs w:val="24"/>
        </w:rPr>
        <w:t xml:space="preserve">or presentation </w:t>
      </w:r>
      <w:r w:rsidR="009C6080" w:rsidRPr="00BD4525">
        <w:rPr>
          <w:rFonts w:ascii="Book Antiqua" w:hAnsi="Book Antiqua" w:cs="Times New Roman"/>
          <w:sz w:val="24"/>
          <w:szCs w:val="24"/>
        </w:rPr>
        <w:t>of EDS.</w:t>
      </w:r>
    </w:p>
    <w:p w:rsidR="009B5842" w:rsidRPr="00BD4525" w:rsidRDefault="009B5842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C6080" w:rsidRPr="00BD4525" w:rsidRDefault="00951D19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CASE REPORT</w:t>
      </w:r>
    </w:p>
    <w:p w:rsidR="00FF1A86" w:rsidRPr="00BD4525" w:rsidRDefault="00612E4F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>Our</w:t>
      </w:r>
      <w:r w:rsidR="0087166A" w:rsidRPr="00BD4525">
        <w:rPr>
          <w:rFonts w:ascii="Book Antiqua" w:hAnsi="Book Antiqua"/>
          <w:sz w:val="24"/>
          <w:szCs w:val="24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 xml:space="preserve">28-year-old </w:t>
      </w:r>
      <w:r w:rsidR="0087166A" w:rsidRPr="00BD4525">
        <w:rPr>
          <w:rFonts w:ascii="Book Antiqua" w:hAnsi="Book Antiqua"/>
          <w:sz w:val="24"/>
          <w:szCs w:val="24"/>
        </w:rPr>
        <w:t xml:space="preserve">patient showed no developmental </w:t>
      </w:r>
      <w:r w:rsidR="009272C0" w:rsidRPr="00BD4525">
        <w:rPr>
          <w:rFonts w:ascii="Book Antiqua" w:hAnsi="Book Antiqua"/>
          <w:sz w:val="24"/>
          <w:szCs w:val="24"/>
        </w:rPr>
        <w:t>delays</w:t>
      </w:r>
      <w:r w:rsidR="0087166A" w:rsidRPr="00BD4525">
        <w:rPr>
          <w:rFonts w:ascii="Book Antiqua" w:hAnsi="Book Antiqua"/>
          <w:sz w:val="24"/>
          <w:szCs w:val="24"/>
        </w:rPr>
        <w:t xml:space="preserve"> as a child.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7166A" w:rsidRPr="00BD4525">
        <w:rPr>
          <w:rFonts w:ascii="Book Antiqua" w:hAnsi="Book Antiqua"/>
          <w:sz w:val="24"/>
          <w:szCs w:val="24"/>
        </w:rPr>
        <w:t xml:space="preserve">She </w:t>
      </w:r>
      <w:r w:rsidR="004C442F" w:rsidRPr="00BD4525">
        <w:rPr>
          <w:rFonts w:ascii="Book Antiqua" w:hAnsi="Book Antiqua"/>
          <w:sz w:val="24"/>
          <w:szCs w:val="24"/>
        </w:rPr>
        <w:t>did undergo</w:t>
      </w:r>
      <w:r w:rsidR="009272C0" w:rsidRPr="00BD4525">
        <w:rPr>
          <w:rFonts w:ascii="Book Antiqua" w:hAnsi="Book Antiqua"/>
          <w:sz w:val="24"/>
          <w:szCs w:val="24"/>
        </w:rPr>
        <w:t xml:space="preserve"> a</w:t>
      </w:r>
      <w:r w:rsidR="0087166A" w:rsidRPr="00BD4525">
        <w:rPr>
          <w:rFonts w:ascii="Book Antiqua" w:hAnsi="Book Antiqua"/>
          <w:sz w:val="24"/>
          <w:szCs w:val="24"/>
        </w:rPr>
        <w:t xml:space="preserve"> right knee </w:t>
      </w:r>
      <w:r w:rsidR="00A06F95" w:rsidRPr="00BD4525">
        <w:rPr>
          <w:rFonts w:ascii="Book Antiqua" w:hAnsi="Book Antiqua"/>
          <w:sz w:val="24"/>
          <w:szCs w:val="24"/>
        </w:rPr>
        <w:t>arthroscopic</w:t>
      </w:r>
      <w:r w:rsidR="0087166A" w:rsidRPr="00BD4525">
        <w:rPr>
          <w:rFonts w:ascii="Book Antiqua" w:hAnsi="Book Antiqua"/>
          <w:sz w:val="24"/>
          <w:szCs w:val="24"/>
        </w:rPr>
        <w:t xml:space="preserve"> surgery</w:t>
      </w:r>
      <w:r w:rsidR="004A62DE" w:rsidRPr="00BD4525">
        <w:rPr>
          <w:rFonts w:ascii="Book Antiqua" w:hAnsi="Book Antiqua"/>
          <w:sz w:val="24"/>
          <w:szCs w:val="24"/>
        </w:rPr>
        <w:t xml:space="preserve"> not related to an injury</w:t>
      </w:r>
      <w:r w:rsidR="0087166A" w:rsidRPr="00BD4525">
        <w:rPr>
          <w:rFonts w:ascii="Book Antiqua" w:hAnsi="Book Antiqua"/>
          <w:sz w:val="24"/>
          <w:szCs w:val="24"/>
        </w:rPr>
        <w:t xml:space="preserve"> at </w:t>
      </w:r>
      <w:r w:rsidR="005E3AFB" w:rsidRPr="00BD4525">
        <w:rPr>
          <w:rFonts w:ascii="Book Antiqua" w:hAnsi="Book Antiqua"/>
          <w:sz w:val="24"/>
          <w:szCs w:val="24"/>
        </w:rPr>
        <w:t>18 years of age and breast augmentation at 21 years of age</w:t>
      </w:r>
      <w:r w:rsidR="0087166A" w:rsidRPr="00BD4525">
        <w:rPr>
          <w:rFonts w:ascii="Book Antiqua" w:hAnsi="Book Antiqua"/>
          <w:sz w:val="24"/>
          <w:szCs w:val="24"/>
        </w:rPr>
        <w:t>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7166A" w:rsidRPr="00BD4525">
        <w:rPr>
          <w:rFonts w:ascii="Book Antiqua" w:hAnsi="Book Antiqua"/>
          <w:sz w:val="24"/>
          <w:szCs w:val="24"/>
        </w:rPr>
        <w:t xml:space="preserve">She </w:t>
      </w:r>
      <w:r w:rsidR="004A62DE" w:rsidRPr="00BD4525">
        <w:rPr>
          <w:rFonts w:ascii="Book Antiqua" w:hAnsi="Book Antiqua"/>
          <w:sz w:val="24"/>
          <w:szCs w:val="24"/>
        </w:rPr>
        <w:t xml:space="preserve">has had two pregnancies </w:t>
      </w:r>
      <w:r w:rsidR="00555954" w:rsidRPr="00BD4525">
        <w:rPr>
          <w:rFonts w:ascii="Book Antiqua" w:hAnsi="Book Antiqua"/>
          <w:sz w:val="24"/>
          <w:szCs w:val="24"/>
        </w:rPr>
        <w:t>and</w:t>
      </w:r>
      <w:r w:rsidR="004A62DE" w:rsidRPr="00BD4525">
        <w:rPr>
          <w:rFonts w:ascii="Book Antiqua" w:hAnsi="Book Antiqua"/>
          <w:sz w:val="24"/>
          <w:szCs w:val="24"/>
        </w:rPr>
        <w:t xml:space="preserve"> </w:t>
      </w:r>
      <w:r w:rsidR="0087166A" w:rsidRPr="00BD4525">
        <w:rPr>
          <w:rFonts w:ascii="Book Antiqua" w:hAnsi="Book Antiqua"/>
          <w:sz w:val="24"/>
          <w:szCs w:val="24"/>
        </w:rPr>
        <w:t xml:space="preserve">was anemic </w:t>
      </w:r>
      <w:r w:rsidR="005E3AFB" w:rsidRPr="00BD4525">
        <w:rPr>
          <w:rFonts w:ascii="Book Antiqua" w:hAnsi="Book Antiqua"/>
          <w:sz w:val="24"/>
          <w:szCs w:val="24"/>
        </w:rPr>
        <w:t>during both pregnancies</w:t>
      </w:r>
      <w:r w:rsidR="009272C0" w:rsidRPr="00BD4525">
        <w:rPr>
          <w:rFonts w:ascii="Book Antiqua" w:hAnsi="Book Antiqua"/>
          <w:sz w:val="24"/>
          <w:szCs w:val="24"/>
        </w:rPr>
        <w:t>, due to decreased red blood cell count</w:t>
      </w:r>
      <w:r w:rsidR="004A62DE" w:rsidRPr="00BD4525">
        <w:rPr>
          <w:rFonts w:ascii="Book Antiqua" w:hAnsi="Book Antiqua"/>
          <w:sz w:val="24"/>
          <w:szCs w:val="24"/>
        </w:rPr>
        <w:t>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A62DE" w:rsidRPr="00BD4525">
        <w:rPr>
          <w:rFonts w:ascii="Book Antiqua" w:hAnsi="Book Antiqua"/>
          <w:sz w:val="24"/>
          <w:szCs w:val="24"/>
        </w:rPr>
        <w:t xml:space="preserve">The pregnancies were </w:t>
      </w:r>
      <w:r w:rsidR="009C388E" w:rsidRPr="00BD4525">
        <w:rPr>
          <w:rFonts w:ascii="Book Antiqua" w:hAnsi="Book Antiqua"/>
          <w:sz w:val="24"/>
          <w:szCs w:val="24"/>
        </w:rPr>
        <w:t>full-term and</w:t>
      </w:r>
      <w:r w:rsidR="00A06F95" w:rsidRPr="00BD4525">
        <w:rPr>
          <w:rFonts w:ascii="Book Antiqua" w:hAnsi="Book Antiqua"/>
          <w:sz w:val="24"/>
          <w:szCs w:val="24"/>
        </w:rPr>
        <w:t xml:space="preserve"> </w:t>
      </w:r>
      <w:r w:rsidR="009C388E" w:rsidRPr="00BD4525">
        <w:rPr>
          <w:rFonts w:ascii="Book Antiqua" w:hAnsi="Book Antiqua"/>
          <w:sz w:val="24"/>
          <w:szCs w:val="24"/>
        </w:rPr>
        <w:t>labor and</w:t>
      </w:r>
      <w:r w:rsidR="00A06F95" w:rsidRPr="00BD4525">
        <w:rPr>
          <w:rFonts w:ascii="Book Antiqua" w:hAnsi="Book Antiqua"/>
          <w:sz w:val="24"/>
          <w:szCs w:val="24"/>
        </w:rPr>
        <w:t xml:space="preserve"> delivery </w:t>
      </w:r>
      <w:r w:rsidR="009C388E" w:rsidRPr="00BD4525">
        <w:rPr>
          <w:rFonts w:ascii="Book Antiqua" w:hAnsi="Book Antiqua"/>
          <w:sz w:val="24"/>
          <w:szCs w:val="24"/>
        </w:rPr>
        <w:t>were normal</w:t>
      </w:r>
      <w:r w:rsidR="005E3AFB" w:rsidRPr="00BD4525">
        <w:rPr>
          <w:rFonts w:ascii="Book Antiqua" w:hAnsi="Book Antiqua"/>
          <w:sz w:val="24"/>
          <w:szCs w:val="24"/>
        </w:rPr>
        <w:t xml:space="preserve">. </w:t>
      </w:r>
      <w:r w:rsidR="009C388E" w:rsidRPr="00BD4525">
        <w:rPr>
          <w:rFonts w:ascii="Book Antiqua" w:hAnsi="Book Antiqua"/>
          <w:sz w:val="24"/>
          <w:szCs w:val="24"/>
        </w:rPr>
        <w:t xml:space="preserve">She experienced </w:t>
      </w:r>
      <w:r w:rsidR="00555954" w:rsidRPr="00BD4525">
        <w:rPr>
          <w:rFonts w:ascii="Book Antiqua" w:hAnsi="Book Antiqua"/>
          <w:sz w:val="24"/>
          <w:szCs w:val="24"/>
        </w:rPr>
        <w:t>increased</w:t>
      </w:r>
      <w:r w:rsidR="009C388E" w:rsidRPr="00BD4525">
        <w:rPr>
          <w:rFonts w:ascii="Book Antiqua" w:hAnsi="Book Antiqua"/>
          <w:sz w:val="24"/>
          <w:szCs w:val="24"/>
        </w:rPr>
        <w:t xml:space="preserve"> joint hypermobility during </w:t>
      </w:r>
      <w:r w:rsidR="009272C0" w:rsidRPr="00BD4525">
        <w:rPr>
          <w:rFonts w:ascii="Book Antiqua" w:hAnsi="Book Antiqua"/>
          <w:sz w:val="24"/>
          <w:szCs w:val="24"/>
        </w:rPr>
        <w:t xml:space="preserve">both of </w:t>
      </w:r>
      <w:r w:rsidR="009C388E" w:rsidRPr="00BD4525">
        <w:rPr>
          <w:rFonts w:ascii="Book Antiqua" w:hAnsi="Book Antiqua"/>
          <w:sz w:val="24"/>
          <w:szCs w:val="24"/>
        </w:rPr>
        <w:t>her pregnancies.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7166A" w:rsidRPr="00BD4525">
        <w:rPr>
          <w:rFonts w:ascii="Book Antiqua" w:hAnsi="Book Antiqua"/>
          <w:sz w:val="24"/>
          <w:szCs w:val="24"/>
        </w:rPr>
        <w:t xml:space="preserve">Previous lab work showed normal thyroid </w:t>
      </w:r>
      <w:r w:rsidR="00A06F95" w:rsidRPr="00BD4525">
        <w:rPr>
          <w:rFonts w:ascii="Book Antiqua" w:hAnsi="Book Antiqua"/>
          <w:sz w:val="24"/>
          <w:szCs w:val="24"/>
        </w:rPr>
        <w:t xml:space="preserve">and hepatic </w:t>
      </w:r>
      <w:r w:rsidR="0087166A" w:rsidRPr="00BD4525">
        <w:rPr>
          <w:rFonts w:ascii="Book Antiqua" w:hAnsi="Book Antiqua"/>
          <w:sz w:val="24"/>
          <w:szCs w:val="24"/>
        </w:rPr>
        <w:t>function.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E3AFB" w:rsidRPr="00BD4525">
        <w:rPr>
          <w:rFonts w:ascii="Book Antiqua" w:hAnsi="Book Antiqua"/>
          <w:sz w:val="24"/>
          <w:szCs w:val="24"/>
        </w:rPr>
        <w:t>The patient</w:t>
      </w:r>
      <w:r w:rsidR="009C388E" w:rsidRPr="00BD4525">
        <w:rPr>
          <w:rFonts w:ascii="Book Antiqua" w:hAnsi="Book Antiqua"/>
          <w:sz w:val="24"/>
          <w:szCs w:val="24"/>
        </w:rPr>
        <w:t xml:space="preserve"> had</w:t>
      </w:r>
      <w:r w:rsidR="009272C0" w:rsidRPr="00BD4525">
        <w:rPr>
          <w:rFonts w:ascii="Book Antiqua" w:hAnsi="Book Antiqua"/>
          <w:sz w:val="24"/>
          <w:szCs w:val="24"/>
        </w:rPr>
        <w:t xml:space="preserve"> generalized</w:t>
      </w:r>
      <w:r w:rsidR="0087166A" w:rsidRPr="00BD4525">
        <w:rPr>
          <w:rFonts w:ascii="Book Antiqua" w:hAnsi="Book Antiqua"/>
          <w:sz w:val="24"/>
          <w:szCs w:val="24"/>
        </w:rPr>
        <w:t xml:space="preserve"> joint pain</w:t>
      </w:r>
      <w:r w:rsidR="009C388E" w:rsidRPr="00BD4525">
        <w:rPr>
          <w:rFonts w:ascii="Book Antiqua" w:hAnsi="Book Antiqua"/>
          <w:sz w:val="24"/>
          <w:szCs w:val="24"/>
        </w:rPr>
        <w:t xml:space="preserve"> since childhood</w:t>
      </w:r>
      <w:r w:rsidR="0087166A" w:rsidRPr="00BD4525">
        <w:rPr>
          <w:rFonts w:ascii="Book Antiqua" w:hAnsi="Book Antiqua"/>
          <w:sz w:val="24"/>
          <w:szCs w:val="24"/>
        </w:rPr>
        <w:t xml:space="preserve"> </w:t>
      </w:r>
      <w:r w:rsidR="009272C0" w:rsidRPr="00BD4525">
        <w:rPr>
          <w:rFonts w:ascii="Book Antiqua" w:hAnsi="Book Antiqua"/>
          <w:sz w:val="24"/>
          <w:szCs w:val="24"/>
        </w:rPr>
        <w:t>with</w:t>
      </w:r>
      <w:r w:rsidR="0087166A" w:rsidRPr="00BD4525">
        <w:rPr>
          <w:rFonts w:ascii="Book Antiqua" w:hAnsi="Book Antiqua"/>
          <w:sz w:val="24"/>
          <w:szCs w:val="24"/>
        </w:rPr>
        <w:t xml:space="preserve"> mild scoliosis.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4750E" w:rsidRPr="00BD4525">
        <w:rPr>
          <w:rFonts w:ascii="Book Antiqua" w:hAnsi="Book Antiqua"/>
          <w:sz w:val="24"/>
          <w:szCs w:val="24"/>
        </w:rPr>
        <w:t>A</w:t>
      </w:r>
      <w:r w:rsidR="0087166A" w:rsidRPr="00BD4525">
        <w:rPr>
          <w:rFonts w:ascii="Book Antiqua" w:hAnsi="Book Antiqua"/>
          <w:sz w:val="24"/>
          <w:szCs w:val="24"/>
        </w:rPr>
        <w:t xml:space="preserve">nti-inflammatory </w:t>
      </w:r>
      <w:r w:rsidR="00A06F95" w:rsidRPr="00BD4525">
        <w:rPr>
          <w:rFonts w:ascii="Book Antiqua" w:hAnsi="Book Antiqua"/>
          <w:sz w:val="24"/>
          <w:szCs w:val="24"/>
        </w:rPr>
        <w:t>agents</w:t>
      </w:r>
      <w:r w:rsidR="0087166A" w:rsidRPr="00BD4525">
        <w:rPr>
          <w:rFonts w:ascii="Book Antiqua" w:hAnsi="Book Antiqua"/>
          <w:sz w:val="24"/>
          <w:szCs w:val="24"/>
        </w:rPr>
        <w:t xml:space="preserve"> did not relieve her pain.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7166A" w:rsidRPr="00BD4525">
        <w:rPr>
          <w:rFonts w:ascii="Book Antiqua" w:hAnsi="Book Antiqua"/>
          <w:sz w:val="24"/>
          <w:szCs w:val="24"/>
        </w:rPr>
        <w:t xml:space="preserve">She </w:t>
      </w:r>
      <w:r w:rsidR="009272C0" w:rsidRPr="00BD4525">
        <w:rPr>
          <w:rFonts w:ascii="Book Antiqua" w:hAnsi="Book Antiqua"/>
          <w:sz w:val="24"/>
          <w:szCs w:val="24"/>
        </w:rPr>
        <w:t>has</w:t>
      </w:r>
      <w:r w:rsidR="009C388E" w:rsidRPr="00BD4525">
        <w:rPr>
          <w:rFonts w:ascii="Book Antiqua" w:hAnsi="Book Antiqua"/>
          <w:sz w:val="24"/>
          <w:szCs w:val="24"/>
        </w:rPr>
        <w:t xml:space="preserve"> experienced</w:t>
      </w:r>
      <w:r w:rsidR="0087166A" w:rsidRPr="00BD4525">
        <w:rPr>
          <w:rFonts w:ascii="Book Antiqua" w:hAnsi="Book Antiqua"/>
          <w:sz w:val="24"/>
          <w:szCs w:val="24"/>
        </w:rPr>
        <w:t xml:space="preserve"> instabil</w:t>
      </w:r>
      <w:r w:rsidR="00A06F95" w:rsidRPr="00BD4525">
        <w:rPr>
          <w:rFonts w:ascii="Book Antiqua" w:hAnsi="Book Antiqua"/>
          <w:sz w:val="24"/>
          <w:szCs w:val="24"/>
        </w:rPr>
        <w:t xml:space="preserve">ity of the right shoulder, </w:t>
      </w:r>
      <w:r w:rsidR="0087166A" w:rsidRPr="00BD4525">
        <w:rPr>
          <w:rFonts w:ascii="Book Antiqua" w:hAnsi="Book Antiqua"/>
          <w:sz w:val="24"/>
          <w:szCs w:val="24"/>
        </w:rPr>
        <w:t>pe</w:t>
      </w:r>
      <w:r w:rsidR="005E3AFB" w:rsidRPr="00BD4525">
        <w:rPr>
          <w:rFonts w:ascii="Book Antiqua" w:hAnsi="Book Antiqua"/>
          <w:sz w:val="24"/>
          <w:szCs w:val="24"/>
        </w:rPr>
        <w:t xml:space="preserve">lvis </w:t>
      </w:r>
      <w:r w:rsidR="00A06F95" w:rsidRPr="00BD4525">
        <w:rPr>
          <w:rFonts w:ascii="Book Antiqua" w:hAnsi="Book Antiqua"/>
          <w:sz w:val="24"/>
          <w:szCs w:val="24"/>
        </w:rPr>
        <w:t xml:space="preserve">and </w:t>
      </w:r>
      <w:r w:rsidR="000A5E38" w:rsidRPr="00BD4525">
        <w:rPr>
          <w:rFonts w:ascii="Book Antiqua" w:hAnsi="Book Antiqua"/>
          <w:sz w:val="24"/>
          <w:szCs w:val="24"/>
        </w:rPr>
        <w:t xml:space="preserve">both </w:t>
      </w:r>
      <w:r w:rsidR="00A06F95" w:rsidRPr="00BD4525">
        <w:rPr>
          <w:rFonts w:ascii="Book Antiqua" w:hAnsi="Book Antiqua"/>
          <w:sz w:val="24"/>
          <w:szCs w:val="24"/>
        </w:rPr>
        <w:t>hip joints</w:t>
      </w:r>
      <w:r w:rsidR="009272C0" w:rsidRPr="00BD4525">
        <w:rPr>
          <w:rFonts w:ascii="Book Antiqua" w:hAnsi="Book Antiqua"/>
          <w:sz w:val="24"/>
          <w:szCs w:val="24"/>
        </w:rPr>
        <w:t xml:space="preserve"> with more problem</w:t>
      </w:r>
      <w:r w:rsidR="002E6E23" w:rsidRPr="00BD4525">
        <w:rPr>
          <w:rFonts w:ascii="Book Antiqua" w:hAnsi="Book Antiqua"/>
          <w:sz w:val="24"/>
          <w:szCs w:val="24"/>
        </w:rPr>
        <w:t>s</w:t>
      </w:r>
      <w:r w:rsidR="009272C0" w:rsidRPr="00BD4525">
        <w:rPr>
          <w:rFonts w:ascii="Book Antiqua" w:hAnsi="Book Antiqua"/>
          <w:sz w:val="24"/>
          <w:szCs w:val="24"/>
        </w:rPr>
        <w:t xml:space="preserve"> with advancing age</w:t>
      </w:r>
      <w:r w:rsidR="005E3AFB" w:rsidRPr="00BD4525">
        <w:rPr>
          <w:rFonts w:ascii="Book Antiqua" w:hAnsi="Book Antiqua"/>
          <w:sz w:val="24"/>
          <w:szCs w:val="24"/>
        </w:rPr>
        <w:t>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C45E8" w:rsidRPr="00BD4525">
        <w:rPr>
          <w:rFonts w:ascii="Book Antiqua" w:hAnsi="Book Antiqua"/>
          <w:sz w:val="24"/>
          <w:szCs w:val="24"/>
        </w:rPr>
        <w:t xml:space="preserve">During the clinic visit, we completed an assessment of the patient’s joint mobility using the </w:t>
      </w:r>
      <w:proofErr w:type="spellStart"/>
      <w:r w:rsidR="009C45E8" w:rsidRPr="00BD4525">
        <w:rPr>
          <w:rFonts w:ascii="Book Antiqua" w:hAnsi="Book Antiqua"/>
          <w:sz w:val="24"/>
          <w:szCs w:val="24"/>
        </w:rPr>
        <w:t>Beighton</w:t>
      </w:r>
      <w:proofErr w:type="spellEnd"/>
      <w:r w:rsidR="009C45E8" w:rsidRPr="00BD4525">
        <w:rPr>
          <w:rFonts w:ascii="Book Antiqua" w:hAnsi="Book Antiqua"/>
          <w:sz w:val="24"/>
          <w:szCs w:val="24"/>
        </w:rPr>
        <w:t xml:space="preserve"> scale</w:t>
      </w:r>
      <w:r w:rsidR="00555A97" w:rsidRPr="00BD4525">
        <w:rPr>
          <w:rFonts w:ascii="Book Antiqua" w:hAnsi="Book Antiqua"/>
          <w:sz w:val="24"/>
          <w:szCs w:val="24"/>
          <w:vertAlign w:val="superscript"/>
        </w:rPr>
        <w:t>[6]</w:t>
      </w:r>
      <w:r w:rsidR="00555A97" w:rsidRPr="00BD4525">
        <w:rPr>
          <w:rFonts w:ascii="Book Antiqua" w:hAnsi="Book Antiqua"/>
          <w:sz w:val="24"/>
          <w:szCs w:val="24"/>
        </w:rPr>
        <w:t xml:space="preserve">, </w:t>
      </w:r>
      <w:r w:rsidR="009272C0" w:rsidRPr="00BD4525">
        <w:rPr>
          <w:rFonts w:ascii="Book Antiqua" w:hAnsi="Book Antiqua"/>
          <w:sz w:val="24"/>
          <w:szCs w:val="24"/>
        </w:rPr>
        <w:t>which</w:t>
      </w:r>
      <w:r w:rsidR="009C45E8" w:rsidRPr="00BD4525">
        <w:rPr>
          <w:rFonts w:ascii="Book Antiqua" w:hAnsi="Book Antiqua"/>
          <w:sz w:val="24"/>
          <w:szCs w:val="24"/>
        </w:rPr>
        <w:t xml:space="preserve"> results in a numerical score from 0 to 9 </w:t>
      </w:r>
      <w:r w:rsidR="009272C0" w:rsidRPr="00BD4525">
        <w:rPr>
          <w:rFonts w:ascii="Book Antiqua" w:hAnsi="Book Antiqua"/>
          <w:sz w:val="24"/>
          <w:szCs w:val="24"/>
        </w:rPr>
        <w:t>with</w:t>
      </w:r>
      <w:r w:rsidR="009C45E8" w:rsidRPr="00BD4525">
        <w:rPr>
          <w:rFonts w:ascii="Book Antiqua" w:hAnsi="Book Antiqua"/>
          <w:sz w:val="24"/>
          <w:szCs w:val="24"/>
        </w:rPr>
        <w:t xml:space="preserve"> one point </w:t>
      </w:r>
      <w:r w:rsidR="009272C0" w:rsidRPr="00BD4525">
        <w:rPr>
          <w:rFonts w:ascii="Book Antiqua" w:hAnsi="Book Antiqua"/>
          <w:sz w:val="24"/>
          <w:szCs w:val="24"/>
        </w:rPr>
        <w:t>assigned</w:t>
      </w:r>
      <w:r w:rsidR="009C45E8" w:rsidRPr="00BD4525">
        <w:rPr>
          <w:rFonts w:ascii="Book Antiqua" w:hAnsi="Book Antiqua"/>
          <w:sz w:val="24"/>
          <w:szCs w:val="24"/>
        </w:rPr>
        <w:t xml:space="preserve"> for the ability to perform each of the following </w:t>
      </w:r>
      <w:r w:rsidR="00FF1A86" w:rsidRPr="00BD4525">
        <w:rPr>
          <w:rFonts w:ascii="Book Antiqua" w:hAnsi="Book Antiqua"/>
          <w:sz w:val="24"/>
          <w:szCs w:val="24"/>
        </w:rPr>
        <w:t>actions</w:t>
      </w:r>
      <w:r w:rsidR="009C45E8" w:rsidRPr="00BD4525">
        <w:rPr>
          <w:rFonts w:ascii="Book Antiqua" w:hAnsi="Book Antiqua"/>
          <w:sz w:val="24"/>
          <w:szCs w:val="24"/>
        </w:rPr>
        <w:t>:</w:t>
      </w:r>
      <w:r w:rsidR="009272C0" w:rsidRPr="00BD4525">
        <w:rPr>
          <w:rFonts w:ascii="Book Antiqua" w:hAnsi="Book Antiqua"/>
          <w:sz w:val="24"/>
          <w:szCs w:val="24"/>
        </w:rPr>
        <w:t xml:space="preserve"> p</w:t>
      </w:r>
      <w:r w:rsidR="00FF1A86" w:rsidRPr="00BD4525">
        <w:rPr>
          <w:rFonts w:ascii="Book Antiqua" w:hAnsi="Book Antiqua"/>
          <w:sz w:val="24"/>
          <w:szCs w:val="24"/>
        </w:rPr>
        <w:t xml:space="preserve">assive dorsiflexion of the </w:t>
      </w:r>
      <w:r w:rsidR="009272C0" w:rsidRPr="00BD4525">
        <w:rPr>
          <w:rFonts w:ascii="Book Antiqua" w:hAnsi="Book Antiqua"/>
          <w:sz w:val="24"/>
          <w:szCs w:val="24"/>
        </w:rPr>
        <w:t>little finger beyond 90 degrees; p</w:t>
      </w:r>
      <w:r w:rsidR="00FF1A86" w:rsidRPr="00BD4525">
        <w:rPr>
          <w:rFonts w:ascii="Book Antiqua" w:hAnsi="Book Antiqua"/>
          <w:sz w:val="24"/>
          <w:szCs w:val="24"/>
        </w:rPr>
        <w:t>assive apposition of the thumb to th</w:t>
      </w:r>
      <w:r w:rsidR="009272C0" w:rsidRPr="00BD4525">
        <w:rPr>
          <w:rFonts w:ascii="Book Antiqua" w:hAnsi="Book Antiqua"/>
          <w:sz w:val="24"/>
          <w:szCs w:val="24"/>
        </w:rPr>
        <w:t>e flexor aspects of the forearm; h</w:t>
      </w:r>
      <w:r w:rsidR="00FF1A86" w:rsidRPr="00BD4525">
        <w:rPr>
          <w:rFonts w:ascii="Book Antiqua" w:hAnsi="Book Antiqua"/>
          <w:sz w:val="24"/>
          <w:szCs w:val="24"/>
        </w:rPr>
        <w:t>yperextension of the elbow beyond 10 degrees</w:t>
      </w:r>
      <w:r w:rsidR="009272C0" w:rsidRPr="00BD4525">
        <w:rPr>
          <w:rFonts w:ascii="Book Antiqua" w:hAnsi="Book Antiqua"/>
          <w:sz w:val="24"/>
          <w:szCs w:val="24"/>
        </w:rPr>
        <w:t>; h</w:t>
      </w:r>
      <w:r w:rsidR="00FF1A86" w:rsidRPr="00BD4525">
        <w:rPr>
          <w:rFonts w:ascii="Book Antiqua" w:hAnsi="Book Antiqua"/>
          <w:sz w:val="24"/>
          <w:szCs w:val="24"/>
        </w:rPr>
        <w:t>yperextension of the knee beyond 10 degrees</w:t>
      </w:r>
      <w:r w:rsidR="009272C0" w:rsidRPr="00BD4525">
        <w:rPr>
          <w:rFonts w:ascii="Book Antiqua" w:hAnsi="Book Antiqua"/>
          <w:sz w:val="24"/>
          <w:szCs w:val="24"/>
        </w:rPr>
        <w:t>; and f</w:t>
      </w:r>
      <w:r w:rsidR="00FF1A86" w:rsidRPr="00BD4525">
        <w:rPr>
          <w:rFonts w:ascii="Book Antiqua" w:hAnsi="Book Antiqua"/>
          <w:sz w:val="24"/>
          <w:szCs w:val="24"/>
        </w:rPr>
        <w:t>orward flexion of the trunk, with knees straight, so that palms of hands rest easily on the floor</w:t>
      </w:r>
      <w:r w:rsidR="009272C0" w:rsidRPr="00BD4525">
        <w:rPr>
          <w:rFonts w:ascii="Book Antiqua" w:hAnsi="Book Antiqua"/>
          <w:sz w:val="24"/>
          <w:szCs w:val="24"/>
        </w:rPr>
        <w:t>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F1A86" w:rsidRPr="00BD4525">
        <w:rPr>
          <w:rFonts w:ascii="Book Antiqua" w:hAnsi="Book Antiqua"/>
          <w:sz w:val="24"/>
          <w:szCs w:val="24"/>
        </w:rPr>
        <w:t xml:space="preserve">Our patient’s </w:t>
      </w:r>
      <w:proofErr w:type="spellStart"/>
      <w:r w:rsidR="00FF1A86" w:rsidRPr="00BD4525">
        <w:rPr>
          <w:rFonts w:ascii="Book Antiqua" w:hAnsi="Book Antiqua"/>
          <w:sz w:val="24"/>
          <w:szCs w:val="24"/>
        </w:rPr>
        <w:t>Beighton</w:t>
      </w:r>
      <w:proofErr w:type="spellEnd"/>
      <w:r w:rsidR="00FF1A86" w:rsidRPr="00BD4525">
        <w:rPr>
          <w:rFonts w:ascii="Book Antiqua" w:hAnsi="Book Antiqua"/>
          <w:sz w:val="24"/>
          <w:szCs w:val="24"/>
        </w:rPr>
        <w:t xml:space="preserve"> score wa</w:t>
      </w:r>
      <w:r w:rsidR="005E3AFB" w:rsidRPr="00BD4525">
        <w:rPr>
          <w:rFonts w:ascii="Book Antiqua" w:hAnsi="Book Antiqua"/>
          <w:sz w:val="24"/>
          <w:szCs w:val="24"/>
        </w:rPr>
        <w:t xml:space="preserve">s </w:t>
      </w:r>
      <w:r w:rsidR="009C388E" w:rsidRPr="00BD4525">
        <w:rPr>
          <w:rFonts w:ascii="Book Antiqua" w:hAnsi="Book Antiqua"/>
          <w:sz w:val="24"/>
          <w:szCs w:val="24"/>
        </w:rPr>
        <w:t>6 out of 9, including easy placement of palms to the floor</w:t>
      </w:r>
      <w:r w:rsidR="00FF1A86" w:rsidRPr="00BD4525">
        <w:rPr>
          <w:rFonts w:ascii="Book Antiqua" w:hAnsi="Book Antiqua"/>
          <w:sz w:val="24"/>
          <w:szCs w:val="24"/>
        </w:rPr>
        <w:t xml:space="preserve"> (</w:t>
      </w:r>
      <w:r w:rsidR="009272C0" w:rsidRPr="00BD4525">
        <w:rPr>
          <w:rFonts w:ascii="Book Antiqua" w:hAnsi="Book Antiqua"/>
          <w:sz w:val="24"/>
          <w:szCs w:val="24"/>
        </w:rPr>
        <w:t>one point</w:t>
      </w:r>
      <w:r w:rsidR="00FF1A86" w:rsidRPr="00BD4525">
        <w:rPr>
          <w:rFonts w:ascii="Book Antiqua" w:hAnsi="Book Antiqua"/>
          <w:sz w:val="24"/>
          <w:szCs w:val="24"/>
        </w:rPr>
        <w:t>)</w:t>
      </w:r>
      <w:r w:rsidR="009C388E" w:rsidRPr="00BD4525">
        <w:rPr>
          <w:rFonts w:ascii="Book Antiqua" w:hAnsi="Book Antiqua"/>
          <w:sz w:val="24"/>
          <w:szCs w:val="24"/>
        </w:rPr>
        <w:t xml:space="preserve">, hyperextension of </w:t>
      </w:r>
      <w:r w:rsidR="00FF1A86" w:rsidRPr="00BD4525">
        <w:rPr>
          <w:rFonts w:ascii="Book Antiqua" w:hAnsi="Book Antiqua"/>
          <w:sz w:val="24"/>
          <w:szCs w:val="24"/>
        </w:rPr>
        <w:t xml:space="preserve">both </w:t>
      </w:r>
      <w:r w:rsidR="005E3AFB" w:rsidRPr="00BD4525">
        <w:rPr>
          <w:rFonts w:ascii="Book Antiqua" w:hAnsi="Book Antiqua"/>
          <w:sz w:val="24"/>
          <w:szCs w:val="24"/>
        </w:rPr>
        <w:lastRenderedPageBreak/>
        <w:t>knees</w:t>
      </w:r>
      <w:r w:rsidR="00FF1A86" w:rsidRPr="00BD4525">
        <w:rPr>
          <w:rFonts w:ascii="Book Antiqua" w:hAnsi="Book Antiqua"/>
          <w:sz w:val="24"/>
          <w:szCs w:val="24"/>
        </w:rPr>
        <w:t xml:space="preserve"> </w:t>
      </w:r>
      <w:r w:rsidR="009272C0" w:rsidRPr="00BD4525">
        <w:rPr>
          <w:rFonts w:ascii="Book Antiqua" w:hAnsi="Book Antiqua"/>
          <w:sz w:val="24"/>
          <w:szCs w:val="24"/>
        </w:rPr>
        <w:t>(two points</w:t>
      </w:r>
      <w:r w:rsidR="00FF1A86" w:rsidRPr="00BD4525">
        <w:rPr>
          <w:rFonts w:ascii="Book Antiqua" w:hAnsi="Book Antiqua"/>
          <w:sz w:val="24"/>
          <w:szCs w:val="24"/>
        </w:rPr>
        <w:t>), hyperextension of</w:t>
      </w:r>
      <w:r w:rsidR="005E3AFB" w:rsidRPr="00BD4525">
        <w:rPr>
          <w:rFonts w:ascii="Book Antiqua" w:hAnsi="Book Antiqua"/>
          <w:sz w:val="24"/>
          <w:szCs w:val="24"/>
        </w:rPr>
        <w:t xml:space="preserve"> one elbow</w:t>
      </w:r>
      <w:r w:rsidR="00FF1A86" w:rsidRPr="00BD4525">
        <w:rPr>
          <w:rFonts w:ascii="Book Antiqua" w:hAnsi="Book Antiqua"/>
          <w:sz w:val="24"/>
          <w:szCs w:val="24"/>
        </w:rPr>
        <w:t xml:space="preserve"> </w:t>
      </w:r>
      <w:r w:rsidR="009272C0" w:rsidRPr="00BD4525">
        <w:rPr>
          <w:rFonts w:ascii="Book Antiqua" w:hAnsi="Book Antiqua"/>
          <w:sz w:val="24"/>
          <w:szCs w:val="24"/>
        </w:rPr>
        <w:t>(one point</w:t>
      </w:r>
      <w:r w:rsidR="00FF1A86" w:rsidRPr="00BD4525">
        <w:rPr>
          <w:rFonts w:ascii="Book Antiqua" w:hAnsi="Book Antiqua"/>
          <w:sz w:val="24"/>
          <w:szCs w:val="24"/>
        </w:rPr>
        <w:t>), and passive apposition of both thumbs to</w:t>
      </w:r>
      <w:r w:rsidR="005E3AFB" w:rsidRPr="00BD4525">
        <w:rPr>
          <w:rFonts w:ascii="Book Antiqua" w:hAnsi="Book Antiqua"/>
          <w:sz w:val="24"/>
          <w:szCs w:val="24"/>
        </w:rPr>
        <w:t xml:space="preserve"> the forearm</w:t>
      </w:r>
      <w:r w:rsidR="00FF1A86" w:rsidRPr="00BD4525">
        <w:rPr>
          <w:rFonts w:ascii="Book Antiqua" w:hAnsi="Book Antiqua"/>
          <w:sz w:val="24"/>
          <w:szCs w:val="24"/>
        </w:rPr>
        <w:t xml:space="preserve">s </w:t>
      </w:r>
      <w:r w:rsidR="009272C0" w:rsidRPr="00BD4525">
        <w:rPr>
          <w:rFonts w:ascii="Book Antiqua" w:hAnsi="Book Antiqua"/>
          <w:sz w:val="24"/>
          <w:szCs w:val="24"/>
        </w:rPr>
        <w:t>(two point</w:t>
      </w:r>
      <w:r w:rsidR="000A5E38" w:rsidRPr="00BD4525">
        <w:rPr>
          <w:rFonts w:ascii="Book Antiqua" w:hAnsi="Book Antiqua"/>
          <w:sz w:val="24"/>
          <w:szCs w:val="24"/>
        </w:rPr>
        <w:t>s</w:t>
      </w:r>
      <w:r w:rsidR="009272C0" w:rsidRPr="00BD4525">
        <w:rPr>
          <w:rFonts w:ascii="Book Antiqua" w:hAnsi="Book Antiqua"/>
          <w:sz w:val="24"/>
          <w:szCs w:val="24"/>
        </w:rPr>
        <w:t xml:space="preserve">) </w:t>
      </w:r>
      <w:r w:rsidR="00FF1A86" w:rsidRPr="00BD4525">
        <w:rPr>
          <w:rFonts w:ascii="Book Antiqua" w:hAnsi="Book Antiqua"/>
          <w:sz w:val="24"/>
          <w:szCs w:val="24"/>
        </w:rPr>
        <w:t>as shown in Fig</w:t>
      </w:r>
      <w:r w:rsidR="009272C0" w:rsidRPr="00BD4525">
        <w:rPr>
          <w:rFonts w:ascii="Book Antiqua" w:hAnsi="Book Antiqua"/>
          <w:sz w:val="24"/>
          <w:szCs w:val="24"/>
        </w:rPr>
        <w:t>ure 1</w:t>
      </w:r>
      <w:r w:rsidR="005E3AFB" w:rsidRPr="00BD4525">
        <w:rPr>
          <w:rFonts w:ascii="Book Antiqua" w:hAnsi="Book Antiqua"/>
          <w:sz w:val="24"/>
          <w:szCs w:val="24"/>
        </w:rPr>
        <w:t>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:rsidR="005E3AFB" w:rsidRPr="00BD4525" w:rsidRDefault="009272C0" w:rsidP="008D5B3A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BD4525">
        <w:rPr>
          <w:rFonts w:ascii="Book Antiqua" w:hAnsi="Book Antiqua"/>
          <w:sz w:val="24"/>
          <w:szCs w:val="24"/>
        </w:rPr>
        <w:t>Furthermore, our</w:t>
      </w:r>
      <w:r w:rsidR="005E3AFB" w:rsidRPr="00BD4525">
        <w:rPr>
          <w:rFonts w:ascii="Book Antiqua" w:hAnsi="Book Antiqua"/>
          <w:sz w:val="24"/>
          <w:szCs w:val="24"/>
        </w:rPr>
        <w:t xml:space="preserve"> patient also</w:t>
      </w:r>
      <w:r w:rsidR="0087166A" w:rsidRPr="00BD4525">
        <w:rPr>
          <w:rFonts w:ascii="Book Antiqua" w:hAnsi="Book Antiqua"/>
          <w:sz w:val="24"/>
          <w:szCs w:val="24"/>
        </w:rPr>
        <w:t xml:space="preserve"> </w:t>
      </w:r>
      <w:r w:rsidR="000A5E38" w:rsidRPr="00BD4525">
        <w:rPr>
          <w:rFonts w:ascii="Book Antiqua" w:hAnsi="Book Antiqua"/>
          <w:sz w:val="24"/>
          <w:szCs w:val="24"/>
        </w:rPr>
        <w:t>experienced</w:t>
      </w:r>
      <w:r w:rsidR="0087166A" w:rsidRPr="00BD4525">
        <w:rPr>
          <w:rFonts w:ascii="Book Antiqua" w:hAnsi="Book Antiqua"/>
          <w:sz w:val="24"/>
          <w:szCs w:val="24"/>
        </w:rPr>
        <w:t xml:space="preserve"> Raynaud’s</w:t>
      </w:r>
      <w:r w:rsidR="00A06F95" w:rsidRPr="00BD4525">
        <w:rPr>
          <w:rFonts w:ascii="Book Antiqua" w:hAnsi="Book Antiqua"/>
          <w:sz w:val="24"/>
          <w:szCs w:val="24"/>
        </w:rPr>
        <w:t xml:space="preserve"> phenomenon</w:t>
      </w:r>
      <w:r w:rsidR="0087166A" w:rsidRPr="00BD4525">
        <w:rPr>
          <w:rFonts w:ascii="Book Antiqua" w:hAnsi="Book Antiqua"/>
          <w:sz w:val="24"/>
          <w:szCs w:val="24"/>
        </w:rPr>
        <w:t xml:space="preserve">, </w:t>
      </w:r>
      <w:r w:rsidR="009C388E" w:rsidRPr="00BD4525">
        <w:rPr>
          <w:rFonts w:ascii="Book Antiqua" w:hAnsi="Book Antiqua"/>
          <w:sz w:val="24"/>
          <w:szCs w:val="24"/>
        </w:rPr>
        <w:t>manifested</w:t>
      </w:r>
      <w:r w:rsidR="0087166A" w:rsidRPr="00BD4525">
        <w:rPr>
          <w:rFonts w:ascii="Book Antiqua" w:hAnsi="Book Antiqua"/>
          <w:sz w:val="24"/>
          <w:szCs w:val="24"/>
        </w:rPr>
        <w:t xml:space="preserve"> </w:t>
      </w:r>
      <w:r w:rsidR="009C388E" w:rsidRPr="00BD4525">
        <w:rPr>
          <w:rFonts w:ascii="Book Antiqua" w:hAnsi="Book Antiqua"/>
          <w:sz w:val="24"/>
          <w:szCs w:val="24"/>
        </w:rPr>
        <w:t>as</w:t>
      </w:r>
      <w:r w:rsidR="0087166A" w:rsidRPr="00BD4525">
        <w:rPr>
          <w:rFonts w:ascii="Book Antiqua" w:hAnsi="Book Antiqua"/>
          <w:sz w:val="24"/>
          <w:szCs w:val="24"/>
        </w:rPr>
        <w:t xml:space="preserve"> </w:t>
      </w:r>
      <w:r w:rsidR="009C388E" w:rsidRPr="00BD4525">
        <w:rPr>
          <w:rFonts w:ascii="Book Antiqua" w:hAnsi="Book Antiqua"/>
          <w:sz w:val="24"/>
          <w:szCs w:val="24"/>
        </w:rPr>
        <w:t>paresthesia</w:t>
      </w:r>
      <w:r w:rsidR="0034750E" w:rsidRPr="00BD4525">
        <w:rPr>
          <w:rFonts w:ascii="Book Antiqua" w:hAnsi="Book Antiqua"/>
          <w:sz w:val="24"/>
          <w:szCs w:val="24"/>
        </w:rPr>
        <w:t xml:space="preserve"> </w:t>
      </w:r>
      <w:r w:rsidR="005E06F1" w:rsidRPr="00BD4525">
        <w:rPr>
          <w:rFonts w:ascii="Book Antiqua" w:hAnsi="Book Antiqua"/>
          <w:sz w:val="24"/>
          <w:szCs w:val="24"/>
        </w:rPr>
        <w:t>with</w:t>
      </w:r>
      <w:r w:rsidR="0034750E" w:rsidRPr="00BD4525">
        <w:rPr>
          <w:rFonts w:ascii="Book Antiqua" w:hAnsi="Book Antiqua"/>
          <w:sz w:val="24"/>
          <w:szCs w:val="24"/>
        </w:rPr>
        <w:t xml:space="preserve"> </w:t>
      </w:r>
      <w:r w:rsidR="009C388E" w:rsidRPr="00BD4525">
        <w:rPr>
          <w:rFonts w:ascii="Book Antiqua" w:hAnsi="Book Antiqua"/>
          <w:sz w:val="24"/>
          <w:szCs w:val="24"/>
        </w:rPr>
        <w:t xml:space="preserve">decreased </w:t>
      </w:r>
      <w:r w:rsidRPr="00BD4525">
        <w:rPr>
          <w:rFonts w:ascii="Book Antiqua" w:hAnsi="Book Antiqua"/>
          <w:sz w:val="24"/>
          <w:szCs w:val="24"/>
        </w:rPr>
        <w:t>blood flow</w:t>
      </w:r>
      <w:r w:rsidR="0034750E" w:rsidRPr="00BD4525">
        <w:rPr>
          <w:rFonts w:ascii="Book Antiqua" w:hAnsi="Book Antiqua"/>
          <w:sz w:val="24"/>
          <w:szCs w:val="24"/>
        </w:rPr>
        <w:t xml:space="preserve"> </w:t>
      </w:r>
      <w:r w:rsidR="0087166A" w:rsidRPr="00BD4525">
        <w:rPr>
          <w:rFonts w:ascii="Book Antiqua" w:hAnsi="Book Antiqua"/>
          <w:sz w:val="24"/>
          <w:szCs w:val="24"/>
        </w:rPr>
        <w:t>in h</w:t>
      </w:r>
      <w:r w:rsidR="005E3AFB" w:rsidRPr="00BD4525">
        <w:rPr>
          <w:rFonts w:ascii="Book Antiqua" w:hAnsi="Book Antiqua"/>
          <w:sz w:val="24"/>
          <w:szCs w:val="24"/>
        </w:rPr>
        <w:t xml:space="preserve">er fingers, lip, ears, and nose </w:t>
      </w:r>
      <w:r w:rsidR="00D61856" w:rsidRPr="00BD4525">
        <w:rPr>
          <w:rFonts w:ascii="Book Antiqua" w:hAnsi="Book Antiqua"/>
          <w:sz w:val="24"/>
          <w:szCs w:val="24"/>
        </w:rPr>
        <w:t>(</w:t>
      </w:r>
      <w:r w:rsidR="00D35115" w:rsidRPr="00BD4525">
        <w:rPr>
          <w:rFonts w:ascii="Book Antiqua" w:hAnsi="Book Antiqua"/>
          <w:sz w:val="24"/>
          <w:szCs w:val="24"/>
        </w:rPr>
        <w:t>Figure 1</w:t>
      </w:r>
      <w:r w:rsidR="005E3AFB" w:rsidRPr="00BD4525">
        <w:rPr>
          <w:rFonts w:ascii="Book Antiqua" w:hAnsi="Book Antiqua"/>
          <w:sz w:val="24"/>
          <w:szCs w:val="24"/>
        </w:rPr>
        <w:t>).</w:t>
      </w:r>
      <w:r w:rsidR="0087166A" w:rsidRPr="00BD4525">
        <w:rPr>
          <w:rFonts w:ascii="Book Antiqua" w:hAnsi="Book Antiqua"/>
          <w:sz w:val="24"/>
          <w:szCs w:val="24"/>
        </w:rPr>
        <w:t xml:space="preserve"> </w:t>
      </w:r>
      <w:r w:rsidR="009C388E" w:rsidRPr="00BD4525">
        <w:rPr>
          <w:rFonts w:ascii="Book Antiqua" w:hAnsi="Book Antiqua"/>
          <w:sz w:val="24"/>
          <w:szCs w:val="24"/>
        </w:rPr>
        <w:t xml:space="preserve">This clinical presentation led to </w:t>
      </w:r>
      <w:r w:rsidRPr="00BD4525">
        <w:rPr>
          <w:rFonts w:ascii="Book Antiqua" w:hAnsi="Book Antiqua"/>
          <w:sz w:val="24"/>
          <w:szCs w:val="24"/>
        </w:rPr>
        <w:t xml:space="preserve">rheumatology evaluation including </w:t>
      </w:r>
      <w:r w:rsidR="009C388E" w:rsidRPr="00BD4525">
        <w:rPr>
          <w:rFonts w:ascii="Book Antiqua" w:hAnsi="Book Antiqua"/>
          <w:sz w:val="24"/>
          <w:szCs w:val="24"/>
        </w:rPr>
        <w:t>a</w:t>
      </w:r>
      <w:r w:rsidR="00A06F95" w:rsidRPr="00BD4525">
        <w:rPr>
          <w:rFonts w:ascii="Book Antiqua" w:hAnsi="Book Antiqua"/>
          <w:sz w:val="24"/>
          <w:szCs w:val="24"/>
        </w:rPr>
        <w:t>ntibody studies</w:t>
      </w:r>
      <w:r w:rsidRPr="00BD4525">
        <w:rPr>
          <w:rFonts w:ascii="Book Antiqua" w:hAnsi="Book Antiqua"/>
          <w:sz w:val="24"/>
          <w:szCs w:val="24"/>
        </w:rPr>
        <w:t xml:space="preserve"> and SED rate</w:t>
      </w:r>
      <w:r w:rsidR="00A06F95" w:rsidRPr="00BD4525">
        <w:rPr>
          <w:rFonts w:ascii="Book Antiqua" w:hAnsi="Book Antiqua"/>
          <w:sz w:val="24"/>
          <w:szCs w:val="24"/>
        </w:rPr>
        <w:t xml:space="preserve"> to diagnose </w:t>
      </w:r>
      <w:r w:rsidR="009C388E" w:rsidRPr="00BD4525">
        <w:rPr>
          <w:rFonts w:ascii="Book Antiqua" w:hAnsi="Book Antiqua"/>
          <w:sz w:val="24"/>
          <w:szCs w:val="24"/>
        </w:rPr>
        <w:t xml:space="preserve">a </w:t>
      </w:r>
      <w:r w:rsidR="00A06F95" w:rsidRPr="00BD4525">
        <w:rPr>
          <w:rFonts w:ascii="Book Antiqua" w:hAnsi="Book Antiqua"/>
          <w:sz w:val="24"/>
          <w:szCs w:val="24"/>
        </w:rPr>
        <w:t xml:space="preserve">mixed connective tissue disorder such as lupus </w:t>
      </w:r>
      <w:r w:rsidR="009C388E" w:rsidRPr="00BD4525">
        <w:rPr>
          <w:rFonts w:ascii="Book Antiqua" w:hAnsi="Book Antiqua"/>
          <w:sz w:val="24"/>
          <w:szCs w:val="24"/>
        </w:rPr>
        <w:t>or rheumatoid arthritis</w:t>
      </w:r>
      <w:r w:rsidRPr="00BD4525">
        <w:rPr>
          <w:rFonts w:ascii="Book Antiqua" w:hAnsi="Book Antiqua"/>
          <w:sz w:val="24"/>
          <w:szCs w:val="24"/>
        </w:rPr>
        <w:t>. The results</w:t>
      </w:r>
      <w:r w:rsidR="009C388E" w:rsidRPr="00BD4525">
        <w:rPr>
          <w:rFonts w:ascii="Book Antiqua" w:hAnsi="Book Antiqua"/>
          <w:sz w:val="24"/>
          <w:szCs w:val="24"/>
        </w:rPr>
        <w:t xml:space="preserve"> </w:t>
      </w:r>
      <w:r w:rsidR="00A06F95" w:rsidRPr="00BD4525">
        <w:rPr>
          <w:rFonts w:ascii="Book Antiqua" w:hAnsi="Book Antiqua"/>
          <w:sz w:val="24"/>
          <w:szCs w:val="24"/>
        </w:rPr>
        <w:t xml:space="preserve">were normal. </w:t>
      </w:r>
      <w:r w:rsidR="00C23C4A" w:rsidRPr="00BD4525">
        <w:rPr>
          <w:rFonts w:ascii="Book Antiqua" w:hAnsi="Book Antiqua"/>
          <w:sz w:val="24"/>
          <w:szCs w:val="24"/>
        </w:rPr>
        <w:t xml:space="preserve">The patient’s </w:t>
      </w:r>
      <w:r w:rsidR="0087166A" w:rsidRPr="00BD4525">
        <w:rPr>
          <w:rFonts w:ascii="Book Antiqua" w:hAnsi="Book Antiqua"/>
          <w:sz w:val="24"/>
          <w:szCs w:val="24"/>
        </w:rPr>
        <w:t xml:space="preserve">back pain </w:t>
      </w:r>
      <w:r w:rsidR="005E3AFB" w:rsidRPr="00BD4525">
        <w:rPr>
          <w:rFonts w:ascii="Book Antiqua" w:hAnsi="Book Antiqua"/>
          <w:sz w:val="24"/>
          <w:szCs w:val="24"/>
        </w:rPr>
        <w:t>continues to worsen</w:t>
      </w:r>
      <w:r w:rsidR="009C388E" w:rsidRPr="00BD4525">
        <w:rPr>
          <w:rFonts w:ascii="Book Antiqua" w:hAnsi="Book Antiqua"/>
          <w:sz w:val="24"/>
          <w:szCs w:val="24"/>
        </w:rPr>
        <w:t xml:space="preserve"> and s</w:t>
      </w:r>
      <w:r w:rsidR="005E3AFB" w:rsidRPr="00BD4525">
        <w:rPr>
          <w:rFonts w:ascii="Book Antiqua" w:hAnsi="Book Antiqua"/>
          <w:sz w:val="24"/>
          <w:szCs w:val="24"/>
        </w:rPr>
        <w:t>he</w:t>
      </w:r>
      <w:r w:rsidR="0087166A" w:rsidRPr="00BD4525">
        <w:rPr>
          <w:rFonts w:ascii="Book Antiqua" w:hAnsi="Book Antiqua"/>
          <w:sz w:val="24"/>
          <w:szCs w:val="24"/>
        </w:rPr>
        <w:t xml:space="preserve"> experienc</w:t>
      </w:r>
      <w:r w:rsidR="005E3AFB" w:rsidRPr="00BD4525">
        <w:rPr>
          <w:rFonts w:ascii="Book Antiqua" w:hAnsi="Book Antiqua"/>
          <w:sz w:val="24"/>
          <w:szCs w:val="24"/>
        </w:rPr>
        <w:t>es weakness throughout</w:t>
      </w:r>
      <w:r w:rsidR="009C388E" w:rsidRPr="00BD4525">
        <w:rPr>
          <w:rFonts w:ascii="Book Antiqua" w:hAnsi="Book Antiqua"/>
          <w:sz w:val="24"/>
          <w:szCs w:val="24"/>
        </w:rPr>
        <w:t xml:space="preserve"> much of her body. She </w:t>
      </w:r>
      <w:r w:rsidR="005E3AFB" w:rsidRPr="00BD4525">
        <w:rPr>
          <w:rFonts w:ascii="Book Antiqua" w:hAnsi="Book Antiqua"/>
          <w:sz w:val="24"/>
          <w:szCs w:val="24"/>
        </w:rPr>
        <w:t xml:space="preserve">is unable to </w:t>
      </w:r>
      <w:r w:rsidR="009C388E" w:rsidRPr="00BD4525">
        <w:rPr>
          <w:rFonts w:ascii="Book Antiqua" w:hAnsi="Book Antiqua"/>
          <w:sz w:val="24"/>
          <w:szCs w:val="24"/>
        </w:rPr>
        <w:t>participate</w:t>
      </w:r>
      <w:r w:rsidR="005E3AFB" w:rsidRPr="00BD4525">
        <w:rPr>
          <w:rFonts w:ascii="Book Antiqua" w:hAnsi="Book Antiqua"/>
          <w:sz w:val="24"/>
          <w:szCs w:val="24"/>
        </w:rPr>
        <w:t xml:space="preserve"> in</w:t>
      </w:r>
      <w:r w:rsidR="00990E1E" w:rsidRPr="00BD4525">
        <w:rPr>
          <w:rFonts w:ascii="Book Antiqua" w:hAnsi="Book Antiqua"/>
          <w:sz w:val="24"/>
          <w:szCs w:val="24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 xml:space="preserve">mildly </w:t>
      </w:r>
      <w:r w:rsidR="00990E1E" w:rsidRPr="00BD4525">
        <w:rPr>
          <w:rFonts w:ascii="Book Antiqua" w:hAnsi="Book Antiqua"/>
          <w:sz w:val="24"/>
          <w:szCs w:val="24"/>
        </w:rPr>
        <w:t>strenuous</w:t>
      </w:r>
      <w:r w:rsidR="009C388E" w:rsidRPr="00BD4525">
        <w:rPr>
          <w:rFonts w:ascii="Book Antiqua" w:hAnsi="Book Antiqua"/>
          <w:sz w:val="24"/>
          <w:szCs w:val="24"/>
        </w:rPr>
        <w:t xml:space="preserve"> manual labor</w:t>
      </w:r>
      <w:r w:rsidRPr="00BD4525">
        <w:rPr>
          <w:rFonts w:ascii="Book Antiqua" w:hAnsi="Book Antiqua"/>
          <w:sz w:val="24"/>
          <w:szCs w:val="24"/>
        </w:rPr>
        <w:t xml:space="preserve"> or movement</w:t>
      </w:r>
      <w:r w:rsidR="000A5E38" w:rsidRPr="00BD4525">
        <w:rPr>
          <w:rFonts w:ascii="Book Antiqua" w:hAnsi="Book Antiqua"/>
          <w:sz w:val="24"/>
          <w:szCs w:val="24"/>
        </w:rPr>
        <w:t xml:space="preserve"> related activities</w:t>
      </w:r>
      <w:r w:rsidR="005E3AFB" w:rsidRPr="00BD4525">
        <w:rPr>
          <w:rFonts w:ascii="Book Antiqua" w:hAnsi="Book Antiqua"/>
          <w:sz w:val="24"/>
          <w:szCs w:val="24"/>
        </w:rPr>
        <w:t xml:space="preserve">. </w:t>
      </w:r>
      <w:r w:rsidR="009C388E" w:rsidRPr="00BD4525">
        <w:rPr>
          <w:rFonts w:ascii="Book Antiqua" w:hAnsi="Book Antiqua"/>
          <w:sz w:val="24"/>
          <w:szCs w:val="24"/>
        </w:rPr>
        <w:t xml:space="preserve">Our patient identifies </w:t>
      </w:r>
      <w:r w:rsidR="005E3AFB" w:rsidRPr="00BD4525">
        <w:rPr>
          <w:rFonts w:ascii="Book Antiqua" w:hAnsi="Book Antiqua"/>
          <w:sz w:val="24"/>
          <w:szCs w:val="24"/>
        </w:rPr>
        <w:t>chronic pain and</w:t>
      </w:r>
      <w:r w:rsidRPr="00BD4525">
        <w:rPr>
          <w:rFonts w:ascii="Book Antiqua" w:hAnsi="Book Antiqua"/>
          <w:sz w:val="24"/>
          <w:szCs w:val="24"/>
        </w:rPr>
        <w:t xml:space="preserve"> generalized</w:t>
      </w:r>
      <w:r w:rsidR="005E3AFB" w:rsidRPr="00BD4525">
        <w:rPr>
          <w:rFonts w:ascii="Book Antiqua" w:hAnsi="Book Antiqua"/>
          <w:sz w:val="24"/>
          <w:szCs w:val="24"/>
        </w:rPr>
        <w:t xml:space="preserve"> muscle weakness</w:t>
      </w:r>
      <w:r w:rsidR="00555954" w:rsidRPr="00BD4525">
        <w:rPr>
          <w:rFonts w:ascii="Book Antiqua" w:hAnsi="Book Antiqua"/>
          <w:sz w:val="24"/>
          <w:szCs w:val="24"/>
        </w:rPr>
        <w:t xml:space="preserve"> as the most significant medical problems detrimental to daily functioning</w:t>
      </w:r>
      <w:r w:rsidRPr="00BD4525">
        <w:rPr>
          <w:rFonts w:ascii="Book Antiqua" w:hAnsi="Book Antiqua"/>
          <w:sz w:val="24"/>
          <w:szCs w:val="24"/>
        </w:rPr>
        <w:t xml:space="preserve"> and quality of life</w:t>
      </w:r>
      <w:r w:rsidR="009C388E" w:rsidRPr="00BD4525">
        <w:rPr>
          <w:rFonts w:ascii="Book Antiqua" w:hAnsi="Book Antiqua"/>
          <w:sz w:val="24"/>
          <w:szCs w:val="24"/>
        </w:rPr>
        <w:t>.</w:t>
      </w:r>
      <w:r w:rsidR="005E3AFB" w:rsidRPr="00BD4525">
        <w:rPr>
          <w:rFonts w:ascii="Book Antiqua" w:hAnsi="Book Antiqua"/>
          <w:sz w:val="24"/>
          <w:szCs w:val="24"/>
        </w:rPr>
        <w:t xml:space="preserve"> </w:t>
      </w:r>
    </w:p>
    <w:p w:rsidR="009C6080" w:rsidRPr="00BD4525" w:rsidRDefault="008C2A17" w:rsidP="008D5B3A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BD4525">
        <w:rPr>
          <w:rFonts w:ascii="Book Antiqua" w:hAnsi="Book Antiqua"/>
          <w:sz w:val="24"/>
          <w:szCs w:val="24"/>
        </w:rPr>
        <w:t xml:space="preserve">The family history was limited due to little to no contact with her siblings and parents, all of whom live in Israel. </w:t>
      </w:r>
      <w:r w:rsidR="00C23C4A" w:rsidRPr="00BD4525">
        <w:rPr>
          <w:rFonts w:ascii="Book Antiqua" w:hAnsi="Book Antiqua"/>
          <w:sz w:val="24"/>
          <w:szCs w:val="24"/>
        </w:rPr>
        <w:t>Our patient has</w:t>
      </w:r>
      <w:r w:rsidR="009272C0" w:rsidRPr="00BD4525">
        <w:rPr>
          <w:rFonts w:ascii="Book Antiqua" w:hAnsi="Book Antiqua"/>
          <w:sz w:val="24"/>
          <w:szCs w:val="24"/>
        </w:rPr>
        <w:t xml:space="preserve"> 100% Ashkenazi Jewish ancestry</w:t>
      </w:r>
      <w:r w:rsidR="00C74B46" w:rsidRPr="00BD4525">
        <w:rPr>
          <w:rFonts w:ascii="Book Antiqua" w:hAnsi="Book Antiqua"/>
          <w:sz w:val="24"/>
          <w:szCs w:val="24"/>
        </w:rPr>
        <w:t xml:space="preserve"> but has not had any Jewish specific genetic disease testing.</w:t>
      </w:r>
      <w:r w:rsidR="00C23C4A" w:rsidRPr="00BD4525">
        <w:rPr>
          <w:rFonts w:ascii="Book Antiqua" w:hAnsi="Book Antiqua"/>
          <w:sz w:val="24"/>
          <w:szCs w:val="24"/>
        </w:rPr>
        <w:t xml:space="preserve"> She has a son who is 4 years of age and a daughter who is 10 years of age, both currently without relevant medical concerns</w:t>
      </w:r>
      <w:r w:rsidR="009272C0" w:rsidRPr="00BD4525">
        <w:rPr>
          <w:rFonts w:ascii="Book Antiqua" w:hAnsi="Book Antiqua"/>
          <w:sz w:val="24"/>
          <w:szCs w:val="24"/>
        </w:rPr>
        <w:t xml:space="preserve"> or health problems</w:t>
      </w:r>
      <w:r w:rsidR="00C23C4A" w:rsidRPr="00BD4525">
        <w:rPr>
          <w:rFonts w:ascii="Book Antiqua" w:hAnsi="Book Antiqua"/>
          <w:sz w:val="24"/>
          <w:szCs w:val="24"/>
        </w:rPr>
        <w:t xml:space="preserve">. </w:t>
      </w:r>
    </w:p>
    <w:p w:rsidR="00D45E44" w:rsidRDefault="001A066F" w:rsidP="008D5B3A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 xml:space="preserve">We ordered </w:t>
      </w:r>
      <w:r w:rsidR="009272C0" w:rsidRPr="00BD4525">
        <w:rPr>
          <w:rFonts w:ascii="Book Antiqua" w:hAnsi="Book Antiqua"/>
          <w:sz w:val="24"/>
          <w:szCs w:val="24"/>
        </w:rPr>
        <w:t>next generation</w:t>
      </w:r>
      <w:r w:rsidRPr="00BD4525">
        <w:rPr>
          <w:rFonts w:ascii="Book Antiqua" w:hAnsi="Book Antiqua"/>
          <w:sz w:val="24"/>
          <w:szCs w:val="24"/>
        </w:rPr>
        <w:t xml:space="preserve"> DNA sequencing</w:t>
      </w:r>
      <w:r w:rsidR="000A5E38" w:rsidRPr="00BD4525">
        <w:rPr>
          <w:rFonts w:ascii="Book Antiqua" w:hAnsi="Book Antiqua"/>
          <w:sz w:val="24"/>
          <w:szCs w:val="24"/>
        </w:rPr>
        <w:t xml:space="preserve"> panel</w:t>
      </w:r>
      <w:r w:rsidRPr="00BD4525">
        <w:rPr>
          <w:rFonts w:ascii="Book Antiqua" w:hAnsi="Book Antiqua"/>
          <w:sz w:val="24"/>
          <w:szCs w:val="24"/>
        </w:rPr>
        <w:t xml:space="preserve"> and delet</w:t>
      </w:r>
      <w:r w:rsidR="00C74B46" w:rsidRPr="00BD4525">
        <w:rPr>
          <w:rFonts w:ascii="Book Antiqua" w:hAnsi="Book Antiqua"/>
          <w:sz w:val="24"/>
          <w:szCs w:val="24"/>
        </w:rPr>
        <w:t>ion/duplication analysis of 33 genes related to connective tissue disorders</w:t>
      </w:r>
      <w:r w:rsidRPr="00BD4525">
        <w:rPr>
          <w:rFonts w:ascii="Book Antiqua" w:hAnsi="Book Antiqua"/>
          <w:sz w:val="24"/>
          <w:szCs w:val="24"/>
        </w:rPr>
        <w:t xml:space="preserve"> </w:t>
      </w:r>
      <w:r w:rsidR="00C74B46" w:rsidRPr="00BD4525">
        <w:rPr>
          <w:rFonts w:ascii="Book Antiqua" w:hAnsi="Book Antiqua"/>
          <w:sz w:val="24"/>
          <w:szCs w:val="24"/>
        </w:rPr>
        <w:t>(</w:t>
      </w:r>
      <w:r w:rsidRPr="00BD4525">
        <w:rPr>
          <w:rFonts w:ascii="Book Antiqua" w:hAnsi="Book Antiqua"/>
          <w:i/>
          <w:sz w:val="24"/>
          <w:szCs w:val="24"/>
        </w:rPr>
        <w:t xml:space="preserve">ABCC6, ACTA2, ATP7A, CBS, CHST14, COL1A1, COL1A2, COL2A1, COL3A1, COL5A1, COL5A2, COL9A1, COL9A2, COL9A3, COL11A1, COL11A2, ELN, FBN1, FBN2, FKBP14, FLNA, MYH11, MYLK, PLOD1, SKI, SLC2A10, SLC39A13, SMAD3, SMAD4, TGFB2, TGFBR1, TGFBR2, </w:t>
      </w:r>
      <w:r w:rsidRPr="00BD4525">
        <w:rPr>
          <w:rFonts w:ascii="Book Antiqua" w:hAnsi="Book Antiqua"/>
          <w:sz w:val="24"/>
          <w:szCs w:val="24"/>
        </w:rPr>
        <w:t>and</w:t>
      </w:r>
      <w:r w:rsidRPr="00BD4525">
        <w:rPr>
          <w:rFonts w:ascii="Book Antiqua" w:hAnsi="Book Antiqua"/>
          <w:i/>
          <w:sz w:val="24"/>
          <w:szCs w:val="24"/>
        </w:rPr>
        <w:t xml:space="preserve"> TNXB</w:t>
      </w:r>
      <w:r w:rsidR="00C74B46" w:rsidRPr="00BD4525">
        <w:rPr>
          <w:rFonts w:ascii="Book Antiqua" w:hAnsi="Book Antiqua"/>
          <w:i/>
          <w:sz w:val="24"/>
          <w:szCs w:val="24"/>
        </w:rPr>
        <w:t xml:space="preserve">) </w:t>
      </w:r>
      <w:r w:rsidR="009272C0" w:rsidRPr="00BD4525">
        <w:rPr>
          <w:rFonts w:ascii="Book Antiqua" w:hAnsi="Book Antiqua"/>
          <w:sz w:val="24"/>
          <w:szCs w:val="24"/>
        </w:rPr>
        <w:t>performed commercially at</w:t>
      </w:r>
      <w:r w:rsidR="00C74B46" w:rsidRPr="00BD4525">
        <w:rPr>
          <w:rFonts w:ascii="Book Antiqua" w:hAnsi="Book Antiqua"/>
          <w:sz w:val="24"/>
          <w:szCs w:val="24"/>
        </w:rPr>
        <w:t xml:space="preserve"> the University of Nebraska Medical Center (Omaha, NE)</w:t>
      </w:r>
      <w:r w:rsidR="00912948" w:rsidRPr="00BD4525">
        <w:rPr>
          <w:rFonts w:ascii="Book Antiqua" w:hAnsi="Book Antiqua"/>
          <w:sz w:val="24"/>
          <w:szCs w:val="24"/>
        </w:rPr>
        <w:t xml:space="preserve"> using a blood sample from our patient</w:t>
      </w:r>
      <w:r w:rsidRPr="00BD4525">
        <w:rPr>
          <w:rFonts w:ascii="Book Antiqua" w:hAnsi="Book Antiqua"/>
          <w:sz w:val="24"/>
          <w:szCs w:val="24"/>
        </w:rPr>
        <w:t>.</w:t>
      </w:r>
      <w:r w:rsidR="00F6553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 xml:space="preserve">The only </w:t>
      </w:r>
      <w:r w:rsidR="009272C0" w:rsidRPr="00BD4525">
        <w:rPr>
          <w:rFonts w:ascii="Book Antiqua" w:hAnsi="Book Antiqua"/>
          <w:sz w:val="24"/>
          <w:szCs w:val="24"/>
        </w:rPr>
        <w:t xml:space="preserve">gene </w:t>
      </w:r>
      <w:r w:rsidRPr="00BD4525">
        <w:rPr>
          <w:rFonts w:ascii="Book Antiqua" w:hAnsi="Book Antiqua"/>
          <w:sz w:val="24"/>
          <w:szCs w:val="24"/>
        </w:rPr>
        <w:t>variant identified was a 6074A</w:t>
      </w:r>
      <w:r w:rsidR="006965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>&gt;</w:t>
      </w:r>
      <w:r w:rsidR="006965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 xml:space="preserve">T transition in the </w:t>
      </w:r>
      <w:r w:rsidRPr="00BD4525">
        <w:rPr>
          <w:rFonts w:ascii="Book Antiqua" w:hAnsi="Book Antiqua"/>
          <w:i/>
          <w:sz w:val="24"/>
          <w:szCs w:val="24"/>
        </w:rPr>
        <w:t>TNXB</w:t>
      </w:r>
      <w:r w:rsidRPr="00BD4525">
        <w:rPr>
          <w:rFonts w:ascii="Book Antiqua" w:hAnsi="Book Antiqua"/>
          <w:sz w:val="24"/>
          <w:szCs w:val="24"/>
        </w:rPr>
        <w:t xml:space="preserve"> gene causing a Asp2025Val amino acid change</w:t>
      </w:r>
      <w:r w:rsidR="00C74B46" w:rsidRPr="00BD4525">
        <w:rPr>
          <w:rFonts w:ascii="Book Antiqua" w:hAnsi="Book Antiqua"/>
          <w:sz w:val="24"/>
          <w:szCs w:val="24"/>
        </w:rPr>
        <w:t xml:space="preserve"> at the protein level</w:t>
      </w:r>
      <w:r w:rsidRPr="00BD4525">
        <w:rPr>
          <w:rFonts w:ascii="Book Antiqua" w:hAnsi="Book Antiqua"/>
          <w:sz w:val="24"/>
          <w:szCs w:val="24"/>
        </w:rPr>
        <w:t>, classified as a variant of uncertain clinical significance. No known pathogenic deletions or duplications were detected</w:t>
      </w:r>
      <w:r w:rsidR="00100335" w:rsidRPr="00BD4525">
        <w:rPr>
          <w:rFonts w:ascii="Book Antiqua" w:hAnsi="Book Antiqua"/>
          <w:sz w:val="24"/>
          <w:szCs w:val="24"/>
        </w:rPr>
        <w:t xml:space="preserve"> within these genes</w:t>
      </w:r>
      <w:r w:rsidRPr="00BD4525">
        <w:rPr>
          <w:rFonts w:ascii="Book Antiqua" w:hAnsi="Book Antiqua"/>
          <w:sz w:val="24"/>
          <w:szCs w:val="24"/>
        </w:rPr>
        <w:t xml:space="preserve">. </w:t>
      </w:r>
    </w:p>
    <w:p w:rsidR="006965FF" w:rsidRDefault="006965FF" w:rsidP="008D5B3A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029F3" w:rsidRPr="00BD4525" w:rsidRDefault="006029F3" w:rsidP="008D5B3A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</w:p>
    <w:p w:rsidR="00C23C4A" w:rsidRDefault="00463C3C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DISCUSSION</w:t>
      </w:r>
    </w:p>
    <w:p w:rsidR="001407A6" w:rsidRPr="00BD4525" w:rsidRDefault="0073356A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lastRenderedPageBreak/>
        <w:t xml:space="preserve">Classification for EDS </w:t>
      </w:r>
      <w:r w:rsidR="00555A97" w:rsidRPr="00BD4525">
        <w:rPr>
          <w:rFonts w:ascii="Book Antiqua" w:hAnsi="Book Antiqua" w:cs="Times New Roman"/>
          <w:sz w:val="24"/>
          <w:szCs w:val="24"/>
        </w:rPr>
        <w:t>began in the late 1960s</w:t>
      </w:r>
      <w:r w:rsidR="00555A97" w:rsidRPr="00BD4525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555A97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and </w:t>
      </w:r>
      <w:r w:rsidRPr="00BD4525">
        <w:rPr>
          <w:rFonts w:ascii="Book Antiqua" w:hAnsi="Book Antiqua" w:cs="Times New Roman"/>
          <w:sz w:val="24"/>
          <w:szCs w:val="24"/>
        </w:rPr>
        <w:t>continues to evolve a</w:t>
      </w:r>
      <w:r w:rsidR="00D45E44" w:rsidRPr="00BD4525">
        <w:rPr>
          <w:rFonts w:ascii="Book Antiqua" w:hAnsi="Book Antiqua" w:cs="Times New Roman"/>
          <w:sz w:val="24"/>
          <w:szCs w:val="24"/>
        </w:rPr>
        <w:t>nd expand over time, as diagnoses move</w:t>
      </w:r>
      <w:r w:rsidRPr="00BD4525">
        <w:rPr>
          <w:rFonts w:ascii="Book Antiqua" w:hAnsi="Book Antiqua" w:cs="Times New Roman"/>
          <w:sz w:val="24"/>
          <w:szCs w:val="24"/>
        </w:rPr>
        <w:t xml:space="preserve"> beyond focusing 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solely </w:t>
      </w:r>
      <w:r w:rsidRPr="00BD4525">
        <w:rPr>
          <w:rFonts w:ascii="Book Antiqua" w:hAnsi="Book Antiqua" w:cs="Times New Roman"/>
          <w:sz w:val="24"/>
          <w:szCs w:val="24"/>
        </w:rPr>
        <w:t xml:space="preserve">on clinical symptoms to a more </w:t>
      </w:r>
      <w:r w:rsidR="00D45E44" w:rsidRPr="00BD4525">
        <w:rPr>
          <w:rFonts w:ascii="Book Antiqua" w:hAnsi="Book Antiqua" w:cs="Times New Roman"/>
          <w:sz w:val="24"/>
          <w:szCs w:val="24"/>
        </w:rPr>
        <w:t>genomics</w:t>
      </w:r>
      <w:r w:rsidRPr="00BD4525">
        <w:rPr>
          <w:rFonts w:ascii="Book Antiqua" w:hAnsi="Book Antiqua" w:cs="Times New Roman"/>
          <w:sz w:val="24"/>
          <w:szCs w:val="24"/>
        </w:rPr>
        <w:t xml:space="preserve">-driven approach. 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A popular simplified classification based on the </w:t>
      </w:r>
      <w:proofErr w:type="spellStart"/>
      <w:r w:rsidR="001407A6" w:rsidRPr="00BD4525">
        <w:rPr>
          <w:rFonts w:ascii="Book Antiqua" w:hAnsi="Book Antiqua" w:cs="Times New Roman"/>
          <w:sz w:val="24"/>
          <w:szCs w:val="24"/>
        </w:rPr>
        <w:t>Villenfranche</w:t>
      </w:r>
      <w:proofErr w:type="spellEnd"/>
      <w:r w:rsidR="001407A6" w:rsidRPr="00BD4525">
        <w:rPr>
          <w:rFonts w:ascii="Book Antiqua" w:hAnsi="Book Antiqua" w:cs="Times New Roman"/>
          <w:sz w:val="24"/>
          <w:szCs w:val="24"/>
        </w:rPr>
        <w:t xml:space="preserve"> nosology outlined the following six major types of EDS</w:t>
      </w:r>
      <w:r w:rsidR="00555A97" w:rsidRPr="00BD4525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1407A6" w:rsidRPr="00BD4525">
        <w:rPr>
          <w:rFonts w:ascii="Book Antiqua" w:hAnsi="Book Antiqua" w:cs="Times New Roman"/>
          <w:sz w:val="24"/>
          <w:szCs w:val="24"/>
        </w:rPr>
        <w:t>: Classical (Type I and Type II) with defect in type 5 c</w:t>
      </w:r>
      <w:r w:rsidR="00D45E44" w:rsidRPr="00BD4525">
        <w:rPr>
          <w:rFonts w:ascii="Book Antiqua" w:hAnsi="Book Antiqua" w:cs="Times New Roman"/>
          <w:sz w:val="24"/>
          <w:szCs w:val="24"/>
        </w:rPr>
        <w:t>ollagen; Hypermobile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 (Type III)</w:t>
      </w:r>
      <w:r w:rsidR="00D45E44" w:rsidRPr="00BD4525">
        <w:rPr>
          <w:rFonts w:ascii="Book Antiqua" w:hAnsi="Book Antiqua" w:cs="Times New Roman"/>
          <w:sz w:val="24"/>
          <w:szCs w:val="24"/>
        </w:rPr>
        <w:t xml:space="preserve"> with unknown genetic causation;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 Vascular (Type IV</w:t>
      </w:r>
      <w:r w:rsidR="00D45E44" w:rsidRPr="00BD4525">
        <w:rPr>
          <w:rFonts w:ascii="Book Antiqua" w:hAnsi="Book Antiqua" w:cs="Times New Roman"/>
          <w:sz w:val="24"/>
          <w:szCs w:val="24"/>
        </w:rPr>
        <w:t>) with abnormal type 3 collagen;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 Kyphoscoliosis </w:t>
      </w:r>
      <w:r w:rsidR="00D45E44" w:rsidRPr="00BD4525">
        <w:rPr>
          <w:rFonts w:ascii="Book Antiqua" w:hAnsi="Book Antiqua" w:cs="Times New Roman"/>
          <w:sz w:val="24"/>
          <w:szCs w:val="24"/>
        </w:rPr>
        <w:t xml:space="preserve">(Type VI) with deficiency of </w:t>
      </w:r>
      <w:proofErr w:type="spellStart"/>
      <w:r w:rsidR="000A5E38" w:rsidRPr="00BD4525">
        <w:rPr>
          <w:rFonts w:ascii="Book Antiqua" w:hAnsi="Book Antiqua" w:cs="Times New Roman"/>
          <w:sz w:val="24"/>
          <w:szCs w:val="24"/>
        </w:rPr>
        <w:t>l</w:t>
      </w:r>
      <w:r w:rsidR="00D45E44" w:rsidRPr="00BD4525">
        <w:rPr>
          <w:rFonts w:ascii="Book Antiqua" w:hAnsi="Book Antiqua" w:cs="Times New Roman"/>
          <w:sz w:val="24"/>
          <w:szCs w:val="24"/>
        </w:rPr>
        <w:t>ysyl</w:t>
      </w:r>
      <w:proofErr w:type="spellEnd"/>
      <w:r w:rsidR="00D45E44" w:rsidRPr="00BD4525">
        <w:rPr>
          <w:rFonts w:ascii="Book Antiqua" w:hAnsi="Book Antiqua" w:cs="Times New Roman"/>
          <w:sz w:val="24"/>
          <w:szCs w:val="24"/>
        </w:rPr>
        <w:t xml:space="preserve"> hydroxylase</w:t>
      </w:r>
      <w:r w:rsidR="000A5E38" w:rsidRPr="00BD4525">
        <w:rPr>
          <w:rFonts w:ascii="Book Antiqua" w:hAnsi="Book Antiqua" w:cs="Times New Roman"/>
          <w:sz w:val="24"/>
          <w:szCs w:val="24"/>
        </w:rPr>
        <w:t xml:space="preserve"> (LH)</w:t>
      </w:r>
      <w:r w:rsidR="00D45E44" w:rsidRPr="00BD4525">
        <w:rPr>
          <w:rFonts w:ascii="Book Antiqua" w:hAnsi="Book Antiqua" w:cs="Times New Roman"/>
          <w:sz w:val="24"/>
          <w:szCs w:val="24"/>
        </w:rPr>
        <w:t>;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407A6" w:rsidRPr="00BD4525">
        <w:rPr>
          <w:rFonts w:ascii="Book Antiqua" w:hAnsi="Book Antiqua" w:cs="Times New Roman"/>
          <w:sz w:val="24"/>
          <w:szCs w:val="24"/>
        </w:rPr>
        <w:t>Arthroc</w:t>
      </w:r>
      <w:r w:rsidR="000A5E38" w:rsidRPr="00BD4525">
        <w:rPr>
          <w:rFonts w:ascii="Book Antiqua" w:hAnsi="Book Antiqua" w:cs="Times New Roman"/>
          <w:sz w:val="24"/>
          <w:szCs w:val="24"/>
        </w:rPr>
        <w:t>ha</w:t>
      </w:r>
      <w:r w:rsidR="001407A6" w:rsidRPr="00BD4525">
        <w:rPr>
          <w:rFonts w:ascii="Book Antiqua" w:hAnsi="Book Antiqua" w:cs="Times New Roman"/>
          <w:sz w:val="24"/>
          <w:szCs w:val="24"/>
        </w:rPr>
        <w:t>lasia</w:t>
      </w:r>
      <w:proofErr w:type="spellEnd"/>
      <w:r w:rsidR="001407A6" w:rsidRPr="00BD4525">
        <w:rPr>
          <w:rFonts w:ascii="Book Antiqua" w:hAnsi="Book Antiqua" w:cs="Times New Roman"/>
          <w:sz w:val="24"/>
          <w:szCs w:val="24"/>
        </w:rPr>
        <w:t xml:space="preserve"> (Type VII) with deficien</w:t>
      </w:r>
      <w:r w:rsidR="00D45E44" w:rsidRPr="00BD4525">
        <w:rPr>
          <w:rFonts w:ascii="Book Antiqua" w:hAnsi="Book Antiqua" w:cs="Times New Roman"/>
          <w:sz w:val="24"/>
          <w:szCs w:val="24"/>
        </w:rPr>
        <w:t>cy of chains in type I collagen;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1407A6" w:rsidRPr="00BD4525">
        <w:rPr>
          <w:rFonts w:ascii="Book Antiqua" w:hAnsi="Book Antiqua" w:cs="Times New Roman"/>
          <w:sz w:val="24"/>
          <w:szCs w:val="24"/>
        </w:rPr>
        <w:t>Dermatosparaxis</w:t>
      </w:r>
      <w:proofErr w:type="spellEnd"/>
      <w:r w:rsidR="001407A6" w:rsidRPr="00BD4525">
        <w:rPr>
          <w:rFonts w:ascii="Book Antiqua" w:hAnsi="Book Antiqua" w:cs="Times New Roman"/>
          <w:sz w:val="24"/>
          <w:szCs w:val="24"/>
        </w:rPr>
        <w:t xml:space="preserve"> (Type VII) with deficiency of 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procollagen N-proteinase 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enzyme in type I collagen. </w:t>
      </w:r>
    </w:p>
    <w:p w:rsidR="0073356A" w:rsidRPr="00BD4525" w:rsidRDefault="0073356A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 w:cs="Times New Roman"/>
          <w:sz w:val="24"/>
          <w:szCs w:val="24"/>
        </w:rPr>
        <w:t xml:space="preserve">In a 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more </w:t>
      </w:r>
      <w:r w:rsidRPr="00BD4525">
        <w:rPr>
          <w:rFonts w:ascii="Book Antiqua" w:hAnsi="Book Antiqua" w:cs="Times New Roman"/>
          <w:sz w:val="24"/>
          <w:szCs w:val="24"/>
        </w:rPr>
        <w:t xml:space="preserve">recent </w:t>
      </w:r>
      <w:r w:rsidR="001F1B93" w:rsidRPr="00BD4525">
        <w:rPr>
          <w:rFonts w:ascii="Book Antiqua" w:hAnsi="Book Antiqua" w:cs="Times New Roman"/>
          <w:sz w:val="24"/>
          <w:szCs w:val="24"/>
        </w:rPr>
        <w:t>review</w:t>
      </w:r>
      <w:r w:rsidR="00555A97" w:rsidRPr="00BD4525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1407A6" w:rsidRPr="00BD4525">
        <w:rPr>
          <w:rFonts w:ascii="Book Antiqua" w:hAnsi="Book Antiqua" w:cs="Times New Roman"/>
          <w:sz w:val="24"/>
          <w:szCs w:val="24"/>
        </w:rPr>
        <w:t xml:space="preserve">, this classification was expanded based on current evidence, and a total of </w:t>
      </w:r>
      <w:r w:rsidR="0065010F" w:rsidRPr="00BD4525">
        <w:rPr>
          <w:rFonts w:ascii="Book Antiqua" w:hAnsi="Book Antiqua" w:cs="Times New Roman"/>
          <w:sz w:val="24"/>
          <w:szCs w:val="24"/>
        </w:rPr>
        <w:t>nine types of EDS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were outlined</w:t>
      </w:r>
      <w:r w:rsidRPr="00BD4525">
        <w:rPr>
          <w:rFonts w:ascii="Book Antiqua" w:hAnsi="Book Antiqua" w:cs="Times New Roman"/>
          <w:sz w:val="24"/>
          <w:szCs w:val="24"/>
        </w:rPr>
        <w:t>: Classical (</w:t>
      </w:r>
      <w:r w:rsidR="00577B3D" w:rsidRPr="00BD4525">
        <w:rPr>
          <w:rFonts w:ascii="Book Antiqua" w:hAnsi="Book Antiqua" w:cs="Times New Roman"/>
          <w:sz w:val="24"/>
          <w:szCs w:val="24"/>
        </w:rPr>
        <w:t xml:space="preserve">caused by defects in 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collagen </w:t>
      </w:r>
      <w:r w:rsidRPr="00BD4525">
        <w:rPr>
          <w:rFonts w:ascii="Book Antiqua" w:hAnsi="Book Antiqua" w:cs="Times New Roman"/>
          <w:i/>
          <w:sz w:val="24"/>
          <w:szCs w:val="24"/>
        </w:rPr>
        <w:t>COL5A1</w:t>
      </w:r>
      <w:r w:rsidRPr="00BD4525">
        <w:rPr>
          <w:rFonts w:ascii="Book Antiqua" w:hAnsi="Book Antiqua" w:cs="Times New Roman"/>
          <w:sz w:val="24"/>
          <w:szCs w:val="24"/>
        </w:rPr>
        <w:t xml:space="preserve"> and </w:t>
      </w:r>
      <w:r w:rsidRPr="00BD4525">
        <w:rPr>
          <w:rFonts w:ascii="Book Antiqua" w:hAnsi="Book Antiqua" w:cs="Times New Roman"/>
          <w:i/>
          <w:sz w:val="24"/>
          <w:szCs w:val="24"/>
        </w:rPr>
        <w:t>COL5A2</w:t>
      </w:r>
      <w:r w:rsidR="009E644D" w:rsidRPr="00BD452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E644D" w:rsidRPr="00BD4525">
        <w:rPr>
          <w:rFonts w:ascii="Book Antiqua" w:hAnsi="Book Antiqua" w:cs="Times New Roman"/>
          <w:sz w:val="24"/>
          <w:szCs w:val="24"/>
        </w:rPr>
        <w:t>genes</w:t>
      </w:r>
      <w:r w:rsidRPr="00BD4525">
        <w:rPr>
          <w:rFonts w:ascii="Book Antiqua" w:hAnsi="Book Antiqua" w:cs="Times New Roman"/>
          <w:sz w:val="24"/>
          <w:szCs w:val="24"/>
        </w:rPr>
        <w:t>)</w:t>
      </w:r>
      <w:r w:rsidR="00577B3D" w:rsidRPr="00BD4525">
        <w:rPr>
          <w:rFonts w:ascii="Book Antiqua" w:hAnsi="Book Antiqua" w:cs="Times New Roman"/>
          <w:sz w:val="24"/>
          <w:szCs w:val="24"/>
        </w:rPr>
        <w:t xml:space="preserve"> involving skin laxity, joint hypermobility,</w:t>
      </w:r>
      <w:r w:rsidR="00F6553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77B3D" w:rsidRPr="00BD4525">
        <w:rPr>
          <w:rFonts w:ascii="Book Antiqua" w:hAnsi="Book Antiqua" w:cs="Times New Roman"/>
          <w:sz w:val="24"/>
          <w:szCs w:val="24"/>
        </w:rPr>
        <w:t>widened scars, and easy bruising; Hypermobile (unknown cause) with velvet skin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 and laxity</w:t>
      </w:r>
      <w:r w:rsidR="00577B3D" w:rsidRPr="00BD4525">
        <w:rPr>
          <w:rFonts w:ascii="Book Antiqua" w:hAnsi="Book Antiqua" w:cs="Times New Roman"/>
          <w:sz w:val="24"/>
          <w:szCs w:val="24"/>
        </w:rPr>
        <w:t>, joint dislocations and hypermobility;</w:t>
      </w:r>
      <w:r w:rsidRPr="00BD4525">
        <w:rPr>
          <w:rFonts w:ascii="Book Antiqua" w:hAnsi="Book Antiqua" w:cs="Times New Roman"/>
          <w:sz w:val="24"/>
          <w:szCs w:val="24"/>
        </w:rPr>
        <w:t xml:space="preserve"> Vascular (</w:t>
      </w:r>
      <w:r w:rsidRPr="00BD4525">
        <w:rPr>
          <w:rFonts w:ascii="Book Antiqua" w:hAnsi="Book Antiqua" w:cs="Times New Roman"/>
          <w:i/>
          <w:sz w:val="24"/>
          <w:szCs w:val="24"/>
        </w:rPr>
        <w:t>COL3A1</w:t>
      </w:r>
      <w:r w:rsidR="009E644D" w:rsidRPr="00BD452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E644D" w:rsidRPr="00BD4525">
        <w:rPr>
          <w:rFonts w:ascii="Book Antiqua" w:hAnsi="Book Antiqua" w:cs="Times New Roman"/>
          <w:sz w:val="24"/>
          <w:szCs w:val="24"/>
        </w:rPr>
        <w:t>gene</w:t>
      </w:r>
      <w:r w:rsidRPr="00BD4525">
        <w:rPr>
          <w:rFonts w:ascii="Book Antiqua" w:hAnsi="Book Antiqua" w:cs="Times New Roman"/>
          <w:sz w:val="24"/>
          <w:szCs w:val="24"/>
        </w:rPr>
        <w:t>)</w:t>
      </w:r>
      <w:r w:rsidR="00577B3D" w:rsidRPr="00BD4525">
        <w:rPr>
          <w:rFonts w:ascii="Book Antiqua" w:hAnsi="Book Antiqua" w:cs="Times New Roman"/>
          <w:sz w:val="24"/>
          <w:szCs w:val="24"/>
        </w:rPr>
        <w:t xml:space="preserve"> with arterial rupture, hypermobility, varicose veins, thin translucent skin, and easy bruising</w:t>
      </w:r>
      <w:r w:rsidR="009E644D" w:rsidRPr="00BD4525">
        <w:rPr>
          <w:rFonts w:ascii="Book Antiqua" w:hAnsi="Book Antiqua" w:cs="Times New Roman"/>
          <w:sz w:val="24"/>
          <w:szCs w:val="24"/>
        </w:rPr>
        <w:t>; Kyphoscoliosis</w:t>
      </w:r>
      <w:r w:rsidRPr="00BD4525">
        <w:rPr>
          <w:rFonts w:ascii="Book Antiqua" w:hAnsi="Book Antiqua" w:cs="Times New Roman"/>
          <w:sz w:val="24"/>
          <w:szCs w:val="24"/>
        </w:rPr>
        <w:t xml:space="preserve"> (</w:t>
      </w:r>
      <w:r w:rsidR="000A5E38" w:rsidRPr="00BD4525">
        <w:rPr>
          <w:rFonts w:ascii="Book Antiqua" w:hAnsi="Book Antiqua" w:cs="Times New Roman"/>
          <w:sz w:val="24"/>
          <w:szCs w:val="24"/>
        </w:rPr>
        <w:t>LH</w:t>
      </w:r>
      <w:r w:rsidRPr="00BD4525">
        <w:rPr>
          <w:rFonts w:ascii="Book Antiqua" w:hAnsi="Book Antiqua" w:cs="Times New Roman"/>
          <w:sz w:val="24"/>
          <w:szCs w:val="24"/>
        </w:rPr>
        <w:t xml:space="preserve"> 1 - </w:t>
      </w:r>
      <w:r w:rsidRPr="00BD4525">
        <w:rPr>
          <w:rFonts w:ascii="Book Antiqua" w:hAnsi="Book Antiqua" w:cs="Times New Roman"/>
          <w:i/>
          <w:sz w:val="24"/>
          <w:szCs w:val="24"/>
        </w:rPr>
        <w:t>PLOD1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Pr="00BD4525">
        <w:rPr>
          <w:rFonts w:ascii="Book Antiqua" w:hAnsi="Book Antiqua" w:cs="Times New Roman"/>
          <w:sz w:val="24"/>
          <w:szCs w:val="24"/>
        </w:rPr>
        <w:t>)</w:t>
      </w:r>
      <w:r w:rsidR="00577B3D" w:rsidRPr="00BD4525">
        <w:rPr>
          <w:rFonts w:ascii="Book Antiqua" w:hAnsi="Book Antiqua" w:cs="Times New Roman"/>
          <w:sz w:val="24"/>
          <w:szCs w:val="24"/>
        </w:rPr>
        <w:t xml:space="preserve"> with muscle </w:t>
      </w:r>
      <w:proofErr w:type="spellStart"/>
      <w:r w:rsidR="00577B3D" w:rsidRPr="00BD4525">
        <w:rPr>
          <w:rFonts w:ascii="Book Antiqua" w:hAnsi="Book Antiqua" w:cs="Times New Roman"/>
          <w:sz w:val="24"/>
          <w:szCs w:val="24"/>
        </w:rPr>
        <w:t>hypotonia</w:t>
      </w:r>
      <w:proofErr w:type="spellEnd"/>
      <w:r w:rsidR="00577B3D" w:rsidRPr="00BD4525">
        <w:rPr>
          <w:rFonts w:ascii="Book Antiqua" w:hAnsi="Book Antiqua" w:cs="Times New Roman"/>
          <w:sz w:val="24"/>
          <w:szCs w:val="24"/>
        </w:rPr>
        <w:t xml:space="preserve"> in infants, scoliosis from birth, joint laxity, gross motor delay, easy bruising, and fragility of </w:t>
      </w:r>
      <w:proofErr w:type="spellStart"/>
      <w:r w:rsidR="00577B3D" w:rsidRPr="00BD4525">
        <w:rPr>
          <w:rFonts w:ascii="Book Antiqua" w:hAnsi="Book Antiqua" w:cs="Times New Roman"/>
          <w:sz w:val="24"/>
          <w:szCs w:val="24"/>
        </w:rPr>
        <w:t>sclerae</w:t>
      </w:r>
      <w:proofErr w:type="spellEnd"/>
      <w:r w:rsidR="009E644D" w:rsidRPr="00BD4525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9E644D" w:rsidRPr="00BD4525">
        <w:rPr>
          <w:rFonts w:ascii="Book Antiqua" w:hAnsi="Book Antiqua" w:cs="Times New Roman"/>
          <w:sz w:val="24"/>
          <w:szCs w:val="24"/>
        </w:rPr>
        <w:t>Arthrochalasia</w:t>
      </w:r>
      <w:proofErr w:type="spellEnd"/>
      <w:r w:rsidRPr="00BD4525">
        <w:rPr>
          <w:rFonts w:ascii="Book Antiqua" w:hAnsi="Book Antiqua" w:cs="Times New Roman"/>
          <w:sz w:val="24"/>
          <w:szCs w:val="24"/>
        </w:rPr>
        <w:t xml:space="preserve"> (</w:t>
      </w:r>
      <w:r w:rsidR="001F1B93" w:rsidRPr="00BD4525">
        <w:rPr>
          <w:rFonts w:ascii="Book Antiqua" w:hAnsi="Book Antiqua" w:cs="Times New Roman"/>
          <w:sz w:val="24"/>
          <w:szCs w:val="24"/>
        </w:rPr>
        <w:t>collagen 1 -</w:t>
      </w:r>
      <w:r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Pr="00BD4525">
        <w:rPr>
          <w:rFonts w:ascii="Book Antiqua" w:hAnsi="Book Antiqua" w:cs="Times New Roman"/>
          <w:i/>
          <w:sz w:val="24"/>
          <w:szCs w:val="24"/>
        </w:rPr>
        <w:t>COL1A1</w:t>
      </w:r>
      <w:r w:rsidRPr="00BD4525">
        <w:rPr>
          <w:rFonts w:ascii="Book Antiqua" w:hAnsi="Book Antiqua" w:cs="Times New Roman"/>
          <w:sz w:val="24"/>
          <w:szCs w:val="24"/>
        </w:rPr>
        <w:t xml:space="preserve">, </w:t>
      </w:r>
      <w:r w:rsidRPr="00BD4525">
        <w:rPr>
          <w:rFonts w:ascii="Book Antiqua" w:hAnsi="Book Antiqua" w:cs="Times New Roman"/>
          <w:i/>
          <w:sz w:val="24"/>
          <w:szCs w:val="24"/>
        </w:rPr>
        <w:t>COL1A2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 genes</w:t>
      </w:r>
      <w:r w:rsidRPr="00BD4525">
        <w:rPr>
          <w:rFonts w:ascii="Book Antiqua" w:hAnsi="Book Antiqua" w:cs="Times New Roman"/>
          <w:sz w:val="24"/>
          <w:szCs w:val="24"/>
        </w:rPr>
        <w:t>)</w:t>
      </w:r>
      <w:r w:rsidR="00577B3D" w:rsidRPr="00BD4525">
        <w:rPr>
          <w:rFonts w:ascii="Book Antiqua" w:hAnsi="Book Antiqua" w:cs="Times New Roman"/>
          <w:sz w:val="24"/>
          <w:szCs w:val="24"/>
        </w:rPr>
        <w:t xml:space="preserve"> with severe joint hypermobility, congenital bilateral hip dislocations, skin elasticity, easy bruising, kyphoscoliosis, and osteopenia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9E644D" w:rsidRPr="00BD4525">
        <w:rPr>
          <w:rFonts w:ascii="Book Antiqua" w:hAnsi="Book Antiqua" w:cs="Times New Roman"/>
          <w:sz w:val="24"/>
          <w:szCs w:val="24"/>
        </w:rPr>
        <w:t>Dermatospara</w:t>
      </w:r>
      <w:r w:rsidR="000A5E38" w:rsidRPr="00BD4525">
        <w:rPr>
          <w:rFonts w:ascii="Book Antiqua" w:hAnsi="Book Antiqua" w:cs="Times New Roman"/>
          <w:sz w:val="24"/>
          <w:szCs w:val="24"/>
        </w:rPr>
        <w:t>x</w:t>
      </w:r>
      <w:r w:rsidR="009E644D" w:rsidRPr="00BD4525">
        <w:rPr>
          <w:rFonts w:ascii="Book Antiqua" w:hAnsi="Book Antiqua" w:cs="Times New Roman"/>
          <w:sz w:val="24"/>
          <w:szCs w:val="24"/>
        </w:rPr>
        <w:t>is</w:t>
      </w:r>
      <w:proofErr w:type="spellEnd"/>
      <w:r w:rsidRPr="00BD4525">
        <w:rPr>
          <w:rFonts w:ascii="Book Antiqua" w:hAnsi="Book Antiqua" w:cs="Times New Roman"/>
          <w:sz w:val="24"/>
          <w:szCs w:val="24"/>
        </w:rPr>
        <w:t xml:space="preserve"> (procollagen N-proteinase</w:t>
      </w:r>
      <w:r w:rsidR="000A5E38" w:rsidRPr="00BD4525">
        <w:rPr>
          <w:rFonts w:ascii="Book Antiqua" w:hAnsi="Book Antiqua" w:cs="Times New Roman"/>
          <w:sz w:val="24"/>
          <w:szCs w:val="24"/>
        </w:rPr>
        <w:t xml:space="preserve"> - </w:t>
      </w:r>
      <w:r w:rsidRPr="00BD4525">
        <w:rPr>
          <w:rFonts w:ascii="Book Antiqua" w:hAnsi="Book Antiqua" w:cs="Times New Roman"/>
          <w:i/>
          <w:sz w:val="24"/>
          <w:szCs w:val="24"/>
        </w:rPr>
        <w:t>ADAMTS2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Pr="00BD4525">
        <w:rPr>
          <w:rFonts w:ascii="Book Antiqua" w:hAnsi="Book Antiqua" w:cs="Times New Roman"/>
          <w:sz w:val="24"/>
          <w:szCs w:val="24"/>
        </w:rPr>
        <w:t>)</w:t>
      </w:r>
      <w:r w:rsidR="00577B3D" w:rsidRPr="00BD4525">
        <w:rPr>
          <w:rFonts w:ascii="Book Antiqua" w:hAnsi="Book Antiqua" w:cs="Times New Roman"/>
          <w:sz w:val="24"/>
          <w:szCs w:val="24"/>
        </w:rPr>
        <w:t xml:space="preserve"> with sagging redundant skin, blue </w:t>
      </w:r>
      <w:proofErr w:type="spellStart"/>
      <w:r w:rsidR="00577B3D" w:rsidRPr="00BD4525">
        <w:rPr>
          <w:rFonts w:ascii="Book Antiqua" w:hAnsi="Book Antiqua" w:cs="Times New Roman"/>
          <w:sz w:val="24"/>
          <w:szCs w:val="24"/>
        </w:rPr>
        <w:t>sclerae</w:t>
      </w:r>
      <w:proofErr w:type="spellEnd"/>
      <w:r w:rsidR="00577B3D" w:rsidRPr="00BD4525">
        <w:rPr>
          <w:rFonts w:ascii="Book Antiqua" w:hAnsi="Book Antiqua" w:cs="Times New Roman"/>
          <w:sz w:val="24"/>
          <w:szCs w:val="24"/>
        </w:rPr>
        <w:t>, short stature, and umbilical hernia</w:t>
      </w:r>
      <w:r w:rsidRPr="00BD4525">
        <w:rPr>
          <w:rFonts w:ascii="Book Antiqua" w:hAnsi="Book Antiqua" w:cs="Times New Roman"/>
          <w:sz w:val="24"/>
          <w:szCs w:val="24"/>
        </w:rPr>
        <w:t xml:space="preserve">;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EDS </w:t>
      </w:r>
      <w:r w:rsidRPr="00BD4525">
        <w:rPr>
          <w:rFonts w:ascii="Book Antiqua" w:hAnsi="Book Antiqua" w:cs="Times New Roman"/>
          <w:sz w:val="24"/>
          <w:szCs w:val="24"/>
        </w:rPr>
        <w:t>with scoliosis, myopathy, hearing impairment (</w:t>
      </w:r>
      <w:r w:rsidRPr="00BD4525">
        <w:rPr>
          <w:rFonts w:ascii="Book Antiqua" w:hAnsi="Book Antiqua" w:cs="Times New Roman"/>
          <w:i/>
          <w:sz w:val="24"/>
          <w:szCs w:val="24"/>
        </w:rPr>
        <w:t>FKBP14</w:t>
      </w:r>
      <w:r w:rsidR="009E644D" w:rsidRPr="00BD452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E644D" w:rsidRPr="00BD4525">
        <w:rPr>
          <w:rFonts w:ascii="Book Antiqua" w:hAnsi="Book Antiqua" w:cs="Times New Roman"/>
          <w:sz w:val="24"/>
          <w:szCs w:val="24"/>
        </w:rPr>
        <w:t>gene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); </w:t>
      </w:r>
      <w:proofErr w:type="spellStart"/>
      <w:r w:rsidR="001F1B93" w:rsidRPr="00BD4525">
        <w:rPr>
          <w:rFonts w:ascii="Book Antiqua" w:hAnsi="Book Antiqua" w:cs="Times New Roman"/>
          <w:sz w:val="24"/>
          <w:szCs w:val="24"/>
        </w:rPr>
        <w:t>M</w:t>
      </w:r>
      <w:r w:rsidRPr="00BD4525">
        <w:rPr>
          <w:rFonts w:ascii="Book Antiqua" w:hAnsi="Book Antiqua" w:cs="Times New Roman"/>
          <w:sz w:val="24"/>
          <w:szCs w:val="24"/>
        </w:rPr>
        <w:t>usculocontractural</w:t>
      </w:r>
      <w:proofErr w:type="spellEnd"/>
      <w:r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EDS </w:t>
      </w:r>
      <w:r w:rsidRPr="00BD4525">
        <w:rPr>
          <w:rFonts w:ascii="Book Antiqua" w:hAnsi="Book Antiqua" w:cs="Times New Roman"/>
          <w:sz w:val="24"/>
          <w:szCs w:val="24"/>
        </w:rPr>
        <w:t>(</w:t>
      </w:r>
      <w:r w:rsidRPr="00BD4525">
        <w:rPr>
          <w:rFonts w:ascii="Book Antiqua" w:hAnsi="Book Antiqua" w:cs="Times New Roman"/>
          <w:i/>
          <w:sz w:val="24"/>
          <w:szCs w:val="24"/>
        </w:rPr>
        <w:t>CHST14</w:t>
      </w:r>
      <w:r w:rsidR="009E644D" w:rsidRPr="00BD452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E644D" w:rsidRPr="00BD4525">
        <w:rPr>
          <w:rFonts w:ascii="Book Antiqua" w:hAnsi="Book Antiqua" w:cs="Times New Roman"/>
          <w:sz w:val="24"/>
          <w:szCs w:val="24"/>
        </w:rPr>
        <w:t>gene</w:t>
      </w:r>
      <w:r w:rsidRPr="00BD4525">
        <w:rPr>
          <w:rFonts w:ascii="Book Antiqua" w:hAnsi="Book Antiqua" w:cs="Times New Roman"/>
          <w:sz w:val="24"/>
          <w:szCs w:val="24"/>
        </w:rPr>
        <w:t>)</w:t>
      </w:r>
      <w:r w:rsidR="00257D88" w:rsidRPr="00BD4525">
        <w:rPr>
          <w:rFonts w:ascii="Book Antiqua" w:hAnsi="Book Antiqua" w:cs="Times New Roman"/>
          <w:sz w:val="24"/>
          <w:szCs w:val="24"/>
        </w:rPr>
        <w:t xml:space="preserve"> with progressive </w:t>
      </w:r>
      <w:proofErr w:type="spellStart"/>
      <w:r w:rsidR="00257D88" w:rsidRPr="00BD4525">
        <w:rPr>
          <w:rFonts w:ascii="Book Antiqua" w:hAnsi="Book Antiqua" w:cs="Times New Roman"/>
          <w:sz w:val="24"/>
          <w:szCs w:val="24"/>
        </w:rPr>
        <w:t>kyphoscioliosis</w:t>
      </w:r>
      <w:proofErr w:type="spellEnd"/>
      <w:r w:rsidR="00257D88" w:rsidRPr="00BD4525">
        <w:rPr>
          <w:rFonts w:ascii="Book Antiqua" w:hAnsi="Book Antiqua" w:cs="Times New Roman"/>
          <w:sz w:val="24"/>
          <w:szCs w:val="24"/>
        </w:rPr>
        <w:t>, adducted thumbs in infancy, joint hypermobility, clubfoot, arachnodactyly, elastic skin, and poor wound healing</w:t>
      </w:r>
      <w:r w:rsidRPr="00BD4525">
        <w:rPr>
          <w:rFonts w:ascii="Book Antiqua" w:hAnsi="Book Antiqua" w:cs="Times New Roman"/>
          <w:sz w:val="24"/>
          <w:szCs w:val="24"/>
        </w:rPr>
        <w:t xml:space="preserve">; and </w:t>
      </w:r>
      <w:r w:rsidR="00555954" w:rsidRPr="00BD4525">
        <w:rPr>
          <w:rFonts w:ascii="Book Antiqua" w:hAnsi="Book Antiqua" w:cs="Times New Roman"/>
          <w:sz w:val="24"/>
          <w:szCs w:val="24"/>
        </w:rPr>
        <w:t xml:space="preserve">finally </w:t>
      </w:r>
      <w:r w:rsidRPr="00BD4525">
        <w:rPr>
          <w:rFonts w:ascii="Book Antiqua" w:hAnsi="Book Antiqua" w:cs="Times New Roman"/>
          <w:sz w:val="24"/>
          <w:szCs w:val="24"/>
        </w:rPr>
        <w:t>Tenascin-X deficient (</w:t>
      </w:r>
      <w:r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9E644D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Pr="00BD4525">
        <w:rPr>
          <w:rFonts w:ascii="Book Antiqua" w:hAnsi="Book Antiqua" w:cs="Times New Roman"/>
          <w:sz w:val="24"/>
          <w:szCs w:val="24"/>
        </w:rPr>
        <w:t xml:space="preserve">). </w:t>
      </w:r>
      <w:r w:rsidR="001F1B93" w:rsidRPr="00BD4525">
        <w:rPr>
          <w:rFonts w:ascii="Book Antiqua" w:hAnsi="Book Antiqua" w:cs="Times New Roman"/>
          <w:sz w:val="24"/>
          <w:szCs w:val="24"/>
        </w:rPr>
        <w:t>Those with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 Tenascin-X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(TNXB) deficient EDS involve </w:t>
      </w:r>
      <w:r w:rsidR="00073EBD" w:rsidRPr="00BD4525">
        <w:rPr>
          <w:rFonts w:ascii="Book Antiqua" w:hAnsi="Book Antiqua" w:cs="Times New Roman"/>
          <w:sz w:val="24"/>
          <w:szCs w:val="24"/>
        </w:rPr>
        <w:t>features of marked skin laxity, pronounced joint hy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permobility and severe </w:t>
      </w:r>
      <w:proofErr w:type="gramStart"/>
      <w:r w:rsidR="001F1B93" w:rsidRPr="00BD4525">
        <w:rPr>
          <w:rFonts w:ascii="Book Antiqua" w:hAnsi="Book Antiqua" w:cs="Times New Roman"/>
          <w:sz w:val="24"/>
          <w:szCs w:val="24"/>
        </w:rPr>
        <w:t>bruising</w:t>
      </w:r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. We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extend the description of those with </w:t>
      </w:r>
      <w:r w:rsidR="00073EBD" w:rsidRPr="00BD4525">
        <w:rPr>
          <w:rFonts w:ascii="Book Antiqua" w:hAnsi="Book Antiqua" w:cs="Times New Roman"/>
          <w:sz w:val="24"/>
          <w:szCs w:val="24"/>
        </w:rPr>
        <w:t>mutations in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the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073EBD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1F1B93" w:rsidRPr="00BD4525">
        <w:rPr>
          <w:rFonts w:ascii="Book Antiqua" w:hAnsi="Book Antiqua" w:cs="Times New Roman"/>
          <w:sz w:val="24"/>
          <w:szCs w:val="24"/>
        </w:rPr>
        <w:t>gene to include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 significant joint pain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and Raynaud’s phenomenon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,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thus 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resulting in </w:t>
      </w:r>
      <w:r w:rsidR="00073EBD" w:rsidRPr="00BD4525">
        <w:rPr>
          <w:rFonts w:ascii="Book Antiqua" w:hAnsi="Book Antiqua" w:cs="Times New Roman"/>
          <w:sz w:val="24"/>
          <w:szCs w:val="24"/>
        </w:rPr>
        <w:t>a more severe form of EDS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than previously classified</w:t>
      </w:r>
      <w:r w:rsidR="00073EBD" w:rsidRPr="00BD4525">
        <w:rPr>
          <w:rFonts w:ascii="Book Antiqua" w:hAnsi="Book Antiqua" w:cs="Times New Roman"/>
          <w:sz w:val="24"/>
          <w:szCs w:val="24"/>
        </w:rPr>
        <w:t>.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Whether the severity depends on the type or location of the gene variant (mutation) is unknown.</w:t>
      </w:r>
      <w:r w:rsidR="00F6553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</w:p>
    <w:p w:rsidR="00DC1A08" w:rsidRPr="00BD4525" w:rsidRDefault="009C6080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lastRenderedPageBreak/>
        <w:t xml:space="preserve">The </w:t>
      </w:r>
      <w:r w:rsidRPr="00BD4525">
        <w:rPr>
          <w:rFonts w:ascii="Book Antiqua" w:hAnsi="Book Antiqua" w:cs="Times New Roman"/>
          <w:i/>
          <w:sz w:val="24"/>
          <w:szCs w:val="24"/>
        </w:rPr>
        <w:t>TNXB</w:t>
      </w:r>
      <w:r w:rsidRPr="00BD4525">
        <w:rPr>
          <w:rFonts w:ascii="Book Antiqua" w:hAnsi="Book Antiqua" w:cs="Times New Roman"/>
          <w:sz w:val="24"/>
          <w:szCs w:val="24"/>
        </w:rPr>
        <w:t xml:space="preserve"> gene (sometimes known by other names such as </w:t>
      </w:r>
      <w:r w:rsidRPr="00BD4525">
        <w:rPr>
          <w:rFonts w:ascii="Book Antiqua" w:hAnsi="Book Antiqua" w:cs="Times New Roman"/>
          <w:i/>
          <w:sz w:val="24"/>
          <w:szCs w:val="24"/>
        </w:rPr>
        <w:t>HXBL, TNX, TENX</w:t>
      </w:r>
      <w:r w:rsidRPr="00BD4525">
        <w:rPr>
          <w:rFonts w:ascii="Book Antiqua" w:hAnsi="Book Antiqua" w:cs="Times New Roman"/>
          <w:sz w:val="24"/>
          <w:szCs w:val="24"/>
        </w:rPr>
        <w:t xml:space="preserve">, </w:t>
      </w:r>
      <w:r w:rsidRPr="00BD4525">
        <w:rPr>
          <w:rFonts w:ascii="Book Antiqua" w:hAnsi="Book Antiqua" w:cs="Times New Roman"/>
          <w:i/>
          <w:sz w:val="24"/>
          <w:szCs w:val="24"/>
        </w:rPr>
        <w:t>XB</w:t>
      </w:r>
      <w:r w:rsidRPr="00BD4525">
        <w:rPr>
          <w:rFonts w:ascii="Book Antiqua" w:hAnsi="Book Antiqua" w:cs="Times New Roman"/>
          <w:sz w:val="24"/>
          <w:szCs w:val="24"/>
        </w:rPr>
        <w:t xml:space="preserve">) </w:t>
      </w:r>
      <w:r w:rsidR="00FF12E1" w:rsidRPr="00BD4525">
        <w:rPr>
          <w:rFonts w:ascii="Book Antiqua" w:hAnsi="Book Antiqua" w:cs="Times New Roman"/>
          <w:sz w:val="24"/>
          <w:szCs w:val="24"/>
        </w:rPr>
        <w:t xml:space="preserve">belongs to a family of genes called fibronectin type III domain containing and </w:t>
      </w:r>
      <w:r w:rsidRPr="00BD4525">
        <w:rPr>
          <w:rFonts w:ascii="Book Antiqua" w:hAnsi="Book Antiqua" w:cs="Times New Roman"/>
          <w:sz w:val="24"/>
          <w:szCs w:val="24"/>
        </w:rPr>
        <w:t xml:space="preserve">localizes to the major histocompatibility complex (MHC) class III region on chromosome 6, </w:t>
      </w:r>
      <w:r w:rsidR="009E644D" w:rsidRPr="00BD4525">
        <w:rPr>
          <w:rFonts w:ascii="Book Antiqua" w:hAnsi="Book Antiqua" w:cs="Times New Roman"/>
          <w:sz w:val="24"/>
          <w:szCs w:val="24"/>
        </w:rPr>
        <w:t>at</w:t>
      </w:r>
      <w:r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9A2303" w:rsidRPr="00BD4525">
        <w:rPr>
          <w:rFonts w:ascii="Book Antiqua" w:hAnsi="Book Antiqua" w:cs="Times New Roman"/>
          <w:sz w:val="24"/>
          <w:szCs w:val="24"/>
        </w:rPr>
        <w:t>cy</w:t>
      </w:r>
      <w:r w:rsidR="009E644D" w:rsidRPr="00BD4525">
        <w:rPr>
          <w:rFonts w:ascii="Book Antiqua" w:hAnsi="Book Antiqua" w:cs="Times New Roman"/>
          <w:sz w:val="24"/>
          <w:szCs w:val="24"/>
        </w:rPr>
        <w:t>togenetic location</w:t>
      </w:r>
      <w:r w:rsidRPr="00BD4525">
        <w:rPr>
          <w:rFonts w:ascii="Book Antiqua" w:hAnsi="Book Antiqua" w:cs="Times New Roman"/>
          <w:sz w:val="24"/>
          <w:szCs w:val="24"/>
        </w:rPr>
        <w:t xml:space="preserve"> 6p21.3. The </w:t>
      </w:r>
      <w:r w:rsidRPr="00BD4525">
        <w:rPr>
          <w:rFonts w:ascii="Book Antiqua" w:hAnsi="Book Antiqua" w:cs="Times New Roman"/>
          <w:i/>
          <w:sz w:val="24"/>
          <w:szCs w:val="24"/>
        </w:rPr>
        <w:t>TNXB</w:t>
      </w:r>
      <w:r w:rsidRPr="00BD4525">
        <w:rPr>
          <w:rFonts w:ascii="Book Antiqua" w:hAnsi="Book Antiqua" w:cs="Times New Roman"/>
          <w:sz w:val="24"/>
          <w:szCs w:val="24"/>
        </w:rPr>
        <w:t xml:space="preserve"> gene encodes for a protein called tenascin-X, which may regulate assembly and production of </w:t>
      </w:r>
      <w:r w:rsidR="009E644D" w:rsidRPr="00BD4525">
        <w:rPr>
          <w:rFonts w:ascii="Book Antiqua" w:hAnsi="Book Antiqua" w:cs="Times New Roman"/>
          <w:sz w:val="24"/>
          <w:szCs w:val="24"/>
        </w:rPr>
        <w:t>specific</w:t>
      </w:r>
      <w:r w:rsidRPr="00BD4525">
        <w:rPr>
          <w:rFonts w:ascii="Book Antiqua" w:hAnsi="Book Antiqua" w:cs="Times New Roman"/>
          <w:sz w:val="24"/>
          <w:szCs w:val="24"/>
        </w:rPr>
        <w:t xml:space="preserve"> types of </w:t>
      </w:r>
      <w:r w:rsidR="009E644D" w:rsidRPr="00BD4525">
        <w:rPr>
          <w:rFonts w:ascii="Book Antiqua" w:hAnsi="Book Antiqua" w:cs="Times New Roman"/>
          <w:sz w:val="24"/>
          <w:szCs w:val="24"/>
        </w:rPr>
        <w:t>collagen</w:t>
      </w:r>
      <w:r w:rsidRPr="00BD4525">
        <w:rPr>
          <w:rFonts w:ascii="Book Antiqua" w:hAnsi="Book Antiqua" w:cs="Times New Roman"/>
          <w:sz w:val="24"/>
          <w:szCs w:val="24"/>
        </w:rPr>
        <w:t xml:space="preserve">. Tenascin-X helps organize and maintain the structure of tissues supporting the joints, organs, skin, connective tissues, and </w:t>
      </w:r>
      <w:proofErr w:type="gramStart"/>
      <w:r w:rsidR="00DC1A08" w:rsidRPr="00BD4525">
        <w:rPr>
          <w:rFonts w:ascii="Book Antiqua" w:hAnsi="Book Antiqua" w:cs="Times New Roman"/>
          <w:sz w:val="24"/>
          <w:szCs w:val="24"/>
        </w:rPr>
        <w:t>muscles</w:t>
      </w:r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DC1A08" w:rsidRPr="00BD4525">
        <w:rPr>
          <w:rFonts w:ascii="Book Antiqua" w:hAnsi="Book Antiqua" w:cs="Times New Roman"/>
          <w:sz w:val="24"/>
          <w:szCs w:val="24"/>
        </w:rPr>
        <w:t>.</w:t>
      </w:r>
    </w:p>
    <w:p w:rsidR="0073356A" w:rsidRPr="00BD4525" w:rsidRDefault="009C6080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t xml:space="preserve">Tenascin-X is an extracellular matrix glycoprotein, thought to function in matrix </w:t>
      </w:r>
      <w:r w:rsidR="00DC1A08" w:rsidRPr="00BD4525">
        <w:rPr>
          <w:rFonts w:ascii="Book Antiqua" w:hAnsi="Book Antiqua" w:cs="Times New Roman"/>
          <w:sz w:val="24"/>
          <w:szCs w:val="24"/>
        </w:rPr>
        <w:t xml:space="preserve">maturation during wound </w:t>
      </w:r>
      <w:proofErr w:type="gramStart"/>
      <w:r w:rsidR="00DC1A08" w:rsidRPr="00BD4525">
        <w:rPr>
          <w:rFonts w:ascii="Book Antiqua" w:hAnsi="Book Antiqua" w:cs="Times New Roman"/>
          <w:sz w:val="24"/>
          <w:szCs w:val="24"/>
        </w:rPr>
        <w:t>healing</w:t>
      </w:r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DC1A08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9E644D" w:rsidRPr="00BD4525">
        <w:rPr>
          <w:rFonts w:ascii="Book Antiqua" w:hAnsi="Book Antiqua" w:cs="Times New Roman"/>
          <w:sz w:val="24"/>
          <w:szCs w:val="24"/>
        </w:rPr>
        <w:t>and b</w:t>
      </w:r>
      <w:r w:rsidR="00B009A2" w:rsidRPr="00BD4525">
        <w:rPr>
          <w:rFonts w:ascii="Book Antiqua" w:hAnsi="Book Antiqua" w:cs="Times New Roman"/>
          <w:sz w:val="24"/>
          <w:szCs w:val="24"/>
        </w:rPr>
        <w:t xml:space="preserve">ecame the first EDS gene that does not encode a collagen-modifying enzyme or a </w:t>
      </w:r>
      <w:proofErr w:type="spellStart"/>
      <w:r w:rsidR="00B009A2" w:rsidRPr="00BD4525">
        <w:rPr>
          <w:rFonts w:ascii="Book Antiqua" w:hAnsi="Book Antiqua" w:cs="Times New Roman"/>
          <w:sz w:val="24"/>
          <w:szCs w:val="24"/>
        </w:rPr>
        <w:t>fibrillar</w:t>
      </w:r>
      <w:proofErr w:type="spellEnd"/>
      <w:r w:rsidR="00B009A2" w:rsidRPr="00BD4525">
        <w:rPr>
          <w:rFonts w:ascii="Book Antiqua" w:hAnsi="Book Antiqua" w:cs="Times New Roman"/>
          <w:sz w:val="24"/>
          <w:szCs w:val="24"/>
        </w:rPr>
        <w:t xml:space="preserve"> collagen</w:t>
      </w:r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B009A2" w:rsidRPr="00BD4525">
        <w:rPr>
          <w:rFonts w:ascii="Book Antiqua" w:hAnsi="Book Antiqua" w:cs="Times New Roman"/>
          <w:sz w:val="24"/>
          <w:szCs w:val="24"/>
        </w:rPr>
        <w:t>. Mice knockouts (</w:t>
      </w:r>
      <w:proofErr w:type="spellStart"/>
      <w:r w:rsidR="00B009A2" w:rsidRPr="00BD4525">
        <w:rPr>
          <w:rFonts w:ascii="Book Antiqua" w:hAnsi="Book Antiqua" w:cs="Times New Roman"/>
          <w:sz w:val="24"/>
          <w:szCs w:val="24"/>
        </w:rPr>
        <w:t>Tnxb</w:t>
      </w:r>
      <w:proofErr w:type="spellEnd"/>
      <w:r w:rsidR="00B009A2" w:rsidRPr="00BD4525">
        <w:rPr>
          <w:rFonts w:ascii="Book Antiqua" w:hAnsi="Book Antiqua" w:cs="Times New Roman"/>
          <w:sz w:val="24"/>
          <w:szCs w:val="24"/>
        </w:rPr>
        <w:t xml:space="preserve">-/-) </w:t>
      </w:r>
      <w:r w:rsidR="00B45C74" w:rsidRPr="00BD4525">
        <w:rPr>
          <w:rFonts w:ascii="Book Antiqua" w:hAnsi="Book Antiqua" w:cs="Times New Roman"/>
          <w:sz w:val="24"/>
          <w:szCs w:val="24"/>
        </w:rPr>
        <w:t>showed</w:t>
      </w:r>
      <w:r w:rsidR="00B009A2" w:rsidRPr="00BD4525">
        <w:rPr>
          <w:rFonts w:ascii="Book Antiqua" w:hAnsi="Book Antiqua" w:cs="Times New Roman"/>
          <w:sz w:val="24"/>
          <w:szCs w:val="24"/>
        </w:rPr>
        <w:t xml:space="preserve"> skin </w:t>
      </w:r>
      <w:proofErr w:type="spellStart"/>
      <w:r w:rsidR="00B009A2" w:rsidRPr="00BD4525">
        <w:rPr>
          <w:rFonts w:ascii="Book Antiqua" w:hAnsi="Book Antiqua" w:cs="Times New Roman"/>
          <w:sz w:val="24"/>
          <w:szCs w:val="24"/>
        </w:rPr>
        <w:t>hyperextensibility</w:t>
      </w:r>
      <w:proofErr w:type="spellEnd"/>
      <w:r w:rsidR="00B009A2" w:rsidRPr="00BD4525">
        <w:rPr>
          <w:rFonts w:ascii="Book Antiqua" w:hAnsi="Book Antiqua" w:cs="Times New Roman"/>
          <w:sz w:val="24"/>
          <w:szCs w:val="24"/>
        </w:rPr>
        <w:t>, reflecting the human phenotype of EDS, and the skin collagen content was significantly reduced</w:t>
      </w:r>
      <w:r w:rsidR="00215664" w:rsidRPr="00BD4525">
        <w:rPr>
          <w:rFonts w:ascii="Book Antiqua" w:hAnsi="Book Antiqua" w:cs="Times New Roman"/>
          <w:sz w:val="24"/>
          <w:szCs w:val="24"/>
        </w:rPr>
        <w:t xml:space="preserve"> compared to wildtype</w:t>
      </w:r>
      <w:r w:rsidR="00B009A2" w:rsidRPr="00BD4525">
        <w:rPr>
          <w:rFonts w:ascii="Book Antiqua" w:hAnsi="Book Antiqua" w:cs="Times New Roman"/>
          <w:sz w:val="24"/>
          <w:szCs w:val="24"/>
        </w:rPr>
        <w:t>. Additionally, the density of fibrils in the skin of knockout (</w:t>
      </w:r>
      <w:proofErr w:type="spellStart"/>
      <w:r w:rsidR="00B009A2" w:rsidRPr="00BD4525">
        <w:rPr>
          <w:rFonts w:ascii="Book Antiqua" w:hAnsi="Book Antiqua" w:cs="Times New Roman"/>
          <w:sz w:val="24"/>
          <w:szCs w:val="24"/>
        </w:rPr>
        <w:t>Tnxb</w:t>
      </w:r>
      <w:proofErr w:type="spellEnd"/>
      <w:r w:rsidR="00B009A2" w:rsidRPr="00A654CB">
        <w:rPr>
          <w:rFonts w:ascii="Book Antiqua" w:hAnsi="Book Antiqua" w:cs="Times New Roman"/>
          <w:sz w:val="24"/>
          <w:szCs w:val="24"/>
          <w:vertAlign w:val="superscript"/>
        </w:rPr>
        <w:t>-/-</w:t>
      </w:r>
      <w:r w:rsidR="00B009A2" w:rsidRPr="00BD4525">
        <w:rPr>
          <w:rFonts w:ascii="Book Antiqua" w:hAnsi="Book Antiqua" w:cs="Times New Roman"/>
          <w:sz w:val="24"/>
          <w:szCs w:val="24"/>
        </w:rPr>
        <w:t>) mice was reduced</w:t>
      </w:r>
      <w:r w:rsidR="00215664" w:rsidRPr="00BD4525">
        <w:rPr>
          <w:rFonts w:ascii="Book Antiqua" w:hAnsi="Book Antiqua" w:cs="Times New Roman"/>
          <w:sz w:val="24"/>
          <w:szCs w:val="24"/>
        </w:rPr>
        <w:t xml:space="preserve"> compared to wildtype</w:t>
      </w:r>
      <w:r w:rsidR="00B45C74" w:rsidRPr="00BD4525">
        <w:rPr>
          <w:rFonts w:ascii="Book Antiqua" w:hAnsi="Book Antiqua" w:cs="Times New Roman"/>
          <w:sz w:val="24"/>
          <w:szCs w:val="24"/>
        </w:rPr>
        <w:t>,</w:t>
      </w:r>
      <w:r w:rsidR="00B009A2" w:rsidRPr="00BD4525">
        <w:rPr>
          <w:rFonts w:ascii="Book Antiqua" w:hAnsi="Book Antiqua" w:cs="Times New Roman"/>
          <w:sz w:val="24"/>
          <w:szCs w:val="24"/>
        </w:rPr>
        <w:t xml:space="preserve"> suggest</w:t>
      </w:r>
      <w:r w:rsidR="00B45C74" w:rsidRPr="00BD4525">
        <w:rPr>
          <w:rFonts w:ascii="Book Antiqua" w:hAnsi="Book Antiqua" w:cs="Times New Roman"/>
          <w:sz w:val="24"/>
          <w:szCs w:val="24"/>
        </w:rPr>
        <w:t>ing</w:t>
      </w:r>
      <w:r w:rsidR="00B009A2" w:rsidRPr="00BD4525">
        <w:rPr>
          <w:rFonts w:ascii="Book Antiqua" w:hAnsi="Book Antiqua" w:cs="Times New Roman"/>
          <w:sz w:val="24"/>
          <w:szCs w:val="24"/>
        </w:rPr>
        <w:t xml:space="preserve"> tenascin-X plays a significant regulatory role in collagen deposition by dermal </w:t>
      </w:r>
      <w:proofErr w:type="gramStart"/>
      <w:r w:rsidR="00B009A2" w:rsidRPr="00BD4525">
        <w:rPr>
          <w:rFonts w:ascii="Book Antiqua" w:hAnsi="Book Antiqua" w:cs="Times New Roman"/>
          <w:sz w:val="24"/>
          <w:szCs w:val="24"/>
        </w:rPr>
        <w:t>fibroblasts</w:t>
      </w:r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C1A08" w:rsidRPr="00BD4525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DC1A08" w:rsidRPr="00BD4525">
        <w:rPr>
          <w:rFonts w:ascii="Book Antiqua" w:hAnsi="Book Antiqua" w:cs="Times New Roman"/>
          <w:sz w:val="24"/>
          <w:szCs w:val="24"/>
        </w:rPr>
        <w:t xml:space="preserve">. </w:t>
      </w:r>
      <w:r w:rsidR="00B45C74" w:rsidRPr="00BD4525">
        <w:rPr>
          <w:rFonts w:ascii="Book Antiqua" w:hAnsi="Book Antiqua" w:cs="Times New Roman"/>
          <w:sz w:val="24"/>
          <w:szCs w:val="24"/>
        </w:rPr>
        <w:t>Hence, t</w:t>
      </w:r>
      <w:r w:rsidR="002A4D93" w:rsidRPr="00BD4525">
        <w:rPr>
          <w:rFonts w:ascii="Book Antiqua" w:hAnsi="Book Antiqua" w:cs="Times New Roman"/>
          <w:sz w:val="24"/>
          <w:szCs w:val="24"/>
        </w:rPr>
        <w:t>enascin-X appears to be involved in the regulation of the structure and stability of elastic fibers, which give elasticity and flexibility to connective tissues.</w:t>
      </w:r>
    </w:p>
    <w:p w:rsidR="00FC17BD" w:rsidRPr="00BD4525" w:rsidRDefault="00FC17BD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t xml:space="preserve">Alterations in the </w:t>
      </w:r>
      <w:r w:rsidRPr="00BD4525">
        <w:rPr>
          <w:rFonts w:ascii="Book Antiqua" w:hAnsi="Book Antiqua" w:cs="Times New Roman"/>
          <w:i/>
          <w:sz w:val="24"/>
          <w:szCs w:val="24"/>
        </w:rPr>
        <w:t>TNXB</w:t>
      </w:r>
      <w:r w:rsidRPr="00BD4525">
        <w:rPr>
          <w:rFonts w:ascii="Book Antiqua" w:hAnsi="Book Antiqua" w:cs="Times New Roman"/>
          <w:sz w:val="24"/>
          <w:szCs w:val="24"/>
        </w:rPr>
        <w:t xml:space="preserve"> gene </w:t>
      </w:r>
      <w:r w:rsidR="001F1B93" w:rsidRPr="00BD4525">
        <w:rPr>
          <w:rFonts w:ascii="Book Antiqua" w:hAnsi="Book Antiqua" w:cs="Times New Roman"/>
          <w:sz w:val="24"/>
          <w:szCs w:val="24"/>
        </w:rPr>
        <w:t>and effects on protein levels have</w:t>
      </w:r>
      <w:r w:rsidR="00B45C74" w:rsidRPr="00BD4525">
        <w:rPr>
          <w:rFonts w:ascii="Book Antiqua" w:hAnsi="Book Antiqua" w:cs="Times New Roman"/>
          <w:sz w:val="24"/>
          <w:szCs w:val="24"/>
        </w:rPr>
        <w:t xml:space="preserve"> also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been </w:t>
      </w:r>
      <w:proofErr w:type="gramStart"/>
      <w:r w:rsidR="001F1B93" w:rsidRPr="00BD4525">
        <w:rPr>
          <w:rFonts w:ascii="Book Antiqua" w:hAnsi="Book Antiqua" w:cs="Times New Roman"/>
          <w:sz w:val="24"/>
          <w:szCs w:val="24"/>
        </w:rPr>
        <w:t>studied</w:t>
      </w:r>
      <w:r w:rsidR="0080262B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0262B" w:rsidRPr="00BD4525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80262B" w:rsidRPr="00BD4525">
        <w:rPr>
          <w:rFonts w:ascii="Book Antiqua" w:hAnsi="Book Antiqua" w:cs="Times New Roman"/>
          <w:sz w:val="24"/>
          <w:szCs w:val="24"/>
        </w:rPr>
        <w:t>. The researchers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12488A" w:rsidRPr="00BD4525">
        <w:rPr>
          <w:rFonts w:ascii="Book Antiqua" w:hAnsi="Book Antiqua" w:cs="Times New Roman"/>
          <w:sz w:val="24"/>
          <w:szCs w:val="24"/>
        </w:rPr>
        <w:t>measured tenascin-X in serum from 21 healthy subjects and 151 p</w:t>
      </w:r>
      <w:r w:rsidR="00305ACB" w:rsidRPr="00BD4525">
        <w:rPr>
          <w:rFonts w:ascii="Book Antiqua" w:hAnsi="Book Antiqua" w:cs="Times New Roman"/>
          <w:sz w:val="24"/>
          <w:szCs w:val="24"/>
        </w:rPr>
        <w:t>atients diagnosed with EDS</w:t>
      </w:r>
      <w:r w:rsidR="00B45C74" w:rsidRPr="00BD4525">
        <w:rPr>
          <w:rFonts w:ascii="Book Antiqua" w:hAnsi="Book Antiqua" w:cs="Times New Roman"/>
          <w:sz w:val="24"/>
          <w:szCs w:val="24"/>
        </w:rPr>
        <w:t>. They reported that 146 of the 151 patients with EDS</w:t>
      </w:r>
      <w:r w:rsidR="00305ACB" w:rsidRPr="00BD4525">
        <w:rPr>
          <w:rFonts w:ascii="Book Antiqua" w:hAnsi="Book Antiqua" w:cs="Times New Roman"/>
          <w:sz w:val="24"/>
          <w:szCs w:val="24"/>
        </w:rPr>
        <w:t xml:space="preserve"> had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detectable </w:t>
      </w:r>
      <w:r w:rsidR="00305ACB" w:rsidRPr="00BD4525">
        <w:rPr>
          <w:rFonts w:ascii="Book Antiqua" w:hAnsi="Book Antiqua" w:cs="Times New Roman"/>
          <w:sz w:val="24"/>
          <w:szCs w:val="24"/>
        </w:rPr>
        <w:t>t</w:t>
      </w:r>
      <w:r w:rsidR="0012488A" w:rsidRPr="00BD4525">
        <w:rPr>
          <w:rFonts w:ascii="Book Antiqua" w:hAnsi="Book Antiqua" w:cs="Times New Roman"/>
          <w:sz w:val="24"/>
          <w:szCs w:val="24"/>
        </w:rPr>
        <w:t xml:space="preserve">enascin-X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levels </w:t>
      </w:r>
      <w:r w:rsidR="0012488A" w:rsidRPr="00BD4525">
        <w:rPr>
          <w:rFonts w:ascii="Book Antiqua" w:hAnsi="Book Antiqua" w:cs="Times New Roman"/>
          <w:sz w:val="24"/>
          <w:szCs w:val="24"/>
        </w:rPr>
        <w:t xml:space="preserve">in their serum. </w:t>
      </w:r>
      <w:r w:rsidR="00305ACB" w:rsidRPr="00BD4525">
        <w:rPr>
          <w:rFonts w:ascii="Book Antiqua" w:hAnsi="Book Antiqua" w:cs="Times New Roman"/>
          <w:sz w:val="24"/>
          <w:szCs w:val="24"/>
        </w:rPr>
        <w:t xml:space="preserve">A closer examination of the 5 patients diagnosed with EDS and lacking serum tenascin-X revealed that all had </w:t>
      </w:r>
      <w:proofErr w:type="spellStart"/>
      <w:r w:rsidR="00305ACB" w:rsidRPr="00BD4525">
        <w:rPr>
          <w:rFonts w:ascii="Book Antiqua" w:hAnsi="Book Antiqua" w:cs="Times New Roman"/>
          <w:sz w:val="24"/>
          <w:szCs w:val="24"/>
        </w:rPr>
        <w:t>hyperelastic</w:t>
      </w:r>
      <w:proofErr w:type="spellEnd"/>
      <w:r w:rsidR="00305ACB" w:rsidRPr="00BD4525">
        <w:rPr>
          <w:rFonts w:ascii="Book Antiqua" w:hAnsi="Book Antiqua" w:cs="Times New Roman"/>
          <w:sz w:val="24"/>
          <w:szCs w:val="24"/>
        </w:rPr>
        <w:t xml:space="preserve"> skin and hypermobility, and a subset had joint pain and multiple subluxations. One patient was homozygous and another heterozygous for a 30-kb deletion in the </w:t>
      </w:r>
      <w:r w:rsidR="00305ACB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="00016611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B45C74" w:rsidRPr="00BD4525">
        <w:rPr>
          <w:rFonts w:ascii="Book Antiqua" w:hAnsi="Book Antiqua" w:cs="Times New Roman"/>
          <w:sz w:val="24"/>
          <w:szCs w:val="24"/>
        </w:rPr>
        <w:t>resulting</w:t>
      </w:r>
      <w:r w:rsidR="00305ACB" w:rsidRPr="00BD4525">
        <w:rPr>
          <w:rFonts w:ascii="Book Antiqua" w:hAnsi="Book Antiqua" w:cs="Times New Roman"/>
          <w:sz w:val="24"/>
          <w:szCs w:val="24"/>
        </w:rPr>
        <w:t xml:space="preserve"> in a nonfunctional fusion gene. </w:t>
      </w:r>
      <w:r w:rsidR="00F20207" w:rsidRPr="00BD4525">
        <w:rPr>
          <w:rFonts w:ascii="Book Antiqua" w:hAnsi="Book Antiqua" w:cs="Times New Roman"/>
          <w:sz w:val="24"/>
          <w:szCs w:val="24"/>
        </w:rPr>
        <w:t>Two patients were</w:t>
      </w:r>
      <w:r w:rsidR="00305ACB" w:rsidRPr="00BD4525">
        <w:rPr>
          <w:rFonts w:ascii="Book Antiqua" w:hAnsi="Book Antiqua" w:cs="Times New Roman"/>
          <w:sz w:val="24"/>
          <w:szCs w:val="24"/>
        </w:rPr>
        <w:t xml:space="preserve"> homozygous 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for a </w:t>
      </w:r>
      <w:r w:rsidR="00305ACB" w:rsidRPr="00BD4525">
        <w:rPr>
          <w:rFonts w:ascii="Book Antiqua" w:hAnsi="Book Antiqua" w:cs="Times New Roman"/>
          <w:sz w:val="24"/>
          <w:szCs w:val="24"/>
        </w:rPr>
        <w:t>2-bp deletion in exon 8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of the </w:t>
      </w:r>
      <w:r w:rsidR="001F1B93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="00F20207" w:rsidRPr="00BD4525">
        <w:rPr>
          <w:rFonts w:ascii="Book Antiqua" w:hAnsi="Book Antiqua" w:cs="Times New Roman"/>
          <w:sz w:val="24"/>
          <w:szCs w:val="24"/>
        </w:rPr>
        <w:t>,</w:t>
      </w:r>
      <w:r w:rsidR="00016611" w:rsidRPr="00BD4525">
        <w:rPr>
          <w:rFonts w:ascii="Book Antiqua" w:hAnsi="Book Antiqua" w:cs="Times New Roman"/>
          <w:sz w:val="24"/>
          <w:szCs w:val="24"/>
        </w:rPr>
        <w:t xml:space="preserve"> which altered</w:t>
      </w:r>
      <w:r w:rsidR="00305ACB" w:rsidRPr="00BD4525">
        <w:rPr>
          <w:rFonts w:ascii="Book Antiqua" w:hAnsi="Book Antiqua" w:cs="Times New Roman"/>
          <w:sz w:val="24"/>
          <w:szCs w:val="24"/>
        </w:rPr>
        <w:t xml:space="preserve"> the open reading frame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coding </w:t>
      </w:r>
      <w:r w:rsidR="00305ACB" w:rsidRPr="00BD4525">
        <w:rPr>
          <w:rFonts w:ascii="Book Antiqua" w:hAnsi="Book Antiqua" w:cs="Times New Roman"/>
          <w:sz w:val="24"/>
          <w:szCs w:val="24"/>
        </w:rPr>
        <w:t xml:space="preserve">for amino acids 1184 through 1230 before causing a premature stop codon. 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The </w:t>
      </w:r>
      <w:r w:rsidR="00B45C74" w:rsidRPr="00BD4525">
        <w:rPr>
          <w:rFonts w:ascii="Book Antiqua" w:hAnsi="Book Antiqua" w:cs="Times New Roman"/>
          <w:sz w:val="24"/>
          <w:szCs w:val="24"/>
        </w:rPr>
        <w:t>fifth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patient was homozygous for a 2-bp i</w:t>
      </w:r>
      <w:r w:rsidR="001F1B93" w:rsidRPr="00BD4525">
        <w:rPr>
          <w:rFonts w:ascii="Book Antiqua" w:hAnsi="Book Antiqua" w:cs="Times New Roman"/>
          <w:sz w:val="24"/>
          <w:szCs w:val="24"/>
        </w:rPr>
        <w:t>nsertion in exon 3</w:t>
      </w:r>
      <w:r w:rsidR="00016611" w:rsidRPr="00BD4525">
        <w:rPr>
          <w:rFonts w:ascii="Book Antiqua" w:hAnsi="Book Antiqua" w:cs="Times New Roman"/>
          <w:sz w:val="24"/>
          <w:szCs w:val="24"/>
        </w:rPr>
        <w:t xml:space="preserve"> which caused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a stop codon at position 707. These genetic variations are now classified as causing EDS </w:t>
      </w:r>
      <w:r w:rsidR="00990E1E" w:rsidRPr="00BD4525">
        <w:rPr>
          <w:rFonts w:ascii="Book Antiqua" w:hAnsi="Book Antiqua" w:cs="Times New Roman"/>
          <w:sz w:val="24"/>
          <w:szCs w:val="24"/>
        </w:rPr>
        <w:t xml:space="preserve">specifically </w:t>
      </w:r>
      <w:r w:rsidR="001F1B93" w:rsidRPr="00BD4525">
        <w:rPr>
          <w:rFonts w:ascii="Book Antiqua" w:hAnsi="Book Antiqua" w:cs="Times New Roman"/>
          <w:sz w:val="24"/>
          <w:szCs w:val="24"/>
        </w:rPr>
        <w:t>due to tenascin-X protein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deficiency.</w:t>
      </w:r>
    </w:p>
    <w:p w:rsidR="00F20207" w:rsidRPr="00BD4525" w:rsidRDefault="00B45C74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lastRenderedPageBreak/>
        <w:t xml:space="preserve">Furthermore, </w:t>
      </w:r>
      <w:r w:rsidR="0080262B" w:rsidRPr="00BD4525">
        <w:rPr>
          <w:rFonts w:ascii="Book Antiqua" w:hAnsi="Book Antiqua" w:cs="Times New Roman"/>
          <w:sz w:val="24"/>
          <w:szCs w:val="24"/>
        </w:rPr>
        <w:t>a different study</w:t>
      </w:r>
      <w:r w:rsidR="0080262B" w:rsidRPr="00BD4525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identified </w:t>
      </w:r>
      <w:r w:rsidR="009833BD" w:rsidRPr="00BD4525">
        <w:rPr>
          <w:rFonts w:ascii="Book Antiqua" w:hAnsi="Book Antiqua" w:cs="Times New Roman"/>
          <w:sz w:val="24"/>
          <w:szCs w:val="24"/>
        </w:rPr>
        <w:t>three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missense mutations in the </w:t>
      </w:r>
      <w:r w:rsidR="00F20207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="009833BD" w:rsidRPr="00BD4525">
        <w:rPr>
          <w:rFonts w:ascii="Book Antiqua" w:hAnsi="Book Antiqua" w:cs="Times New Roman"/>
          <w:sz w:val="24"/>
          <w:szCs w:val="24"/>
        </w:rPr>
        <w:t>, one in each of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three </w:t>
      </w:r>
      <w:r w:rsidR="00F20207" w:rsidRPr="00BD4525">
        <w:rPr>
          <w:rFonts w:ascii="Book Antiqua" w:hAnsi="Book Antiqua" w:cs="Times New Roman"/>
          <w:sz w:val="24"/>
          <w:szCs w:val="24"/>
        </w:rPr>
        <w:t>patients diagnosed with</w:t>
      </w:r>
      <w:r w:rsidRPr="00BD4525">
        <w:rPr>
          <w:rFonts w:ascii="Book Antiqua" w:hAnsi="Book Antiqua" w:cs="Times New Roman"/>
          <w:sz w:val="24"/>
          <w:szCs w:val="24"/>
        </w:rPr>
        <w:t xml:space="preserve"> the</w:t>
      </w:r>
      <w:r w:rsidR="00F20207" w:rsidRPr="00BD4525">
        <w:rPr>
          <w:rFonts w:ascii="Book Antiqua" w:hAnsi="Book Antiqua" w:cs="Times New Roman"/>
          <w:sz w:val="24"/>
          <w:szCs w:val="24"/>
        </w:rPr>
        <w:t xml:space="preserve"> hypermobility type EDS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but </w:t>
      </w:r>
      <w:r w:rsidRPr="00BD4525">
        <w:rPr>
          <w:rFonts w:ascii="Book Antiqua" w:hAnsi="Book Antiqua" w:cs="Times New Roman"/>
          <w:sz w:val="24"/>
          <w:szCs w:val="24"/>
        </w:rPr>
        <w:t>with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F20207" w:rsidRPr="00BD4525">
        <w:rPr>
          <w:rFonts w:ascii="Book Antiqua" w:hAnsi="Book Antiqua" w:cs="Times New Roman"/>
          <w:sz w:val="24"/>
          <w:szCs w:val="24"/>
        </w:rPr>
        <w:t>normal tenascin-X serum levels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: a </w:t>
      </w:r>
      <w:r w:rsidR="00990E1E" w:rsidRPr="00BD4525">
        <w:rPr>
          <w:rFonts w:ascii="Book Antiqua" w:hAnsi="Book Antiqua" w:cs="Times New Roman"/>
          <w:sz w:val="24"/>
          <w:szCs w:val="24"/>
        </w:rPr>
        <w:t>3582A</w:t>
      </w:r>
      <w:r w:rsidR="0061269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90E1E" w:rsidRPr="00BD4525">
        <w:rPr>
          <w:rFonts w:ascii="Book Antiqua" w:hAnsi="Book Antiqua" w:cs="Times New Roman"/>
          <w:sz w:val="24"/>
          <w:szCs w:val="24"/>
        </w:rPr>
        <w:t>&gt;</w:t>
      </w:r>
      <w:r w:rsidR="0061269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G transition (Val1195Met), </w:t>
      </w:r>
      <w:r w:rsidR="00990E1E" w:rsidRPr="00BD4525">
        <w:rPr>
          <w:rFonts w:ascii="Book Antiqua" w:hAnsi="Book Antiqua" w:cs="Times New Roman"/>
          <w:sz w:val="24"/>
          <w:szCs w:val="24"/>
        </w:rPr>
        <w:t>an 85C</w:t>
      </w:r>
      <w:r w:rsidR="0061269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12693" w:rsidRPr="00BD4525">
        <w:rPr>
          <w:rFonts w:ascii="Book Antiqua" w:hAnsi="Book Antiqua" w:cs="Times New Roman"/>
          <w:sz w:val="24"/>
          <w:szCs w:val="24"/>
        </w:rPr>
        <w:t>&gt;</w:t>
      </w:r>
      <w:r w:rsidR="0061269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833BD" w:rsidRPr="00BD4525">
        <w:rPr>
          <w:rFonts w:ascii="Book Antiqua" w:hAnsi="Book Antiqua" w:cs="Times New Roman"/>
          <w:sz w:val="24"/>
          <w:szCs w:val="24"/>
        </w:rPr>
        <w:t>T transition</w:t>
      </w:r>
      <w:r w:rsidR="00990E1E" w:rsidRPr="00BD4525">
        <w:rPr>
          <w:rFonts w:ascii="Book Antiqua" w:hAnsi="Book Antiqua" w:cs="Times New Roman"/>
          <w:sz w:val="24"/>
          <w:szCs w:val="24"/>
        </w:rPr>
        <w:t xml:space="preserve"> (Arg29Trp), and a 12097C</w:t>
      </w:r>
      <w:r w:rsidR="0061269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12693" w:rsidRPr="00BD4525">
        <w:rPr>
          <w:rFonts w:ascii="Book Antiqua" w:hAnsi="Book Antiqua" w:cs="Times New Roman"/>
          <w:sz w:val="24"/>
          <w:szCs w:val="24"/>
        </w:rPr>
        <w:t>&gt;</w:t>
      </w:r>
      <w:r w:rsidR="0061269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A transition (Leu4033Ile). These </w:t>
      </w:r>
      <w:r w:rsidR="001F1B93" w:rsidRPr="00BD4525">
        <w:rPr>
          <w:rFonts w:ascii="Book Antiqua" w:hAnsi="Book Antiqua" w:cs="Times New Roman"/>
          <w:sz w:val="24"/>
          <w:szCs w:val="24"/>
        </w:rPr>
        <w:t>wild type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 amino acids </w:t>
      </w:r>
      <w:r w:rsidRPr="00BD4525">
        <w:rPr>
          <w:rFonts w:ascii="Book Antiqua" w:hAnsi="Book Antiqua" w:cs="Times New Roman"/>
          <w:sz w:val="24"/>
          <w:szCs w:val="24"/>
        </w:rPr>
        <w:t xml:space="preserve">and locations </w:t>
      </w:r>
      <w:r w:rsidR="009833BD" w:rsidRPr="00BD4525">
        <w:rPr>
          <w:rFonts w:ascii="Book Antiqua" w:hAnsi="Book Antiqua" w:cs="Times New Roman"/>
          <w:sz w:val="24"/>
          <w:szCs w:val="24"/>
        </w:rPr>
        <w:t>are strongly conserved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in this protein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. The researchers </w:t>
      </w:r>
      <w:r w:rsidRPr="00BD4525">
        <w:rPr>
          <w:rFonts w:ascii="Book Antiqua" w:hAnsi="Book Antiqua" w:cs="Times New Roman"/>
          <w:sz w:val="24"/>
          <w:szCs w:val="24"/>
        </w:rPr>
        <w:t xml:space="preserve">then 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compared skin biopsies from these patients with other EDS hypermobility type patients who did not have </w:t>
      </w:r>
      <w:r w:rsidR="001F1B93" w:rsidRPr="00BD4525">
        <w:rPr>
          <w:rFonts w:ascii="Book Antiqua" w:hAnsi="Book Antiqua" w:cs="Times New Roman"/>
          <w:sz w:val="24"/>
          <w:szCs w:val="24"/>
        </w:rPr>
        <w:t>gene variants</w:t>
      </w:r>
      <w:r w:rsidR="009833BD" w:rsidRPr="00BD4525">
        <w:rPr>
          <w:rFonts w:ascii="Book Antiqua" w:hAnsi="Book Antiqua" w:cs="Times New Roman"/>
          <w:sz w:val="24"/>
          <w:szCs w:val="24"/>
        </w:rPr>
        <w:t xml:space="preserve"> in the </w:t>
      </w:r>
      <w:r w:rsidR="009833BD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gene and determined that </w:t>
      </w:r>
      <w:r w:rsidR="009833BD" w:rsidRPr="00BD4525">
        <w:rPr>
          <w:rFonts w:ascii="Book Antiqua" w:hAnsi="Book Antiqua" w:cs="Times New Roman"/>
          <w:sz w:val="24"/>
          <w:szCs w:val="24"/>
        </w:rPr>
        <w:t>elastic fiber abnormalities in hypermobility type EDS are specific for TNX-</w:t>
      </w:r>
      <w:proofErr w:type="spellStart"/>
      <w:r w:rsidR="009833BD" w:rsidRPr="00BD4525">
        <w:rPr>
          <w:rFonts w:ascii="Book Antiqua" w:hAnsi="Book Antiqua" w:cs="Times New Roman"/>
          <w:sz w:val="24"/>
          <w:szCs w:val="24"/>
        </w:rPr>
        <w:t>haploinsufficient</w:t>
      </w:r>
      <w:proofErr w:type="spellEnd"/>
      <w:r w:rsidR="009833BD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8765CD" w:rsidRPr="00BD4525">
        <w:rPr>
          <w:rFonts w:ascii="Book Antiqua" w:hAnsi="Book Antiqua" w:cs="Times New Roman"/>
          <w:sz w:val="24"/>
          <w:szCs w:val="24"/>
        </w:rPr>
        <w:t>individuals and confirm an important role for TNX in reg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ulating elastic fiber integrity in </w:t>
      </w:r>
      <w:proofErr w:type="gramStart"/>
      <w:r w:rsidR="001F1B93" w:rsidRPr="00BD4525">
        <w:rPr>
          <w:rFonts w:ascii="Book Antiqua" w:hAnsi="Book Antiqua" w:cs="Times New Roman"/>
          <w:sz w:val="24"/>
          <w:szCs w:val="24"/>
        </w:rPr>
        <w:t>humans</w:t>
      </w:r>
      <w:r w:rsidR="00D9723D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723D" w:rsidRPr="00BD4525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8765CD" w:rsidRPr="00BD4525">
        <w:rPr>
          <w:rFonts w:ascii="Book Antiqua" w:hAnsi="Book Antiqua" w:cs="Times New Roman"/>
          <w:sz w:val="24"/>
          <w:szCs w:val="24"/>
        </w:rPr>
        <w:t>.</w:t>
      </w:r>
    </w:p>
    <w:p w:rsidR="00073EBD" w:rsidRPr="00BD4525" w:rsidRDefault="00E854CE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t>As demonstrated in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the</w:t>
      </w:r>
      <w:r w:rsidRPr="00BD4525">
        <w:rPr>
          <w:rFonts w:ascii="Book Antiqua" w:hAnsi="Book Antiqua" w:cs="Times New Roman"/>
          <w:sz w:val="24"/>
          <w:szCs w:val="24"/>
        </w:rPr>
        <w:t xml:space="preserve"> literature</w:t>
      </w:r>
      <w:r w:rsidR="0004765D" w:rsidRPr="00BD4525">
        <w:rPr>
          <w:rFonts w:ascii="Book Antiqua" w:hAnsi="Book Antiqua" w:cs="Times New Roman"/>
          <w:sz w:val="24"/>
          <w:szCs w:val="24"/>
        </w:rPr>
        <w:t xml:space="preserve"> by examples </w:t>
      </w:r>
      <w:r w:rsidR="001F1B93" w:rsidRPr="00BD4525">
        <w:rPr>
          <w:rFonts w:ascii="Book Antiqua" w:hAnsi="Book Antiqua" w:cs="Times New Roman"/>
          <w:sz w:val="24"/>
          <w:szCs w:val="24"/>
        </w:rPr>
        <w:t>described</w:t>
      </w:r>
      <w:r w:rsidRPr="00BD4525">
        <w:rPr>
          <w:rFonts w:ascii="Book Antiqua" w:hAnsi="Book Antiqua" w:cs="Times New Roman"/>
          <w:sz w:val="24"/>
          <w:szCs w:val="24"/>
        </w:rPr>
        <w:t xml:space="preserve">, a variety of mutations, deletions, and insertions in the </w:t>
      </w:r>
      <w:r w:rsidRPr="00BD4525">
        <w:rPr>
          <w:rFonts w:ascii="Book Antiqua" w:hAnsi="Book Antiqua" w:cs="Times New Roman"/>
          <w:i/>
          <w:sz w:val="24"/>
          <w:szCs w:val="24"/>
        </w:rPr>
        <w:t>TNXB</w:t>
      </w:r>
      <w:r w:rsidRPr="00BD4525">
        <w:rPr>
          <w:rFonts w:ascii="Book Antiqua" w:hAnsi="Book Antiqua" w:cs="Times New Roman"/>
          <w:sz w:val="24"/>
          <w:szCs w:val="24"/>
        </w:rPr>
        <w:t xml:space="preserve"> gene may cause features of EDS. </w:t>
      </w:r>
      <w:r w:rsidR="007A7769" w:rsidRPr="00BD4525">
        <w:rPr>
          <w:rFonts w:ascii="Book Antiqua" w:hAnsi="Book Antiqua" w:cs="Times New Roman"/>
          <w:sz w:val="24"/>
          <w:szCs w:val="24"/>
        </w:rPr>
        <w:t>Our</w:t>
      </w:r>
      <w:r w:rsidRPr="00BD4525">
        <w:rPr>
          <w:rFonts w:ascii="Book Antiqua" w:hAnsi="Book Antiqua" w:cs="Times New Roman"/>
          <w:sz w:val="24"/>
          <w:szCs w:val="24"/>
        </w:rPr>
        <w:t xml:space="preserve"> patient’s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gene </w:t>
      </w:r>
      <w:r w:rsidR="00B45C74" w:rsidRPr="00BD4525">
        <w:rPr>
          <w:rFonts w:ascii="Book Antiqua" w:hAnsi="Book Antiqua" w:cs="Times New Roman"/>
          <w:sz w:val="24"/>
          <w:szCs w:val="24"/>
        </w:rPr>
        <w:t>change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was classified as a variant of unknown significance and not as yet classified as</w:t>
      </w:r>
      <w:r w:rsidRPr="00BD4525">
        <w:rPr>
          <w:rFonts w:ascii="Book Antiqua" w:hAnsi="Book Antiqua" w:cs="Times New Roman"/>
          <w:sz w:val="24"/>
          <w:szCs w:val="24"/>
        </w:rPr>
        <w:t xml:space="preserve"> disease-causing. </w:t>
      </w:r>
      <w:r w:rsidR="001F1B93" w:rsidRPr="00BD4525">
        <w:rPr>
          <w:rFonts w:ascii="Book Antiqua" w:hAnsi="Book Antiqua" w:cs="Times New Roman"/>
          <w:sz w:val="24"/>
          <w:szCs w:val="24"/>
        </w:rPr>
        <w:t>This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 missense mutation in exon 17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of the </w:t>
      </w:r>
      <w:r w:rsidR="001F1B93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="00B45C74" w:rsidRPr="00BD4525">
        <w:rPr>
          <w:rFonts w:ascii="Book Antiqua" w:hAnsi="Book Antiqua" w:cs="Times New Roman"/>
          <w:sz w:val="24"/>
          <w:szCs w:val="24"/>
        </w:rPr>
        <w:t xml:space="preserve"> in our patient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 is moderately conserved </w:t>
      </w:r>
      <w:r w:rsidR="006954F9" w:rsidRPr="00BD4525">
        <w:rPr>
          <w:rFonts w:ascii="Book Antiqua" w:hAnsi="Book Antiqua" w:cs="Times New Roman"/>
          <w:sz w:val="24"/>
          <w:szCs w:val="24"/>
        </w:rPr>
        <w:t xml:space="preserve">with 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an </w:t>
      </w:r>
      <w:r w:rsidR="006954F9" w:rsidRPr="00BD4525">
        <w:rPr>
          <w:rFonts w:ascii="Book Antiqua" w:hAnsi="Book Antiqua" w:cs="Times New Roman"/>
          <w:sz w:val="24"/>
          <w:szCs w:val="24"/>
        </w:rPr>
        <w:t>in silico prediction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 of</w:t>
      </w:r>
      <w:r w:rsidR="006954F9" w:rsidRPr="00BD4525">
        <w:rPr>
          <w:rFonts w:ascii="Book Antiqua" w:hAnsi="Book Antiqua" w:cs="Times New Roman"/>
          <w:sz w:val="24"/>
          <w:szCs w:val="24"/>
        </w:rPr>
        <w:t xml:space="preserve"> trending damaging.</w:t>
      </w:r>
      <w:r w:rsidR="00073EBD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DF4F17" w:rsidRPr="00BD4525">
        <w:rPr>
          <w:rFonts w:ascii="Book Antiqua" w:hAnsi="Book Antiqua" w:cs="Times New Roman"/>
          <w:sz w:val="24"/>
          <w:szCs w:val="24"/>
        </w:rPr>
        <w:t>This mutation causes a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significant amino acid change from an aspartic acid which is negatively charged 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to 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a </w:t>
      </w:r>
      <w:r w:rsidR="00DF4F17" w:rsidRPr="00BD4525">
        <w:rPr>
          <w:rFonts w:ascii="Book Antiqua" w:hAnsi="Book Antiqua" w:cs="Times New Roman"/>
          <w:sz w:val="24"/>
          <w:szCs w:val="24"/>
        </w:rPr>
        <w:t>val</w:t>
      </w:r>
      <w:r w:rsidR="001F1B93" w:rsidRPr="00BD4525">
        <w:rPr>
          <w:rFonts w:ascii="Book Antiqua" w:hAnsi="Book Antiqua" w:cs="Times New Roman"/>
          <w:sz w:val="24"/>
          <w:szCs w:val="24"/>
        </w:rPr>
        <w:t>ine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 which is non-polar; this transition could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 theoretically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 impact protein structure</w:t>
      </w:r>
      <w:r w:rsidR="00CA4D72" w:rsidRPr="00BD4525">
        <w:rPr>
          <w:rFonts w:ascii="Book Antiqua" w:hAnsi="Book Antiqua" w:cs="Times New Roman"/>
          <w:sz w:val="24"/>
          <w:szCs w:val="24"/>
        </w:rPr>
        <w:t xml:space="preserve"> due to such a dramatic change in the amino acid classification type. </w:t>
      </w:r>
      <w:r w:rsidR="0065010F" w:rsidRPr="00BD4525">
        <w:rPr>
          <w:rFonts w:ascii="Book Antiqua" w:hAnsi="Book Antiqua" w:cs="Times New Roman"/>
          <w:sz w:val="24"/>
          <w:szCs w:val="24"/>
        </w:rPr>
        <w:t>Based on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 our 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patient’s clinical symptoms and </w:t>
      </w:r>
      <w:r w:rsidR="007E4EA5" w:rsidRPr="00BD4525">
        <w:rPr>
          <w:rFonts w:ascii="Book Antiqua" w:hAnsi="Book Antiqua" w:cs="Times New Roman"/>
          <w:sz w:val="24"/>
          <w:szCs w:val="24"/>
        </w:rPr>
        <w:t>DNA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 findings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7E4EA5" w:rsidRPr="00BD4525">
        <w:rPr>
          <w:rFonts w:ascii="Book Antiqua" w:hAnsi="Book Antiqua" w:cs="Times New Roman"/>
          <w:sz w:val="24"/>
          <w:szCs w:val="24"/>
        </w:rPr>
        <w:t>with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 evidence from</w:t>
      </w:r>
      <w:r w:rsidR="00DF4F17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0A5E38" w:rsidRPr="00BD4525">
        <w:rPr>
          <w:rFonts w:ascii="Book Antiqua" w:hAnsi="Book Antiqua" w:cs="Times New Roman"/>
          <w:sz w:val="24"/>
          <w:szCs w:val="24"/>
        </w:rPr>
        <w:t xml:space="preserve">the </w:t>
      </w:r>
      <w:r w:rsidR="00DF4F17" w:rsidRPr="00BD4525">
        <w:rPr>
          <w:rFonts w:ascii="Book Antiqua" w:hAnsi="Book Antiqua" w:cs="Times New Roman"/>
          <w:sz w:val="24"/>
          <w:szCs w:val="24"/>
        </w:rPr>
        <w:t>literature, we</w:t>
      </w:r>
      <w:r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7E4EA5" w:rsidRPr="00BD4525">
        <w:rPr>
          <w:rFonts w:ascii="Book Antiqua" w:hAnsi="Book Antiqua" w:cs="Times New Roman"/>
          <w:sz w:val="24"/>
          <w:szCs w:val="24"/>
        </w:rPr>
        <w:t>propose</w:t>
      </w:r>
      <w:r w:rsidRPr="00BD4525">
        <w:rPr>
          <w:rFonts w:ascii="Book Antiqua" w:hAnsi="Book Antiqua" w:cs="Times New Roman"/>
          <w:sz w:val="24"/>
          <w:szCs w:val="24"/>
        </w:rPr>
        <w:t xml:space="preserve"> that </w:t>
      </w:r>
      <w:r w:rsidR="00990E1E" w:rsidRPr="00BD4525">
        <w:rPr>
          <w:rFonts w:ascii="Book Antiqua" w:hAnsi="Book Antiqua" w:cs="Times New Roman"/>
          <w:sz w:val="24"/>
          <w:szCs w:val="24"/>
        </w:rPr>
        <w:t>the 6074A</w:t>
      </w:r>
      <w:r w:rsidR="0060468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0468A" w:rsidRPr="00BD4525">
        <w:rPr>
          <w:rFonts w:ascii="Book Antiqua" w:hAnsi="Book Antiqua" w:cs="Times New Roman"/>
          <w:sz w:val="24"/>
          <w:szCs w:val="24"/>
        </w:rPr>
        <w:t>&gt;</w:t>
      </w:r>
      <w:r w:rsidR="0060468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T nucleotide transition (p.Asp2025Val) identified in our patient causes a </w:t>
      </w:r>
      <w:r w:rsidRPr="00BD4525">
        <w:rPr>
          <w:rFonts w:ascii="Book Antiqua" w:hAnsi="Book Antiqua" w:cs="Times New Roman"/>
          <w:sz w:val="24"/>
          <w:szCs w:val="24"/>
        </w:rPr>
        <w:t xml:space="preserve">moderate to severe form of EDS that </w:t>
      </w:r>
      <w:r w:rsidR="00A60835" w:rsidRPr="00BD4525">
        <w:rPr>
          <w:rFonts w:ascii="Book Antiqua" w:hAnsi="Book Antiqua" w:cs="Times New Roman"/>
          <w:sz w:val="24"/>
          <w:szCs w:val="24"/>
        </w:rPr>
        <w:t>includes</w:t>
      </w:r>
      <w:r w:rsidRPr="00BD4525">
        <w:rPr>
          <w:rFonts w:ascii="Book Antiqua" w:hAnsi="Book Antiqua" w:cs="Times New Roman"/>
          <w:sz w:val="24"/>
          <w:szCs w:val="24"/>
        </w:rPr>
        <w:t xml:space="preserve"> significant joint pain</w:t>
      </w:r>
      <w:r w:rsidR="007E4EA5" w:rsidRPr="00BD4525">
        <w:rPr>
          <w:rFonts w:ascii="Book Antiqua" w:hAnsi="Book Antiqua" w:cs="Times New Roman"/>
          <w:sz w:val="24"/>
          <w:szCs w:val="24"/>
        </w:rPr>
        <w:t>,</w:t>
      </w:r>
      <w:r w:rsidRPr="00BD4525">
        <w:rPr>
          <w:rFonts w:ascii="Book Antiqua" w:hAnsi="Book Antiqua" w:cs="Times New Roman"/>
          <w:sz w:val="24"/>
          <w:szCs w:val="24"/>
        </w:rPr>
        <w:t xml:space="preserve"> muscle weakness</w:t>
      </w:r>
      <w:r w:rsidR="007E4EA5" w:rsidRPr="00BD4525">
        <w:rPr>
          <w:rFonts w:ascii="Book Antiqua" w:hAnsi="Book Antiqua" w:cs="Times New Roman"/>
          <w:sz w:val="24"/>
          <w:szCs w:val="24"/>
        </w:rPr>
        <w:t>,</w:t>
      </w:r>
      <w:r w:rsidRPr="00BD4525">
        <w:rPr>
          <w:rFonts w:ascii="Book Antiqua" w:hAnsi="Book Antiqua" w:cs="Times New Roman"/>
          <w:sz w:val="24"/>
          <w:szCs w:val="24"/>
        </w:rPr>
        <w:t xml:space="preserve"> hypermobility</w:t>
      </w:r>
      <w:r w:rsidR="00016611" w:rsidRPr="00BD4525">
        <w:rPr>
          <w:rFonts w:ascii="Book Antiqua" w:hAnsi="Book Antiqua" w:cs="Times New Roman"/>
          <w:sz w:val="24"/>
          <w:szCs w:val="24"/>
        </w:rPr>
        <w:t xml:space="preserve"> and Raynaud’s phenomenon</w:t>
      </w:r>
      <w:r w:rsidRPr="00BD4525">
        <w:rPr>
          <w:rFonts w:ascii="Book Antiqua" w:hAnsi="Book Antiqua" w:cs="Times New Roman"/>
          <w:sz w:val="24"/>
          <w:szCs w:val="24"/>
        </w:rPr>
        <w:t>.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</w:t>
      </w:r>
    </w:p>
    <w:p w:rsidR="00873911" w:rsidRPr="00BD4525" w:rsidRDefault="00873911" w:rsidP="008D5B3A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BD4525">
        <w:rPr>
          <w:rFonts w:ascii="Book Antiqua" w:hAnsi="Book Antiqua"/>
          <w:sz w:val="24"/>
          <w:szCs w:val="24"/>
        </w:rPr>
        <w:t>A</w:t>
      </w:r>
      <w:r w:rsidR="00CD1FDE" w:rsidRPr="00BD4525">
        <w:rPr>
          <w:rFonts w:ascii="Book Antiqua" w:hAnsi="Book Antiqua"/>
          <w:sz w:val="24"/>
          <w:szCs w:val="24"/>
        </w:rPr>
        <w:t xml:space="preserve"> limitation </w:t>
      </w:r>
      <w:r w:rsidRPr="00BD4525">
        <w:rPr>
          <w:rFonts w:ascii="Book Antiqua" w:hAnsi="Book Antiqua"/>
          <w:sz w:val="24"/>
          <w:szCs w:val="24"/>
        </w:rPr>
        <w:t>of our</w:t>
      </w:r>
      <w:r w:rsidR="00CD1FDE" w:rsidRPr="00BD4525">
        <w:rPr>
          <w:rFonts w:ascii="Book Antiqua" w:hAnsi="Book Antiqua"/>
          <w:sz w:val="24"/>
          <w:szCs w:val="24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>report</w:t>
      </w:r>
      <w:r w:rsidR="00CD1FDE" w:rsidRPr="00BD4525">
        <w:rPr>
          <w:rFonts w:ascii="Book Antiqua" w:hAnsi="Book Antiqua"/>
          <w:sz w:val="24"/>
          <w:szCs w:val="24"/>
        </w:rPr>
        <w:t xml:space="preserve"> is the</w:t>
      </w:r>
      <w:r w:rsidRPr="00BD4525">
        <w:rPr>
          <w:rFonts w:ascii="Book Antiqua" w:hAnsi="Book Antiqua"/>
          <w:sz w:val="24"/>
          <w:szCs w:val="24"/>
        </w:rPr>
        <w:t xml:space="preserve"> lack of contact by the patient with her </w:t>
      </w:r>
      <w:r w:rsidR="00CD1FDE" w:rsidRPr="00BD4525">
        <w:rPr>
          <w:rFonts w:ascii="Book Antiqua" w:hAnsi="Book Antiqua"/>
          <w:sz w:val="24"/>
          <w:szCs w:val="24"/>
        </w:rPr>
        <w:t xml:space="preserve">siblings or parents, all of whom live in Israel. </w:t>
      </w:r>
      <w:r w:rsidRPr="00BD4525">
        <w:rPr>
          <w:rFonts w:ascii="Book Antiqua" w:hAnsi="Book Antiqua"/>
          <w:sz w:val="24"/>
          <w:szCs w:val="24"/>
        </w:rPr>
        <w:t>Therefore, it is not possible for us to reach members of her family to identify</w:t>
      </w:r>
      <w:r w:rsidR="00B97E56">
        <w:rPr>
          <w:rFonts w:ascii="Book Antiqua" w:hAnsi="Book Antiqua"/>
          <w:sz w:val="24"/>
          <w:szCs w:val="24"/>
        </w:rPr>
        <w:t xml:space="preserve"> the presence or absence of the gene variant and</w:t>
      </w:r>
      <w:r w:rsidR="006029F3">
        <w:rPr>
          <w:rFonts w:ascii="Book Antiqua" w:hAnsi="Book Antiqua"/>
          <w:sz w:val="24"/>
          <w:szCs w:val="24"/>
        </w:rPr>
        <w:t xml:space="preserve"> to</w:t>
      </w:r>
      <w:r w:rsidRPr="00BD4525">
        <w:rPr>
          <w:rFonts w:ascii="Book Antiqua" w:hAnsi="Book Antiqua"/>
          <w:sz w:val="24"/>
          <w:szCs w:val="24"/>
        </w:rPr>
        <w:t xml:space="preserve"> better characterize the genotype-phenotype relationship</w:t>
      </w:r>
      <w:r w:rsidR="00B97E56">
        <w:rPr>
          <w:rFonts w:ascii="Book Antiqua" w:hAnsi="Book Antiqua"/>
          <w:sz w:val="24"/>
          <w:szCs w:val="24"/>
        </w:rPr>
        <w:t>.</w:t>
      </w:r>
      <w:r w:rsidR="003238F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C1BCE">
        <w:rPr>
          <w:rFonts w:ascii="Book Antiqua" w:hAnsi="Book Antiqua"/>
          <w:sz w:val="24"/>
          <w:szCs w:val="24"/>
        </w:rPr>
        <w:t>Furthermore, our patient lives at a considerable distance from the medical center making travel difficult</w:t>
      </w:r>
      <w:r w:rsidR="00622684">
        <w:rPr>
          <w:rFonts w:ascii="Book Antiqua" w:hAnsi="Book Antiqua"/>
          <w:sz w:val="24"/>
          <w:szCs w:val="24"/>
        </w:rPr>
        <w:t xml:space="preserve"> </w:t>
      </w:r>
      <w:r w:rsidR="00FC1BCE">
        <w:rPr>
          <w:rFonts w:ascii="Book Antiqua" w:hAnsi="Book Antiqua"/>
          <w:sz w:val="24"/>
          <w:szCs w:val="24"/>
        </w:rPr>
        <w:t>for her and her immediate family (</w:t>
      </w:r>
      <w:r w:rsidR="00FC1BCE" w:rsidRPr="003238FD">
        <w:rPr>
          <w:rFonts w:ascii="Book Antiqua" w:hAnsi="Book Antiqua"/>
          <w:i/>
          <w:sz w:val="24"/>
          <w:szCs w:val="24"/>
        </w:rPr>
        <w:t>e.g.,</w:t>
      </w:r>
      <w:r w:rsidR="00B97E56">
        <w:rPr>
          <w:rFonts w:ascii="Book Antiqua" w:hAnsi="Book Antiqua"/>
          <w:sz w:val="24"/>
          <w:szCs w:val="24"/>
        </w:rPr>
        <w:t xml:space="preserve"> younger children).</w:t>
      </w:r>
      <w:r w:rsidR="00F8149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97E56">
        <w:rPr>
          <w:rFonts w:ascii="Book Antiqua" w:hAnsi="Book Antiqua"/>
          <w:sz w:val="24"/>
          <w:szCs w:val="24"/>
        </w:rPr>
        <w:t>It is unlikely that</w:t>
      </w:r>
      <w:r w:rsidR="00683DFC">
        <w:rPr>
          <w:rFonts w:ascii="Book Antiqua" w:hAnsi="Book Antiqua"/>
          <w:sz w:val="24"/>
          <w:szCs w:val="24"/>
        </w:rPr>
        <w:t xml:space="preserve"> arrangements could be made in a timely fashion to undertake skin biopsy and assessment of elast</w:t>
      </w:r>
      <w:r w:rsidR="00B97E56">
        <w:rPr>
          <w:rFonts w:ascii="Book Antiqua" w:hAnsi="Book Antiqua"/>
          <w:sz w:val="24"/>
          <w:szCs w:val="24"/>
        </w:rPr>
        <w:t xml:space="preserve">ic fibers in the </w:t>
      </w:r>
      <w:r w:rsidR="00B97E56">
        <w:rPr>
          <w:rFonts w:ascii="Book Antiqua" w:hAnsi="Book Antiqua"/>
          <w:sz w:val="24"/>
          <w:szCs w:val="24"/>
        </w:rPr>
        <w:lastRenderedPageBreak/>
        <w:t>patient or</w:t>
      </w:r>
      <w:r w:rsidR="00683DFC">
        <w:rPr>
          <w:rFonts w:ascii="Book Antiqua" w:hAnsi="Book Antiqua"/>
          <w:sz w:val="24"/>
          <w:szCs w:val="24"/>
        </w:rPr>
        <w:t xml:space="preserve"> her living children without evidence </w:t>
      </w:r>
      <w:r w:rsidR="002B1235">
        <w:rPr>
          <w:rFonts w:ascii="Book Antiqua" w:hAnsi="Book Antiqua"/>
          <w:sz w:val="24"/>
          <w:szCs w:val="24"/>
        </w:rPr>
        <w:t>of</w:t>
      </w:r>
      <w:r w:rsidR="00622684">
        <w:rPr>
          <w:rFonts w:ascii="Book Antiqua" w:hAnsi="Book Antiqua"/>
          <w:sz w:val="24"/>
          <w:szCs w:val="24"/>
        </w:rPr>
        <w:t xml:space="preserve"> disease </w:t>
      </w:r>
      <w:r w:rsidR="00683DFC">
        <w:rPr>
          <w:rFonts w:ascii="Book Antiqua" w:hAnsi="Book Antiqua"/>
          <w:sz w:val="24"/>
          <w:szCs w:val="24"/>
        </w:rPr>
        <w:t>in which an invasive procedure is not warranted even if accessible.</w:t>
      </w:r>
    </w:p>
    <w:p w:rsidR="00E854CE" w:rsidRPr="00E524D0" w:rsidRDefault="00016611" w:rsidP="008D5B3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t xml:space="preserve">Our patient is also of Ashkenazi Jewish ancestry. </w:t>
      </w:r>
      <w:r w:rsidR="00683DFC">
        <w:rPr>
          <w:rFonts w:ascii="Book Antiqua" w:hAnsi="Book Antiqua" w:cs="Times New Roman"/>
          <w:sz w:val="24"/>
          <w:szCs w:val="24"/>
        </w:rPr>
        <w:t>A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36-year-old patient </w:t>
      </w:r>
      <w:r w:rsidR="007A7769" w:rsidRPr="00BD4525">
        <w:rPr>
          <w:rFonts w:ascii="Book Antiqua" w:hAnsi="Book Antiqua" w:cs="Times New Roman"/>
          <w:sz w:val="24"/>
          <w:szCs w:val="24"/>
        </w:rPr>
        <w:t>with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this same amino acid change </w:t>
      </w:r>
      <w:r w:rsidR="005378E2" w:rsidRPr="00BD4525">
        <w:rPr>
          <w:rFonts w:ascii="Book Antiqua" w:hAnsi="Book Antiqua" w:cs="Times New Roman"/>
          <w:sz w:val="24"/>
          <w:szCs w:val="24"/>
        </w:rPr>
        <w:t xml:space="preserve">at the protein level </w:t>
      </w:r>
      <w:r w:rsidR="007A7769" w:rsidRPr="00BD4525">
        <w:rPr>
          <w:rFonts w:ascii="Book Antiqua" w:hAnsi="Book Antiqua" w:cs="Times New Roman"/>
          <w:sz w:val="24"/>
          <w:szCs w:val="24"/>
        </w:rPr>
        <w:t xml:space="preserve">reported </w:t>
      </w:r>
      <w:r w:rsidR="00DB099F">
        <w:rPr>
          <w:rFonts w:ascii="Book Antiqua" w:hAnsi="Book Antiqua" w:cs="Times New Roman"/>
          <w:sz w:val="24"/>
          <w:szCs w:val="24"/>
        </w:rPr>
        <w:t xml:space="preserve">to be likely </w:t>
      </w:r>
      <w:proofErr w:type="gramStart"/>
      <w:r w:rsidR="00DB099F">
        <w:rPr>
          <w:rFonts w:ascii="Book Antiqua" w:hAnsi="Book Antiqua" w:cs="Times New Roman"/>
          <w:sz w:val="24"/>
          <w:szCs w:val="24"/>
        </w:rPr>
        <w:t>pathogenic</w:t>
      </w:r>
      <w:r w:rsidR="00E072EE" w:rsidRPr="00BD45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072EE" w:rsidRPr="00BD452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D707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,11-14</w:t>
      </w:r>
      <w:r w:rsidR="00E072EE" w:rsidRPr="00BD45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84A23">
        <w:rPr>
          <w:rFonts w:ascii="Book Antiqua" w:hAnsi="Book Antiqua" w:cs="Times New Roman"/>
          <w:sz w:val="24"/>
          <w:szCs w:val="24"/>
        </w:rPr>
        <w:t xml:space="preserve"> and that patient was</w:t>
      </w:r>
      <w:r w:rsidR="001F1B93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2B1235">
        <w:rPr>
          <w:rFonts w:ascii="Book Antiqua" w:hAnsi="Book Antiqua" w:cs="Times New Roman"/>
          <w:sz w:val="24"/>
          <w:szCs w:val="24"/>
        </w:rPr>
        <w:t xml:space="preserve">diagnosed clinically </w:t>
      </w:r>
      <w:r w:rsidR="00A60835" w:rsidRPr="00BD4525">
        <w:rPr>
          <w:rFonts w:ascii="Book Antiqua" w:hAnsi="Book Antiqua" w:cs="Times New Roman"/>
          <w:sz w:val="24"/>
          <w:szCs w:val="24"/>
        </w:rPr>
        <w:t>with</w:t>
      </w:r>
      <w:r w:rsidR="00784A23">
        <w:rPr>
          <w:rFonts w:ascii="Book Antiqua" w:hAnsi="Book Antiqua" w:cs="Times New Roman"/>
          <w:sz w:val="24"/>
          <w:szCs w:val="24"/>
        </w:rPr>
        <w:t xml:space="preserve"> the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hypermobility type </w:t>
      </w:r>
      <w:r w:rsidR="00784A23">
        <w:rPr>
          <w:rFonts w:ascii="Book Antiqua" w:hAnsi="Book Antiqua" w:cs="Times New Roman"/>
          <w:sz w:val="24"/>
          <w:szCs w:val="24"/>
        </w:rPr>
        <w:t xml:space="preserve">of </w:t>
      </w:r>
      <w:r w:rsidR="00A60835" w:rsidRPr="00BD4525">
        <w:rPr>
          <w:rFonts w:ascii="Book Antiqua" w:hAnsi="Book Antiqua" w:cs="Times New Roman"/>
          <w:sz w:val="24"/>
          <w:szCs w:val="24"/>
        </w:rPr>
        <w:t>EDS</w:t>
      </w:r>
      <w:r w:rsidR="002B1235">
        <w:rPr>
          <w:rFonts w:ascii="Book Antiqua" w:hAnsi="Book Antiqua" w:cs="Times New Roman"/>
          <w:sz w:val="24"/>
          <w:szCs w:val="24"/>
        </w:rPr>
        <w:t>.</w:t>
      </w:r>
      <w:r w:rsidR="00F814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101A3">
        <w:rPr>
          <w:rFonts w:ascii="Book Antiqua" w:hAnsi="Book Antiqua" w:cs="Times New Roman"/>
          <w:sz w:val="24"/>
          <w:szCs w:val="24"/>
        </w:rPr>
        <w:t>The patient</w:t>
      </w:r>
      <w:r w:rsidR="002B1235">
        <w:rPr>
          <w:rFonts w:ascii="Book Antiqua" w:hAnsi="Book Antiqua" w:cs="Times New Roman"/>
          <w:sz w:val="24"/>
          <w:szCs w:val="24"/>
        </w:rPr>
        <w:t>’s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symptoms</w:t>
      </w:r>
      <w:r w:rsidR="00990E1E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E101A3">
        <w:rPr>
          <w:rFonts w:ascii="Book Antiqua" w:hAnsi="Book Antiqua" w:cs="Times New Roman"/>
          <w:sz w:val="24"/>
          <w:szCs w:val="24"/>
        </w:rPr>
        <w:t>included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hypermobility</w:t>
      </w:r>
      <w:r w:rsidR="00622684">
        <w:rPr>
          <w:rFonts w:ascii="Book Antiqua" w:hAnsi="Book Antiqua" w:cs="Times New Roman"/>
          <w:sz w:val="24"/>
          <w:szCs w:val="24"/>
        </w:rPr>
        <w:t>, skeletal pain,</w:t>
      </w:r>
      <w:r w:rsidR="00E524D0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524D0">
        <w:rPr>
          <w:rFonts w:ascii="Book Antiqua" w:hAnsi="Book Antiqua" w:cs="Times New Roman"/>
          <w:sz w:val="24"/>
          <w:szCs w:val="24"/>
        </w:rPr>
        <w:t>skin</w:t>
      </w:r>
      <w:proofErr w:type="gramEnd"/>
      <w:r w:rsidR="00E524D0">
        <w:rPr>
          <w:rFonts w:ascii="Book Antiqua" w:hAnsi="Book Antiqua" w:cs="Times New Roman"/>
          <w:sz w:val="24"/>
          <w:szCs w:val="24"/>
        </w:rPr>
        <w:t xml:space="preserve"> elasticity</w:t>
      </w:r>
      <w:r w:rsidR="00622684">
        <w:rPr>
          <w:rFonts w:ascii="Book Antiqua" w:hAnsi="Book Antiqua" w:cs="Times New Roman"/>
          <w:sz w:val="24"/>
          <w:szCs w:val="24"/>
        </w:rPr>
        <w:t>, gastrointestinal and</w:t>
      </w:r>
      <w:r w:rsidR="00E524D0">
        <w:rPr>
          <w:rFonts w:ascii="Book Antiqua" w:hAnsi="Book Antiqua" w:cs="Times New Roman"/>
          <w:sz w:val="24"/>
          <w:szCs w:val="24"/>
        </w:rPr>
        <w:t xml:space="preserve"> </w:t>
      </w:r>
      <w:r w:rsidR="00622684">
        <w:rPr>
          <w:rFonts w:ascii="Book Antiqua" w:hAnsi="Book Antiqua" w:cs="Times New Roman"/>
          <w:sz w:val="24"/>
          <w:szCs w:val="24"/>
        </w:rPr>
        <w:t xml:space="preserve">musculoskeletal problems, all </w:t>
      </w:r>
      <w:r w:rsidR="00E524D0">
        <w:rPr>
          <w:rFonts w:ascii="Book Antiqua" w:hAnsi="Book Antiqua" w:cs="Times New Roman"/>
          <w:sz w:val="24"/>
          <w:szCs w:val="24"/>
        </w:rPr>
        <w:t>consistent with EDS.</w:t>
      </w:r>
      <w:r w:rsidR="00A60835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Pr="00BD4525">
        <w:rPr>
          <w:rFonts w:ascii="Book Antiqua" w:hAnsi="Book Antiqua" w:cs="Times New Roman"/>
          <w:sz w:val="24"/>
          <w:szCs w:val="24"/>
        </w:rPr>
        <w:t xml:space="preserve">The </w:t>
      </w:r>
      <w:r w:rsidR="0065010F" w:rsidRPr="00BD4525">
        <w:rPr>
          <w:rFonts w:ascii="Book Antiqua" w:hAnsi="Book Antiqua" w:cs="Times New Roman"/>
          <w:sz w:val="24"/>
          <w:szCs w:val="24"/>
        </w:rPr>
        <w:t>status</w:t>
      </w:r>
      <w:r w:rsidRPr="00BD4525">
        <w:rPr>
          <w:rFonts w:ascii="Book Antiqua" w:hAnsi="Book Antiqua" w:cs="Times New Roman"/>
          <w:sz w:val="24"/>
          <w:szCs w:val="24"/>
        </w:rPr>
        <w:t xml:space="preserve"> of Jewish ancestry with this </w:t>
      </w:r>
      <w:r w:rsidR="00E524D0">
        <w:rPr>
          <w:rFonts w:ascii="Book Antiqua" w:hAnsi="Book Antiqua" w:cs="Times New Roman"/>
          <w:sz w:val="24"/>
          <w:szCs w:val="24"/>
        </w:rPr>
        <w:t xml:space="preserve">reported </w:t>
      </w:r>
      <w:r w:rsidRPr="00BD4525">
        <w:rPr>
          <w:rFonts w:ascii="Book Antiqua" w:hAnsi="Book Antiqua" w:cs="Times New Roman"/>
          <w:sz w:val="24"/>
          <w:szCs w:val="24"/>
        </w:rPr>
        <w:t xml:space="preserve">patient is unknown. </w:t>
      </w:r>
      <w:r w:rsidR="00E830DC" w:rsidRPr="00BD4525">
        <w:rPr>
          <w:rFonts w:ascii="Book Antiqua" w:hAnsi="Book Antiqua" w:cs="Times New Roman"/>
          <w:sz w:val="24"/>
          <w:szCs w:val="24"/>
        </w:rPr>
        <w:t xml:space="preserve">We propose that both of these patients </w:t>
      </w:r>
      <w:r w:rsidR="00DD4A45" w:rsidRPr="00BD4525">
        <w:rPr>
          <w:rFonts w:ascii="Book Antiqua" w:hAnsi="Book Antiqua" w:cs="Times New Roman"/>
          <w:sz w:val="24"/>
          <w:szCs w:val="24"/>
        </w:rPr>
        <w:t>may</w:t>
      </w:r>
      <w:r w:rsidR="00E830DC" w:rsidRPr="00BD4525">
        <w:rPr>
          <w:rFonts w:ascii="Book Antiqua" w:hAnsi="Book Antiqua" w:cs="Times New Roman"/>
          <w:sz w:val="24"/>
          <w:szCs w:val="24"/>
        </w:rPr>
        <w:t xml:space="preserve"> have a form of EDS </w:t>
      </w:r>
      <w:r w:rsidR="007A7769" w:rsidRPr="00BD4525">
        <w:rPr>
          <w:rFonts w:ascii="Book Antiqua" w:hAnsi="Book Antiqua" w:cs="Times New Roman"/>
          <w:sz w:val="24"/>
          <w:szCs w:val="24"/>
        </w:rPr>
        <w:t xml:space="preserve">due to their </w:t>
      </w:r>
      <w:r w:rsidR="00E830DC" w:rsidRPr="00BD4525">
        <w:rPr>
          <w:rFonts w:ascii="Book Antiqua" w:hAnsi="Book Antiqua" w:cs="Times New Roman"/>
          <w:sz w:val="24"/>
          <w:szCs w:val="24"/>
        </w:rPr>
        <w:t xml:space="preserve">specific mutation in the </w:t>
      </w:r>
      <w:r w:rsidR="00E830DC" w:rsidRPr="00BD4525">
        <w:rPr>
          <w:rFonts w:ascii="Book Antiqua" w:hAnsi="Book Antiqua" w:cs="Times New Roman"/>
          <w:i/>
          <w:sz w:val="24"/>
          <w:szCs w:val="24"/>
        </w:rPr>
        <w:t>TNXB</w:t>
      </w:r>
      <w:r w:rsidR="00E830DC" w:rsidRPr="00BD4525">
        <w:rPr>
          <w:rFonts w:ascii="Book Antiqua" w:hAnsi="Book Antiqua" w:cs="Times New Roman"/>
          <w:sz w:val="24"/>
          <w:szCs w:val="24"/>
        </w:rPr>
        <w:t xml:space="preserve"> gene</w:t>
      </w:r>
      <w:r w:rsidR="007A7769" w:rsidRPr="00BD4525">
        <w:rPr>
          <w:rFonts w:ascii="Book Antiqua" w:hAnsi="Book Antiqua" w:cs="Times New Roman"/>
          <w:sz w:val="24"/>
          <w:szCs w:val="24"/>
        </w:rPr>
        <w:t xml:space="preserve">, </w:t>
      </w:r>
      <w:r w:rsidR="00366CE6" w:rsidRPr="00BD4525">
        <w:rPr>
          <w:rFonts w:ascii="Book Antiqua" w:hAnsi="Book Antiqua" w:cs="Times New Roman"/>
          <w:sz w:val="24"/>
          <w:szCs w:val="24"/>
        </w:rPr>
        <w:t>causing more severe</w:t>
      </w:r>
      <w:r w:rsidR="00E830DC" w:rsidRPr="00BD4525">
        <w:rPr>
          <w:rFonts w:ascii="Book Antiqua" w:hAnsi="Book Antiqua" w:cs="Times New Roman"/>
          <w:sz w:val="24"/>
          <w:szCs w:val="24"/>
        </w:rPr>
        <w:t xml:space="preserve"> symptoms</w:t>
      </w:r>
      <w:r w:rsidR="0065010F" w:rsidRPr="00BD4525">
        <w:rPr>
          <w:rFonts w:ascii="Book Antiqua" w:hAnsi="Book Antiqua" w:cs="Times New Roman"/>
          <w:sz w:val="24"/>
          <w:szCs w:val="24"/>
        </w:rPr>
        <w:t xml:space="preserve"> </w:t>
      </w:r>
      <w:r w:rsidR="00366CE6" w:rsidRPr="00BD4525">
        <w:rPr>
          <w:rFonts w:ascii="Book Antiqua" w:hAnsi="Book Antiqua" w:cs="Times New Roman"/>
          <w:sz w:val="24"/>
          <w:szCs w:val="24"/>
        </w:rPr>
        <w:t xml:space="preserve">sufficiently </w:t>
      </w:r>
      <w:r w:rsidR="00E830DC" w:rsidRPr="00BD4525">
        <w:rPr>
          <w:rFonts w:ascii="Book Antiqua" w:hAnsi="Book Antiqua" w:cs="Times New Roman"/>
          <w:sz w:val="24"/>
          <w:szCs w:val="24"/>
        </w:rPr>
        <w:t>significant to interfere with daily functioning</w:t>
      </w:r>
      <w:r w:rsidR="00366CE6" w:rsidRPr="00BD4525">
        <w:rPr>
          <w:rFonts w:ascii="Book Antiqua" w:hAnsi="Book Antiqua" w:cs="Times New Roman"/>
          <w:sz w:val="24"/>
          <w:szCs w:val="24"/>
        </w:rPr>
        <w:t xml:space="preserve"> and quality of life</w:t>
      </w:r>
      <w:r w:rsidR="00E524D0">
        <w:rPr>
          <w:rFonts w:ascii="Book Antiqua" w:hAnsi="Book Antiqua" w:cs="Times New Roman"/>
          <w:sz w:val="24"/>
          <w:szCs w:val="24"/>
        </w:rPr>
        <w:t>.</w:t>
      </w:r>
      <w:r w:rsidR="00F814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524D0">
        <w:rPr>
          <w:rFonts w:ascii="Book Antiqua" w:hAnsi="Book Antiqua" w:cs="Times New Roman"/>
          <w:sz w:val="24"/>
          <w:szCs w:val="24"/>
        </w:rPr>
        <w:t xml:space="preserve">More research is needed to conclude that this gene variant is causative and authors encourage the reporting of other patients with variants of the </w:t>
      </w:r>
      <w:r w:rsidR="00E524D0">
        <w:rPr>
          <w:rFonts w:ascii="Book Antiqua" w:hAnsi="Book Antiqua" w:cs="Times New Roman"/>
          <w:i/>
          <w:sz w:val="24"/>
          <w:szCs w:val="24"/>
        </w:rPr>
        <w:t xml:space="preserve">TNXB </w:t>
      </w:r>
      <w:r w:rsidR="00E524D0">
        <w:rPr>
          <w:rFonts w:ascii="Book Antiqua" w:hAnsi="Book Antiqua" w:cs="Times New Roman"/>
          <w:sz w:val="24"/>
          <w:szCs w:val="24"/>
        </w:rPr>
        <w:t>g</w:t>
      </w:r>
      <w:r w:rsidR="002B1235">
        <w:rPr>
          <w:rFonts w:ascii="Book Antiqua" w:hAnsi="Book Antiqua" w:cs="Times New Roman"/>
          <w:sz w:val="24"/>
          <w:szCs w:val="24"/>
        </w:rPr>
        <w:t>ene, clinical features and genotype-phenotype correlations.</w:t>
      </w:r>
    </w:p>
    <w:p w:rsidR="00233D8C" w:rsidRDefault="00233D8C" w:rsidP="008D5B3A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765CD" w:rsidRPr="00BD4525" w:rsidRDefault="003A1740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>ACKNOWLEDGEMENTS</w:t>
      </w:r>
    </w:p>
    <w:p w:rsidR="005378E2" w:rsidRPr="00BD4525" w:rsidRDefault="003A1740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sz w:val="24"/>
          <w:szCs w:val="24"/>
        </w:rPr>
        <w:t>We thank our patient.</w:t>
      </w:r>
    </w:p>
    <w:p w:rsidR="00233D8C" w:rsidRDefault="00233D8C" w:rsidP="008D5B3A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C40DB9" w:rsidRPr="00BD4525" w:rsidRDefault="00C40DB9" w:rsidP="008D5B3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D4525">
        <w:rPr>
          <w:rFonts w:ascii="Book Antiqua" w:hAnsi="Book Antiqua"/>
          <w:b/>
          <w:sz w:val="24"/>
          <w:szCs w:val="24"/>
        </w:rPr>
        <w:t>COMMENTS</w:t>
      </w:r>
    </w:p>
    <w:p w:rsidR="009D05B5" w:rsidRPr="009D05B5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9D05B5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C40DB9" w:rsidRDefault="00C40DB9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>A 28-year-old female presented with joint pain, muscle weakness, hypermobility, and Raynaud’s phenomenon. She was refe</w:t>
      </w:r>
      <w:r w:rsidR="00912948" w:rsidRPr="00BD4525">
        <w:rPr>
          <w:rFonts w:ascii="Book Antiqua" w:hAnsi="Book Antiqua"/>
          <w:sz w:val="24"/>
          <w:szCs w:val="24"/>
        </w:rPr>
        <w:t>rred to our clinic for evaluation</w:t>
      </w:r>
      <w:r w:rsidRPr="00BD4525">
        <w:rPr>
          <w:rFonts w:ascii="Book Antiqua" w:hAnsi="Book Antiqua"/>
          <w:sz w:val="24"/>
          <w:szCs w:val="24"/>
        </w:rPr>
        <w:t xml:space="preserve"> for a connective tissue disorder. </w:t>
      </w:r>
    </w:p>
    <w:p w:rsidR="00FA0D3D" w:rsidRPr="00BD4525" w:rsidRDefault="00FA0D3D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A0D3D" w:rsidRPr="00FA0D3D" w:rsidRDefault="00FA0D3D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>
        <w:rPr>
          <w:rFonts w:ascii="Book Antiqua" w:hAnsi="Book Antiqua"/>
          <w:b/>
          <w:i/>
          <w:sz w:val="24"/>
          <w:szCs w:val="24"/>
        </w:rPr>
        <w:t>Clinical diagnosis</w:t>
      </w:r>
    </w:p>
    <w:p w:rsidR="00C40DB9" w:rsidRDefault="00FA0D3D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>S</w:t>
      </w:r>
      <w:r w:rsidR="00C40DB9" w:rsidRPr="00BD4525">
        <w:rPr>
          <w:rFonts w:ascii="Book Antiqua" w:hAnsi="Book Antiqua"/>
          <w:sz w:val="24"/>
          <w:szCs w:val="24"/>
        </w:rPr>
        <w:t>evere joint pain, chronic muscle weakness, Raynaud’s phenomenon, hypermobility with Beighton hypermobility score of 6 out of 9</w:t>
      </w:r>
      <w:r w:rsidR="00912948" w:rsidRPr="00BD4525">
        <w:rPr>
          <w:rFonts w:ascii="Book Antiqua" w:hAnsi="Book Antiqua"/>
          <w:sz w:val="24"/>
          <w:szCs w:val="24"/>
        </w:rPr>
        <w:t>, mild scoliosis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FA0D3D" w:rsidRPr="00BD4525" w:rsidRDefault="00FA0D3D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A0D3D" w:rsidRPr="00FA0D3D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FA0D3D">
        <w:rPr>
          <w:rFonts w:ascii="Book Antiqua" w:hAnsi="Book Antiqua"/>
          <w:b/>
          <w:i/>
          <w:sz w:val="24"/>
          <w:szCs w:val="24"/>
        </w:rPr>
        <w:t>Differential diagnosis</w:t>
      </w:r>
    </w:p>
    <w:p w:rsidR="00C40DB9" w:rsidRDefault="00C40DB9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 xml:space="preserve">Ehlers Danlos syndrome </w:t>
      </w:r>
    </w:p>
    <w:p w:rsidR="004A0F5B" w:rsidRPr="00BD4525" w:rsidRDefault="004A0F5B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A0F5B" w:rsidRPr="004A0F5B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4A0F5B">
        <w:rPr>
          <w:rFonts w:ascii="Book Antiqua" w:hAnsi="Book Antiqua"/>
          <w:b/>
          <w:i/>
          <w:sz w:val="24"/>
          <w:szCs w:val="24"/>
        </w:rPr>
        <w:lastRenderedPageBreak/>
        <w:t>Laboratory diagnosis</w:t>
      </w:r>
      <w:r w:rsidR="004A0F5B" w:rsidRPr="004A0F5B">
        <w:rPr>
          <w:rFonts w:ascii="Book Antiqua" w:hAnsi="Book Antiqua" w:hint="eastAsia"/>
          <w:b/>
          <w:i/>
          <w:sz w:val="24"/>
          <w:szCs w:val="24"/>
          <w:lang w:eastAsia="zh-CN"/>
        </w:rPr>
        <w:t xml:space="preserve"> </w:t>
      </w:r>
    </w:p>
    <w:p w:rsidR="00C40DB9" w:rsidRDefault="00912948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>Previous r</w:t>
      </w:r>
      <w:r w:rsidR="00C40DB9" w:rsidRPr="00BD4525">
        <w:rPr>
          <w:rFonts w:ascii="Book Antiqua" w:hAnsi="Book Antiqua"/>
          <w:sz w:val="24"/>
          <w:szCs w:val="24"/>
        </w:rPr>
        <w:t>heumatology evaluation ruled out lupus or rheumatoid arthritis through antibody studies and SED rate. Testing through the University of Nebraska Medical Center (Omaha, NE) showed a nucleotide 6074A</w:t>
      </w:r>
      <w:r w:rsidR="000F79B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40DB9" w:rsidRPr="00BD4525">
        <w:rPr>
          <w:rFonts w:ascii="Book Antiqua" w:hAnsi="Book Antiqua"/>
          <w:sz w:val="24"/>
          <w:szCs w:val="24"/>
        </w:rPr>
        <w:t>&gt;</w:t>
      </w:r>
      <w:r w:rsidR="000F79B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40DB9" w:rsidRPr="00BD4525">
        <w:rPr>
          <w:rFonts w:ascii="Book Antiqua" w:hAnsi="Book Antiqua"/>
          <w:sz w:val="24"/>
          <w:szCs w:val="24"/>
        </w:rPr>
        <w:t xml:space="preserve">T transition in the </w:t>
      </w:r>
      <w:r w:rsidR="00C40DB9" w:rsidRPr="00BD4525">
        <w:rPr>
          <w:rFonts w:ascii="Book Antiqua" w:hAnsi="Book Antiqua"/>
          <w:i/>
          <w:sz w:val="24"/>
          <w:szCs w:val="24"/>
        </w:rPr>
        <w:t>TNXB</w:t>
      </w:r>
      <w:r w:rsidR="00C40DB9" w:rsidRPr="00BD4525">
        <w:rPr>
          <w:rFonts w:ascii="Book Antiqua" w:hAnsi="Book Antiqua"/>
          <w:sz w:val="24"/>
          <w:szCs w:val="24"/>
        </w:rPr>
        <w:t xml:space="preserve"> gene using a blood sample.</w:t>
      </w:r>
    </w:p>
    <w:p w:rsidR="0086137D" w:rsidRPr="00BD4525" w:rsidRDefault="0086137D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6137D" w:rsidRPr="0086137D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86137D">
        <w:rPr>
          <w:rFonts w:ascii="Book Antiqua" w:hAnsi="Book Antiqua"/>
          <w:b/>
          <w:i/>
          <w:sz w:val="24"/>
          <w:szCs w:val="24"/>
        </w:rPr>
        <w:t>Treatment</w:t>
      </w:r>
    </w:p>
    <w:p w:rsidR="00C40DB9" w:rsidRDefault="00C40DB9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 xml:space="preserve">Reduce daily stress on joints by minimizing mildly strenuous activity. Avoid hyper-extending joints. </w:t>
      </w:r>
    </w:p>
    <w:p w:rsidR="005136B6" w:rsidRPr="00BD4525" w:rsidRDefault="005136B6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5136B6" w:rsidRPr="005136B6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5136B6">
        <w:rPr>
          <w:rFonts w:ascii="Book Antiqua" w:hAnsi="Book Antiqua"/>
          <w:b/>
          <w:i/>
          <w:sz w:val="24"/>
          <w:szCs w:val="24"/>
        </w:rPr>
        <w:t>Related report</w:t>
      </w:r>
    </w:p>
    <w:p w:rsidR="00C40DB9" w:rsidRPr="00BD4525" w:rsidRDefault="00C40DB9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t xml:space="preserve">Lee H, </w:t>
      </w:r>
      <w:r w:rsidRPr="00BD4525">
        <w:rPr>
          <w:rFonts w:ascii="Book Antiqua" w:hAnsi="Book Antiqua" w:cs="Times New Roman"/>
          <w:sz w:val="24"/>
          <w:szCs w:val="24"/>
        </w:rPr>
        <w:t xml:space="preserve">Deignan JL, Dorrani N, Strom SP, Kantarci S, Quintero-Rivera F, Das K, Toy T, Harry B, Yourshaw M, Fox M, Fogel BL, Martinez-Agosto JA, Wong DA, Chang VY, Shieh PB, Palmer CG, Dipple KM, Grody WW, Vilain E, Nelson SF. Clinical exome sequencing for genetic identification of rare Mendelian disorders. </w:t>
      </w:r>
      <w:r w:rsidRPr="00BD4525">
        <w:rPr>
          <w:rFonts w:ascii="Book Antiqua" w:hAnsi="Book Antiqua" w:cs="Times New Roman"/>
          <w:i/>
          <w:sz w:val="24"/>
          <w:szCs w:val="24"/>
        </w:rPr>
        <w:t>JAMA</w:t>
      </w:r>
      <w:r w:rsidRPr="00BD4525">
        <w:rPr>
          <w:rFonts w:ascii="Book Antiqua" w:hAnsi="Book Antiqua" w:cs="Times New Roman"/>
          <w:sz w:val="24"/>
          <w:szCs w:val="24"/>
        </w:rPr>
        <w:t xml:space="preserve"> 2014; </w:t>
      </w:r>
      <w:r w:rsidR="002419A1">
        <w:rPr>
          <w:rFonts w:ascii="Book Antiqua" w:hAnsi="Book Antiqua" w:cs="Times New Roman"/>
          <w:b/>
          <w:sz w:val="24"/>
          <w:szCs w:val="24"/>
        </w:rPr>
        <w:t>312</w:t>
      </w:r>
      <w:r w:rsidRPr="002419A1">
        <w:rPr>
          <w:rFonts w:ascii="Book Antiqua" w:hAnsi="Book Antiqua" w:cs="Times New Roman"/>
          <w:sz w:val="24"/>
          <w:szCs w:val="24"/>
        </w:rPr>
        <w:t>:</w:t>
      </w:r>
      <w:r w:rsidRPr="00BD4525">
        <w:rPr>
          <w:rFonts w:ascii="Book Antiqua" w:hAnsi="Book Antiqua" w:cs="Times New Roman"/>
          <w:sz w:val="24"/>
          <w:szCs w:val="24"/>
        </w:rPr>
        <w:t xml:space="preserve"> 1880-7 [PMID: 25326637 DOI: </w:t>
      </w:r>
      <w:r w:rsidRPr="00BD4525">
        <w:rPr>
          <w:rFonts w:ascii="Book Antiqua" w:hAnsi="Book Antiqua"/>
          <w:sz w:val="24"/>
          <w:szCs w:val="24"/>
        </w:rPr>
        <w:t>10.1001/jama.2014.14604]</w:t>
      </w:r>
    </w:p>
    <w:p w:rsidR="00C40DB9" w:rsidRPr="00BD4525" w:rsidRDefault="00C40DB9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358C6" w:rsidRPr="001358C6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1358C6">
        <w:rPr>
          <w:rFonts w:ascii="Book Antiqua" w:hAnsi="Book Antiqua"/>
          <w:b/>
          <w:i/>
          <w:sz w:val="24"/>
          <w:szCs w:val="24"/>
        </w:rPr>
        <w:t>Term explanation</w:t>
      </w:r>
      <w:r w:rsidR="001358C6" w:rsidRPr="001358C6">
        <w:rPr>
          <w:rFonts w:ascii="Book Antiqua" w:hAnsi="Book Antiqua" w:hint="eastAsia"/>
          <w:b/>
          <w:i/>
          <w:sz w:val="24"/>
          <w:szCs w:val="24"/>
          <w:lang w:eastAsia="zh-CN"/>
        </w:rPr>
        <w:t xml:space="preserve"> </w:t>
      </w:r>
    </w:p>
    <w:p w:rsidR="00C40DB9" w:rsidRDefault="00C40DB9" w:rsidP="008D5B3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>Ehlers Danlos syndrome</w:t>
      </w:r>
      <w:r w:rsidR="007563C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 xml:space="preserve">includes a </w:t>
      </w:r>
      <w:r w:rsidRPr="00BD4525">
        <w:rPr>
          <w:rFonts w:ascii="Book Antiqua" w:hAnsi="Book Antiqua" w:cs="Times New Roman"/>
          <w:sz w:val="24"/>
          <w:szCs w:val="24"/>
        </w:rPr>
        <w:t>heterogeneous collection of connective tissue disorders with vascular, skeletal and skin involvement.</w:t>
      </w:r>
    </w:p>
    <w:p w:rsidR="00B10DA7" w:rsidRPr="00BD4525" w:rsidRDefault="00B10DA7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10DA7" w:rsidRPr="00B10DA7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B10DA7">
        <w:rPr>
          <w:rFonts w:ascii="Book Antiqua" w:hAnsi="Book Antiqua"/>
          <w:b/>
          <w:i/>
          <w:sz w:val="24"/>
          <w:szCs w:val="24"/>
        </w:rPr>
        <w:t>Experiences and lesson</w:t>
      </w:r>
    </w:p>
    <w:p w:rsidR="00C40DB9" w:rsidRDefault="00C40DB9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D4525">
        <w:rPr>
          <w:rFonts w:ascii="Book Antiqua" w:hAnsi="Book Antiqua"/>
          <w:sz w:val="24"/>
          <w:szCs w:val="24"/>
        </w:rPr>
        <w:t xml:space="preserve">As technology advances, </w:t>
      </w:r>
      <w:r w:rsidR="002A2719">
        <w:rPr>
          <w:rFonts w:ascii="Book Antiqua" w:hAnsi="Book Antiqua" w:hint="eastAsia"/>
          <w:sz w:val="24"/>
          <w:szCs w:val="24"/>
          <w:lang w:eastAsia="zh-CN"/>
        </w:rPr>
        <w:t>authors</w:t>
      </w:r>
      <w:r w:rsidRPr="00BD4525">
        <w:rPr>
          <w:rFonts w:ascii="Book Antiqua" w:hAnsi="Book Antiqua"/>
          <w:sz w:val="24"/>
          <w:szCs w:val="24"/>
        </w:rPr>
        <w:t xml:space="preserve"> are able to order more sophisticated genetic testing in the clinic</w:t>
      </w:r>
      <w:r w:rsidR="00912948" w:rsidRPr="00BD4525">
        <w:rPr>
          <w:rFonts w:ascii="Book Antiqua" w:hAnsi="Book Antiqua"/>
          <w:sz w:val="24"/>
          <w:szCs w:val="24"/>
        </w:rPr>
        <w:t>al</w:t>
      </w:r>
      <w:r w:rsidRPr="00BD4525">
        <w:rPr>
          <w:rFonts w:ascii="Book Antiqua" w:hAnsi="Book Antiqua"/>
          <w:sz w:val="24"/>
          <w:szCs w:val="24"/>
        </w:rPr>
        <w:t xml:space="preserve"> setting, such as the sequencing and deletion/duplication panel ordered in </w:t>
      </w:r>
      <w:r w:rsidR="00912948" w:rsidRPr="00BD4525">
        <w:rPr>
          <w:rFonts w:ascii="Book Antiqua" w:hAnsi="Book Antiqua"/>
          <w:sz w:val="24"/>
          <w:szCs w:val="24"/>
        </w:rPr>
        <w:t>this case report</w:t>
      </w:r>
      <w:r w:rsidRPr="00BD4525">
        <w:rPr>
          <w:rFonts w:ascii="Book Antiqua" w:hAnsi="Book Antiqua"/>
          <w:sz w:val="24"/>
          <w:szCs w:val="24"/>
        </w:rPr>
        <w:t xml:space="preserve">. However, the meaning of the results is not always clear, as more often than not </w:t>
      </w:r>
      <w:r w:rsidR="002A2719">
        <w:rPr>
          <w:rFonts w:ascii="Book Antiqua" w:hAnsi="Book Antiqua" w:hint="eastAsia"/>
          <w:sz w:val="24"/>
          <w:szCs w:val="24"/>
          <w:lang w:eastAsia="zh-CN"/>
        </w:rPr>
        <w:t>they</w:t>
      </w:r>
      <w:r w:rsidRPr="00BD4525">
        <w:rPr>
          <w:rFonts w:ascii="Book Antiqua" w:hAnsi="Book Antiqua"/>
          <w:sz w:val="24"/>
          <w:szCs w:val="24"/>
        </w:rPr>
        <w:t xml:space="preserve"> </w:t>
      </w:r>
      <w:r w:rsidR="00912948" w:rsidRPr="00BD4525">
        <w:rPr>
          <w:rFonts w:ascii="Book Antiqua" w:hAnsi="Book Antiqua"/>
          <w:sz w:val="24"/>
          <w:szCs w:val="24"/>
        </w:rPr>
        <w:t>identify</w:t>
      </w:r>
      <w:r w:rsidRPr="00BD4525">
        <w:rPr>
          <w:rFonts w:ascii="Book Antiqua" w:hAnsi="Book Antiqua"/>
          <w:sz w:val="24"/>
          <w:szCs w:val="24"/>
        </w:rPr>
        <w:t xml:space="preserve"> “variants of unknown clinical significance”</w:t>
      </w:r>
      <w:r w:rsidR="00950612">
        <w:rPr>
          <w:rFonts w:ascii="Book Antiqua" w:hAnsi="Book Antiqua" w:hint="eastAsia"/>
          <w:sz w:val="24"/>
          <w:szCs w:val="24"/>
          <w:lang w:eastAsia="zh-CN"/>
        </w:rPr>
        <w:t>,</w:t>
      </w:r>
      <w:r w:rsidRPr="00BD4525">
        <w:rPr>
          <w:rFonts w:ascii="Book Antiqua" w:hAnsi="Book Antiqua"/>
          <w:sz w:val="24"/>
          <w:szCs w:val="24"/>
        </w:rPr>
        <w:t xml:space="preserve"> meaning the change at the DNA level does not have a clear, recognized outcome for the phenotype. In these cases, </w:t>
      </w:r>
      <w:r w:rsidR="002A2719">
        <w:rPr>
          <w:rFonts w:ascii="Book Antiqua" w:hAnsi="Book Antiqua" w:hint="eastAsia"/>
          <w:sz w:val="24"/>
          <w:szCs w:val="24"/>
          <w:lang w:eastAsia="zh-CN"/>
        </w:rPr>
        <w:t>they</w:t>
      </w:r>
      <w:r w:rsidRPr="00BD4525">
        <w:rPr>
          <w:rFonts w:ascii="Book Antiqua" w:hAnsi="Book Antiqua"/>
          <w:sz w:val="24"/>
          <w:szCs w:val="24"/>
        </w:rPr>
        <w:t xml:space="preserve"> use computer simulation to predict whether or not the change may harmful to protein structure or function. </w:t>
      </w:r>
      <w:r w:rsidR="002A2719">
        <w:rPr>
          <w:rFonts w:ascii="Book Antiqua" w:hAnsi="Book Antiqua" w:hint="eastAsia"/>
          <w:sz w:val="24"/>
          <w:szCs w:val="24"/>
          <w:lang w:eastAsia="zh-CN"/>
        </w:rPr>
        <w:t>They</w:t>
      </w:r>
      <w:r w:rsidRPr="00BD4525">
        <w:rPr>
          <w:rFonts w:ascii="Book Antiqua" w:hAnsi="Book Antiqua"/>
          <w:sz w:val="24"/>
          <w:szCs w:val="24"/>
        </w:rPr>
        <w:t xml:space="preserve"> also review literature for cases involving the variant, with the hope of associating genotype with phenotype. In the case of the patient </w:t>
      </w:r>
      <w:r w:rsidRPr="00BD4525">
        <w:rPr>
          <w:rFonts w:ascii="Book Antiqua" w:hAnsi="Book Antiqua"/>
          <w:sz w:val="24"/>
          <w:szCs w:val="24"/>
        </w:rPr>
        <w:lastRenderedPageBreak/>
        <w:t xml:space="preserve">reported in this manuscript, </w:t>
      </w:r>
      <w:r w:rsidR="002A2719">
        <w:rPr>
          <w:rFonts w:ascii="Book Antiqua" w:hAnsi="Book Antiqua" w:hint="eastAsia"/>
          <w:sz w:val="24"/>
          <w:szCs w:val="24"/>
          <w:lang w:eastAsia="zh-CN"/>
        </w:rPr>
        <w:t>they</w:t>
      </w:r>
      <w:r w:rsidRPr="00BD4525">
        <w:rPr>
          <w:rFonts w:ascii="Book Antiqua" w:hAnsi="Book Antiqua"/>
          <w:sz w:val="24"/>
          <w:szCs w:val="24"/>
        </w:rPr>
        <w:t xml:space="preserve"> concluded through in-depth examination of the variant and a comprehensive literature review that the 6074A</w:t>
      </w:r>
      <w:r w:rsidR="007B6B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>&gt;</w:t>
      </w:r>
      <w:r w:rsidR="007B6B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D4525">
        <w:rPr>
          <w:rFonts w:ascii="Book Antiqua" w:hAnsi="Book Antiqua"/>
          <w:sz w:val="24"/>
          <w:szCs w:val="24"/>
        </w:rPr>
        <w:t xml:space="preserve">T transition in the </w:t>
      </w:r>
      <w:r w:rsidRPr="00BD4525">
        <w:rPr>
          <w:rFonts w:ascii="Book Antiqua" w:hAnsi="Book Antiqua"/>
          <w:i/>
          <w:sz w:val="24"/>
          <w:szCs w:val="24"/>
        </w:rPr>
        <w:t>TNXB</w:t>
      </w:r>
      <w:r w:rsidRPr="00BD4525">
        <w:rPr>
          <w:rFonts w:ascii="Book Antiqua" w:hAnsi="Book Antiqua"/>
          <w:sz w:val="24"/>
          <w:szCs w:val="24"/>
        </w:rPr>
        <w:t xml:space="preserve"> gene seen in our patient is </w:t>
      </w:r>
      <w:r w:rsidR="00912948" w:rsidRPr="00BD4525">
        <w:rPr>
          <w:rFonts w:ascii="Book Antiqua" w:hAnsi="Book Antiqua"/>
          <w:sz w:val="24"/>
          <w:szCs w:val="24"/>
        </w:rPr>
        <w:t xml:space="preserve">likely </w:t>
      </w:r>
      <w:r w:rsidRPr="00BD4525">
        <w:rPr>
          <w:rFonts w:ascii="Book Antiqua" w:hAnsi="Book Antiqua"/>
          <w:sz w:val="24"/>
          <w:szCs w:val="24"/>
        </w:rPr>
        <w:t xml:space="preserve">pathogenic and causes a moderate to severe form of Ehlers Danlos syndrome. </w:t>
      </w:r>
    </w:p>
    <w:p w:rsidR="00912D3A" w:rsidRPr="00BD4525" w:rsidRDefault="00912D3A" w:rsidP="008D5B3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912D3A" w:rsidRPr="00912D3A" w:rsidRDefault="00C40DB9" w:rsidP="008D5B3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912D3A">
        <w:rPr>
          <w:rFonts w:ascii="Book Antiqua" w:hAnsi="Book Antiqua"/>
          <w:b/>
          <w:i/>
          <w:sz w:val="24"/>
          <w:szCs w:val="24"/>
        </w:rPr>
        <w:t>Peer-review</w:t>
      </w:r>
    </w:p>
    <w:p w:rsidR="008E57DF" w:rsidRPr="00BD4525" w:rsidRDefault="0075378A" w:rsidP="0075378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75378A">
        <w:rPr>
          <w:rFonts w:ascii="Book Antiqua" w:hAnsi="Book Antiqua"/>
          <w:sz w:val="24"/>
          <w:szCs w:val="24"/>
        </w:rPr>
        <w:t>The author</w:t>
      </w:r>
      <w:r>
        <w:rPr>
          <w:rFonts w:ascii="Book Antiqua" w:hAnsi="Book Antiqua" w:hint="eastAsia"/>
          <w:sz w:val="24"/>
          <w:szCs w:val="24"/>
          <w:lang w:eastAsia="zh-CN"/>
        </w:rPr>
        <w:t>s</w:t>
      </w:r>
      <w:r w:rsidRPr="0075378A">
        <w:rPr>
          <w:rFonts w:ascii="Book Antiqua" w:hAnsi="Book Antiqua"/>
          <w:sz w:val="24"/>
          <w:szCs w:val="24"/>
        </w:rPr>
        <w:t xml:space="preserve"> report a case of Ehlers-</w:t>
      </w:r>
      <w:proofErr w:type="spellStart"/>
      <w:r w:rsidRPr="0075378A">
        <w:rPr>
          <w:rFonts w:ascii="Book Antiqua" w:hAnsi="Book Antiqua"/>
          <w:sz w:val="24"/>
          <w:szCs w:val="24"/>
        </w:rPr>
        <w:t>Danlos</w:t>
      </w:r>
      <w:proofErr w:type="spellEnd"/>
      <w:r w:rsidRPr="0075378A">
        <w:rPr>
          <w:rFonts w:ascii="Book Antiqua" w:hAnsi="Book Antiqua"/>
          <w:sz w:val="24"/>
          <w:szCs w:val="24"/>
        </w:rPr>
        <w:t xml:space="preserve"> syndrome with a mutation in TNXB gene.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>
        <w:rPr>
          <w:rFonts w:ascii="Book Antiqua" w:hAnsi="Book Antiqua"/>
          <w:sz w:val="24"/>
          <w:szCs w:val="24"/>
        </w:rPr>
        <w:t>The report is interesting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8E57DF" w:rsidRPr="00BD4525" w:rsidRDefault="008E57DF" w:rsidP="008D5B3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E57DF" w:rsidRPr="00BD4525" w:rsidRDefault="008E57DF" w:rsidP="008D5B3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E57DF" w:rsidRPr="00BD4525" w:rsidRDefault="008E57DF" w:rsidP="008D5B3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E57DF" w:rsidRPr="00BD4525" w:rsidRDefault="008E57DF" w:rsidP="008D5B3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15098E" w:rsidRPr="00BD4525" w:rsidRDefault="0015098E" w:rsidP="008D5B3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615D2" w:rsidRPr="00BD4525" w:rsidRDefault="00E615D2" w:rsidP="008D5B3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528F3" w:rsidRPr="00BD4525" w:rsidRDefault="000528F3" w:rsidP="008D5B3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br w:type="page"/>
      </w:r>
    </w:p>
    <w:p w:rsidR="003A1740" w:rsidRPr="00BD4525" w:rsidRDefault="003A1740" w:rsidP="008D5B3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D4525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bookmarkStart w:id="9" w:name="OLE_LINK1"/>
      <w:bookmarkStart w:id="10" w:name="OLE_LINK2"/>
      <w:bookmarkStart w:id="11" w:name="OLE_LINK8"/>
      <w:bookmarkStart w:id="12" w:name="OLE_LINK176"/>
      <w:bookmarkStart w:id="13" w:name="OLE_LINK187"/>
      <w:bookmarkStart w:id="14" w:name="OLE_LINK188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</w:t>
      </w:r>
      <w:r w:rsidRPr="00640EB6">
        <w:rPr>
          <w:rFonts w:ascii="Book Antiqua" w:eastAsia="宋体" w:hAnsi="Book Antiqua" w:cs="Times New Roman"/>
          <w:b/>
          <w:sz w:val="24"/>
          <w:szCs w:val="24"/>
          <w:lang w:val="fr-FR" w:eastAsia="fr-FR"/>
        </w:rPr>
        <w:t xml:space="preserve"> Online Mendelian Inheritance in Man</w:t>
      </w:r>
      <w:r w:rsidRPr="00640EB6">
        <w:rPr>
          <w:rFonts w:ascii="Book Antiqua" w:eastAsia="宋体" w:hAnsi="Book Antiqua" w:cs="Times New Roman"/>
          <w:sz w:val="24"/>
          <w:szCs w:val="24"/>
          <w:lang w:val="fr-FR" w:eastAsia="fr-FR"/>
        </w:rPr>
        <w:t xml:space="preserve">. Johns Hopkins University, Baltimore, MD. </w:t>
      </w:r>
      <w:r w:rsidR="0022037E">
        <w:rPr>
          <w:rFonts w:ascii="Book Antiqua" w:eastAsia="宋体" w:hAnsi="Book Antiqua" w:cs="Times New Roman"/>
          <w:sz w:val="24"/>
          <w:szCs w:val="24"/>
          <w:lang w:val="fr-FR" w:eastAsia="fr-FR"/>
        </w:rPr>
        <w:t>[</w:t>
      </w:r>
      <w:proofErr w:type="spellStart"/>
      <w:proofErr w:type="gramStart"/>
      <w:r w:rsidR="0022037E">
        <w:rPr>
          <w:rFonts w:ascii="Book Antiqua" w:eastAsia="宋体" w:hAnsi="Book Antiqua" w:cs="Times New Roman"/>
          <w:sz w:val="24"/>
          <w:szCs w:val="24"/>
          <w:lang w:val="fr-FR" w:eastAsia="fr-FR"/>
        </w:rPr>
        <w:t>updated</w:t>
      </w:r>
      <w:proofErr w:type="spellEnd"/>
      <w:proofErr w:type="gramEnd"/>
      <w:r w:rsidR="0022037E">
        <w:rPr>
          <w:rFonts w:ascii="Book Antiqua" w:eastAsia="宋体" w:hAnsi="Book Antiqua" w:cs="Times New Roman"/>
          <w:sz w:val="24"/>
          <w:szCs w:val="24"/>
          <w:lang w:val="fr-FR" w:eastAsia="fr-FR"/>
        </w:rPr>
        <w:t xml:space="preserve"> </w:t>
      </w:r>
      <w:r w:rsidR="0022037E">
        <w:rPr>
          <w:rFonts w:ascii="Book Antiqua" w:eastAsia="宋体" w:hAnsi="Book Antiqua" w:cs="Times New Roman" w:hint="eastAsia"/>
          <w:sz w:val="24"/>
          <w:szCs w:val="24"/>
          <w:lang w:val="fr-FR" w:eastAsia="zh-CN"/>
        </w:rPr>
        <w:t xml:space="preserve">2014 </w:t>
      </w:r>
      <w:proofErr w:type="spellStart"/>
      <w:r w:rsidR="0022037E">
        <w:rPr>
          <w:rFonts w:ascii="Book Antiqua" w:eastAsia="宋体" w:hAnsi="Book Antiqua" w:cs="Times New Roman" w:hint="eastAsia"/>
          <w:sz w:val="24"/>
          <w:szCs w:val="24"/>
          <w:lang w:val="fr-FR" w:eastAsia="zh-CN"/>
        </w:rPr>
        <w:t>Aug</w:t>
      </w:r>
      <w:proofErr w:type="spellEnd"/>
      <w:r w:rsidR="0022037E">
        <w:rPr>
          <w:rFonts w:ascii="Book Antiqua" w:eastAsia="宋体" w:hAnsi="Book Antiqua" w:cs="Times New Roman" w:hint="eastAsia"/>
          <w:sz w:val="24"/>
          <w:szCs w:val="24"/>
          <w:lang w:val="fr-FR" w:eastAsia="zh-CN"/>
        </w:rPr>
        <w:t xml:space="preserve"> </w:t>
      </w:r>
      <w:r w:rsidRPr="00640EB6">
        <w:rPr>
          <w:rFonts w:ascii="Book Antiqua" w:eastAsia="宋体" w:hAnsi="Book Antiqua" w:cs="Times New Roman" w:hint="eastAsia"/>
          <w:sz w:val="24"/>
          <w:szCs w:val="24"/>
          <w:lang w:val="fr-FR" w:eastAsia="zh-CN"/>
        </w:rPr>
        <w:t>26</w:t>
      </w:r>
      <w:r w:rsidR="0022037E">
        <w:rPr>
          <w:rFonts w:ascii="Book Antiqua" w:eastAsia="宋体" w:hAnsi="Book Antiqua" w:cs="Times New Roman"/>
          <w:sz w:val="24"/>
          <w:szCs w:val="24"/>
          <w:lang w:val="fr-FR" w:eastAsia="zh-CN"/>
        </w:rPr>
        <w:t>]</w:t>
      </w:r>
      <w:r w:rsidRPr="00640EB6">
        <w:rPr>
          <w:rFonts w:ascii="Book Antiqua" w:eastAsia="宋体" w:hAnsi="Book Antiqua" w:cs="Times New Roman"/>
          <w:sz w:val="24"/>
          <w:szCs w:val="24"/>
          <w:lang w:val="fr-FR" w:eastAsia="fr-FR"/>
        </w:rPr>
        <w:t xml:space="preserve">. </w:t>
      </w:r>
      <w:bookmarkStart w:id="15" w:name="OLE_LINK1065"/>
      <w:r w:rsidRPr="00640EB6">
        <w:rPr>
          <w:rFonts w:ascii="Book Antiqua" w:eastAsia="宋体" w:hAnsi="Book Antiqua" w:cs="Garamond"/>
          <w:sz w:val="24"/>
          <w:szCs w:val="24"/>
          <w:lang w:val="fr-FR" w:eastAsia="fr-FR"/>
        </w:rPr>
        <w:t xml:space="preserve">Available from: URL: </w:t>
      </w:r>
      <w:bookmarkEnd w:id="15"/>
      <w:r w:rsidRPr="00640EB6">
        <w:rPr>
          <w:rFonts w:ascii="Book Antiqua" w:eastAsia="宋体" w:hAnsi="Book Antiqua" w:cs="Garamond"/>
          <w:sz w:val="24"/>
          <w:szCs w:val="24"/>
          <w:lang w:val="fr-FR" w:eastAsia="fr-FR"/>
        </w:rPr>
        <w:t>http//</w:t>
      </w:r>
      <w:r w:rsidRPr="00640EB6">
        <w:rPr>
          <w:rFonts w:ascii="Book Antiqua" w:eastAsia="宋体" w:hAnsi="Book Antiqua" w:cs="Times New Roman"/>
          <w:sz w:val="24"/>
          <w:szCs w:val="24"/>
          <w:lang w:val="fr-FR" w:eastAsia="fr-FR"/>
        </w:rPr>
        <w:t>omim.org/entry/606408?search=tnxb&amp;highlight=tnxb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Lee H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Deignan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JL,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Dorrani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N, Strom SP,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Kantarci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Quintero-Rivera F, Das K, Toy T, Harry B,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Yourshaw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Fox M,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Fogel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BL, Martinez-Agosto JA, Wong DA, Chang VY, Shieh PB, Palmer CG, Dipple KM,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Grody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WW,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Vilain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E, Nelson SF. Clinical exome sequencing for genetic identification of rare Mendelian disorders.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JAMA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312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1880-1887 [PMID: 25326637 DOI: 10.1001/jama.2014.14604]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3 </w:t>
      </w:r>
      <w:r w:rsidRPr="00640EB6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Ehlers E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Cutis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laxa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neigung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zu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harmorrhagien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der haut,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lockerun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mehrer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Artikulationen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proofErr w:type="spellStart"/>
      <w:r w:rsidRPr="00640EB6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Dermat</w:t>
      </w:r>
      <w:proofErr w:type="spellEnd"/>
      <w:r w:rsidRPr="00640EB6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640EB6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Ztschr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1901; </w:t>
      </w:r>
      <w:r w:rsidRPr="00640EB6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8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173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Parapia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LA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Jackson C. Ehlers-Danlos syndrome--a historical review.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Br J </w:t>
      </w:r>
      <w:proofErr w:type="spellStart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Haematol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141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32-35 [PMID: 18324963 DOI: 10.1111/j.1365-2141.2008.06994.x]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Sobey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Ehlers-Danlos syndrome</w:t>
      </w:r>
      <w:proofErr w:type="gram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how to diagnose and when to perform genetic tests.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Arch Dis Child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2015;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100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57-61 [PMID: 24994860 DOI: 10.1136/archdischild-2013-304822]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Beighton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Solomon L,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Soskolne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CL. Articular mobility in an African population.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Ann Rheum Dis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1973;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32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413-418 [PMID: 4751776 DOI: 10.1136/ard.32.5.413]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7 </w:t>
      </w:r>
      <w:r w:rsidRPr="00640EB6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National Library of Medicine (US)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Genetics Home Reference [Internet]. Bethesda (MD): The Library; 2016 Mar 28. TNXB</w:t>
      </w:r>
      <w:r w:rsidRPr="00640EB6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.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[</w:t>
      </w:r>
      <w:proofErr w:type="gram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reviewed</w:t>
      </w:r>
      <w:proofErr w:type="gram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2015 Nov; cited 2016 Apr 7]. </w:t>
      </w:r>
      <w:r w:rsidRPr="00640EB6">
        <w:rPr>
          <w:rFonts w:ascii="Book Antiqua" w:eastAsia="宋体" w:hAnsi="Book Antiqua" w:cs="Garamond"/>
          <w:sz w:val="24"/>
          <w:szCs w:val="24"/>
          <w:lang w:val="fr-FR" w:eastAsia="fr-FR"/>
        </w:rPr>
        <w:t>Available from: URL: http//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ghr.nlm.nih.gov/gene/TNXB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Mao JR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Taylor G, Dean WB, Wagner DR, Afzal V,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Lotz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JC, Rubin EM, Bristow J. Tenascin-X deficiency mimics Ehlers-Danlos syndrome in mice through alteration of collagen deposition.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Nat Genet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2002;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30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421-425 [PMID: 11925569 DOI: 10.1038/ng850]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Schalkwijk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J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Zweers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MC,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Steijlen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PM, Dean WB, Taylor G, van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Vlijmen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IM, van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Haren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B, Miller WL, Bristow J. A recessive form of the Ehlers-Danlos syndrome caused by tenascin-X deficiency.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N </w:t>
      </w:r>
      <w:proofErr w:type="spellStart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Engl</w:t>
      </w:r>
      <w:proofErr w:type="spellEnd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J Med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2001;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345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1167-1175 [PMID: 11642233 DOI: 10.1056/NEJMoa002939]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10 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Zweers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MC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Dean WB, van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Kuppevelt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TH, Bristow J,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Schalkwijk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J. Elastic fiber abnormalities in hypermobility type Ehlers-Danlos syndrome patients with tenascin-X 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mutations. </w:t>
      </w:r>
      <w:proofErr w:type="spellStart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Genet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67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330-334 [PMID: 15733269 DOI: 10.1111/j.1399-0004.2005.00401.x]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11 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Beighton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Horan F.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Orthopaedic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aspects of the Ehlers-Danlos syndrome.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Bone Joint </w:t>
      </w:r>
      <w:proofErr w:type="spellStart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Br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1969;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51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444-453 [PMID: 5820785]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12 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Beighton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De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Paepe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Steinmann B,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Tsipouras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Wenstrup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RJ. Ehlers-Danlos syndromes: revised nosology,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Villefranche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1997. Ehlers-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Danlos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National Foundation (USA) and Ehlers-Danlos Support Group (UK).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Am J Med Genet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1998;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77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31-37 [PMID: 9557891 DOI: 10.1002/(</w:t>
      </w:r>
      <w:proofErr w:type="gram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SI</w:t>
      </w:r>
      <w:r w:rsidR="002203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CI)1096</w:t>
      </w:r>
      <w:proofErr w:type="gramEnd"/>
      <w:r w:rsidR="002203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-8628(19980428)77: </w:t>
      </w:r>
      <w:bookmarkStart w:id="16" w:name="_GoBack"/>
      <w:bookmarkEnd w:id="16"/>
      <w:r w:rsidR="002203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1&lt;31::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AID-AJMG8&gt;3.0.CO; 2-O]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13 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De 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Paepe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Malfait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F. The Ehlers-Danlos syndrome, a disorder with many faces. </w:t>
      </w:r>
      <w:proofErr w:type="spellStart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Genet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82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1-11 [PMID: 22353005 DOI: 10.1111/j.1399-0004.2012.01858.x]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14 </w:t>
      </w:r>
      <w:proofErr w:type="spellStart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Juul-Kristensen</w:t>
      </w:r>
      <w:proofErr w:type="spellEnd"/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B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Røgind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Jensen DV, </w:t>
      </w:r>
      <w:proofErr w:type="spellStart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Remvig</w:t>
      </w:r>
      <w:proofErr w:type="spellEnd"/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L. Inter-examiner reproducibility of tests and criteria for generalized joint hypermobility and benign joint hypermobility syndrome. </w:t>
      </w:r>
      <w:r w:rsidRPr="00640EB6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Rheumatology</w:t>
      </w:r>
      <w:r w:rsidRPr="00640EB6">
        <w:rPr>
          <w:rFonts w:ascii="Book Antiqua" w:eastAsia="宋体" w:hAnsi="Book Antiqua" w:cs="宋体"/>
          <w:iCs/>
          <w:color w:val="000000"/>
          <w:sz w:val="24"/>
          <w:szCs w:val="24"/>
          <w:lang w:eastAsia="zh-CN"/>
        </w:rPr>
        <w:t xml:space="preserve"> (Oxford)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2007; </w:t>
      </w:r>
      <w:r w:rsidRPr="00640EB6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46</w:t>
      </w:r>
      <w:r w:rsidRPr="00640EB6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1835-1841 [PMID: 18006569 DOI: 10.1093/rheumatology/kem290]</w:t>
      </w:r>
    </w:p>
    <w:p w:rsidR="00640EB6" w:rsidRPr="00640EB6" w:rsidRDefault="00640EB6" w:rsidP="00640EB6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</w:p>
    <w:p w:rsidR="00640EB6" w:rsidRPr="00640EB6" w:rsidRDefault="00640EB6" w:rsidP="00640EB6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640EB6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P-Reviewer: </w:t>
      </w:r>
      <w:proofErr w:type="spellStart"/>
      <w:r w:rsidRPr="00640EB6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Castori</w:t>
      </w:r>
      <w:proofErr w:type="spellEnd"/>
      <w:r w:rsidRPr="00640EB6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M, </w:t>
      </w:r>
      <w:r w:rsidRPr="00640EB6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Sakamoto</w:t>
      </w:r>
      <w:r w:rsidRPr="00640EB6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A, </w:t>
      </w:r>
      <w:proofErr w:type="spellStart"/>
      <w:r w:rsidRPr="00640EB6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Sakkas</w:t>
      </w:r>
      <w:proofErr w:type="spellEnd"/>
      <w:r w:rsidRPr="00640EB6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LI</w:t>
      </w:r>
      <w:r w:rsidRPr="00640EB6">
        <w:rPr>
          <w:rFonts w:ascii="Book Antiqua" w:eastAsia="宋体" w:hAnsi="Book Antiqua" w:cs="Courier New" w:hint="eastAsia"/>
          <w:kern w:val="2"/>
          <w:sz w:val="24"/>
          <w:szCs w:val="24"/>
          <w:lang w:val="fr-FR" w:eastAsia="zh-CN"/>
        </w:rPr>
        <w:t xml:space="preserve"> </w:t>
      </w:r>
      <w:r w:rsidRPr="00640EB6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S-Editor: </w:t>
      </w:r>
      <w:proofErr w:type="spellStart"/>
      <w:r w:rsidRPr="00640EB6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Qiu</w:t>
      </w:r>
      <w:proofErr w:type="spellEnd"/>
      <w:r w:rsidRPr="00640EB6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 xml:space="preserve"> S</w:t>
      </w:r>
      <w:r w:rsidRPr="00640EB6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 L-Editor: E-Editor:</w:t>
      </w:r>
      <w:bookmarkEnd w:id="9"/>
      <w:bookmarkEnd w:id="10"/>
      <w:bookmarkEnd w:id="11"/>
      <w:bookmarkEnd w:id="12"/>
      <w:bookmarkEnd w:id="13"/>
      <w:bookmarkEnd w:id="14"/>
    </w:p>
    <w:p w:rsidR="00DC3D98" w:rsidRDefault="00DC3D98" w:rsidP="008D5B3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463C3C" w:rsidRDefault="00DC3D98" w:rsidP="008D5B3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  <w:r w:rsidRPr="0029117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5816A783" wp14:editId="78254140">
            <wp:extent cx="1857375" cy="13930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rah Hilliard 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C7B">
        <w:rPr>
          <w:rFonts w:ascii="Book Antiqua" w:hAnsi="Book Antiqua" w:hint="eastAsia"/>
          <w:noProof/>
          <w:sz w:val="24"/>
          <w:szCs w:val="24"/>
          <w:lang w:eastAsia="zh-CN"/>
        </w:rPr>
        <w:t xml:space="preserve"> </w:t>
      </w:r>
      <w:r w:rsidRPr="0029117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8452D55" wp14:editId="20E9041A">
            <wp:extent cx="1800225" cy="135016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rah Hilliard 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C7B">
        <w:rPr>
          <w:rFonts w:ascii="Book Antiqua" w:hAnsi="Book Antiqua" w:hint="eastAsia"/>
          <w:noProof/>
          <w:sz w:val="24"/>
          <w:szCs w:val="24"/>
          <w:lang w:eastAsia="zh-CN"/>
        </w:rPr>
        <w:t xml:space="preserve"> </w:t>
      </w:r>
      <w:r w:rsidRPr="0029117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64F1457" wp14:editId="42CC1E9A">
            <wp:extent cx="1777997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rah Hilliard 0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9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98" w:rsidRDefault="00DC3D98" w:rsidP="008D5B3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</w:p>
    <w:p w:rsidR="00DC3D98" w:rsidRPr="00DC3D98" w:rsidRDefault="00DC3D98" w:rsidP="008D5B3A">
      <w:pPr>
        <w:spacing w:after="0"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DC3D98">
        <w:rPr>
          <w:rFonts w:ascii="Book Antiqua" w:hAnsi="Book Antiqua"/>
          <w:b/>
          <w:noProof/>
          <w:sz w:val="24"/>
          <w:szCs w:val="24"/>
        </w:rPr>
        <w:t>Figure 1</w:t>
      </w:r>
      <w:r w:rsidRPr="00DC3D98">
        <w:rPr>
          <w:rFonts w:ascii="Book Antiqua" w:hAnsi="Book Antiqua"/>
          <w:noProof/>
          <w:sz w:val="24"/>
          <w:szCs w:val="24"/>
        </w:rPr>
        <w:t xml:space="preserve"> </w:t>
      </w:r>
      <w:r w:rsidRPr="00DC3D98">
        <w:rPr>
          <w:rFonts w:ascii="Book Antiqua" w:hAnsi="Book Antiqua"/>
          <w:b/>
          <w:noProof/>
          <w:sz w:val="24"/>
          <w:szCs w:val="24"/>
        </w:rPr>
        <w:t>Patient displays extreme hyperflexibility as represented by bilateral positive thumb</w:t>
      </w:r>
      <w:r w:rsidR="00AD2C7B">
        <w:rPr>
          <w:rFonts w:ascii="Book Antiqua" w:hAnsi="Book Antiqua" w:hint="eastAsia"/>
          <w:b/>
          <w:noProof/>
          <w:sz w:val="24"/>
          <w:szCs w:val="24"/>
          <w:lang w:eastAsia="zh-CN"/>
        </w:rPr>
        <w:t xml:space="preserve"> </w:t>
      </w:r>
      <w:r w:rsidRPr="00DC3D98">
        <w:rPr>
          <w:rFonts w:ascii="Book Antiqua" w:hAnsi="Book Antiqua"/>
          <w:b/>
          <w:noProof/>
          <w:sz w:val="24"/>
          <w:szCs w:val="24"/>
        </w:rPr>
        <w:t>to wrist signs on the Beighton hyperflexibility scale</w:t>
      </w:r>
      <w:r w:rsidRPr="00DC3D98">
        <w:rPr>
          <w:rFonts w:ascii="Book Antiqua" w:hAnsi="Book Antiqua"/>
          <w:b/>
          <w:noProof/>
          <w:sz w:val="24"/>
          <w:szCs w:val="24"/>
          <w:vertAlign w:val="superscript"/>
        </w:rPr>
        <w:t>[6]</w:t>
      </w:r>
      <w:r w:rsidR="008D5B3A">
        <w:rPr>
          <w:rFonts w:ascii="Book Antiqua" w:hAnsi="Book Antiqua" w:hint="eastAsia"/>
          <w:b/>
          <w:noProof/>
          <w:sz w:val="24"/>
          <w:szCs w:val="24"/>
          <w:lang w:eastAsia="zh-CN"/>
        </w:rPr>
        <w:t>.</w:t>
      </w:r>
      <w:r w:rsidRPr="00DC3D98">
        <w:rPr>
          <w:rFonts w:ascii="Book Antiqua" w:hAnsi="Book Antiqua"/>
          <w:b/>
          <w:noProof/>
          <w:sz w:val="24"/>
          <w:szCs w:val="24"/>
        </w:rPr>
        <w:t xml:space="preserve"> </w:t>
      </w:r>
      <w:r w:rsidRPr="008D5B3A">
        <w:rPr>
          <w:rFonts w:ascii="Book Antiqua" w:hAnsi="Book Antiqua"/>
          <w:noProof/>
          <w:sz w:val="24"/>
          <w:szCs w:val="24"/>
        </w:rPr>
        <w:t>Raynaud’s phenomenon of the fingers with cool temperature and decreased blood flow.</w:t>
      </w:r>
    </w:p>
    <w:p w:rsidR="00DC3D98" w:rsidRPr="00DC3D98" w:rsidRDefault="00DC3D98" w:rsidP="008D5B3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sectPr w:rsidR="00DC3D98" w:rsidRPr="00DC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3" w:rsidRDefault="003E0883" w:rsidP="00C74B46">
      <w:pPr>
        <w:spacing w:after="0" w:line="240" w:lineRule="auto"/>
      </w:pPr>
      <w:r>
        <w:separator/>
      </w:r>
    </w:p>
  </w:endnote>
  <w:endnote w:type="continuationSeparator" w:id="0">
    <w:p w:rsidR="003E0883" w:rsidRDefault="003E0883" w:rsidP="00C7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3" w:rsidRDefault="003E0883" w:rsidP="00C74B46">
      <w:pPr>
        <w:spacing w:after="0" w:line="240" w:lineRule="auto"/>
      </w:pPr>
      <w:r>
        <w:separator/>
      </w:r>
    </w:p>
  </w:footnote>
  <w:footnote w:type="continuationSeparator" w:id="0">
    <w:p w:rsidR="003E0883" w:rsidRDefault="003E0883" w:rsidP="00C7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8F4"/>
    <w:multiLevelType w:val="hybridMultilevel"/>
    <w:tmpl w:val="8FDC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D"/>
    <w:rsid w:val="00007056"/>
    <w:rsid w:val="00016611"/>
    <w:rsid w:val="0004330B"/>
    <w:rsid w:val="0004765D"/>
    <w:rsid w:val="000528F3"/>
    <w:rsid w:val="00066AD0"/>
    <w:rsid w:val="00073EBD"/>
    <w:rsid w:val="00082F44"/>
    <w:rsid w:val="000A5E38"/>
    <w:rsid w:val="000D0C1D"/>
    <w:rsid w:val="000D2816"/>
    <w:rsid w:val="000D5EAA"/>
    <w:rsid w:val="000D744E"/>
    <w:rsid w:val="000E2D9F"/>
    <w:rsid w:val="000E6C6A"/>
    <w:rsid w:val="000F2BA0"/>
    <w:rsid w:val="000F51D5"/>
    <w:rsid w:val="000F79BC"/>
    <w:rsid w:val="00100335"/>
    <w:rsid w:val="0012488A"/>
    <w:rsid w:val="00126741"/>
    <w:rsid w:val="0013426C"/>
    <w:rsid w:val="001358C6"/>
    <w:rsid w:val="001407A6"/>
    <w:rsid w:val="0015098E"/>
    <w:rsid w:val="00186F0F"/>
    <w:rsid w:val="001A066F"/>
    <w:rsid w:val="001A66D4"/>
    <w:rsid w:val="001B6B0A"/>
    <w:rsid w:val="001C2EC1"/>
    <w:rsid w:val="001D70C2"/>
    <w:rsid w:val="001E7AC2"/>
    <w:rsid w:val="001F009F"/>
    <w:rsid w:val="001F1B93"/>
    <w:rsid w:val="001F61A0"/>
    <w:rsid w:val="0020153E"/>
    <w:rsid w:val="00215664"/>
    <w:rsid w:val="0022037E"/>
    <w:rsid w:val="00233D8C"/>
    <w:rsid w:val="002419A1"/>
    <w:rsid w:val="00257D88"/>
    <w:rsid w:val="00282257"/>
    <w:rsid w:val="002A2719"/>
    <w:rsid w:val="002A45FD"/>
    <w:rsid w:val="002A4D93"/>
    <w:rsid w:val="002A6936"/>
    <w:rsid w:val="002B1235"/>
    <w:rsid w:val="002B74B0"/>
    <w:rsid w:val="002B7880"/>
    <w:rsid w:val="002C4727"/>
    <w:rsid w:val="002E4882"/>
    <w:rsid w:val="002E6E23"/>
    <w:rsid w:val="002F42C4"/>
    <w:rsid w:val="002F46E3"/>
    <w:rsid w:val="00305ACB"/>
    <w:rsid w:val="00320278"/>
    <w:rsid w:val="00323855"/>
    <w:rsid w:val="003238FD"/>
    <w:rsid w:val="00335C9C"/>
    <w:rsid w:val="003470E8"/>
    <w:rsid w:val="0034750E"/>
    <w:rsid w:val="003660E5"/>
    <w:rsid w:val="00366CE6"/>
    <w:rsid w:val="00381A35"/>
    <w:rsid w:val="00383CFE"/>
    <w:rsid w:val="003A1740"/>
    <w:rsid w:val="003B046F"/>
    <w:rsid w:val="003B583C"/>
    <w:rsid w:val="003C4FF9"/>
    <w:rsid w:val="003C52FE"/>
    <w:rsid w:val="003D3657"/>
    <w:rsid w:val="003D464E"/>
    <w:rsid w:val="003E0883"/>
    <w:rsid w:val="003F194A"/>
    <w:rsid w:val="00425EB7"/>
    <w:rsid w:val="0044298F"/>
    <w:rsid w:val="00463C3C"/>
    <w:rsid w:val="004A0F5B"/>
    <w:rsid w:val="004A62DE"/>
    <w:rsid w:val="004C442F"/>
    <w:rsid w:val="004F1E84"/>
    <w:rsid w:val="004F4963"/>
    <w:rsid w:val="004F715F"/>
    <w:rsid w:val="005017F9"/>
    <w:rsid w:val="005136B6"/>
    <w:rsid w:val="0051506E"/>
    <w:rsid w:val="00530381"/>
    <w:rsid w:val="005378E2"/>
    <w:rsid w:val="0054306C"/>
    <w:rsid w:val="00543674"/>
    <w:rsid w:val="00550469"/>
    <w:rsid w:val="00555954"/>
    <w:rsid w:val="00555A97"/>
    <w:rsid w:val="0057165B"/>
    <w:rsid w:val="00577B3D"/>
    <w:rsid w:val="005B3D68"/>
    <w:rsid w:val="005B7077"/>
    <w:rsid w:val="005E06F1"/>
    <w:rsid w:val="005E3AFB"/>
    <w:rsid w:val="005E56DE"/>
    <w:rsid w:val="005F2F2F"/>
    <w:rsid w:val="005F33A3"/>
    <w:rsid w:val="006029F3"/>
    <w:rsid w:val="00603656"/>
    <w:rsid w:val="0060468A"/>
    <w:rsid w:val="00612693"/>
    <w:rsid w:val="00612E4F"/>
    <w:rsid w:val="00616ED9"/>
    <w:rsid w:val="00622684"/>
    <w:rsid w:val="00623BC5"/>
    <w:rsid w:val="00640EB6"/>
    <w:rsid w:val="0065010F"/>
    <w:rsid w:val="006556C5"/>
    <w:rsid w:val="00660229"/>
    <w:rsid w:val="006707EF"/>
    <w:rsid w:val="00683DFC"/>
    <w:rsid w:val="00685B5D"/>
    <w:rsid w:val="006954F9"/>
    <w:rsid w:val="00695F2D"/>
    <w:rsid w:val="006965FF"/>
    <w:rsid w:val="00701ADA"/>
    <w:rsid w:val="00715A36"/>
    <w:rsid w:val="00727451"/>
    <w:rsid w:val="0073356A"/>
    <w:rsid w:val="0075378A"/>
    <w:rsid w:val="007563CA"/>
    <w:rsid w:val="00782719"/>
    <w:rsid w:val="00784A23"/>
    <w:rsid w:val="007A7769"/>
    <w:rsid w:val="007B6BA4"/>
    <w:rsid w:val="007C2121"/>
    <w:rsid w:val="007D36D5"/>
    <w:rsid w:val="007D75CB"/>
    <w:rsid w:val="007E4EA5"/>
    <w:rsid w:val="0080262B"/>
    <w:rsid w:val="00856B01"/>
    <w:rsid w:val="0086137D"/>
    <w:rsid w:val="0087166A"/>
    <w:rsid w:val="00873911"/>
    <w:rsid w:val="008765CD"/>
    <w:rsid w:val="00882C07"/>
    <w:rsid w:val="0088796D"/>
    <w:rsid w:val="00893E43"/>
    <w:rsid w:val="008B1B97"/>
    <w:rsid w:val="008B6C12"/>
    <w:rsid w:val="008C2A17"/>
    <w:rsid w:val="008C6A53"/>
    <w:rsid w:val="008D5B3A"/>
    <w:rsid w:val="008E4E37"/>
    <w:rsid w:val="008E57DF"/>
    <w:rsid w:val="008F40AA"/>
    <w:rsid w:val="00903D7A"/>
    <w:rsid w:val="00906320"/>
    <w:rsid w:val="00912948"/>
    <w:rsid w:val="00912D3A"/>
    <w:rsid w:val="009272C0"/>
    <w:rsid w:val="0093089E"/>
    <w:rsid w:val="00935853"/>
    <w:rsid w:val="00935928"/>
    <w:rsid w:val="009479F4"/>
    <w:rsid w:val="00950612"/>
    <w:rsid w:val="00951D19"/>
    <w:rsid w:val="00962069"/>
    <w:rsid w:val="00967DC2"/>
    <w:rsid w:val="00974D08"/>
    <w:rsid w:val="009833BD"/>
    <w:rsid w:val="00984EEF"/>
    <w:rsid w:val="00990E1E"/>
    <w:rsid w:val="009A2244"/>
    <w:rsid w:val="009A2303"/>
    <w:rsid w:val="009A71A2"/>
    <w:rsid w:val="009B1102"/>
    <w:rsid w:val="009B5842"/>
    <w:rsid w:val="009C0272"/>
    <w:rsid w:val="009C388E"/>
    <w:rsid w:val="009C45E8"/>
    <w:rsid w:val="009C5DC5"/>
    <w:rsid w:val="009C6080"/>
    <w:rsid w:val="009D05B5"/>
    <w:rsid w:val="009E644D"/>
    <w:rsid w:val="00A06F95"/>
    <w:rsid w:val="00A419DB"/>
    <w:rsid w:val="00A54170"/>
    <w:rsid w:val="00A60835"/>
    <w:rsid w:val="00A65201"/>
    <w:rsid w:val="00A654CB"/>
    <w:rsid w:val="00A92887"/>
    <w:rsid w:val="00AC1EA2"/>
    <w:rsid w:val="00AD12EA"/>
    <w:rsid w:val="00AD2C7B"/>
    <w:rsid w:val="00AD2F1D"/>
    <w:rsid w:val="00AE4B0A"/>
    <w:rsid w:val="00AE5773"/>
    <w:rsid w:val="00B009A2"/>
    <w:rsid w:val="00B1086C"/>
    <w:rsid w:val="00B10DA7"/>
    <w:rsid w:val="00B30F39"/>
    <w:rsid w:val="00B4152A"/>
    <w:rsid w:val="00B45C74"/>
    <w:rsid w:val="00B75041"/>
    <w:rsid w:val="00B81749"/>
    <w:rsid w:val="00B868F1"/>
    <w:rsid w:val="00B968E6"/>
    <w:rsid w:val="00B97E56"/>
    <w:rsid w:val="00BA7078"/>
    <w:rsid w:val="00BB201E"/>
    <w:rsid w:val="00BD4525"/>
    <w:rsid w:val="00BF7E9C"/>
    <w:rsid w:val="00C04127"/>
    <w:rsid w:val="00C2010D"/>
    <w:rsid w:val="00C23C4A"/>
    <w:rsid w:val="00C40DB9"/>
    <w:rsid w:val="00C45A10"/>
    <w:rsid w:val="00C5423E"/>
    <w:rsid w:val="00C74B46"/>
    <w:rsid w:val="00C817D7"/>
    <w:rsid w:val="00C95E57"/>
    <w:rsid w:val="00CA4D72"/>
    <w:rsid w:val="00CA647E"/>
    <w:rsid w:val="00CD1FDE"/>
    <w:rsid w:val="00CE63DC"/>
    <w:rsid w:val="00D04229"/>
    <w:rsid w:val="00D35115"/>
    <w:rsid w:val="00D45E44"/>
    <w:rsid w:val="00D61856"/>
    <w:rsid w:val="00D9723D"/>
    <w:rsid w:val="00DB099F"/>
    <w:rsid w:val="00DC1A08"/>
    <w:rsid w:val="00DC20F4"/>
    <w:rsid w:val="00DC3D98"/>
    <w:rsid w:val="00DD4A45"/>
    <w:rsid w:val="00DD707E"/>
    <w:rsid w:val="00DD7F77"/>
    <w:rsid w:val="00DE53A1"/>
    <w:rsid w:val="00DF1035"/>
    <w:rsid w:val="00DF4F17"/>
    <w:rsid w:val="00E072EE"/>
    <w:rsid w:val="00E07A71"/>
    <w:rsid w:val="00E101A3"/>
    <w:rsid w:val="00E1583E"/>
    <w:rsid w:val="00E17EA4"/>
    <w:rsid w:val="00E524D0"/>
    <w:rsid w:val="00E57E78"/>
    <w:rsid w:val="00E615D2"/>
    <w:rsid w:val="00E6406E"/>
    <w:rsid w:val="00E67968"/>
    <w:rsid w:val="00E830DC"/>
    <w:rsid w:val="00E854CE"/>
    <w:rsid w:val="00EA342E"/>
    <w:rsid w:val="00EB307E"/>
    <w:rsid w:val="00EC586F"/>
    <w:rsid w:val="00ED2F61"/>
    <w:rsid w:val="00F01464"/>
    <w:rsid w:val="00F01E94"/>
    <w:rsid w:val="00F04085"/>
    <w:rsid w:val="00F20207"/>
    <w:rsid w:val="00F219FB"/>
    <w:rsid w:val="00F33416"/>
    <w:rsid w:val="00F65533"/>
    <w:rsid w:val="00F81496"/>
    <w:rsid w:val="00F862D8"/>
    <w:rsid w:val="00FA0D3D"/>
    <w:rsid w:val="00FC17BD"/>
    <w:rsid w:val="00FC1BCE"/>
    <w:rsid w:val="00FC32A6"/>
    <w:rsid w:val="00FF12E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D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46"/>
  </w:style>
  <w:style w:type="paragraph" w:styleId="Footer">
    <w:name w:val="footer"/>
    <w:basedOn w:val="Normal"/>
    <w:link w:val="FooterChar"/>
    <w:uiPriority w:val="99"/>
    <w:unhideWhenUsed/>
    <w:rsid w:val="00C7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46"/>
  </w:style>
  <w:style w:type="paragraph" w:styleId="ListParagraph">
    <w:name w:val="List Paragraph"/>
    <w:basedOn w:val="Normal"/>
    <w:uiPriority w:val="34"/>
    <w:qFormat/>
    <w:rsid w:val="00FF1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DB9"/>
    <w:rPr>
      <w:sz w:val="21"/>
      <w:szCs w:val="21"/>
    </w:rPr>
  </w:style>
  <w:style w:type="paragraph" w:styleId="PlainText">
    <w:name w:val="Plain Text"/>
    <w:basedOn w:val="Normal"/>
    <w:link w:val="PlainTextChar"/>
    <w:rsid w:val="00282257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282257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22037E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D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46"/>
  </w:style>
  <w:style w:type="paragraph" w:styleId="Footer">
    <w:name w:val="footer"/>
    <w:basedOn w:val="Normal"/>
    <w:link w:val="FooterChar"/>
    <w:uiPriority w:val="99"/>
    <w:unhideWhenUsed/>
    <w:rsid w:val="00C7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46"/>
  </w:style>
  <w:style w:type="paragraph" w:styleId="ListParagraph">
    <w:name w:val="List Paragraph"/>
    <w:basedOn w:val="Normal"/>
    <w:uiPriority w:val="34"/>
    <w:qFormat/>
    <w:rsid w:val="00FF1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DB9"/>
    <w:rPr>
      <w:sz w:val="21"/>
      <w:szCs w:val="21"/>
    </w:rPr>
  </w:style>
  <w:style w:type="paragraph" w:styleId="PlainText">
    <w:name w:val="Plain Text"/>
    <w:basedOn w:val="Normal"/>
    <w:link w:val="PlainTextChar"/>
    <w:rsid w:val="00282257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282257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22037E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FBBB-B6EA-CA4E-9648-B0973CB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3374</Words>
  <Characters>19233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 Ma</cp:lastModifiedBy>
  <cp:revision>2</cp:revision>
  <cp:lastPrinted>2016-06-06T16:07:00Z</cp:lastPrinted>
  <dcterms:created xsi:type="dcterms:W3CDTF">2016-06-14T22:35:00Z</dcterms:created>
  <dcterms:modified xsi:type="dcterms:W3CDTF">2016-06-14T22:35:00Z</dcterms:modified>
</cp:coreProperties>
</file>